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414B1">
      <w:pPr>
        <w:rPr>
          <w:rFonts w:hint="eastAsia" w:ascii="仿宋_GB2312" w:hAnsi="仿宋_GB2312" w:eastAsia="仿宋_GB2312" w:cs="仿宋_GB2312"/>
          <w:highlight w:val="none"/>
        </w:rPr>
      </w:pPr>
      <w:r>
        <w:rPr>
          <w:highlight w:val="none"/>
        </w:rPr>
        <w:drawing>
          <wp:anchor distT="0" distB="0" distL="114300" distR="114300" simplePos="0" relativeHeight="251660288" behindDoc="1" locked="0" layoutInCell="1" allowOverlap="1">
            <wp:simplePos x="0" y="0"/>
            <wp:positionH relativeFrom="column">
              <wp:posOffset>-1230630</wp:posOffset>
            </wp:positionH>
            <wp:positionV relativeFrom="paragraph">
              <wp:posOffset>-911225</wp:posOffset>
            </wp:positionV>
            <wp:extent cx="7769225" cy="10739755"/>
            <wp:effectExtent l="0" t="0" r="3175"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7769225" cy="10739755"/>
                    </a:xfrm>
                    <a:prstGeom prst="rect">
                      <a:avLst/>
                    </a:prstGeom>
                    <a:noFill/>
                    <a:ln>
                      <a:noFill/>
                    </a:ln>
                  </pic:spPr>
                </pic:pic>
              </a:graphicData>
            </a:graphic>
          </wp:anchor>
        </w:drawing>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-1172845</wp:posOffset>
                </wp:positionH>
                <wp:positionV relativeFrom="paragraph">
                  <wp:posOffset>735330</wp:posOffset>
                </wp:positionV>
                <wp:extent cx="7621270" cy="16154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7621270" cy="16154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3562E7">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2025年市疾病预防控制中心（市卫生监督所）购买进口试剂耗材第一批</w:t>
                            </w:r>
                          </w:p>
                          <w:p w14:paraId="346E0FA3">
                            <w:pPr>
                              <w:spacing w:line="360" w:lineRule="auto"/>
                              <w:jc w:val="center"/>
                              <w:rPr>
                                <w:rFonts w:hint="default" w:ascii="微软雅黑" w:hAnsi="微软雅黑" w:eastAsia="微软雅黑" w:cs="微软雅黑"/>
                                <w:b/>
                                <w:bCs/>
                                <w:color w:val="237085"/>
                                <w:sz w:val="28"/>
                                <w:szCs w:val="28"/>
                                <w:lang w:val="en-US" w:eastAsia="zh-CN"/>
                              </w:rPr>
                            </w:pPr>
                            <w:r>
                              <w:rPr>
                                <w:rFonts w:hint="eastAsia" w:ascii="微软雅黑" w:hAnsi="微软雅黑" w:eastAsia="微软雅黑" w:cs="微软雅黑"/>
                                <w:b/>
                                <w:bCs/>
                                <w:color w:val="237085"/>
                                <w:sz w:val="28"/>
                                <w:szCs w:val="28"/>
                                <w:lang w:val="en-US" w:eastAsia="zh-CN"/>
                              </w:rPr>
                              <w:t>（项目编号：SJX-2025-385）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2.35pt;margin-top:57.9pt;height:127.2pt;width:600.1pt;z-index:251661312;mso-width-relative:page;mso-height-relative:page;" filled="f" stroked="f" coordsize="21600,21600" o:gfxdata="UEsDBAoAAAAAAIdO4kAAAAAAAAAAAAAAAAAEAAAAZHJzL1BLAwQUAAAACACHTuJA0egHmtwAAAAN&#10;AQAADwAAAGRycy9kb3ducmV2LnhtbE2Py07DMBBF90j8gzVI7FrbgdAoxKlQpAoJwaKlG3ZOPE0i&#10;4nGI3efX465gObpHd84tlic7sANOvnekQM4FMKTGmZ5aBdvP1SwD5oMmowdHqOCMHpbl7U2hc+OO&#10;tMbDJrQslpDPtYIuhDHn3DcdWu3nbkSK2c5NVod4Ti03kz7GcjvwRIgnbnVP8UOnR6w6bL43e6vg&#10;rVp96HWd2OwyVK/vu5fxZ/uVKnV/J8UzsICn8AfDVT+qQxmdarcn49mgYCazx0VkYyLTOOKKCJmm&#10;wGoFDwuRAC8L/n9F+QtQSwMEFAAAAAgAh07iQKGzT388AgAAZwQAAA4AAABkcnMvZTJvRG9jLnht&#10;bK1UwY7TMBC9I/EPlu80TWm7tGq6KlsVIVXsSgVxdh2niWR7jO02KR8Af8CJC3e+q9/B2Em71cJh&#10;D1yc8cx4Zt6bmcxuGyXJQVhXgc5o2utTIjSHvNK7jH76uHr1hhLnmc6ZBC0yehSO3s5fvpjVZioG&#10;UILMhSUYRLtpbTJaem+mSeJ4KRRzPTBCo7EAq5jHq90luWU1RlcyGfT746QGmxsLXDiH2mVrpF1E&#10;+5yAUBQVF0vgeyW0b6NaIZlHSK6sjKPzWG1RCO7vi8IJT2RGEamPJyZBeRvOZD5j051lpqx4VwJ7&#10;TglPMClWaUx6CbVknpG9rf4KpSpuwUHhexxU0gKJjCCKtP+Em03JjIhYkGpnLqS7/xeWfzg8WFLl&#10;GZ1QopnChp9+fD/9/H369Y1MAj21cVP02hj0881baHBoznqHyoC6KawKX8RD0I7kHi/kisYTjsqb&#10;8SAd3KCJoy0dp6PhMNKfPD431vl3AhQJQkYtdi+Syg5r57EUdD27hGwaVpWUsYNSkzqj49ejfnxw&#10;seALqfFhANEWGyTfbJsO2RbyIwKz0E6GM3xVYfI1c/6BWRwFLBiXxd/jUUjAJNBJlJRgv/5LH/yx&#10;Q2ilpMbRyqj7smdWUCLfa+zdJA3QiY+X4ehmgBd7bdleW/Re3QFOb4praXgUg7+XZ7GwoD7jTi1C&#10;VjQxzTF3Rv1ZvPPtwONOcrFYRCecPsP8Wm8MD6FbOhd7D0UVmQ40tdx07OH8xQZ0uxIG/PoevR7/&#10;D/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0egHmtwAAAANAQAADwAAAAAAAAABACAAAAAiAAAA&#10;ZHJzL2Rvd25yZXYueG1sUEsBAhQAFAAAAAgAh07iQKGzT388AgAAZwQAAA4AAAAAAAAAAQAgAAAA&#10;KwEAAGRycy9lMm9Eb2MueG1sUEsFBgAAAAAGAAYAWQEAANkFAAAAAA==&#10;">
                <v:fill on="f" focussize="0,0"/>
                <v:stroke on="f" weight="0.5pt"/>
                <v:imagedata o:title=""/>
                <o:lock v:ext="edit" aspectratio="f"/>
                <v:textbox>
                  <w:txbxContent>
                    <w:p w14:paraId="193562E7">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2025年市疾病预防控制中心（市卫生监督所）购买进口试剂耗材第一批</w:t>
                      </w:r>
                    </w:p>
                    <w:p w14:paraId="346E0FA3">
                      <w:pPr>
                        <w:spacing w:line="360" w:lineRule="auto"/>
                        <w:jc w:val="center"/>
                        <w:rPr>
                          <w:rFonts w:hint="default" w:ascii="微软雅黑" w:hAnsi="微软雅黑" w:eastAsia="微软雅黑" w:cs="微软雅黑"/>
                          <w:b/>
                          <w:bCs/>
                          <w:color w:val="237085"/>
                          <w:sz w:val="28"/>
                          <w:szCs w:val="28"/>
                          <w:lang w:val="en-US" w:eastAsia="zh-CN"/>
                        </w:rPr>
                      </w:pPr>
                      <w:r>
                        <w:rPr>
                          <w:rFonts w:hint="eastAsia" w:ascii="微软雅黑" w:hAnsi="微软雅黑" w:eastAsia="微软雅黑" w:cs="微软雅黑"/>
                          <w:b/>
                          <w:bCs/>
                          <w:color w:val="237085"/>
                          <w:sz w:val="28"/>
                          <w:szCs w:val="28"/>
                          <w:lang w:val="en-US" w:eastAsia="zh-CN"/>
                        </w:rPr>
                        <w:t>（项目编号：SJX-2025-385）</w:t>
                      </w:r>
                    </w:p>
                  </w:txbxContent>
                </v:textbox>
              </v:shape>
            </w:pict>
          </mc:Fallback>
        </mc:AlternateContent>
      </w:r>
    </w:p>
    <w:p w14:paraId="7DD2307D">
      <w:pPr>
        <w:rPr>
          <w:rFonts w:hint="eastAsia" w:ascii="仿宋_GB2312" w:hAnsi="仿宋_GB2312" w:eastAsia="仿宋_GB2312" w:cs="仿宋_GB2312"/>
          <w:highlight w:val="none"/>
        </w:rPr>
      </w:pPr>
    </w:p>
    <w:p w14:paraId="71A8A1BB">
      <w:pPr>
        <w:jc w:val="center"/>
        <w:rPr>
          <w:rFonts w:hint="eastAsia" w:ascii="仿宋_GB2312" w:hAnsi="仿宋_GB2312" w:eastAsia="仿宋_GB2312" w:cs="仿宋_GB2312"/>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eastAsiaTheme="minorEastAsia"/>
          <w:highlight w:val="none"/>
          <w:lang w:eastAsia="zh-CN"/>
        </w:rPr>
        <w:drawing>
          <wp:anchor distT="0" distB="0" distL="114300" distR="114300" simplePos="0" relativeHeight="251665408" behindDoc="0" locked="0" layoutInCell="1" allowOverlap="1">
            <wp:simplePos x="0" y="0"/>
            <wp:positionH relativeFrom="column">
              <wp:posOffset>2647950</wp:posOffset>
            </wp:positionH>
            <wp:positionV relativeFrom="page">
              <wp:posOffset>7856855</wp:posOffset>
            </wp:positionV>
            <wp:extent cx="1417320" cy="1410970"/>
            <wp:effectExtent l="0" t="0" r="11430" b="17780"/>
            <wp:wrapNone/>
            <wp:docPr id="8" name="图片 8" descr="扫描全能王 2022-09-16 10.5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扫描全能王 2022-09-16 10.51_2"/>
                    <pic:cNvPicPr>
                      <a:picLocks noChangeAspect="1"/>
                    </pic:cNvPicPr>
                  </pic:nvPicPr>
                  <pic:blipFill>
                    <a:blip r:embed="rId7"/>
                    <a:srcRect l="22113" t="29394" r="21666" b="28715"/>
                    <a:stretch>
                      <a:fillRect/>
                    </a:stretch>
                  </pic:blipFill>
                  <pic:spPr>
                    <a:xfrm>
                      <a:off x="0" y="0"/>
                      <a:ext cx="1417320" cy="1410970"/>
                    </a:xfrm>
                    <a:prstGeom prst="rect">
                      <a:avLst/>
                    </a:prstGeom>
                  </pic:spPr>
                </pic:pic>
              </a:graphicData>
            </a:graphic>
          </wp:anchor>
        </w:drawing>
      </w:r>
      <w:r>
        <w:rPr>
          <w:sz w:val="21"/>
          <w:highlight w:val="none"/>
        </w:rPr>
        <mc:AlternateContent>
          <mc:Choice Requires="wps">
            <w:drawing>
              <wp:anchor distT="0" distB="0" distL="114300" distR="114300" simplePos="0" relativeHeight="251663360" behindDoc="0" locked="0" layoutInCell="1" allowOverlap="1">
                <wp:simplePos x="0" y="0"/>
                <wp:positionH relativeFrom="column">
                  <wp:posOffset>1325880</wp:posOffset>
                </wp:positionH>
                <wp:positionV relativeFrom="paragraph">
                  <wp:posOffset>3750310</wp:posOffset>
                </wp:positionV>
                <wp:extent cx="2648585" cy="99695"/>
                <wp:effectExtent l="0" t="0" r="18415" b="14605"/>
                <wp:wrapNone/>
                <wp:docPr id="3" name="矩形 3"/>
                <wp:cNvGraphicFramePr/>
                <a:graphic xmlns:a="http://schemas.openxmlformats.org/drawingml/2006/main">
                  <a:graphicData uri="http://schemas.microsoft.com/office/word/2010/wordprocessingShape">
                    <wps:wsp>
                      <wps:cNvSpPr/>
                      <wps:spPr>
                        <a:xfrm>
                          <a:off x="0" y="0"/>
                          <a:ext cx="2648585" cy="99695"/>
                        </a:xfrm>
                        <a:prstGeom prst="rect">
                          <a:avLst/>
                        </a:prstGeom>
                        <a:solidFill>
                          <a:srgbClr val="2E93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4.4pt;margin-top:295.3pt;height:7.85pt;width:208.55pt;z-index:251663360;v-text-anchor:middle;mso-width-relative:page;mso-height-relative:page;" fillcolor="#2E93B0" filled="t" stroked="f" coordsize="21600,21600" o:gfxdata="UEsDBAoAAAAAAIdO4kAAAAAAAAAAAAAAAAAEAAAAZHJzL1BLAwQUAAAACACHTuJAulyDQNkAAAAL&#10;AQAADwAAAGRycy9kb3ducmV2LnhtbE2PzU7DMBCE70i8g7WVuFE7QY3aEKcHVJA4laZw3ybbJI29&#10;jmL3h7fHnOC2ox3NfFOsb9aIC02+d6whmSsQxLVrem41fO5fH5cgfEBu0DgmDd/kYV3e3xWYN+7K&#10;O7pUoRUxhH2OGroQxlxKX3dk0c/dSBx/RzdZDFFOrWwmvMZwa2SqVCYt9hwbOhzppaN6qM5Wg2wr&#10;Pu2G7fFrb97fDCbDdvOx0fphlqhnEIFu4c8Mv/gRHcrIdHBnbrwwGlK1jOhBw2KlMhDRkaWLFYhD&#10;PFT2BLIs5P8N5Q9QSwMEFAAAAAgAh07iQLWhYHFvAgAAygQAAA4AAABkcnMvZTJvRG9jLnhtbK1U&#10;wW4TMRC9I/EPlu90kzRpk6ibKjQUIVW0UkGcHa83a8n2mLGTTfkZJG58BJ+D+A3G3m1aCoceyMGZ&#10;8UzeeN68ydn53hq2Uxg0uJIPjwacKSeh0m5T8o8fLl9NOQtRuEoYcKrkdyrw88XLF2etn6sRNGAq&#10;hYxAXJi3vuRNjH5eFEE2yopwBF45CtaAVkRycVNUKFpCt6YYDQYnRQtYeQSpQqDbVRfkPSI+BxDq&#10;Wku1Arm1ysUOFZURkVoKjfaBL/Jr61rJeF3XQUVmSk6dxnxSEbLX6SwWZ2K+QeEbLfsniOc84UlP&#10;VmhHRQ9QKxEF26L+C8pqiRCgjkcSbNE1khmhLoaDJ9zcNsKr3AtRHfyB9PD/YOX73Q0yXZX8mDMn&#10;LA3819fvP398Y8eJm9aHOaXc+hvsvUBmanRfo03f1ALbZz7vDnyqfWSSLkcn4+lkOuFMUmw2O5lN&#10;Embx8GOPIb5VYFkySo40rsyi2F2F2KXep6RaAYyuLrUx2cHN+sIg2wka7ejN7Ph1niah/5FmHGtJ&#10;5qPTAY1cChJsTUIh03pqOrgNZ8JsaBNkxFzbQapAxcU81V6J0HQ1MmwnGKsj7YDRtuTTQfr0fRlH&#10;7SXOOpaStYbqjhhG6KQXvLzUBHslQrwRSFqjZ9E2xms6agP0VugtzhrAL/+6T/kkAYpy1pJ2qY/P&#10;W4GKM/POkThmw/E4iT0748npiBx8HFk/jritvQDicEh772U2U34092aNYD/R0i5TVQoJJ6l2x1jv&#10;XMRup2jtpVoucxoJ3It45W69TOCJUAfLbYRa59k+sNOTRhLP6ujXMe3QYz9nPfwFL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ulyDQNkAAAALAQAADwAAAAAAAAABACAAAAAiAAAAZHJzL2Rvd25y&#10;ZXYueG1sUEsBAhQAFAAAAAgAh07iQLWhYHFvAgAAygQAAA4AAAAAAAAAAQAgAAAAKAEAAGRycy9l&#10;Mm9Eb2MueG1sUEsFBgAAAAAGAAYAWQEAAAkGAAAAAA==&#10;">
                <v:fill on="t" focussize="0,0"/>
                <v:stroke on="f" weight="1pt" miterlimit="8" joinstyle="miter"/>
                <v:imagedata o:title=""/>
                <o:lock v:ext="edit" aspectratio="f"/>
              </v:rect>
            </w:pict>
          </mc:Fallback>
        </mc:AlternateContent>
      </w:r>
      <w:r>
        <w:rPr>
          <w:sz w:val="21"/>
          <w:highlight w:val="none"/>
        </w:rPr>
        <mc:AlternateContent>
          <mc:Choice Requires="wps">
            <w:drawing>
              <wp:anchor distT="0" distB="0" distL="114300" distR="114300" simplePos="0" relativeHeight="251662336" behindDoc="0" locked="0" layoutInCell="1" allowOverlap="1">
                <wp:simplePos x="0" y="0"/>
                <wp:positionH relativeFrom="column">
                  <wp:posOffset>-889000</wp:posOffset>
                </wp:positionH>
                <wp:positionV relativeFrom="paragraph">
                  <wp:posOffset>2870835</wp:posOffset>
                </wp:positionV>
                <wp:extent cx="7130415" cy="88138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130415" cy="881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D0003A">
                            <w:pPr>
                              <w:pStyle w:val="2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2E93B0"/>
                                <w:sz w:val="72"/>
                                <w:szCs w:val="72"/>
                                <w:lang w:val="en-US" w:eastAsia="zh-CN"/>
                              </w:rPr>
                            </w:pPr>
                            <w:r>
                              <w:rPr>
                                <w:rFonts w:hint="eastAsia" w:ascii="微软雅黑" w:hAnsi="微软雅黑" w:eastAsia="微软雅黑" w:cs="微软雅黑"/>
                                <w:b/>
                                <w:bCs/>
                                <w:color w:val="2E93B0"/>
                                <w:sz w:val="72"/>
                                <w:szCs w:val="72"/>
                                <w:lang w:val="en-US" w:eastAsia="zh-CN"/>
                              </w:rPr>
                              <w:t>公开招标采购文件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pt;margin-top:226.05pt;height:69.4pt;width:561.45pt;z-index:251662336;mso-width-relative:page;mso-height-relative:page;" filled="f" stroked="f" coordsize="21600,21600" o:gfxdata="UEsDBAoAAAAAAIdO4kAAAAAAAAAAAAAAAAAEAAAAZHJzL1BLAwQUAAAACACHTuJA+dtTN90AAAAM&#10;AQAADwAAAGRycy9kb3ducmV2LnhtbE2PTUvDQBiE74L/YXkFb+1uQiNJzJsigSKIHlp78bbJvk2C&#10;+xGz2w/99a4nexxmmHmmWl+MZiea/egsQrIUwMh2To22R9i/bxY5MB+kVVI7Swjf5GFd395UslTu&#10;bLd02oWexRLrS4kwhDCVnPtuICP90k1ko3dws5EhyrnnapbnWG40T4V44EaONi4McqJmoO5zdzQI&#10;L83mTW7b1OQ/unl+PTxNX/uPDPH+LhGPwAJdwn8Y/vAjOtSRqXVHqzzTCItkJeKZgLDK0gRYjBR5&#10;WgBrEbJCFMDril+fqH8BUEsDBBQAAAAIAIdO4kDzrv4BPQIAAGgEAAAOAAAAZHJzL2Uyb0RvYy54&#10;bWytVMFuEzEQvSPxD5bvdLNtWkLUTRVaFSFVtFJBnB2vt7uS7TG2093yAfAHnLhw57v6HTx7k7Qq&#10;HHrgshnPjGfmvXnO8clgNLtVPnRkK17uTThTVlLd2ZuKf/p4/mrGWYjC1kKTVRW/U4GfLF6+OO7d&#10;XO1TS7pWnqGIDfPeVbyN0c2LIshWGRH2yCmLYEPeiIijvylqL3pUN7rYn0yOip587TxJFQK8Z2OQ&#10;byr65xSkpumkOiO5NsrGsapXWkRACm3nAl/kaZtGyXjZNEFFpisOpDF/0QT2Kn2LxbGY33jh2k5u&#10;RhDPGeEJJiM6i6a7UmciCrb23V+lTCc9BWriniRTjEAyI0BRTp5wc90KpzIWUB3cjvTw/8rKD7dX&#10;nnU1lFByZoXBxu9/fL//+fv+1zcGHwjqXZgj79ohMw5vaUDy1h/gTLiHxpv0C0QMcdB7t6NXDZFJ&#10;OF+XB5NpeciZRGw2Kw9mmf/i4bbzIb5TZFgyKu6xvsyquL0IEZMgdZuSmlk677TOK9SW9RU/Ojic&#10;5Au7CG5oi4sJwzhrsuKwGjbAVlTfAZenURrByfMOzS9EiFfCQwuAgtcSL/FpNKEJbSzOWvJf/+VP&#10;+VgRopz10FbFw5e18Ioz/d5ieW/K6TSJMR+mh6/3cfCPI6vHEbs2pwT5Yj+YLpspP+qt2Xgyn/Go&#10;lqkrQsJK9K543JqncVQ8HqVUy2VOgvyciBf22slUeqRzuY7UdJnpRNPIzYY9CDAvYPNYksIfn3PW&#10;wx/E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521M33QAAAAwBAAAPAAAAAAAAAAEAIAAAACIA&#10;AABkcnMvZG93bnJldi54bWxQSwECFAAUAAAACACHTuJA867+AT0CAABoBAAADgAAAAAAAAABACAA&#10;AAAsAQAAZHJzL2Uyb0RvYy54bWxQSwUGAAAAAAYABgBZAQAA2wUAAAAA&#10;">
                <v:fill on="f" focussize="0,0"/>
                <v:stroke on="f" weight="0.5pt"/>
                <v:imagedata o:title=""/>
                <o:lock v:ext="edit" aspectratio="f"/>
                <v:textbox>
                  <w:txbxContent>
                    <w:p w14:paraId="33D0003A">
                      <w:pPr>
                        <w:pStyle w:val="2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2E93B0"/>
                          <w:sz w:val="72"/>
                          <w:szCs w:val="72"/>
                          <w:lang w:val="en-US" w:eastAsia="zh-CN"/>
                        </w:rPr>
                      </w:pPr>
                      <w:r>
                        <w:rPr>
                          <w:rFonts w:hint="eastAsia" w:ascii="微软雅黑" w:hAnsi="微软雅黑" w:eastAsia="微软雅黑" w:cs="微软雅黑"/>
                          <w:b/>
                          <w:bCs/>
                          <w:color w:val="2E93B0"/>
                          <w:sz w:val="72"/>
                          <w:szCs w:val="72"/>
                          <w:lang w:val="en-US" w:eastAsia="zh-CN"/>
                        </w:rPr>
                        <w:t>公开招标采购文件</w:t>
                      </w:r>
                    </w:p>
                  </w:txbxContent>
                </v:textbox>
              </v:shape>
            </w:pict>
          </mc:Fallback>
        </mc:AlternateContent>
      </w:r>
      <w:r>
        <w:rPr>
          <w:sz w:val="21"/>
          <w:highlight w:val="none"/>
        </w:rPr>
        <mc:AlternateContent>
          <mc:Choice Requires="wps">
            <w:drawing>
              <wp:anchor distT="0" distB="0" distL="114300" distR="114300" simplePos="0" relativeHeight="251664384" behindDoc="0" locked="0" layoutInCell="1" allowOverlap="1">
                <wp:simplePos x="0" y="0"/>
                <wp:positionH relativeFrom="column">
                  <wp:posOffset>-86360</wp:posOffset>
                </wp:positionH>
                <wp:positionV relativeFrom="paragraph">
                  <wp:posOffset>5794375</wp:posOffset>
                </wp:positionV>
                <wp:extent cx="5464175" cy="24860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464175" cy="2486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76EA43">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采购人：乌鲁木齐市疾病预防控制中心</w:t>
                            </w:r>
                          </w:p>
                          <w:p w14:paraId="0EACDA24">
                            <w:pPr>
                              <w:ind w:firstLine="960" w:firstLineChars="300"/>
                              <w:jc w:val="left"/>
                              <w:rPr>
                                <w:rFonts w:hint="eastAsia"/>
                                <w:lang w:val="en-US" w:eastAsia="zh-CN"/>
                              </w:rPr>
                            </w:pPr>
                            <w:r>
                              <w:rPr>
                                <w:rFonts w:hint="eastAsia" w:ascii="微软雅黑" w:hAnsi="微软雅黑" w:eastAsia="微软雅黑" w:cs="微软雅黑"/>
                                <w:b/>
                                <w:bCs/>
                                <w:color w:val="237085"/>
                                <w:sz w:val="32"/>
                                <w:szCs w:val="32"/>
                                <w:lang w:val="en-US" w:eastAsia="zh-CN"/>
                              </w:rPr>
                              <w:t>（乌鲁木齐市卫生监督所）（盖章）</w:t>
                            </w:r>
                          </w:p>
                          <w:p w14:paraId="1C93D8B5">
                            <w:pPr>
                              <w:jc w:val="left"/>
                              <w:rPr>
                                <w:rFonts w:hint="eastAsia" w:ascii="微软雅黑" w:hAnsi="微软雅黑" w:eastAsia="微软雅黑" w:cs="微软雅黑"/>
                                <w:b/>
                                <w:bCs/>
                                <w:color w:val="237085"/>
                                <w:sz w:val="32"/>
                                <w:szCs w:val="32"/>
                                <w:lang w:val="en-US" w:eastAsia="zh-CN"/>
                              </w:rPr>
                            </w:pPr>
                          </w:p>
                          <w:p w14:paraId="0F648F32">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采购代理机构：新疆世纪星工程咨询有限公司（盖章）</w:t>
                            </w:r>
                          </w:p>
                          <w:p w14:paraId="15038785">
                            <w:pPr>
                              <w:jc w:val="center"/>
                              <w:rPr>
                                <w:rFonts w:hint="eastAsia" w:ascii="微软雅黑" w:hAnsi="微软雅黑" w:eastAsia="微软雅黑" w:cs="微软雅黑"/>
                                <w:b/>
                                <w:bCs/>
                                <w:color w:val="237085"/>
                                <w:sz w:val="32"/>
                                <w:szCs w:val="32"/>
                                <w:lang w:val="en-US" w:eastAsia="zh-CN"/>
                              </w:rPr>
                            </w:pPr>
                          </w:p>
                          <w:p w14:paraId="423E7C20">
                            <w:pPr>
                              <w:jc w:val="center"/>
                              <w:rPr>
                                <w:rFonts w:hint="eastAsia"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lang w:val="en-US" w:eastAsia="zh-CN"/>
                              </w:rPr>
                              <w:t>日期：2025年 7 月 3 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pt;margin-top:456.25pt;height:195.75pt;width:430.25pt;z-index:251664384;mso-width-relative:page;mso-height-relative:page;" filled="f" stroked="f" coordsize="21600,21600" o:gfxdata="UEsDBAoAAAAAAIdO4kAAAAAAAAAAAAAAAAAEAAAAZHJzL1BLAwQUAAAACACHTuJAHDxo9t0AAAAM&#10;AQAADwAAAGRycy9kb3ducmV2LnhtbE2Py07DMBBF90j8gzVI7Fo7aRulIU6FIlVICBYt3bBz4mkS&#10;YY9D7D7g6zErWI7u0b1nys3VGnbGyQ+OJCRzAQypdXqgTsLhbTvLgfmgSCvjCCV8oYdNdXtTqkK7&#10;C+3wvA8diyXkCyWhD2EsOPdtj1b5uRuRYnZ0k1UhnlPH9aQusdwangqRcasGigu9GrHusf3Yn6yE&#10;53r7qnZNavNvUz+9HB/Hz8P7Ssr7u0Q8AAt4DX8w/OpHdaiiU+NOpD0zEmbJIouohHWSroBFIl9m&#10;a2BNRBdiKYBXJf//RPUDUEsDBBQAAAAIAIdO4kC9B9GiPAIAAGcEAAAOAAAAZHJzL2Uyb0RvYy54&#10;bWytVMGO0zAQvSPxD5bvNGlJu0vVdFW2KkJasSsVxNl1nCaS7TG226R8APwBJy7c+a5+B2Mn7VYL&#10;hz1wccczkzd+b2Y6u2mVJHthXQ06p8NBSonQHIpab3P66ePq1TUlzjNdMAla5PQgHL2Zv3wxa8xU&#10;jKACWQhLEES7aWNyWnlvpknieCUUcwMwQmOwBKuYx6vdJoVlDaIrmYzSdJI0YAtjgQvn0LvsgrRH&#10;tM8BhLKsuVgC3ymhfYdqhWQeKbmqNo7O42vLUnB/X5ZOeCJzikx9PLEI2ptwJvMZm24tM1XN+yew&#10;5zzhCSfFao1Fz1BL5hnZ2fovKFVzCw5KP+Cgko5IVARZDNMn2qwrZkTkglI7cxbd/T9Y/mH/YEld&#10;5HRCiWYKG3788f348/fx1zcyCfI0xk0xa20wz7dvocWhOfkdOgPrtrQq/CIfgnEU93AWV7SecHSO&#10;s0k2vBpTwjE2yq4n6WgccJLHz411/p0ARYKRU4vdi6Ky/Z3zXeopJVTTsKqljB2UmjRI4fU4jR+c&#10;IwguNdYIJLrHBsu3m7ZntoHigMQsdJPhDF/VWPyOOf/ALI4CcsFl8fd4lBKwCPQWJRXYr//yh3zs&#10;EEYpaXC0cuq+7JgVlMj3Gnv3ZphlYRbjJRtfjfBiLyOby4jeqVvA6R3iWhoezZDv5cksLajPuFOL&#10;UBVDTHOsnVN/Mm99N/C4k1wsFjEJp88wf6fXhgfoTs7FzkNZR6WDTJ02vXo4f7FX/a6EAb+8x6zH&#10;/4f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w8aPbdAAAADAEAAA8AAAAAAAAAAQAgAAAAIgAA&#10;AGRycy9kb3ducmV2LnhtbFBLAQIUABQAAAAIAIdO4kC9B9GiPAIAAGcEAAAOAAAAAAAAAAEAIAAA&#10;ACwBAABkcnMvZTJvRG9jLnhtbFBLBQYAAAAABgAGAFkBAADaBQAAAAA=&#10;">
                <v:fill on="f" focussize="0,0"/>
                <v:stroke on="f" weight="0.5pt"/>
                <v:imagedata o:title=""/>
                <o:lock v:ext="edit" aspectratio="f"/>
                <v:textbox>
                  <w:txbxContent>
                    <w:p w14:paraId="1076EA43">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采购人：乌鲁木齐市疾病预防控制中心</w:t>
                      </w:r>
                    </w:p>
                    <w:p w14:paraId="0EACDA24">
                      <w:pPr>
                        <w:ind w:firstLine="960" w:firstLineChars="300"/>
                        <w:jc w:val="left"/>
                        <w:rPr>
                          <w:rFonts w:hint="eastAsia"/>
                          <w:lang w:val="en-US" w:eastAsia="zh-CN"/>
                        </w:rPr>
                      </w:pPr>
                      <w:r>
                        <w:rPr>
                          <w:rFonts w:hint="eastAsia" w:ascii="微软雅黑" w:hAnsi="微软雅黑" w:eastAsia="微软雅黑" w:cs="微软雅黑"/>
                          <w:b/>
                          <w:bCs/>
                          <w:color w:val="237085"/>
                          <w:sz w:val="32"/>
                          <w:szCs w:val="32"/>
                          <w:lang w:val="en-US" w:eastAsia="zh-CN"/>
                        </w:rPr>
                        <w:t>（乌鲁木齐市卫生监督所）（盖章）</w:t>
                      </w:r>
                    </w:p>
                    <w:p w14:paraId="1C93D8B5">
                      <w:pPr>
                        <w:jc w:val="left"/>
                        <w:rPr>
                          <w:rFonts w:hint="eastAsia" w:ascii="微软雅黑" w:hAnsi="微软雅黑" w:eastAsia="微软雅黑" w:cs="微软雅黑"/>
                          <w:b/>
                          <w:bCs/>
                          <w:color w:val="237085"/>
                          <w:sz w:val="32"/>
                          <w:szCs w:val="32"/>
                          <w:lang w:val="en-US" w:eastAsia="zh-CN"/>
                        </w:rPr>
                      </w:pPr>
                    </w:p>
                    <w:p w14:paraId="0F648F32">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采购代理机构：新疆世纪星工程咨询有限公司（盖章）</w:t>
                      </w:r>
                    </w:p>
                    <w:p w14:paraId="15038785">
                      <w:pPr>
                        <w:jc w:val="center"/>
                        <w:rPr>
                          <w:rFonts w:hint="eastAsia" w:ascii="微软雅黑" w:hAnsi="微软雅黑" w:eastAsia="微软雅黑" w:cs="微软雅黑"/>
                          <w:b/>
                          <w:bCs/>
                          <w:color w:val="237085"/>
                          <w:sz w:val="32"/>
                          <w:szCs w:val="32"/>
                          <w:lang w:val="en-US" w:eastAsia="zh-CN"/>
                        </w:rPr>
                      </w:pPr>
                    </w:p>
                    <w:p w14:paraId="423E7C20">
                      <w:pPr>
                        <w:jc w:val="center"/>
                        <w:rPr>
                          <w:rFonts w:hint="eastAsia"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lang w:val="en-US" w:eastAsia="zh-CN"/>
                        </w:rPr>
                        <w:t>日期：2025年 7 月 3 日</w:t>
                      </w:r>
                    </w:p>
                  </w:txbxContent>
                </v:textbox>
              </v:shape>
            </w:pict>
          </mc:Fallback>
        </mc:AlternateContent>
      </w:r>
    </w:p>
    <w:p w14:paraId="760E45F0">
      <w:pPr>
        <w:jc w:val="center"/>
        <w:rPr>
          <w:rFonts w:hint="eastAsia" w:ascii="仿宋_GB2312" w:hAnsi="仿宋_GB2312" w:eastAsia="仿宋_GB2312" w:cs="仿宋_GB2312"/>
          <w:sz w:val="32"/>
          <w:szCs w:val="32"/>
          <w:highlight w:val="none"/>
        </w:rPr>
      </w:pPr>
    </w:p>
    <w:tbl>
      <w:tblPr>
        <w:tblStyle w:val="23"/>
        <w:tblW w:w="92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0"/>
      </w:tblGrid>
      <w:tr w14:paraId="1A3958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13" w:hRule="atLeast"/>
          <w:jc w:val="center"/>
        </w:trPr>
        <w:tc>
          <w:tcPr>
            <w:tcW w:w="9280" w:type="dxa"/>
            <w:tcBorders>
              <w:tl2br w:val="nil"/>
              <w:tr2bl w:val="nil"/>
            </w:tcBorders>
            <w:noWrap w:val="0"/>
            <w:vAlign w:val="top"/>
          </w:tcPr>
          <w:p w14:paraId="30A026E9">
            <w:pPr>
              <w:rPr>
                <w:rFonts w:hint="eastAsia" w:ascii="仿宋" w:hAnsi="仿宋" w:eastAsia="仿宋" w:cs="Arial"/>
                <w:b/>
                <w:bCs/>
                <w:sz w:val="32"/>
                <w:szCs w:val="32"/>
                <w:highlight w:val="none"/>
              </w:rPr>
            </w:pPr>
            <w:r>
              <w:rPr>
                <w:rFonts w:hint="eastAsia" w:ascii="仿宋_GB2312" w:hAnsi="仿宋_GB2312" w:eastAsia="仿宋_GB2312" w:cs="仿宋_GB2312"/>
                <w:sz w:val="32"/>
                <w:szCs w:val="32"/>
                <w:highlight w:val="none"/>
              </w:rPr>
              <w:br w:type="page"/>
            </w:r>
          </w:p>
          <w:p w14:paraId="53DA22BA">
            <w:pPr>
              <w:spacing w:line="360" w:lineRule="auto"/>
              <w:ind w:right="31" w:rightChars="15"/>
              <w:jc w:val="center"/>
              <w:rPr>
                <w:rFonts w:hint="eastAsia" w:ascii="仿宋" w:hAnsi="仿宋" w:eastAsia="仿宋" w:cs="Arial"/>
                <w:b/>
                <w:bCs/>
                <w:sz w:val="32"/>
                <w:szCs w:val="32"/>
                <w:highlight w:val="none"/>
              </w:rPr>
            </w:pPr>
          </w:p>
          <w:p w14:paraId="538E26ED">
            <w:pPr>
              <w:spacing w:line="360" w:lineRule="auto"/>
              <w:ind w:right="31" w:rightChars="15"/>
              <w:jc w:val="center"/>
              <w:rPr>
                <w:rFonts w:hint="eastAsia" w:ascii="仿宋" w:hAnsi="仿宋" w:eastAsia="仿宋" w:cs="Arial"/>
                <w:b/>
                <w:bCs/>
                <w:sz w:val="32"/>
                <w:szCs w:val="32"/>
                <w:highlight w:val="none"/>
              </w:rPr>
            </w:pPr>
            <w:r>
              <w:rPr>
                <w:rFonts w:hint="eastAsia" w:ascii="仿宋" w:hAnsi="仿宋" w:eastAsia="仿宋" w:cs="Arial"/>
                <w:b/>
                <w:bCs/>
                <w:sz w:val="32"/>
                <w:szCs w:val="32"/>
                <w:highlight w:val="none"/>
              </w:rPr>
              <w:t>招标文件确认</w:t>
            </w:r>
            <w:r>
              <w:rPr>
                <w:rFonts w:hint="eastAsia" w:ascii="仿宋" w:hAnsi="仿宋" w:eastAsia="仿宋" w:cs="Arial"/>
                <w:b/>
                <w:bCs/>
                <w:sz w:val="32"/>
                <w:szCs w:val="32"/>
                <w:highlight w:val="none"/>
                <w:lang w:val="en-US" w:eastAsia="zh-CN"/>
              </w:rPr>
              <w:t>表</w:t>
            </w:r>
          </w:p>
          <w:p w14:paraId="020BD4C7">
            <w:pPr>
              <w:spacing w:line="360" w:lineRule="auto"/>
              <w:ind w:firstLine="720" w:firstLineChars="300"/>
              <w:jc w:val="both"/>
              <w:rPr>
                <w:rFonts w:hint="eastAsia" w:ascii="仿宋" w:hAnsi="仿宋" w:eastAsia="仿宋" w:cs="Arial"/>
                <w:sz w:val="24"/>
                <w:szCs w:val="24"/>
                <w:highlight w:val="none"/>
                <w:lang w:val="en-US" w:eastAsia="zh-CN"/>
              </w:rPr>
            </w:pPr>
          </w:p>
          <w:p w14:paraId="62C003D2">
            <w:pPr>
              <w:spacing w:line="360" w:lineRule="auto"/>
              <w:jc w:val="both"/>
              <w:rPr>
                <w:rFonts w:hint="default"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新疆世纪星工程咨询有限公司：</w:t>
            </w:r>
          </w:p>
          <w:p w14:paraId="4053136F">
            <w:pPr>
              <w:spacing w:line="360" w:lineRule="auto"/>
              <w:ind w:firstLine="840" w:firstLineChars="300"/>
              <w:jc w:val="both"/>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u w:val="single"/>
                <w:lang w:val="en-US" w:eastAsia="zh-CN"/>
              </w:rPr>
              <w:t>2025年市疾病预防控制中心（市卫生监督所）购买进口试剂耗材第一批（项目编号：SJX-2025-385）</w:t>
            </w:r>
            <w:r>
              <w:rPr>
                <w:rFonts w:hint="eastAsia" w:ascii="仿宋" w:hAnsi="仿宋" w:eastAsia="仿宋" w:cs="Arial"/>
                <w:sz w:val="28"/>
                <w:szCs w:val="28"/>
                <w:highlight w:val="none"/>
                <w:lang w:val="en-US" w:eastAsia="zh-CN"/>
              </w:rPr>
              <w:t>招标文件，经我单位审核符合我单位提出的招标要求，同意对外发布。</w:t>
            </w:r>
          </w:p>
          <w:p w14:paraId="671DDA05">
            <w:pPr>
              <w:spacing w:line="360" w:lineRule="auto"/>
              <w:jc w:val="both"/>
              <w:rPr>
                <w:rFonts w:hint="eastAsia" w:ascii="仿宋" w:hAnsi="仿宋" w:eastAsia="仿宋" w:cs="Arial"/>
                <w:sz w:val="28"/>
                <w:szCs w:val="28"/>
                <w:highlight w:val="none"/>
              </w:rPr>
            </w:pPr>
          </w:p>
          <w:p w14:paraId="2B1A2435">
            <w:pPr>
              <w:spacing w:line="360" w:lineRule="auto"/>
              <w:ind w:right="240"/>
              <w:jc w:val="both"/>
              <w:rPr>
                <w:rFonts w:hint="eastAsia" w:ascii="仿宋" w:hAnsi="仿宋" w:eastAsia="仿宋" w:cs="Arial"/>
                <w:sz w:val="28"/>
                <w:szCs w:val="28"/>
                <w:highlight w:val="none"/>
              </w:rPr>
            </w:pPr>
          </w:p>
          <w:p w14:paraId="54E8EDCF">
            <w:pPr>
              <w:spacing w:line="360" w:lineRule="auto"/>
              <w:ind w:right="240"/>
              <w:jc w:val="both"/>
              <w:rPr>
                <w:rFonts w:hint="eastAsia" w:ascii="仿宋" w:hAnsi="仿宋" w:eastAsia="仿宋" w:cs="Arial"/>
                <w:sz w:val="28"/>
                <w:szCs w:val="28"/>
                <w:highlight w:val="none"/>
              </w:rPr>
            </w:pPr>
          </w:p>
          <w:p w14:paraId="1910CDC9">
            <w:pPr>
              <w:spacing w:line="360" w:lineRule="auto"/>
              <w:ind w:right="840"/>
              <w:jc w:val="right"/>
              <w:rPr>
                <w:rFonts w:ascii="仿宋" w:hAnsi="仿宋" w:eastAsia="仿宋" w:cs="Arial"/>
                <w:sz w:val="28"/>
                <w:szCs w:val="28"/>
                <w:highlight w:val="none"/>
              </w:rPr>
            </w:pPr>
            <w:r>
              <w:rPr>
                <w:rFonts w:hint="eastAsia" w:ascii="仿宋" w:hAnsi="仿宋" w:eastAsia="仿宋" w:cs="Times New Roman"/>
                <w:sz w:val="28"/>
                <w:szCs w:val="28"/>
                <w:highlight w:val="none"/>
              </w:rPr>
              <w:t xml:space="preserve">  </w:t>
            </w:r>
            <w:r>
              <w:rPr>
                <w:rFonts w:hint="eastAsia" w:ascii="仿宋" w:hAnsi="仿宋" w:eastAsia="仿宋" w:cs="Times New Roman"/>
                <w:sz w:val="28"/>
                <w:szCs w:val="28"/>
                <w:highlight w:val="none"/>
                <w:lang w:val="en-US" w:eastAsia="zh-CN"/>
              </w:rPr>
              <w:t xml:space="preserve">                       采购人</w:t>
            </w:r>
            <w:r>
              <w:rPr>
                <w:rFonts w:hint="eastAsia" w:ascii="仿宋" w:hAnsi="仿宋" w:eastAsia="仿宋" w:cs="Arial"/>
                <w:sz w:val="28"/>
                <w:szCs w:val="28"/>
                <w:highlight w:val="none"/>
              </w:rPr>
              <w:t>（盖章）</w:t>
            </w:r>
            <w:r>
              <w:rPr>
                <w:rFonts w:hint="eastAsia" w:ascii="仿宋" w:hAnsi="仿宋" w:eastAsia="仿宋" w:cs="Times New Roman"/>
                <w:sz w:val="28"/>
                <w:szCs w:val="28"/>
                <w:highlight w:val="none"/>
                <w:lang w:val="en-US" w:eastAsia="zh-CN"/>
              </w:rPr>
              <w:t>：乌鲁木齐市疾病预防控制中心（乌鲁木齐市卫生监督所）</w:t>
            </w:r>
          </w:p>
          <w:p w14:paraId="3FC5DF72">
            <w:pPr>
              <w:spacing w:line="360" w:lineRule="auto"/>
              <w:ind w:right="960"/>
              <w:jc w:val="both"/>
              <w:rPr>
                <w:rFonts w:ascii="仿宋" w:hAnsi="仿宋" w:eastAsia="仿宋" w:cs="Times New Roman"/>
                <w:b/>
                <w:sz w:val="40"/>
                <w:szCs w:val="32"/>
                <w:highlight w:val="none"/>
              </w:rPr>
            </w:pPr>
            <w:r>
              <w:rPr>
                <w:rFonts w:hint="eastAsia" w:ascii="仿宋" w:hAnsi="仿宋" w:eastAsia="仿宋" w:cs="Arial"/>
                <w:sz w:val="28"/>
                <w:szCs w:val="28"/>
                <w:highlight w:val="none"/>
              </w:rPr>
              <w:t xml:space="preserve">                                  </w:t>
            </w:r>
            <w:r>
              <w:rPr>
                <w:rFonts w:hint="eastAsia" w:ascii="仿宋" w:hAnsi="仿宋" w:eastAsia="仿宋" w:cs="Arial"/>
                <w:sz w:val="28"/>
                <w:szCs w:val="28"/>
                <w:highlight w:val="none"/>
                <w:lang w:val="en-US" w:eastAsia="zh-CN"/>
              </w:rPr>
              <w:t xml:space="preserve"> 2025</w:t>
            </w:r>
            <w:r>
              <w:rPr>
                <w:rFonts w:hint="eastAsia" w:ascii="仿宋" w:hAnsi="仿宋" w:eastAsia="仿宋" w:cs="Arial"/>
                <w:sz w:val="28"/>
                <w:szCs w:val="28"/>
                <w:highlight w:val="none"/>
              </w:rPr>
              <w:t>年</w:t>
            </w:r>
            <w:r>
              <w:rPr>
                <w:rFonts w:hint="eastAsia" w:ascii="仿宋" w:hAnsi="仿宋" w:eastAsia="仿宋" w:cs="Arial"/>
                <w:sz w:val="28"/>
                <w:szCs w:val="28"/>
                <w:highlight w:val="none"/>
                <w:lang w:val="en-US" w:eastAsia="zh-CN"/>
              </w:rPr>
              <w:t xml:space="preserve">7 </w:t>
            </w:r>
            <w:r>
              <w:rPr>
                <w:rFonts w:hint="eastAsia" w:ascii="仿宋" w:hAnsi="仿宋" w:eastAsia="仿宋" w:cs="Arial"/>
                <w:sz w:val="28"/>
                <w:szCs w:val="28"/>
                <w:highlight w:val="none"/>
              </w:rPr>
              <w:t>月</w:t>
            </w:r>
            <w:r>
              <w:rPr>
                <w:rFonts w:hint="eastAsia" w:ascii="仿宋" w:hAnsi="仿宋" w:eastAsia="仿宋" w:cs="Arial"/>
                <w:sz w:val="28"/>
                <w:szCs w:val="28"/>
                <w:highlight w:val="none"/>
                <w:lang w:val="en-US" w:eastAsia="zh-CN"/>
              </w:rPr>
              <w:t>3</w:t>
            </w:r>
            <w:r>
              <w:rPr>
                <w:rFonts w:hint="eastAsia" w:ascii="仿宋" w:hAnsi="仿宋" w:eastAsia="仿宋" w:cs="Arial"/>
                <w:sz w:val="28"/>
                <w:szCs w:val="28"/>
                <w:highlight w:val="none"/>
              </w:rPr>
              <w:t>日</w:t>
            </w:r>
          </w:p>
        </w:tc>
      </w:tr>
    </w:tbl>
    <w:p w14:paraId="4783433C">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p>
    <w:p w14:paraId="7224195F">
      <w:pPr>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目  录</w:t>
      </w:r>
    </w:p>
    <w:sdt>
      <w:sdtPr>
        <w:rPr>
          <w:rFonts w:ascii="宋体" w:hAnsi="宋体" w:eastAsia="宋体" w:cstheme="minorBidi"/>
          <w:kern w:val="2"/>
          <w:sz w:val="21"/>
          <w:szCs w:val="24"/>
          <w:highlight w:val="none"/>
          <w:lang w:val="en-US" w:eastAsia="zh-CN" w:bidi="ar-SA"/>
        </w:rPr>
        <w:id w:val="147457632"/>
        <w15:color w:val="DBDBDB"/>
        <w:docPartObj>
          <w:docPartGallery w:val="Table of Contents"/>
          <w:docPartUnique/>
        </w:docPartObj>
      </w:sdtPr>
      <w:sdtEndPr>
        <w:rPr>
          <w:rFonts w:hint="eastAsia" w:ascii="仿宋" w:hAnsi="仿宋" w:eastAsia="仿宋" w:cs="仿宋"/>
          <w:b/>
          <w:kern w:val="2"/>
          <w:sz w:val="21"/>
          <w:szCs w:val="32"/>
          <w:highlight w:val="none"/>
          <w:lang w:val="en-US" w:eastAsia="zh-CN" w:bidi="ar-SA"/>
        </w:rPr>
      </w:sdtEndPr>
      <w:sdtContent>
        <w:p w14:paraId="4E3C41EF">
          <w:pPr>
            <w:spacing w:before="0" w:beforeLines="0" w:after="0" w:afterLines="0" w:line="240" w:lineRule="auto"/>
            <w:ind w:left="0" w:leftChars="0" w:right="0" w:rightChars="0" w:firstLine="0" w:firstLineChars="0"/>
            <w:jc w:val="center"/>
            <w:rPr>
              <w:highlight w:val="none"/>
            </w:rPr>
          </w:pPr>
        </w:p>
        <w:p w14:paraId="68461BE7">
          <w:pPr>
            <w:pStyle w:val="31"/>
            <w:tabs>
              <w:tab w:val="right" w:leader="dot" w:pos="8306"/>
            </w:tabs>
            <w:rPr>
              <w:rFonts w:hint="eastAsia" w:ascii="仿宋" w:hAnsi="仿宋" w:eastAsia="仿宋" w:cs="仿宋"/>
              <w:b/>
              <w:highlight w:val="none"/>
            </w:rPr>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TOC \o "1-2" \h \u </w:instrText>
          </w:r>
          <w:r>
            <w:rPr>
              <w:rFonts w:hint="eastAsia" w:ascii="仿宋" w:hAnsi="仿宋" w:eastAsia="仿宋" w:cs="仿宋"/>
              <w:sz w:val="32"/>
              <w:szCs w:val="32"/>
              <w:highlight w:val="none"/>
            </w:rPr>
            <w:fldChar w:fldCharType="separate"/>
          </w:r>
        </w:p>
        <w:p w14:paraId="296D64BB">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HYPERLINK \l _Toc11868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 xml:space="preserve">第一章 </w:t>
          </w:r>
          <w:r>
            <w:rPr>
              <w:rFonts w:hint="eastAsia" w:ascii="仿宋" w:hAnsi="仿宋" w:eastAsia="仿宋" w:cs="仿宋"/>
              <w:b/>
              <w:sz w:val="24"/>
              <w:szCs w:val="24"/>
              <w:highlight w:val="none"/>
              <w:lang w:val="en-US" w:eastAsia="zh-CN"/>
            </w:rPr>
            <w:t>公开招标公告</w:t>
          </w:r>
          <w:r>
            <w:rPr>
              <w:rFonts w:hint="eastAsia" w:ascii="仿宋" w:hAnsi="仿宋" w:eastAsia="仿宋" w:cs="仿宋"/>
              <w:b/>
              <w:sz w:val="24"/>
              <w:szCs w:val="24"/>
              <w:highlight w:val="none"/>
            </w:rPr>
            <w:tab/>
          </w: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PAGEREF _Toc11868 \h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1</w:t>
          </w:r>
          <w:r>
            <w:rPr>
              <w:rFonts w:hint="eastAsia" w:ascii="仿宋" w:hAnsi="仿宋" w:eastAsia="仿宋" w:cs="仿宋"/>
              <w:b/>
              <w:sz w:val="24"/>
              <w:szCs w:val="24"/>
              <w:highlight w:val="none"/>
            </w:rPr>
            <w:fldChar w:fldCharType="end"/>
          </w:r>
          <w:r>
            <w:rPr>
              <w:rFonts w:hint="eastAsia" w:ascii="仿宋" w:hAnsi="仿宋" w:eastAsia="仿宋" w:cs="仿宋"/>
              <w:b/>
              <w:sz w:val="24"/>
              <w:szCs w:val="24"/>
              <w:highlight w:val="none"/>
            </w:rPr>
            <w:fldChar w:fldCharType="end"/>
          </w:r>
        </w:p>
        <w:p w14:paraId="7A10429C">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_Toc21739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一、项目基本情况</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_Toc21739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7E708F50">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_Toc15364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二、申请人的资格要求：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_Toc15364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182F4252">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_Toc29084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三、获取招标文件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_Toc29084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66DF8652">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_Toc24224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四、提交投标文件截止时间、开标时间和地点</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_Toc24224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5F5F250D">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_Toc17115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五、公告期限</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_Toc17115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5289880A">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_Toc22084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六、其他补充事宜</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_Toc22084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770B24A7">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_Toc21999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七、对本次采购提出询问，请按以下方式联系</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_Toc21999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385A1F5C">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HYPERLINK \l _Toc31403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第二章 投标须知前附表</w:t>
          </w:r>
          <w:r>
            <w:rPr>
              <w:rFonts w:hint="eastAsia" w:ascii="仿宋" w:hAnsi="仿宋" w:eastAsia="仿宋" w:cs="仿宋"/>
              <w:b/>
              <w:sz w:val="24"/>
              <w:szCs w:val="24"/>
              <w:highlight w:val="none"/>
            </w:rPr>
            <w:tab/>
          </w: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PAGEREF _Toc31403 \h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4</w:t>
          </w:r>
          <w:r>
            <w:rPr>
              <w:rFonts w:hint="eastAsia" w:ascii="仿宋" w:hAnsi="仿宋" w:eastAsia="仿宋" w:cs="仿宋"/>
              <w:b/>
              <w:sz w:val="24"/>
              <w:szCs w:val="24"/>
              <w:highlight w:val="none"/>
            </w:rPr>
            <w:fldChar w:fldCharType="end"/>
          </w:r>
          <w:r>
            <w:rPr>
              <w:rFonts w:hint="eastAsia" w:ascii="仿宋" w:hAnsi="仿宋" w:eastAsia="仿宋" w:cs="仿宋"/>
              <w:b/>
              <w:sz w:val="24"/>
              <w:szCs w:val="24"/>
              <w:highlight w:val="none"/>
            </w:rPr>
            <w:fldChar w:fldCharType="end"/>
          </w:r>
        </w:p>
        <w:p w14:paraId="707F2480">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HYPERLINK \l _Toc27881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第三章 投标人须知</w:t>
          </w:r>
          <w:r>
            <w:rPr>
              <w:rFonts w:hint="eastAsia" w:ascii="仿宋" w:hAnsi="仿宋" w:eastAsia="仿宋" w:cs="仿宋"/>
              <w:b/>
              <w:sz w:val="24"/>
              <w:szCs w:val="24"/>
              <w:highlight w:val="none"/>
            </w:rPr>
            <w:tab/>
          </w: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PAGEREF _Toc27881 \h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9</w:t>
          </w:r>
          <w:r>
            <w:rPr>
              <w:rFonts w:hint="eastAsia" w:ascii="仿宋" w:hAnsi="仿宋" w:eastAsia="仿宋" w:cs="仿宋"/>
              <w:b/>
              <w:sz w:val="24"/>
              <w:szCs w:val="24"/>
              <w:highlight w:val="none"/>
            </w:rPr>
            <w:fldChar w:fldCharType="end"/>
          </w:r>
          <w:r>
            <w:rPr>
              <w:rFonts w:hint="eastAsia" w:ascii="仿宋" w:hAnsi="仿宋" w:eastAsia="仿宋" w:cs="仿宋"/>
              <w:b/>
              <w:sz w:val="24"/>
              <w:szCs w:val="24"/>
              <w:highlight w:val="none"/>
            </w:rPr>
            <w:fldChar w:fldCharType="end"/>
          </w:r>
        </w:p>
        <w:p w14:paraId="4C51C2E8">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_Toc20936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一、 说 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_Toc20936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9</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56D7D745">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_Toc6547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二、 招标文件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_Toc6547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14</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209E03AA">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_Toc9070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三、 投标文件的编制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_Toc9070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16</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34D8BB00">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_Toc21719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四、 投标文件的提交</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_Toc21719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19</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1525BB94">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_Toc15263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五、 开标、资格审查及评标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_Toc15263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20</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49434F7D">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_Toc7787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六、 确定中标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_Toc7787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6441468E">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HYPERLINK \l _Toc22543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lang w:val="en-US" w:eastAsia="zh-CN"/>
            </w:rPr>
            <w:t>第四章 政府采购合同</w:t>
          </w:r>
          <w:r>
            <w:rPr>
              <w:rFonts w:hint="eastAsia" w:ascii="仿宋" w:hAnsi="仿宋" w:eastAsia="仿宋" w:cs="仿宋"/>
              <w:b/>
              <w:sz w:val="24"/>
              <w:szCs w:val="24"/>
              <w:highlight w:val="none"/>
            </w:rPr>
            <w:tab/>
          </w: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PAGEREF _Toc22543 \h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26</w:t>
          </w:r>
          <w:r>
            <w:rPr>
              <w:rFonts w:hint="eastAsia" w:ascii="仿宋" w:hAnsi="仿宋" w:eastAsia="仿宋" w:cs="仿宋"/>
              <w:b/>
              <w:sz w:val="24"/>
              <w:szCs w:val="24"/>
              <w:highlight w:val="none"/>
            </w:rPr>
            <w:fldChar w:fldCharType="end"/>
          </w:r>
          <w:r>
            <w:rPr>
              <w:rFonts w:hint="eastAsia" w:ascii="仿宋" w:hAnsi="仿宋" w:eastAsia="仿宋" w:cs="仿宋"/>
              <w:b/>
              <w:sz w:val="24"/>
              <w:szCs w:val="24"/>
              <w:highlight w:val="none"/>
            </w:rPr>
            <w:fldChar w:fldCharType="end"/>
          </w:r>
        </w:p>
        <w:p w14:paraId="6E622C5E">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HYPERLINK \l _Toc20159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lang w:val="en-US" w:eastAsia="zh-CN"/>
            </w:rPr>
            <w:t>第五章 采购需求</w:t>
          </w:r>
          <w:r>
            <w:rPr>
              <w:rFonts w:hint="eastAsia" w:ascii="仿宋" w:hAnsi="仿宋" w:eastAsia="仿宋" w:cs="仿宋"/>
              <w:b/>
              <w:sz w:val="24"/>
              <w:szCs w:val="24"/>
              <w:highlight w:val="none"/>
            </w:rPr>
            <w:tab/>
          </w: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PAGEREF _Toc20159 \h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27</w:t>
          </w:r>
          <w:r>
            <w:rPr>
              <w:rFonts w:hint="eastAsia" w:ascii="仿宋" w:hAnsi="仿宋" w:eastAsia="仿宋" w:cs="仿宋"/>
              <w:b/>
              <w:sz w:val="24"/>
              <w:szCs w:val="24"/>
              <w:highlight w:val="none"/>
            </w:rPr>
            <w:fldChar w:fldCharType="end"/>
          </w:r>
          <w:r>
            <w:rPr>
              <w:rFonts w:hint="eastAsia" w:ascii="仿宋" w:hAnsi="仿宋" w:eastAsia="仿宋" w:cs="仿宋"/>
              <w:b/>
              <w:sz w:val="24"/>
              <w:szCs w:val="24"/>
              <w:highlight w:val="none"/>
            </w:rPr>
            <w:fldChar w:fldCharType="end"/>
          </w:r>
        </w:p>
        <w:p w14:paraId="1A7BDDF1">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HYPERLINK \l _Toc21893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lang w:val="en-US" w:eastAsia="zh-CN"/>
            </w:rPr>
            <w:t>第六章 评标程序、评标方法和评标标准</w:t>
          </w:r>
          <w:r>
            <w:rPr>
              <w:rFonts w:hint="eastAsia" w:ascii="仿宋" w:hAnsi="仿宋" w:eastAsia="仿宋" w:cs="仿宋"/>
              <w:b/>
              <w:sz w:val="24"/>
              <w:szCs w:val="24"/>
              <w:highlight w:val="none"/>
            </w:rPr>
            <w:tab/>
          </w: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PAGEREF _Toc21893 \h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28</w:t>
          </w:r>
          <w:r>
            <w:rPr>
              <w:rFonts w:hint="eastAsia" w:ascii="仿宋" w:hAnsi="仿宋" w:eastAsia="仿宋" w:cs="仿宋"/>
              <w:b/>
              <w:sz w:val="24"/>
              <w:szCs w:val="24"/>
              <w:highlight w:val="none"/>
            </w:rPr>
            <w:fldChar w:fldCharType="end"/>
          </w:r>
          <w:r>
            <w:rPr>
              <w:rFonts w:hint="eastAsia" w:ascii="仿宋" w:hAnsi="仿宋" w:eastAsia="仿宋" w:cs="仿宋"/>
              <w:b/>
              <w:sz w:val="24"/>
              <w:szCs w:val="24"/>
              <w:highlight w:val="none"/>
            </w:rPr>
            <w:fldChar w:fldCharType="end"/>
          </w:r>
        </w:p>
        <w:p w14:paraId="0B25F42C">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_Toc27440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1. 评标方法</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_Toc27440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5B3AC38A">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_Toc12617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2. 评标原则</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_Toc12617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1595B273">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_Toc6046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3. 资格审查</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_Toc6046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223F2FB8">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_Toc4337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4. 符合性审查</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_Toc4337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30</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7C7C70F1">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_Toc23924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5. 投标文件有关事项的澄清或者说明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_Toc23924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4BB10BAE">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_Toc22049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6. 详细评审</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_Toc22049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36516412">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HYPERLINK \l _Toc31337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lang w:val="en-US" w:eastAsia="zh-CN"/>
            </w:rPr>
            <w:t>第七章 投标文件格式</w:t>
          </w:r>
          <w:r>
            <w:rPr>
              <w:rFonts w:hint="eastAsia" w:ascii="仿宋" w:hAnsi="仿宋" w:eastAsia="仿宋" w:cs="仿宋"/>
              <w:b/>
              <w:sz w:val="24"/>
              <w:szCs w:val="24"/>
              <w:highlight w:val="none"/>
            </w:rPr>
            <w:tab/>
          </w: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PAGEREF _Toc31337 \h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36</w:t>
          </w:r>
          <w:r>
            <w:rPr>
              <w:rFonts w:hint="eastAsia" w:ascii="仿宋" w:hAnsi="仿宋" w:eastAsia="仿宋" w:cs="仿宋"/>
              <w:b/>
              <w:sz w:val="24"/>
              <w:szCs w:val="24"/>
              <w:highlight w:val="none"/>
            </w:rPr>
            <w:fldChar w:fldCharType="end"/>
          </w:r>
          <w:r>
            <w:rPr>
              <w:rFonts w:hint="eastAsia" w:ascii="仿宋" w:hAnsi="仿宋" w:eastAsia="仿宋" w:cs="仿宋"/>
              <w:b/>
              <w:sz w:val="24"/>
              <w:szCs w:val="24"/>
              <w:highlight w:val="none"/>
            </w:rPr>
            <w:fldChar w:fldCharType="end"/>
          </w:r>
        </w:p>
        <w:p w14:paraId="4AF5715A">
          <w:pPr>
            <w:pStyle w:val="32"/>
            <w:tabs>
              <w:tab w:val="right" w:leader="dot" w:pos="8306"/>
            </w:tabs>
            <w:rPr>
              <w:rFonts w:hint="eastAsia" w:ascii="仿宋" w:hAnsi="仿宋" w:eastAsia="仿宋" w:cs="仿宋"/>
              <w:highlight w:val="none"/>
            </w:rPr>
          </w:pPr>
        </w:p>
        <w:p w14:paraId="48F6615A">
          <w:pPr>
            <w:jc w:val="both"/>
            <w:rPr>
              <w:rFonts w:hint="eastAsia" w:ascii="仿宋" w:hAnsi="仿宋" w:eastAsia="仿宋" w:cs="仿宋"/>
              <w:sz w:val="32"/>
              <w:szCs w:val="32"/>
              <w:highlight w:val="none"/>
            </w:rPr>
          </w:pPr>
          <w:r>
            <w:rPr>
              <w:rFonts w:hint="eastAsia" w:ascii="仿宋" w:hAnsi="仿宋" w:eastAsia="仿宋" w:cs="仿宋"/>
              <w:b/>
              <w:szCs w:val="32"/>
              <w:highlight w:val="none"/>
            </w:rPr>
            <w:fldChar w:fldCharType="end"/>
          </w:r>
        </w:p>
      </w:sdtContent>
    </w:sdt>
    <w:p w14:paraId="26415576">
      <w:pPr>
        <w:pStyle w:val="3"/>
        <w:numPr>
          <w:ilvl w:val="0"/>
          <w:numId w:val="1"/>
        </w:numPr>
        <w:bidi w:val="0"/>
        <w:jc w:val="center"/>
        <w:rPr>
          <w:rFonts w:hint="eastAsia" w:ascii="仿宋" w:hAnsi="仿宋" w:eastAsia="仿宋" w:cs="仿宋"/>
          <w:sz w:val="32"/>
          <w:szCs w:val="32"/>
          <w:highlight w:val="none"/>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0" w:name="_Toc11868"/>
    </w:p>
    <w:p w14:paraId="19E13AA8">
      <w:pPr>
        <w:pStyle w:val="3"/>
        <w:numPr>
          <w:ilvl w:val="0"/>
          <w:numId w:val="1"/>
        </w:numP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招标</w:t>
      </w:r>
      <w:r>
        <w:rPr>
          <w:rFonts w:hint="eastAsia" w:ascii="仿宋" w:hAnsi="仿宋" w:eastAsia="仿宋" w:cs="仿宋"/>
          <w:sz w:val="32"/>
          <w:szCs w:val="32"/>
          <w:highlight w:val="none"/>
        </w:rPr>
        <w:t>公告</w:t>
      </w:r>
      <w:bookmarkEnd w:id="0"/>
    </w:p>
    <w:p w14:paraId="45CDD9A2">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rPr>
      </w:pPr>
      <w:bookmarkStart w:id="1" w:name="_Toc21739"/>
      <w:r>
        <w:rPr>
          <w:rFonts w:hint="eastAsia" w:ascii="仿宋" w:hAnsi="仿宋" w:eastAsia="仿宋" w:cs="仿宋"/>
          <w:b/>
          <w:bCs/>
          <w:sz w:val="24"/>
          <w:szCs w:val="24"/>
          <w:highlight w:val="none"/>
        </w:rPr>
        <w:t>一、项目基本情况</w:t>
      </w:r>
      <w:bookmarkEnd w:id="1"/>
    </w:p>
    <w:p w14:paraId="46E4E9F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项目编号：</w:t>
      </w:r>
      <w:r>
        <w:rPr>
          <w:rFonts w:hint="eastAsia" w:ascii="仿宋" w:hAnsi="仿宋" w:eastAsia="仿宋" w:cs="仿宋"/>
          <w:sz w:val="24"/>
          <w:szCs w:val="24"/>
          <w:highlight w:val="none"/>
          <w:lang w:eastAsia="zh-CN"/>
        </w:rPr>
        <w:t>SJX-2025-385</w:t>
      </w:r>
    </w:p>
    <w:p w14:paraId="7CC46DD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red"/>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val="en-US" w:eastAsia="zh-CN"/>
        </w:rPr>
        <w:t>2025年市疾病预防控制中心（市卫生监督所）购买进口试剂耗材第一批</w:t>
      </w:r>
    </w:p>
    <w:p w14:paraId="166B3AF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采购方式：公开招标</w:t>
      </w:r>
    </w:p>
    <w:p w14:paraId="4DBFEE9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预算金额（元）：</w:t>
      </w:r>
      <w:r>
        <w:rPr>
          <w:rFonts w:hint="eastAsia" w:ascii="仿宋" w:hAnsi="仿宋" w:eastAsia="仿宋" w:cs="仿宋"/>
          <w:sz w:val="24"/>
          <w:szCs w:val="24"/>
          <w:highlight w:val="none"/>
          <w:lang w:val="en-US" w:eastAsia="zh-CN"/>
        </w:rPr>
        <w:t>211995.4</w:t>
      </w:r>
    </w:p>
    <w:p w14:paraId="7D596D3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最高限价（元）：</w:t>
      </w:r>
      <w:r>
        <w:rPr>
          <w:rFonts w:hint="eastAsia" w:ascii="仿宋" w:hAnsi="仿宋" w:eastAsia="仿宋" w:cs="仿宋"/>
          <w:sz w:val="24"/>
          <w:szCs w:val="24"/>
          <w:highlight w:val="none"/>
          <w:lang w:val="en-US" w:eastAsia="zh-CN"/>
        </w:rPr>
        <w:t>211995.4</w:t>
      </w:r>
    </w:p>
    <w:p w14:paraId="32AFC05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采购需求：</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硝酸（易制爆试剂）</w:t>
      </w:r>
      <w:r>
        <w:rPr>
          <w:rFonts w:hint="eastAsia" w:ascii="仿宋" w:hAnsi="仿宋" w:eastAsia="仿宋" w:cs="仿宋"/>
          <w:sz w:val="24"/>
          <w:szCs w:val="24"/>
          <w:highlight w:val="none"/>
          <w:lang w:eastAsia="zh-CN"/>
        </w:rPr>
        <w:t>、离子色谱进样定量环、淋洗液过滤头白色、玻璃衬管</w:t>
      </w:r>
      <w:r>
        <w:rPr>
          <w:rFonts w:hint="eastAsia" w:ascii="仿宋" w:hAnsi="仿宋" w:eastAsia="仿宋" w:cs="仿宋"/>
          <w:sz w:val="24"/>
          <w:szCs w:val="24"/>
          <w:highlight w:val="none"/>
          <w:lang w:val="en-US" w:eastAsia="zh-CN"/>
        </w:rPr>
        <w:t>等，详见本项目采购需求。</w:t>
      </w:r>
    </w:p>
    <w:p w14:paraId="2B1CD85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w:t>
      </w:r>
    </w:p>
    <w:p w14:paraId="65861A7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red"/>
        </w:rPr>
      </w:pPr>
      <w:r>
        <w:rPr>
          <w:rFonts w:hint="eastAsia" w:ascii="仿宋" w:hAnsi="仿宋" w:eastAsia="仿宋" w:cs="仿宋"/>
          <w:sz w:val="24"/>
          <w:szCs w:val="24"/>
          <w:highlight w:val="none"/>
        </w:rPr>
        <w:t>标项名称:</w:t>
      </w:r>
      <w:r>
        <w:rPr>
          <w:rFonts w:hint="eastAsia" w:ascii="仿宋" w:hAnsi="仿宋" w:eastAsia="仿宋" w:cs="仿宋"/>
          <w:sz w:val="24"/>
          <w:szCs w:val="24"/>
          <w:highlight w:val="none"/>
          <w:lang w:val="en-US" w:eastAsia="zh-CN"/>
        </w:rPr>
        <w:t>2025年市疾病预防控制中心（市卫生监督所）购买进口试剂耗材第一批</w:t>
      </w:r>
    </w:p>
    <w:p w14:paraId="2920C21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数量:</w:t>
      </w:r>
      <w:r>
        <w:rPr>
          <w:rFonts w:hint="eastAsia" w:ascii="仿宋" w:hAnsi="仿宋" w:eastAsia="仿宋" w:cs="仿宋"/>
          <w:sz w:val="24"/>
          <w:szCs w:val="24"/>
          <w:highlight w:val="none"/>
          <w:lang w:val="en-US" w:eastAsia="zh-CN"/>
        </w:rPr>
        <w:t>1批</w:t>
      </w:r>
    </w:p>
    <w:p w14:paraId="4B696EA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预算金额（元）:</w:t>
      </w:r>
      <w:r>
        <w:rPr>
          <w:rFonts w:hint="eastAsia" w:ascii="仿宋" w:hAnsi="仿宋" w:eastAsia="仿宋" w:cs="仿宋"/>
          <w:sz w:val="24"/>
          <w:szCs w:val="24"/>
          <w:highlight w:val="none"/>
          <w:lang w:val="en-US" w:eastAsia="zh-CN"/>
        </w:rPr>
        <w:t>211995.4</w:t>
      </w:r>
    </w:p>
    <w:p w14:paraId="0810E21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简要规格描述或项目基本概况介绍、用途：</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硝酸（易制爆试剂）</w:t>
      </w:r>
      <w:r>
        <w:rPr>
          <w:rFonts w:hint="eastAsia" w:ascii="仿宋" w:hAnsi="仿宋" w:eastAsia="仿宋" w:cs="仿宋"/>
          <w:sz w:val="24"/>
          <w:szCs w:val="24"/>
          <w:highlight w:val="none"/>
          <w:lang w:eastAsia="zh-CN"/>
        </w:rPr>
        <w:t>、离子色谱进样定量环、淋洗液过滤头白色、玻璃衬管</w:t>
      </w:r>
      <w:r>
        <w:rPr>
          <w:rFonts w:hint="eastAsia" w:ascii="仿宋" w:hAnsi="仿宋" w:eastAsia="仿宋" w:cs="仿宋"/>
          <w:sz w:val="24"/>
          <w:szCs w:val="24"/>
          <w:highlight w:val="none"/>
          <w:lang w:val="en-US" w:eastAsia="zh-CN"/>
        </w:rPr>
        <w:t>等，详见本项目采购需求。</w:t>
      </w:r>
    </w:p>
    <w:p w14:paraId="285B1E6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备注：</w:t>
      </w:r>
      <w:r>
        <w:rPr>
          <w:rFonts w:hint="eastAsia" w:ascii="仿宋" w:hAnsi="仿宋" w:eastAsia="仿宋" w:cs="仿宋"/>
          <w:sz w:val="24"/>
          <w:szCs w:val="24"/>
          <w:highlight w:val="none"/>
          <w:lang w:val="en-US" w:eastAsia="zh-CN"/>
        </w:rPr>
        <w:t>/</w:t>
      </w:r>
    </w:p>
    <w:p w14:paraId="0529067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合同履约期限：</w:t>
      </w:r>
      <w:r>
        <w:rPr>
          <w:rFonts w:hint="eastAsia" w:ascii="仿宋" w:hAnsi="仿宋" w:eastAsia="仿宋" w:cs="仿宋"/>
          <w:sz w:val="24"/>
          <w:szCs w:val="24"/>
          <w:highlight w:val="none"/>
          <w:lang w:val="en-US" w:eastAsia="zh-CN"/>
        </w:rPr>
        <w:t>合同签订后30日内交货。</w:t>
      </w:r>
    </w:p>
    <w:p w14:paraId="5131703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本项目（否）接受联合体投标。</w:t>
      </w:r>
    </w:p>
    <w:p w14:paraId="552CD4EC">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rPr>
      </w:pPr>
      <w:bookmarkStart w:id="2" w:name="_Toc15364"/>
      <w:r>
        <w:rPr>
          <w:rFonts w:hint="eastAsia" w:ascii="仿宋" w:hAnsi="仿宋" w:eastAsia="仿宋" w:cs="仿宋"/>
          <w:b/>
          <w:bCs/>
          <w:sz w:val="24"/>
          <w:szCs w:val="24"/>
          <w:highlight w:val="none"/>
        </w:rPr>
        <w:t>二、申请人的资格要求：</w:t>
      </w:r>
      <w:bookmarkEnd w:id="2"/>
    </w:p>
    <w:p w14:paraId="0957FD4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1.满足《中华人民共和国政府采购法》第二十二条规定；</w:t>
      </w:r>
    </w:p>
    <w:p w14:paraId="59B952F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highlight w:val="none"/>
        </w:rPr>
        <w:t>2.落实政府采购政策需满足的资格要求：</w:t>
      </w:r>
      <w:r>
        <w:rPr>
          <w:rFonts w:hint="eastAsia" w:ascii="仿宋" w:hAnsi="仿宋" w:eastAsia="仿宋" w:cs="仿宋"/>
          <w:sz w:val="24"/>
          <w:szCs w:val="24"/>
          <w:highlight w:val="none"/>
          <w:lang w:val="en-US" w:eastAsia="zh-CN"/>
        </w:rPr>
        <w:t>本项目不专门面向中小企业采购。</w:t>
      </w:r>
    </w:p>
    <w:p w14:paraId="03C3819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3.本项目的特定资格要求：</w:t>
      </w:r>
      <w:r>
        <w:rPr>
          <w:rFonts w:hint="eastAsia" w:ascii="仿宋" w:hAnsi="仿宋" w:eastAsia="仿宋" w:cs="仿宋"/>
          <w:sz w:val="24"/>
          <w:szCs w:val="24"/>
          <w:highlight w:val="none"/>
          <w:lang w:val="en-US" w:eastAsia="zh-CN"/>
        </w:rPr>
        <w:t>如</w:t>
      </w:r>
      <w:r>
        <w:rPr>
          <w:rFonts w:hint="eastAsia" w:ascii="仿宋" w:hAnsi="仿宋" w:eastAsia="仿宋" w:cs="仿宋"/>
          <w:sz w:val="24"/>
          <w:szCs w:val="24"/>
          <w:highlight w:val="none"/>
        </w:rPr>
        <w:t>投标产品属于医疗器械的，投标人如为代理商，投标人应具有合法的医疗器械经营资格；投标人如为制造商，使用自身生产的产品投标时，投标人应具有合法的医疗器械生产资格；</w:t>
      </w:r>
    </w:p>
    <w:p w14:paraId="04A83AC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投标人如为代理商，</w:t>
      </w:r>
      <w:r>
        <w:rPr>
          <w:rFonts w:hint="eastAsia" w:ascii="仿宋" w:hAnsi="仿宋" w:eastAsia="仿宋" w:cs="仿宋"/>
          <w:sz w:val="24"/>
          <w:szCs w:val="24"/>
          <w:highlight w:val="none"/>
          <w:lang w:val="en-US" w:eastAsia="zh-CN"/>
        </w:rPr>
        <w:t>如</w:t>
      </w:r>
      <w:r>
        <w:rPr>
          <w:rFonts w:hint="eastAsia" w:ascii="仿宋" w:hAnsi="仿宋" w:eastAsia="仿宋" w:cs="仿宋"/>
          <w:sz w:val="24"/>
          <w:szCs w:val="24"/>
          <w:highlight w:val="none"/>
        </w:rPr>
        <w:t>所投产品属第二类医疗器械的应具有《医疗器械经营备案凭证》，属第三类医疗器械的应具有《医疗器械经营许可证》，须提供相关证明文件复印件加盖公章；</w:t>
      </w:r>
    </w:p>
    <w:p w14:paraId="7CD3B54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投标人如为制造商，使用自身生产的产品投标时，</w:t>
      </w:r>
      <w:r>
        <w:rPr>
          <w:rFonts w:hint="eastAsia" w:ascii="仿宋" w:hAnsi="仿宋" w:eastAsia="仿宋" w:cs="仿宋"/>
          <w:sz w:val="24"/>
          <w:szCs w:val="24"/>
          <w:highlight w:val="none"/>
          <w:lang w:val="en-US" w:eastAsia="zh-CN"/>
        </w:rPr>
        <w:t>如</w:t>
      </w:r>
      <w:r>
        <w:rPr>
          <w:rFonts w:hint="eastAsia" w:ascii="仿宋" w:hAnsi="仿宋" w:eastAsia="仿宋" w:cs="仿宋"/>
          <w:sz w:val="24"/>
          <w:szCs w:val="24"/>
          <w:highlight w:val="none"/>
        </w:rPr>
        <w:t>所投产品属第一类医疗器械的应具有《医疗器械生产备案凭证》，属第二类、第三类医疗器械的应具有《医疗器械生产许可证》，须提供相关证明文件复印件加盖公章。</w:t>
      </w:r>
    </w:p>
    <w:p w14:paraId="1DC439B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本项目接受进口产品投标，对于接受进口产品投标的品目且</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以进口产品参加投标时，如投标货物非</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制造，</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投标时须提供制造商（或其境内总代理的）就本项目所提供的投标品牌产品授权书，授权书中须要注明项目名称、招标编号、货物名称、品牌及型号，授权书格式</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自行拟定。如是境内总代理提供的产品授权书，</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还须提供制造商给予境内总代理的正式授权文件的复印件，以证明所供货物来源的可靠性。</w:t>
      </w:r>
    </w:p>
    <w:p w14:paraId="1516D7E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p>
    <w:p w14:paraId="2376FF00">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rPr>
      </w:pPr>
      <w:bookmarkStart w:id="3" w:name="_Toc29084"/>
      <w:r>
        <w:rPr>
          <w:rFonts w:hint="eastAsia" w:ascii="仿宋" w:hAnsi="仿宋" w:eastAsia="仿宋" w:cs="仿宋"/>
          <w:b/>
          <w:bCs/>
          <w:sz w:val="24"/>
          <w:szCs w:val="24"/>
          <w:highlight w:val="none"/>
        </w:rPr>
        <w:t>三、获取招标文件</w:t>
      </w:r>
      <w:bookmarkEnd w:id="3"/>
    </w:p>
    <w:p w14:paraId="14456B5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时间：202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4 </w:t>
      </w:r>
      <w:r>
        <w:rPr>
          <w:rFonts w:hint="eastAsia" w:ascii="仿宋" w:hAnsi="仿宋" w:eastAsia="仿宋" w:cs="仿宋"/>
          <w:sz w:val="24"/>
          <w:szCs w:val="24"/>
          <w:highlight w:val="none"/>
        </w:rPr>
        <w:t>日至202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 xml:space="preserve"> 7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 14 </w:t>
      </w:r>
      <w:r>
        <w:rPr>
          <w:rFonts w:hint="eastAsia" w:ascii="仿宋" w:hAnsi="仿宋" w:eastAsia="仿宋" w:cs="仿宋"/>
          <w:sz w:val="24"/>
          <w:szCs w:val="24"/>
          <w:highlight w:val="none"/>
        </w:rPr>
        <w:t>日，每天上午0</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:00至12:00，下午12:00至</w:t>
      </w:r>
      <w:r>
        <w:rPr>
          <w:rFonts w:hint="eastAsia" w:ascii="仿宋" w:hAnsi="仿宋" w:eastAsia="仿宋" w:cs="仿宋"/>
          <w:sz w:val="24"/>
          <w:szCs w:val="24"/>
          <w:highlight w:val="none"/>
          <w:lang w:val="en-US" w:eastAsia="zh-CN"/>
        </w:rPr>
        <w:t>23</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59</w:t>
      </w:r>
      <w:r>
        <w:rPr>
          <w:rFonts w:hint="eastAsia" w:ascii="仿宋" w:hAnsi="仿宋" w:eastAsia="仿宋" w:cs="仿宋"/>
          <w:sz w:val="24"/>
          <w:szCs w:val="24"/>
          <w:highlight w:val="none"/>
        </w:rPr>
        <w:t>（北京时间，法定节假日除外）</w:t>
      </w:r>
    </w:p>
    <w:p w14:paraId="00CA5F9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地点：政采云平台（https://www.zcygov.cn/）</w:t>
      </w:r>
    </w:p>
    <w:p w14:paraId="158DC55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方式：供应商登录政采云平台https://www.zcygov.cn/在线申请获取采购文件（进入“项目采购”应用，在获取采购文件菜单中选择项目，申请获取采购文件）本次招标不提供纸质版招标文件。</w:t>
      </w:r>
    </w:p>
    <w:p w14:paraId="70FFAE7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售价（元）：0元</w:t>
      </w:r>
    </w:p>
    <w:p w14:paraId="28A9F531">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rPr>
      </w:pPr>
      <w:bookmarkStart w:id="4" w:name="_Toc24224"/>
      <w:r>
        <w:rPr>
          <w:rFonts w:hint="eastAsia" w:ascii="仿宋" w:hAnsi="仿宋" w:eastAsia="仿宋" w:cs="仿宋"/>
          <w:b/>
          <w:bCs/>
          <w:sz w:val="24"/>
          <w:szCs w:val="24"/>
          <w:highlight w:val="none"/>
        </w:rPr>
        <w:t>四、提交投标文件截止时间、开标时间和地点</w:t>
      </w:r>
      <w:bookmarkEnd w:id="4"/>
    </w:p>
    <w:p w14:paraId="391C5F2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提交投标文件截止时间：20</w:t>
      </w:r>
      <w:r>
        <w:rPr>
          <w:rFonts w:hint="eastAsia" w:ascii="仿宋" w:hAnsi="仿宋" w:eastAsia="仿宋" w:cs="仿宋"/>
          <w:sz w:val="24"/>
          <w:szCs w:val="24"/>
          <w:highlight w:val="none"/>
          <w:lang w:val="en-US" w:eastAsia="zh-CN"/>
        </w:rPr>
        <w:t>25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 xml:space="preserve"> 7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  25</w:t>
      </w:r>
      <w:bookmarkStart w:id="91" w:name="_GoBack"/>
      <w:bookmarkEnd w:id="91"/>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日 11:00（北京时间）</w:t>
      </w:r>
    </w:p>
    <w:p w14:paraId="692271B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投标地点：政采云平台（https://www.zcygov.cn/），本项目采用不见面开标，加密的电子投标文件在投标截止时间前在政采云平台上传。</w:t>
      </w:r>
    </w:p>
    <w:p w14:paraId="084423B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开标时间：202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 xml:space="preserve"> 7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 25 </w:t>
      </w:r>
      <w:r>
        <w:rPr>
          <w:rFonts w:hint="eastAsia" w:ascii="仿宋" w:hAnsi="仿宋" w:eastAsia="仿宋" w:cs="仿宋"/>
          <w:sz w:val="24"/>
          <w:szCs w:val="24"/>
          <w:highlight w:val="none"/>
        </w:rPr>
        <w:t>日 11:00（北京时间）</w:t>
      </w:r>
    </w:p>
    <w:p w14:paraId="1804D99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开标地点：政采云平台（https://www.zcygov.cn/）不见面开标系统</w:t>
      </w:r>
    </w:p>
    <w:p w14:paraId="6144E225">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rPr>
      </w:pPr>
      <w:bookmarkStart w:id="5" w:name="_Toc17115"/>
      <w:r>
        <w:rPr>
          <w:rFonts w:hint="eastAsia" w:ascii="仿宋" w:hAnsi="仿宋" w:eastAsia="仿宋" w:cs="仿宋"/>
          <w:b/>
          <w:bCs/>
          <w:sz w:val="24"/>
          <w:szCs w:val="24"/>
          <w:highlight w:val="none"/>
        </w:rPr>
        <w:t>五、公告期限</w:t>
      </w:r>
      <w:bookmarkEnd w:id="5"/>
    </w:p>
    <w:p w14:paraId="7F0E6CE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自本公告发布之日起5个工作日。</w:t>
      </w:r>
    </w:p>
    <w:p w14:paraId="4F63961B">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rPr>
      </w:pPr>
      <w:bookmarkStart w:id="6" w:name="_Toc22084"/>
      <w:r>
        <w:rPr>
          <w:rFonts w:hint="eastAsia" w:ascii="仿宋" w:hAnsi="仿宋" w:eastAsia="仿宋" w:cs="仿宋"/>
          <w:b/>
          <w:bCs/>
          <w:sz w:val="24"/>
          <w:szCs w:val="24"/>
          <w:highlight w:val="none"/>
        </w:rPr>
        <w:t>六、其他补充事宜</w:t>
      </w:r>
      <w:bookmarkEnd w:id="6"/>
    </w:p>
    <w:p w14:paraId="5EF18C1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1、关于本项目所有公告、公示在新疆政府采购网发布。</w:t>
      </w:r>
    </w:p>
    <w:p w14:paraId="628D69D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2、请投标单位随时关注本项目的澄清、答疑、变更事项。</w:t>
      </w:r>
    </w:p>
    <w:p w14:paraId="48D1B8F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3、本项目实行电子招投标，供应商须登录政采云平台申请获取招标文件，并通过政采云电子投标客户端制作响应文件，同时自行承担与投标有关的一切费用。</w:t>
      </w:r>
    </w:p>
    <w:p w14:paraId="5023088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4、各供应商应在开标前确保成为</w:t>
      </w:r>
      <w:r>
        <w:rPr>
          <w:rFonts w:hint="eastAsia" w:ascii="仿宋" w:hAnsi="仿宋" w:eastAsia="仿宋" w:cs="仿宋"/>
          <w:b/>
          <w:bCs/>
          <w:sz w:val="24"/>
          <w:szCs w:val="24"/>
          <w:highlight w:val="none"/>
        </w:rPr>
        <w:t>新疆政府采购网</w:t>
      </w:r>
      <w:r>
        <w:rPr>
          <w:rFonts w:hint="eastAsia" w:ascii="仿宋" w:hAnsi="仿宋" w:eastAsia="仿宋" w:cs="仿宋"/>
          <w:sz w:val="24"/>
          <w:szCs w:val="24"/>
          <w:highlight w:val="none"/>
        </w:rPr>
        <w:t>正式注册入库供应商，并完成CA数字证书申领。因未注册入库、未办理CA数字证书等原因造成无法投标或投标失败等后果由供应商自行承担。</w:t>
      </w:r>
    </w:p>
    <w:p w14:paraId="51A18C7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5、有意向参与电子开评标的供应商，可访问新疆数字证书认证中心官方网站（https://www.xjca.com.cn/）或下载“新疆政务通”APP自行进行申领。如需咨询，请联系新疆CA服务热线0991-2819290。</w:t>
      </w:r>
    </w:p>
    <w:p w14:paraId="5EDC72B7">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rPr>
      </w:pPr>
      <w:bookmarkStart w:id="7" w:name="_Toc21999"/>
      <w:r>
        <w:rPr>
          <w:rFonts w:hint="eastAsia" w:ascii="仿宋" w:hAnsi="仿宋" w:eastAsia="仿宋" w:cs="仿宋"/>
          <w:b/>
          <w:bCs/>
          <w:sz w:val="24"/>
          <w:szCs w:val="24"/>
          <w:highlight w:val="none"/>
        </w:rPr>
        <w:t>七、对本次采购提出询问，请按以下方式联系</w:t>
      </w:r>
      <w:bookmarkEnd w:id="7"/>
    </w:p>
    <w:p w14:paraId="6A01643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1.采购人信息</w:t>
      </w:r>
    </w:p>
    <w:p w14:paraId="3613224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名 称：</w:t>
      </w:r>
      <w:r>
        <w:rPr>
          <w:rFonts w:hint="eastAsia" w:ascii="仿宋" w:hAnsi="仿宋" w:eastAsia="仿宋" w:cs="仿宋"/>
          <w:sz w:val="24"/>
          <w:szCs w:val="24"/>
          <w:highlight w:val="none"/>
          <w:lang w:val="en-US" w:eastAsia="zh-CN"/>
        </w:rPr>
        <w:t>乌鲁木齐市疾病预防控制中心（乌鲁木齐市卫生监督所）</w:t>
      </w:r>
    </w:p>
    <w:p w14:paraId="3DCE2B9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lang w:eastAsia="zh-CN"/>
        </w:rPr>
        <w:t>乌鲁木齐市头屯河区厦门路18号</w:t>
      </w:r>
    </w:p>
    <w:p w14:paraId="42B0D27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联系方式：</w:t>
      </w:r>
      <w:r>
        <w:rPr>
          <w:rFonts w:hint="eastAsia" w:ascii="仿宋" w:hAnsi="仿宋" w:eastAsia="仿宋" w:cs="仿宋"/>
          <w:sz w:val="24"/>
          <w:szCs w:val="24"/>
          <w:highlight w:val="none"/>
          <w:lang w:val="en-US" w:eastAsia="zh-CN"/>
        </w:rPr>
        <w:t xml:space="preserve">孙老师 </w:t>
      </w:r>
      <w:r>
        <w:rPr>
          <w:rFonts w:hint="eastAsia" w:ascii="仿宋" w:hAnsi="仿宋" w:eastAsia="仿宋" w:cs="仿宋"/>
          <w:sz w:val="24"/>
          <w:szCs w:val="24"/>
          <w:highlight w:val="none"/>
          <w:lang w:eastAsia="zh-CN"/>
        </w:rPr>
        <w:t>0991-3767584</w:t>
      </w:r>
    </w:p>
    <w:p w14:paraId="3C51095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p>
    <w:p w14:paraId="0F33F4A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2.采购代理机构信息</w:t>
      </w:r>
    </w:p>
    <w:p w14:paraId="0CEBFD0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名 称：新疆世纪星工程咨询有限公司</w:t>
      </w:r>
    </w:p>
    <w:p w14:paraId="43F2F10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 址：乌鲁木齐经济技术开发区二期黄山街一品九点阳光德港大厦B座20楼</w:t>
      </w:r>
    </w:p>
    <w:p w14:paraId="3A37392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联系方式：0991-3678303</w:t>
      </w:r>
    </w:p>
    <w:p w14:paraId="7755AC4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3.项目联系方式</w:t>
      </w:r>
    </w:p>
    <w:p w14:paraId="57EBE42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项目联系人：</w:t>
      </w:r>
      <w:r>
        <w:rPr>
          <w:rFonts w:hint="eastAsia" w:ascii="仿宋" w:hAnsi="仿宋" w:eastAsia="仿宋" w:cs="仿宋"/>
          <w:sz w:val="24"/>
          <w:szCs w:val="24"/>
          <w:highlight w:val="none"/>
          <w:lang w:val="en-US" w:eastAsia="zh-CN"/>
        </w:rPr>
        <w:t>郑倩如、李航、</w:t>
      </w:r>
      <w:r>
        <w:rPr>
          <w:rFonts w:hint="eastAsia" w:ascii="仿宋" w:hAnsi="仿宋" w:eastAsia="仿宋" w:cs="仿宋"/>
          <w:sz w:val="24"/>
          <w:highlight w:val="none"/>
        </w:rPr>
        <w:t>杜萍、范艳娥</w:t>
      </w:r>
    </w:p>
    <w:p w14:paraId="28EAE81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 话：0991-3678303</w:t>
      </w:r>
    </w:p>
    <w:p w14:paraId="4DEF8C68">
      <w:pPr>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34175473">
      <w:pPr>
        <w:pStyle w:val="3"/>
        <w:numPr>
          <w:ilvl w:val="0"/>
          <w:numId w:val="1"/>
        </w:numPr>
        <w:bidi w:val="0"/>
        <w:jc w:val="center"/>
        <w:rPr>
          <w:rFonts w:hint="eastAsia" w:ascii="仿宋" w:hAnsi="仿宋" w:eastAsia="仿宋" w:cs="仿宋"/>
          <w:sz w:val="32"/>
          <w:szCs w:val="32"/>
          <w:highlight w:val="none"/>
        </w:rPr>
      </w:pPr>
      <w:bookmarkStart w:id="8" w:name="_Toc31403"/>
      <w:r>
        <w:rPr>
          <w:rFonts w:hint="eastAsia" w:ascii="仿宋" w:hAnsi="仿宋" w:eastAsia="仿宋" w:cs="仿宋"/>
          <w:sz w:val="32"/>
          <w:szCs w:val="32"/>
          <w:highlight w:val="none"/>
        </w:rPr>
        <w:t>投标须知前附表</w:t>
      </w:r>
      <w:bookmarkEnd w:id="8"/>
    </w:p>
    <w:p w14:paraId="6BC3EB6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本表是本招标项目的具体资料，是对投标人须知的具体补充和修改，如有矛盾，均以本资料表为准。标记“☑”的选项意为适用于本项目，标记“□”的选项意为不适用于本项目。</w:t>
      </w:r>
    </w:p>
    <w:p w14:paraId="27366EE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sz w:val="24"/>
          <w:szCs w:val="24"/>
          <w:highlight w:val="none"/>
        </w:rPr>
      </w:pPr>
    </w:p>
    <w:tbl>
      <w:tblPr>
        <w:tblStyle w:val="24"/>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870"/>
        <w:gridCol w:w="6652"/>
      </w:tblGrid>
      <w:tr w14:paraId="1CD72C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2F9EE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highlight w:val="none"/>
                <w:vertAlign w:val="baseline"/>
              </w:rPr>
            </w:pPr>
            <w:r>
              <w:rPr>
                <w:rFonts w:hint="eastAsia" w:ascii="仿宋" w:hAnsi="仿宋" w:eastAsia="仿宋" w:cs="仿宋"/>
                <w:b/>
                <w:bCs/>
                <w:sz w:val="24"/>
                <w:szCs w:val="24"/>
                <w:highlight w:val="none"/>
                <w:vertAlign w:val="baseline"/>
                <w:lang w:val="en-US" w:eastAsia="zh-CN"/>
              </w:rPr>
              <w:t>条款号</w:t>
            </w:r>
          </w:p>
        </w:tc>
        <w:tc>
          <w:tcPr>
            <w:tcW w:w="6652" w:type="dxa"/>
            <w:tcBorders>
              <w:tl2br w:val="nil"/>
              <w:tr2bl w:val="nil"/>
            </w:tcBorders>
          </w:tcPr>
          <w:p w14:paraId="3AAB55B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highlight w:val="none"/>
                <w:vertAlign w:val="baseline"/>
              </w:rPr>
            </w:pPr>
            <w:r>
              <w:rPr>
                <w:rFonts w:hint="eastAsia" w:ascii="仿宋" w:hAnsi="仿宋" w:eastAsia="仿宋" w:cs="仿宋"/>
                <w:b/>
                <w:bCs/>
                <w:sz w:val="24"/>
                <w:szCs w:val="24"/>
                <w:highlight w:val="none"/>
                <w:vertAlign w:val="baseline"/>
                <w:lang w:val="en-US" w:eastAsia="zh-CN"/>
              </w:rPr>
              <w:t>内容</w:t>
            </w:r>
          </w:p>
        </w:tc>
      </w:tr>
      <w:tr w14:paraId="720E87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21" w:hRule="atLeast"/>
        </w:trPr>
        <w:tc>
          <w:tcPr>
            <w:tcW w:w="1870" w:type="dxa"/>
            <w:tcBorders>
              <w:tl2br w:val="nil"/>
              <w:tr2bl w:val="nil"/>
            </w:tcBorders>
            <w:vAlign w:val="center"/>
          </w:tcPr>
          <w:p w14:paraId="5D9CFE4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1.1</w:t>
            </w:r>
          </w:p>
        </w:tc>
        <w:tc>
          <w:tcPr>
            <w:tcW w:w="6652" w:type="dxa"/>
            <w:tcBorders>
              <w:tl2br w:val="nil"/>
              <w:tr2bl w:val="nil"/>
            </w:tcBorders>
            <w:vAlign w:val="center"/>
          </w:tcPr>
          <w:p w14:paraId="4331930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名 称：乌鲁木齐市疾病预防控制中心（乌鲁木齐市卫生监督所）</w:t>
            </w:r>
          </w:p>
          <w:p w14:paraId="132752C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地 址：乌鲁木齐市头屯河区厦门路18号</w:t>
            </w:r>
          </w:p>
          <w:p w14:paraId="4E91BC6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lang w:val="en-US" w:eastAsia="zh-CN"/>
              </w:rPr>
              <w:t>联系方式：孙老师 0991-3767584</w:t>
            </w:r>
          </w:p>
        </w:tc>
      </w:tr>
      <w:tr w14:paraId="1B93BF1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2FF4F6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1.2</w:t>
            </w:r>
          </w:p>
        </w:tc>
        <w:tc>
          <w:tcPr>
            <w:tcW w:w="6652" w:type="dxa"/>
            <w:tcBorders>
              <w:tl2br w:val="nil"/>
              <w:tr2bl w:val="nil"/>
            </w:tcBorders>
            <w:vAlign w:val="center"/>
          </w:tcPr>
          <w:p w14:paraId="76D5044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 xml:space="preserve">采购代理机构：新疆世纪星工程咨询有限公司 </w:t>
            </w:r>
          </w:p>
          <w:p w14:paraId="2E7A1E8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 xml:space="preserve">地址：乌鲁木齐经济技术开发区二期黄山街一品九点阳光德港大厦B座20楼 </w:t>
            </w:r>
          </w:p>
          <w:p w14:paraId="5A91215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业务联系人：</w:t>
            </w:r>
            <w:r>
              <w:rPr>
                <w:rFonts w:hint="eastAsia" w:ascii="仿宋" w:hAnsi="仿宋" w:eastAsia="仿宋" w:cs="仿宋"/>
                <w:sz w:val="24"/>
                <w:szCs w:val="24"/>
                <w:highlight w:val="none"/>
                <w:vertAlign w:val="baseline"/>
                <w:lang w:val="en-US" w:eastAsia="zh-CN"/>
              </w:rPr>
              <w:t>郑倩如</w:t>
            </w:r>
            <w:r>
              <w:rPr>
                <w:rFonts w:hint="eastAsia" w:ascii="仿宋" w:hAnsi="仿宋" w:eastAsia="仿宋" w:cs="仿宋"/>
                <w:sz w:val="24"/>
                <w:szCs w:val="24"/>
                <w:highlight w:val="none"/>
                <w:vertAlign w:val="baseline"/>
              </w:rPr>
              <w:t xml:space="preserve">、李航 </w:t>
            </w:r>
            <w:r>
              <w:rPr>
                <w:rFonts w:hint="eastAsia" w:ascii="仿宋" w:hAnsi="仿宋" w:eastAsia="仿宋" w:cs="仿宋"/>
                <w:sz w:val="24"/>
                <w:szCs w:val="24"/>
                <w:highlight w:val="none"/>
                <w:vertAlign w:val="baseline"/>
                <w:lang w:val="en-US" w:eastAsia="zh-CN"/>
              </w:rPr>
              <w:t xml:space="preserve">  </w:t>
            </w:r>
            <w:r>
              <w:rPr>
                <w:rFonts w:hint="eastAsia" w:ascii="仿宋" w:hAnsi="仿宋" w:eastAsia="仿宋" w:cs="仿宋"/>
                <w:sz w:val="24"/>
                <w:szCs w:val="24"/>
                <w:highlight w:val="none"/>
                <w:vertAlign w:val="baseline"/>
              </w:rPr>
              <w:t xml:space="preserve">电话：0991-3678303 </w:t>
            </w:r>
          </w:p>
          <w:p w14:paraId="35E9C12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rPr>
              <w:t>电子邮箱：</w:t>
            </w:r>
            <w:r>
              <w:rPr>
                <w:rFonts w:hint="eastAsia" w:ascii="仿宋" w:hAnsi="仿宋" w:eastAsia="仿宋" w:cs="仿宋"/>
                <w:sz w:val="24"/>
                <w:szCs w:val="24"/>
                <w:highlight w:val="none"/>
                <w:vertAlign w:val="baseline"/>
                <w:lang w:val="en-US" w:eastAsia="zh-CN"/>
              </w:rPr>
              <w:t>522439995@qq.com</w:t>
            </w:r>
          </w:p>
        </w:tc>
      </w:tr>
      <w:tr w14:paraId="2E0C837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C3A8AC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1.3.3</w:t>
            </w:r>
          </w:p>
        </w:tc>
        <w:tc>
          <w:tcPr>
            <w:tcW w:w="6652" w:type="dxa"/>
            <w:tcBorders>
              <w:tl2br w:val="nil"/>
              <w:tr2bl w:val="nil"/>
            </w:tcBorders>
            <w:vAlign w:val="center"/>
          </w:tcPr>
          <w:p w14:paraId="306EBCC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合格投标人的其他资格要求：</w:t>
            </w:r>
          </w:p>
          <w:p w14:paraId="5628394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如投标产品属于医疗器械的，投标人如为代理商，投标人应具有合法的医疗器械经营资格；投标人如为制造商，使用自身生产的产品投标时，投标人应具有合法的医疗器械生产资格；</w:t>
            </w:r>
          </w:p>
          <w:p w14:paraId="01DB135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投标人如为代理商，如所投产品属第二类医疗器械的应具有《医疗器械经营备案凭证》，属第三类医疗器械的应具有《医疗器械经营许可证》，须提供相关证明文件复印件加盖公章；</w:t>
            </w:r>
          </w:p>
          <w:p w14:paraId="22198DB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投标人如为制造商，使用自身生产的产品投标时，如所投产品属第一类医疗器械的应具有《医疗器械生产备案凭证》，属第二类、第三类医疗器械的应具有《医疗器械生产许可证》，须提供相关证明文件复印件加盖公章。</w:t>
            </w:r>
          </w:p>
          <w:p w14:paraId="69CD72B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 xml:space="preserve"> 本项目接受进口产品投标，对于接受进口产品投标的品目且供应商以进口产品参加投标时，如投标货物非供应商制造，供应商投标时须提供制造商（或其境内总代理的）就本项目所提供的投标品牌产品授权书，授权书中须要注明项目名称、招标编号、货物名称、品牌及型号，授权书格式供应商自行拟定。如是境内总代理提供的产品授权书，供应商还须提供制造商给予境内总代理的正式授权文件的复印件，以证明所供货物来源的可靠性。</w:t>
            </w:r>
          </w:p>
        </w:tc>
      </w:tr>
      <w:tr w14:paraId="6A17D8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591C43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1.4</w:t>
            </w:r>
          </w:p>
        </w:tc>
        <w:tc>
          <w:tcPr>
            <w:tcW w:w="6652" w:type="dxa"/>
            <w:tcBorders>
              <w:tl2br w:val="nil"/>
              <w:tr2bl w:val="nil"/>
            </w:tcBorders>
            <w:vAlign w:val="center"/>
          </w:tcPr>
          <w:p w14:paraId="18C763F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lang w:val="en-US" w:eastAsia="zh-CN"/>
              </w:rPr>
              <w:t>是否允许采购进口产品：</w:t>
            </w:r>
            <w:r>
              <w:rPr>
                <w:rFonts w:hint="eastAsia" w:ascii="仿宋" w:hAnsi="仿宋" w:eastAsia="仿宋" w:cs="仿宋"/>
                <w:b/>
                <w:bCs/>
                <w:sz w:val="24"/>
                <w:szCs w:val="24"/>
                <w:highlight w:val="none"/>
                <w:vertAlign w:val="baseline"/>
                <w:lang w:val="en-US" w:eastAsia="zh-CN"/>
              </w:rPr>
              <w:t>是</w:t>
            </w:r>
          </w:p>
        </w:tc>
      </w:tr>
      <w:tr w14:paraId="46AF2CA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CFC51F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1.5.1</w:t>
            </w:r>
          </w:p>
        </w:tc>
        <w:tc>
          <w:tcPr>
            <w:tcW w:w="6652" w:type="dxa"/>
            <w:tcBorders>
              <w:tl2br w:val="nil"/>
              <w:tr2bl w:val="nil"/>
            </w:tcBorders>
            <w:vAlign w:val="center"/>
          </w:tcPr>
          <w:p w14:paraId="47BD732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highlight w:val="none"/>
              </w:rPr>
            </w:pPr>
            <w:r>
              <w:rPr>
                <w:rFonts w:hint="eastAsia" w:ascii="仿宋" w:hAnsi="仿宋" w:eastAsia="仿宋" w:cs="仿宋"/>
                <w:sz w:val="24"/>
                <w:szCs w:val="24"/>
                <w:highlight w:val="none"/>
                <w:vertAlign w:val="baseline"/>
              </w:rPr>
              <w:t>本项目采购标的对应的中小企业划分标准所属行业：</w:t>
            </w:r>
            <w:r>
              <w:rPr>
                <w:rFonts w:hint="eastAsia" w:ascii="仿宋" w:hAnsi="仿宋" w:eastAsia="仿宋" w:cs="仿宋"/>
                <w:b/>
                <w:bCs/>
                <w:sz w:val="24"/>
                <w:szCs w:val="24"/>
                <w:highlight w:val="none"/>
                <w:vertAlign w:val="baseline"/>
                <w:lang w:val="en-US" w:eastAsia="zh-CN"/>
              </w:rPr>
              <w:t>工业</w:t>
            </w:r>
          </w:p>
        </w:tc>
      </w:tr>
      <w:tr w14:paraId="257D402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F1B5C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1.5.2</w:t>
            </w:r>
          </w:p>
        </w:tc>
        <w:tc>
          <w:tcPr>
            <w:tcW w:w="6652" w:type="dxa"/>
            <w:tcBorders>
              <w:tl2br w:val="nil"/>
              <w:tr2bl w:val="nil"/>
            </w:tcBorders>
            <w:vAlign w:val="center"/>
          </w:tcPr>
          <w:p w14:paraId="3CD04B8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☑本项目不专门面向中小企业预留采购份额。</w:t>
            </w:r>
          </w:p>
          <w:p w14:paraId="768DFC8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□本项目专门面向</w:t>
            </w:r>
            <w:r>
              <w:rPr>
                <w:rFonts w:hint="eastAsia" w:ascii="仿宋" w:hAnsi="仿宋" w:eastAsia="仿宋" w:cs="仿宋"/>
                <w:b/>
                <w:bCs/>
                <w:sz w:val="24"/>
                <w:szCs w:val="24"/>
                <w:highlight w:val="none"/>
                <w:vertAlign w:val="baseline"/>
                <w:lang w:val="en-US" w:eastAsia="zh-CN"/>
              </w:rPr>
              <w:t>□中小□小微企业</w:t>
            </w:r>
            <w:r>
              <w:rPr>
                <w:rFonts w:hint="eastAsia" w:ascii="仿宋" w:hAnsi="仿宋" w:eastAsia="仿宋" w:cs="仿宋"/>
                <w:sz w:val="24"/>
                <w:szCs w:val="24"/>
                <w:highlight w:val="none"/>
                <w:vertAlign w:val="baseline"/>
                <w:lang w:val="en-US" w:eastAsia="zh-CN"/>
              </w:rPr>
              <w:t xml:space="preserve"> 采购。即: 提供的货物全部由符合政策要求的□</w:t>
            </w:r>
            <w:r>
              <w:rPr>
                <w:rFonts w:hint="eastAsia" w:ascii="仿宋" w:hAnsi="仿宋" w:eastAsia="仿宋" w:cs="仿宋"/>
                <w:b/>
                <w:bCs/>
                <w:sz w:val="24"/>
                <w:szCs w:val="24"/>
                <w:highlight w:val="none"/>
                <w:vertAlign w:val="baseline"/>
                <w:lang w:val="en-US" w:eastAsia="zh-CN"/>
              </w:rPr>
              <w:t>中小□小微</w:t>
            </w:r>
            <w:r>
              <w:rPr>
                <w:rFonts w:hint="eastAsia" w:ascii="仿宋" w:hAnsi="仿宋" w:eastAsia="仿宋" w:cs="仿宋"/>
                <w:sz w:val="24"/>
                <w:szCs w:val="24"/>
                <w:highlight w:val="none"/>
                <w:vertAlign w:val="baseline"/>
                <w:lang w:val="en-US" w:eastAsia="zh-CN"/>
              </w:rPr>
              <w:t>企业制造、服务全部由符合政策要求的</w:t>
            </w:r>
            <w:r>
              <w:rPr>
                <w:rFonts w:hint="eastAsia" w:ascii="仿宋" w:hAnsi="仿宋" w:eastAsia="仿宋" w:cs="仿宋"/>
                <w:b/>
                <w:bCs/>
                <w:sz w:val="24"/>
                <w:szCs w:val="24"/>
                <w:highlight w:val="none"/>
                <w:vertAlign w:val="baseline"/>
                <w:lang w:val="en-US" w:eastAsia="zh-CN"/>
              </w:rPr>
              <w:t>□中小□小微</w:t>
            </w:r>
            <w:r>
              <w:rPr>
                <w:rFonts w:hint="eastAsia" w:ascii="仿宋" w:hAnsi="仿宋" w:eastAsia="仿宋" w:cs="仿宋"/>
                <w:sz w:val="24"/>
                <w:szCs w:val="24"/>
                <w:highlight w:val="none"/>
                <w:vertAlign w:val="baseline"/>
                <w:lang w:val="en-US" w:eastAsia="zh-CN"/>
              </w:rPr>
              <w:t>企业承接。</w:t>
            </w:r>
          </w:p>
          <w:p w14:paraId="0D65744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□本项目预留部分采购项目预算专门面向中小企业采购。对于预留份额，提供的货物由符合政策要求的中小企业制造、服务(或工程) 由符合政策要求的中小企业承接。预留份额通过以下措施进行:</w:t>
            </w:r>
            <w:r>
              <w:rPr>
                <w:rFonts w:hint="eastAsia" w:ascii="仿宋" w:hAnsi="仿宋" w:eastAsia="仿宋" w:cs="仿宋"/>
                <w:b/>
                <w:bCs/>
                <w:sz w:val="24"/>
                <w:szCs w:val="24"/>
                <w:highlight w:val="none"/>
                <w:u w:val="single"/>
                <w:vertAlign w:val="baseline"/>
                <w:lang w:val="en-US" w:eastAsia="zh-CN"/>
              </w:rPr>
              <w:t>要求获得采购合同的投标人将本采购包金额的至少   %分包给一家或者多家中小企业，这其中预留给小微企业的比例至少   %，须提供《拟分包情况说明》，监狱和戒毒企业、残疾人福利性单位视同小型、微型企业（格式详见招标文件）。</w:t>
            </w:r>
          </w:p>
        </w:tc>
      </w:tr>
      <w:tr w14:paraId="49B7332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9097A1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1.11</w:t>
            </w:r>
          </w:p>
        </w:tc>
        <w:tc>
          <w:tcPr>
            <w:tcW w:w="6652" w:type="dxa"/>
            <w:tcBorders>
              <w:tl2br w:val="nil"/>
              <w:tr2bl w:val="nil"/>
            </w:tcBorders>
            <w:vAlign w:val="center"/>
          </w:tcPr>
          <w:p w14:paraId="1A77D81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是否允许联合体投标：否</w:t>
            </w:r>
          </w:p>
          <w:p w14:paraId="12FDD70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联合体的其他资格要求：无</w:t>
            </w:r>
          </w:p>
        </w:tc>
      </w:tr>
      <w:tr w14:paraId="06028A6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D4F927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2.2</w:t>
            </w:r>
          </w:p>
        </w:tc>
        <w:tc>
          <w:tcPr>
            <w:tcW w:w="6652" w:type="dxa"/>
            <w:tcBorders>
              <w:tl2br w:val="nil"/>
              <w:tr2bl w:val="nil"/>
            </w:tcBorders>
            <w:vAlign w:val="center"/>
          </w:tcPr>
          <w:p w14:paraId="30B8FCC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项目预算金额：211995.4元</w:t>
            </w:r>
          </w:p>
          <w:p w14:paraId="449356D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color w:val="auto"/>
                <w:sz w:val="24"/>
                <w:szCs w:val="24"/>
                <w:highlight w:val="none"/>
                <w:vertAlign w:val="baseline"/>
                <w:lang w:val="en-US"/>
              </w:rPr>
            </w:pPr>
            <w:r>
              <w:rPr>
                <w:rFonts w:hint="eastAsia" w:ascii="仿宋" w:hAnsi="仿宋" w:eastAsia="仿宋" w:cs="仿宋"/>
                <w:color w:val="auto"/>
                <w:sz w:val="24"/>
                <w:szCs w:val="24"/>
                <w:highlight w:val="none"/>
                <w:vertAlign w:val="baseline"/>
                <w:lang w:val="en-US" w:eastAsia="zh-CN"/>
              </w:rPr>
              <w:t>最高限价：211995.4元</w:t>
            </w:r>
          </w:p>
        </w:tc>
      </w:tr>
      <w:tr w14:paraId="1267B57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44FBB8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5.4</w:t>
            </w:r>
          </w:p>
        </w:tc>
        <w:tc>
          <w:tcPr>
            <w:tcW w:w="6652" w:type="dxa"/>
            <w:tcBorders>
              <w:tl2br w:val="nil"/>
              <w:tr2bl w:val="nil"/>
            </w:tcBorders>
            <w:vAlign w:val="center"/>
          </w:tcPr>
          <w:p w14:paraId="7858A20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 xml:space="preserve">是否组织现场考察或者召开答疑会：否 </w:t>
            </w:r>
          </w:p>
          <w:p w14:paraId="2D882D4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组织现场考察或者召开答疑会相关要求：/</w:t>
            </w:r>
          </w:p>
        </w:tc>
      </w:tr>
      <w:tr w14:paraId="5466A3F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9FE90D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 xml:space="preserve">5.7 </w:t>
            </w:r>
          </w:p>
        </w:tc>
        <w:tc>
          <w:tcPr>
            <w:tcW w:w="6652" w:type="dxa"/>
            <w:tcBorders>
              <w:tl2br w:val="nil"/>
              <w:tr2bl w:val="nil"/>
            </w:tcBorders>
            <w:vAlign w:val="center"/>
          </w:tcPr>
          <w:p w14:paraId="55CE5D2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 xml:space="preserve">是否需要提供样品：否 </w:t>
            </w:r>
          </w:p>
          <w:p w14:paraId="7046099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rPr>
              <w:t>提供样品要求包括：</w:t>
            </w:r>
            <w:r>
              <w:rPr>
                <w:rFonts w:hint="eastAsia" w:ascii="仿宋" w:hAnsi="仿宋" w:eastAsia="仿宋" w:cs="仿宋"/>
                <w:sz w:val="24"/>
                <w:szCs w:val="24"/>
                <w:highlight w:val="none"/>
                <w:vertAlign w:val="baseline"/>
                <w:lang w:val="en-US" w:eastAsia="zh-CN"/>
              </w:rPr>
              <w:t>/</w:t>
            </w:r>
          </w:p>
        </w:tc>
      </w:tr>
      <w:tr w14:paraId="22CA514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59EA23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 xml:space="preserve">7.1 </w:t>
            </w:r>
          </w:p>
        </w:tc>
        <w:tc>
          <w:tcPr>
            <w:tcW w:w="6652" w:type="dxa"/>
            <w:tcBorders>
              <w:tl2br w:val="nil"/>
              <w:tr2bl w:val="nil"/>
            </w:tcBorders>
            <w:vAlign w:val="center"/>
          </w:tcPr>
          <w:p w14:paraId="7D9FF94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如投标人对多个包进行投标，可以中标</w:t>
            </w:r>
            <w:r>
              <w:rPr>
                <w:rFonts w:hint="eastAsia" w:ascii="仿宋" w:hAnsi="仿宋" w:eastAsia="仿宋" w:cs="仿宋"/>
                <w:b/>
                <w:bCs/>
                <w:sz w:val="24"/>
                <w:szCs w:val="24"/>
                <w:highlight w:val="none"/>
                <w:u w:val="single"/>
                <w:vertAlign w:val="baseline"/>
              </w:rPr>
              <w:t>多</w:t>
            </w:r>
            <w:r>
              <w:rPr>
                <w:rFonts w:hint="eastAsia" w:ascii="仿宋" w:hAnsi="仿宋" w:eastAsia="仿宋" w:cs="仿宋"/>
                <w:sz w:val="24"/>
                <w:szCs w:val="24"/>
                <w:highlight w:val="none"/>
                <w:vertAlign w:val="baseline"/>
              </w:rPr>
              <w:t>包（本项目不适用）</w:t>
            </w:r>
          </w:p>
        </w:tc>
      </w:tr>
      <w:tr w14:paraId="7F5C26E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146AB5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10</w:t>
            </w:r>
          </w:p>
        </w:tc>
        <w:tc>
          <w:tcPr>
            <w:tcW w:w="6652" w:type="dxa"/>
            <w:tcBorders>
              <w:tl2br w:val="nil"/>
              <w:tr2bl w:val="nil"/>
            </w:tcBorders>
            <w:vAlign w:val="center"/>
          </w:tcPr>
          <w:p w14:paraId="08ED3A0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保证金形式：支票、汇票、本票、网上银行支付或者金融机构、担保机构出具的保函等</w:t>
            </w:r>
            <w:r>
              <w:rPr>
                <w:rFonts w:hint="eastAsia" w:ascii="仿宋" w:hAnsi="仿宋" w:eastAsia="仿宋" w:cs="仿宋"/>
                <w:sz w:val="24"/>
                <w:szCs w:val="24"/>
                <w:highlight w:val="none"/>
                <w:vertAlign w:val="baseline"/>
                <w:lang w:val="en-US" w:eastAsia="zh-CN"/>
              </w:rPr>
              <w:t>政府采购法律法规中要求的</w:t>
            </w:r>
            <w:r>
              <w:rPr>
                <w:rFonts w:hint="eastAsia" w:ascii="仿宋" w:hAnsi="仿宋" w:eastAsia="仿宋" w:cs="仿宋"/>
                <w:sz w:val="24"/>
                <w:szCs w:val="24"/>
                <w:highlight w:val="none"/>
                <w:vertAlign w:val="baseline"/>
              </w:rPr>
              <w:t>非现金形式</w:t>
            </w:r>
          </w:p>
          <w:p w14:paraId="19F38B6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rPr>
              <w:t>保证金数额：</w:t>
            </w:r>
            <w:r>
              <w:rPr>
                <w:rFonts w:hint="eastAsia" w:ascii="仿宋" w:hAnsi="仿宋" w:eastAsia="仿宋" w:cs="仿宋"/>
                <w:sz w:val="24"/>
                <w:szCs w:val="24"/>
                <w:highlight w:val="none"/>
                <w:vertAlign w:val="baseline"/>
                <w:lang w:val="en-US" w:eastAsia="zh-CN"/>
              </w:rPr>
              <w:t>2100</w:t>
            </w:r>
            <w:r>
              <w:rPr>
                <w:rFonts w:hint="eastAsia" w:ascii="仿宋" w:hAnsi="仿宋" w:eastAsia="仿宋" w:cs="仿宋"/>
                <w:sz w:val="24"/>
                <w:szCs w:val="24"/>
                <w:highlight w:val="none"/>
                <w:vertAlign w:val="baseline"/>
              </w:rPr>
              <w:t>元</w:t>
            </w:r>
            <w:r>
              <w:rPr>
                <w:rFonts w:hint="eastAsia" w:ascii="仿宋" w:hAnsi="仿宋" w:eastAsia="仿宋" w:cs="仿宋"/>
                <w:sz w:val="24"/>
                <w:szCs w:val="24"/>
                <w:highlight w:val="none"/>
                <w:vertAlign w:val="baseline"/>
                <w:lang w:eastAsia="zh-CN"/>
              </w:rPr>
              <w:t>（</w:t>
            </w:r>
            <w:r>
              <w:rPr>
                <w:rFonts w:hint="eastAsia" w:ascii="仿宋" w:hAnsi="仿宋" w:eastAsia="仿宋" w:cs="仿宋"/>
                <w:sz w:val="24"/>
                <w:szCs w:val="24"/>
                <w:highlight w:val="none"/>
                <w:vertAlign w:val="baseline"/>
                <w:lang w:val="en-US" w:eastAsia="zh-CN"/>
              </w:rPr>
              <w:t>人民币贰仟壹佰元整</w:t>
            </w:r>
            <w:r>
              <w:rPr>
                <w:rFonts w:hint="eastAsia" w:ascii="仿宋" w:hAnsi="仿宋" w:eastAsia="仿宋" w:cs="仿宋"/>
                <w:sz w:val="24"/>
                <w:szCs w:val="24"/>
                <w:highlight w:val="none"/>
                <w:vertAlign w:val="baseline"/>
                <w:lang w:eastAsia="zh-CN"/>
              </w:rPr>
              <w:t>）</w:t>
            </w:r>
          </w:p>
          <w:p w14:paraId="2AADB32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如采用网上银行方式，采购代理机构账号信息如下：</w:t>
            </w:r>
          </w:p>
          <w:p w14:paraId="4EF7F27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保证金收款人：新疆世纪星工程咨询有限公司</w:t>
            </w:r>
          </w:p>
          <w:p w14:paraId="0404442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保证金收款账号：512090100100073085</w:t>
            </w:r>
          </w:p>
          <w:p w14:paraId="0B50526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保证收款银行及行号: 兴业银行乌鲁木齐分行营业部309881002010</w:t>
            </w:r>
          </w:p>
          <w:p w14:paraId="3487DDD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投标保证金到账（保函提交）截止时间同投标截止时间。</w:t>
            </w:r>
          </w:p>
          <w:p w14:paraId="147EE97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以支票、汇票、本票、网上银行支付等形式提交投标保证金的，应在投标截止时间前到账；</w:t>
            </w:r>
          </w:p>
          <w:p w14:paraId="317E20C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如供应商通过"政采云平台金融服务中心"(https://jinrong.zcygov.cn/)，申请办理投标电子保函，开标时采购人或代理机构通过政采云平台保函系统进行查询，保函信息以查询结果为准，未查询到的电子保函评审时将按无效投标（响应）处理。</w:t>
            </w:r>
          </w:p>
          <w:p w14:paraId="3D13224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由于到账时间晚于投标截止时间的，或者票据错误、印鉴不清等原因导致不能到账的，其投标无效。</w:t>
            </w:r>
          </w:p>
          <w:p w14:paraId="41A51CA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b w:val="0"/>
                <w:bCs w:val="0"/>
                <w:sz w:val="24"/>
                <w:szCs w:val="24"/>
                <w:highlight w:val="none"/>
                <w:vertAlign w:val="baseline"/>
                <w:lang w:val="en-US" w:eastAsia="zh-CN"/>
              </w:rPr>
              <w:t>投标保证金（投标电子保函）有效期与投标有效期一致。</w:t>
            </w:r>
          </w:p>
        </w:tc>
      </w:tr>
      <w:tr w14:paraId="2A67171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BAC27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11.1</w:t>
            </w:r>
          </w:p>
        </w:tc>
        <w:tc>
          <w:tcPr>
            <w:tcW w:w="6652" w:type="dxa"/>
            <w:tcBorders>
              <w:tl2br w:val="nil"/>
              <w:tr2bl w:val="nil"/>
            </w:tcBorders>
            <w:vAlign w:val="center"/>
          </w:tcPr>
          <w:p w14:paraId="76E4E3B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highlight w:val="none"/>
                <w:vertAlign w:val="baseline"/>
              </w:rPr>
            </w:pPr>
            <w:r>
              <w:rPr>
                <w:rFonts w:hint="eastAsia" w:ascii="仿宋" w:hAnsi="仿宋" w:eastAsia="仿宋" w:cs="仿宋"/>
                <w:b w:val="0"/>
                <w:bCs w:val="0"/>
                <w:sz w:val="24"/>
                <w:szCs w:val="24"/>
                <w:highlight w:val="none"/>
                <w:vertAlign w:val="baseline"/>
              </w:rPr>
              <w:t>投标有效期：90 日历日</w:t>
            </w:r>
          </w:p>
        </w:tc>
      </w:tr>
      <w:tr w14:paraId="080EEE3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3C10A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13.1</w:t>
            </w:r>
          </w:p>
        </w:tc>
        <w:tc>
          <w:tcPr>
            <w:tcW w:w="6652" w:type="dxa"/>
            <w:tcBorders>
              <w:tl2br w:val="nil"/>
              <w:tr2bl w:val="nil"/>
            </w:tcBorders>
            <w:vAlign w:val="center"/>
          </w:tcPr>
          <w:p w14:paraId="6E7FC39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投标截止时间：2025 年 7月 25日 11:00（北京时间）</w:t>
            </w:r>
          </w:p>
        </w:tc>
      </w:tr>
      <w:tr w14:paraId="00B7B04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C8E811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14.1</w:t>
            </w:r>
          </w:p>
        </w:tc>
        <w:tc>
          <w:tcPr>
            <w:tcW w:w="6652" w:type="dxa"/>
            <w:tcBorders>
              <w:tl2br w:val="nil"/>
              <w:tr2bl w:val="nil"/>
            </w:tcBorders>
            <w:vAlign w:val="center"/>
          </w:tcPr>
          <w:p w14:paraId="7FEB30A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开标时间：同投标截止时间 </w:t>
            </w:r>
          </w:p>
          <w:p w14:paraId="5694B1E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开标地点：政采云平台（https://www.zcygov.cn/）不见面开标系统</w:t>
            </w:r>
          </w:p>
        </w:tc>
      </w:tr>
      <w:tr w14:paraId="7908F64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7" w:hRule="atLeast"/>
        </w:trPr>
        <w:tc>
          <w:tcPr>
            <w:tcW w:w="1870" w:type="dxa"/>
            <w:tcBorders>
              <w:bottom w:val="single" w:color="auto" w:sz="4" w:space="0"/>
              <w:tl2br w:val="nil"/>
              <w:tr2bl w:val="nil"/>
            </w:tcBorders>
            <w:vAlign w:val="center"/>
          </w:tcPr>
          <w:p w14:paraId="65E20D1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18.1</w:t>
            </w:r>
          </w:p>
        </w:tc>
        <w:tc>
          <w:tcPr>
            <w:tcW w:w="6652" w:type="dxa"/>
            <w:tcBorders>
              <w:bottom w:val="single" w:color="auto" w:sz="4" w:space="0"/>
              <w:tl2br w:val="nil"/>
              <w:tr2bl w:val="nil"/>
            </w:tcBorders>
            <w:vAlign w:val="center"/>
          </w:tcPr>
          <w:p w14:paraId="4C3B4AC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采购人是否委托评标委员会直接确定中标人：否 </w:t>
            </w:r>
          </w:p>
        </w:tc>
      </w:tr>
      <w:tr w14:paraId="2B6155D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 w:hRule="atLeast"/>
        </w:trPr>
        <w:tc>
          <w:tcPr>
            <w:tcW w:w="1870" w:type="dxa"/>
            <w:tcBorders>
              <w:top w:val="single" w:color="auto" w:sz="4" w:space="0"/>
              <w:tl2br w:val="nil"/>
              <w:tr2bl w:val="nil"/>
            </w:tcBorders>
            <w:vAlign w:val="center"/>
          </w:tcPr>
          <w:p w14:paraId="47442E9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21.5</w:t>
            </w:r>
          </w:p>
        </w:tc>
        <w:tc>
          <w:tcPr>
            <w:tcW w:w="6652" w:type="dxa"/>
            <w:tcBorders>
              <w:top w:val="single" w:color="auto" w:sz="4" w:space="0"/>
              <w:tl2br w:val="nil"/>
              <w:tr2bl w:val="nil"/>
            </w:tcBorders>
            <w:vAlign w:val="center"/>
          </w:tcPr>
          <w:p w14:paraId="191FA1E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本项目是否允许分包：</w:t>
            </w:r>
          </w:p>
          <w:p w14:paraId="49FF4F4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☑不允许</w:t>
            </w:r>
          </w:p>
          <w:p w14:paraId="69391F3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□允许，具体要求：</w:t>
            </w:r>
          </w:p>
          <w:p w14:paraId="5208570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（1）可以分包履行的具体内容：</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none"/>
                <w:vertAlign w:val="baseline"/>
                <w:lang w:val="en-US" w:eastAsia="zh-CN"/>
              </w:rPr>
              <w:t>；</w:t>
            </w:r>
          </w:p>
          <w:p w14:paraId="4D3F216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（2）允许分包的金额或者比例：</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none"/>
                <w:vertAlign w:val="baseline"/>
                <w:lang w:val="en-US" w:eastAsia="zh-CN"/>
              </w:rPr>
              <w:t>；</w:t>
            </w:r>
          </w:p>
          <w:p w14:paraId="736A0FE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（3）其他要求：</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none"/>
                <w:vertAlign w:val="baseline"/>
                <w:lang w:val="en-US" w:eastAsia="zh-CN"/>
              </w:rPr>
              <w:t>。</w:t>
            </w:r>
          </w:p>
        </w:tc>
      </w:tr>
      <w:tr w14:paraId="69EEFC8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1B59E4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22.1</w:t>
            </w:r>
          </w:p>
        </w:tc>
        <w:tc>
          <w:tcPr>
            <w:tcW w:w="6652" w:type="dxa"/>
            <w:tcBorders>
              <w:tl2br w:val="nil"/>
              <w:tr2bl w:val="nil"/>
            </w:tcBorders>
            <w:vAlign w:val="center"/>
          </w:tcPr>
          <w:p w14:paraId="132B6DC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提交履约保证金的时间：/ </w:t>
            </w:r>
          </w:p>
          <w:p w14:paraId="3CC4F5E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履约保证金金额：/ </w:t>
            </w:r>
          </w:p>
          <w:p w14:paraId="32E8C4A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履约保证金形式：/</w:t>
            </w:r>
          </w:p>
        </w:tc>
      </w:tr>
      <w:tr w14:paraId="2D5A1CF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54" w:hRule="atLeast"/>
        </w:trPr>
        <w:tc>
          <w:tcPr>
            <w:tcW w:w="1870" w:type="dxa"/>
            <w:tcBorders>
              <w:bottom w:val="single" w:color="auto" w:sz="4" w:space="0"/>
              <w:tl2br w:val="nil"/>
              <w:tr2bl w:val="nil"/>
            </w:tcBorders>
            <w:vAlign w:val="center"/>
          </w:tcPr>
          <w:p w14:paraId="427C051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23.1</w:t>
            </w:r>
          </w:p>
        </w:tc>
        <w:tc>
          <w:tcPr>
            <w:tcW w:w="6652" w:type="dxa"/>
            <w:tcBorders>
              <w:bottom w:val="single" w:color="auto" w:sz="4" w:space="0"/>
              <w:tl2br w:val="nil"/>
              <w:tr2bl w:val="nil"/>
            </w:tcBorders>
            <w:vAlign w:val="center"/>
          </w:tcPr>
          <w:p w14:paraId="39DBD70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是否由中标人缴纳招标代理费：是 </w:t>
            </w:r>
          </w:p>
          <w:p w14:paraId="3E535D9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招标代理费：参照原国家计委计价格【2002】1980 号文的计算方法收取。  </w:t>
            </w:r>
          </w:p>
          <w:p w14:paraId="56A5B00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支付形式：支票、电汇等形式 </w:t>
            </w:r>
          </w:p>
          <w:p w14:paraId="4EF7171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支付时间：在中标人领取中标通知书时，由中标人向采购代理机构一次性支付全部招标代理服务费</w:t>
            </w:r>
          </w:p>
        </w:tc>
      </w:tr>
      <w:tr w14:paraId="7D6F1F2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9" w:hRule="atLeast"/>
        </w:trPr>
        <w:tc>
          <w:tcPr>
            <w:tcW w:w="1870" w:type="dxa"/>
            <w:tcBorders>
              <w:top w:val="single" w:color="auto" w:sz="4" w:space="0"/>
              <w:tl2br w:val="nil"/>
              <w:tr2bl w:val="nil"/>
            </w:tcBorders>
            <w:vAlign w:val="center"/>
          </w:tcPr>
          <w:p w14:paraId="24F8BAD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24</w:t>
            </w:r>
          </w:p>
        </w:tc>
        <w:tc>
          <w:tcPr>
            <w:tcW w:w="6652" w:type="dxa"/>
            <w:tcBorders>
              <w:top w:val="single" w:color="auto" w:sz="4" w:space="0"/>
              <w:tl2br w:val="nil"/>
              <w:tr2bl w:val="nil"/>
            </w:tcBorders>
            <w:vAlign w:val="center"/>
          </w:tcPr>
          <w:p w14:paraId="3C30712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接收询问和质疑的联系方式：</w:t>
            </w:r>
          </w:p>
          <w:p w14:paraId="73043C2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1、询问</w:t>
            </w:r>
          </w:p>
          <w:p w14:paraId="740124D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联系部门、联系电话、通讯地址：见第一章《招标公告》中的采购代理机构信息和项目联系方式。</w:t>
            </w:r>
          </w:p>
          <w:p w14:paraId="365D7AD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2、质疑</w:t>
            </w:r>
          </w:p>
          <w:p w14:paraId="2EE3504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联系部门：新疆世纪星工程咨询有限公司招标部</w:t>
            </w:r>
          </w:p>
          <w:p w14:paraId="7791A57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联系人、联系电话：郑倩如、李航    0991-3678303</w:t>
            </w:r>
          </w:p>
          <w:p w14:paraId="3B9C682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通讯地址：乌鲁木齐经济技术开发区二期黄山街一品九点阳光德港大厦B座20楼</w:t>
            </w:r>
          </w:p>
          <w:p w14:paraId="13189FE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其他要求：质疑书、授权委托书及报名成功截图PDF扫描件发送至代理机构邮箱，以上资料原件邮寄或送至代理机构。</w:t>
            </w:r>
          </w:p>
        </w:tc>
      </w:tr>
      <w:tr w14:paraId="03D33CD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8" w:hRule="atLeast"/>
        </w:trPr>
        <w:tc>
          <w:tcPr>
            <w:tcW w:w="8522" w:type="dxa"/>
            <w:gridSpan w:val="2"/>
            <w:tcBorders>
              <w:top w:val="single" w:color="auto" w:sz="4" w:space="0"/>
              <w:bottom w:val="single" w:color="auto" w:sz="4" w:space="0"/>
              <w:tl2br w:val="nil"/>
              <w:tr2bl w:val="nil"/>
            </w:tcBorders>
            <w:vAlign w:val="center"/>
          </w:tcPr>
          <w:p w14:paraId="1C4482A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适用于本投标人须知的额外增加的变动：</w:t>
            </w:r>
          </w:p>
        </w:tc>
      </w:tr>
      <w:tr w14:paraId="736D54A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1870" w:type="dxa"/>
            <w:tcBorders>
              <w:top w:val="single" w:color="auto" w:sz="4" w:space="0"/>
              <w:bottom w:val="single" w:color="auto" w:sz="4" w:space="0"/>
              <w:tl2br w:val="nil"/>
              <w:tr2bl w:val="nil"/>
            </w:tcBorders>
            <w:vAlign w:val="center"/>
          </w:tcPr>
          <w:p w14:paraId="3A8C2DC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p>
        </w:tc>
        <w:tc>
          <w:tcPr>
            <w:tcW w:w="6652" w:type="dxa"/>
            <w:tcBorders>
              <w:top w:val="single" w:color="auto" w:sz="4" w:space="0"/>
              <w:bottom w:val="single" w:color="auto" w:sz="4" w:space="0"/>
              <w:tl2br w:val="nil"/>
              <w:tr2bl w:val="nil"/>
            </w:tcBorders>
            <w:vAlign w:val="center"/>
          </w:tcPr>
          <w:p w14:paraId="6EE4BDE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核心产品：</w:t>
            </w:r>
          </w:p>
          <w:p w14:paraId="69589B6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□本项目</w:t>
            </w:r>
            <w:r>
              <w:rPr>
                <w:rFonts w:hint="eastAsia" w:ascii="仿宋" w:hAnsi="仿宋" w:eastAsia="仿宋" w:cs="仿宋"/>
                <w:b w:val="0"/>
                <w:bCs w:val="0"/>
                <w:sz w:val="24"/>
                <w:szCs w:val="24"/>
                <w:highlight w:val="none"/>
                <w:u w:val="single"/>
                <w:vertAlign w:val="baseline"/>
                <w:lang w:val="en-US" w:eastAsia="zh-CN"/>
              </w:rPr>
              <w:t>标项一</w:t>
            </w:r>
            <w:r>
              <w:rPr>
                <w:rFonts w:hint="eastAsia" w:ascii="仿宋" w:hAnsi="仿宋" w:eastAsia="仿宋" w:cs="仿宋"/>
                <w:b w:val="0"/>
                <w:bCs w:val="0"/>
                <w:sz w:val="24"/>
                <w:szCs w:val="24"/>
                <w:highlight w:val="none"/>
                <w:vertAlign w:val="baseline"/>
                <w:lang w:val="en-US" w:eastAsia="zh-CN"/>
              </w:rPr>
              <w:t>为单一产品采购项目。</w:t>
            </w:r>
          </w:p>
          <w:p w14:paraId="404D8CF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u w:val="single"/>
                <w:vertAlign w:val="baseline"/>
                <w:lang w:val="en-US" w:eastAsia="zh-CN"/>
              </w:rPr>
            </w:pPr>
            <w:r>
              <w:rPr>
                <w:rFonts w:hint="eastAsia" w:ascii="仿宋" w:hAnsi="仿宋" w:eastAsia="仿宋" w:cs="仿宋"/>
                <w:b w:val="0"/>
                <w:bCs w:val="0"/>
                <w:sz w:val="24"/>
                <w:szCs w:val="24"/>
                <w:highlight w:val="none"/>
                <w:vertAlign w:val="baseline"/>
                <w:lang w:val="en-US" w:eastAsia="zh-CN"/>
              </w:rPr>
              <w:t>☑本项目</w:t>
            </w:r>
            <w:r>
              <w:rPr>
                <w:rFonts w:hint="eastAsia" w:ascii="仿宋" w:hAnsi="仿宋" w:eastAsia="仿宋" w:cs="仿宋"/>
                <w:b w:val="0"/>
                <w:bCs w:val="0"/>
                <w:sz w:val="24"/>
                <w:szCs w:val="24"/>
                <w:highlight w:val="none"/>
                <w:u w:val="single"/>
                <w:vertAlign w:val="baseline"/>
                <w:lang w:val="en-US" w:eastAsia="zh-CN"/>
              </w:rPr>
              <w:t>标项一</w:t>
            </w:r>
            <w:r>
              <w:rPr>
                <w:rFonts w:hint="eastAsia" w:ascii="仿宋" w:hAnsi="仿宋" w:eastAsia="仿宋" w:cs="仿宋"/>
                <w:b w:val="0"/>
                <w:bCs w:val="0"/>
                <w:sz w:val="24"/>
                <w:szCs w:val="24"/>
                <w:highlight w:val="none"/>
                <w:vertAlign w:val="baseline"/>
                <w:lang w:val="en-US" w:eastAsia="zh-CN"/>
              </w:rPr>
              <w:t>为非单一产品采购项目，</w:t>
            </w:r>
            <w:r>
              <w:rPr>
                <w:rFonts w:hint="eastAsia" w:ascii="仿宋" w:hAnsi="仿宋" w:eastAsia="仿宋" w:cs="仿宋"/>
                <w:b w:val="0"/>
                <w:bCs w:val="0"/>
                <w:color w:val="auto"/>
                <w:sz w:val="24"/>
                <w:szCs w:val="24"/>
                <w:highlight w:val="none"/>
                <w:vertAlign w:val="baseline"/>
                <w:lang w:val="en-US" w:eastAsia="zh-CN"/>
              </w:rPr>
              <w:t>核心产品为：</w:t>
            </w:r>
            <w:r>
              <w:rPr>
                <w:rFonts w:hint="eastAsia" w:ascii="仿宋" w:hAnsi="仿宋" w:eastAsia="仿宋" w:cs="仿宋"/>
                <w:b w:val="0"/>
                <w:bCs w:val="0"/>
                <w:color w:val="auto"/>
                <w:sz w:val="24"/>
                <w:szCs w:val="24"/>
                <w:highlight w:val="none"/>
                <w:u w:val="single"/>
                <w:vertAlign w:val="baseline"/>
                <w:lang w:val="en-US" w:eastAsia="zh-CN"/>
              </w:rPr>
              <w:t xml:space="preserve"> 硝酸（易制爆试剂）。</w:t>
            </w:r>
          </w:p>
          <w:p w14:paraId="5318DBE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highlight w:val="none"/>
                <w:lang w:val="en-US" w:eastAsia="zh-CN"/>
              </w:rPr>
            </w:pPr>
            <w:r>
              <w:rPr>
                <w:rFonts w:hint="eastAsia" w:ascii="仿宋" w:hAnsi="仿宋" w:eastAsia="仿宋" w:cs="仿宋"/>
                <w:b/>
                <w:bCs/>
                <w:sz w:val="24"/>
                <w:szCs w:val="24"/>
                <w:highlight w:val="none"/>
                <w:vertAlign w:val="baseline"/>
                <w:lang w:val="en-US" w:eastAsia="zh-CN"/>
              </w:rPr>
              <w:t>注：若不单独标明核心产品则所有产品均被视为核心产品</w:t>
            </w:r>
          </w:p>
        </w:tc>
      </w:tr>
      <w:tr w14:paraId="7DA4CE9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7" w:hRule="atLeast"/>
        </w:trPr>
        <w:tc>
          <w:tcPr>
            <w:tcW w:w="1870" w:type="dxa"/>
            <w:tcBorders>
              <w:top w:val="single" w:color="auto" w:sz="4" w:space="0"/>
              <w:bottom w:val="single" w:color="auto" w:sz="4" w:space="0"/>
              <w:tl2br w:val="nil"/>
              <w:tr2bl w:val="nil"/>
            </w:tcBorders>
            <w:vAlign w:val="center"/>
          </w:tcPr>
          <w:p w14:paraId="5EC2CCA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p>
        </w:tc>
        <w:tc>
          <w:tcPr>
            <w:tcW w:w="6652" w:type="dxa"/>
            <w:tcBorders>
              <w:top w:val="single" w:color="auto" w:sz="4" w:space="0"/>
              <w:bottom w:val="single" w:color="auto" w:sz="4" w:space="0"/>
              <w:tl2br w:val="nil"/>
              <w:tr2bl w:val="nil"/>
            </w:tcBorders>
            <w:vAlign w:val="center"/>
          </w:tcPr>
          <w:p w14:paraId="3484179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评标方法：综合评分法</w:t>
            </w:r>
          </w:p>
        </w:tc>
      </w:tr>
      <w:tr w14:paraId="724EB37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vAlign w:val="center"/>
          </w:tcPr>
          <w:p w14:paraId="4458E66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p>
        </w:tc>
        <w:tc>
          <w:tcPr>
            <w:tcW w:w="6652" w:type="dxa"/>
            <w:tcBorders>
              <w:top w:val="single" w:color="auto" w:sz="4" w:space="0"/>
              <w:tl2br w:val="nil"/>
              <w:tr2bl w:val="nil"/>
            </w:tcBorders>
            <w:vAlign w:val="center"/>
          </w:tcPr>
          <w:p w14:paraId="7586BA7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项目属性：货物</w:t>
            </w:r>
          </w:p>
        </w:tc>
      </w:tr>
      <w:tr w14:paraId="2E471E3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190" w:hRule="atLeast"/>
        </w:trPr>
        <w:tc>
          <w:tcPr>
            <w:tcW w:w="8522" w:type="dxa"/>
            <w:gridSpan w:val="2"/>
            <w:tcBorders>
              <w:tl2br w:val="nil"/>
              <w:tr2bl w:val="nil"/>
            </w:tcBorders>
            <w:vAlign w:val="center"/>
          </w:tcPr>
          <w:p w14:paraId="7F49BC4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适用于本投标人须知的额外增加的变动：</w:t>
            </w:r>
          </w:p>
          <w:p w14:paraId="39C3468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1、关于本项目所有公告、公示在新疆政府采购网发布。</w:t>
            </w:r>
          </w:p>
          <w:p w14:paraId="2FB4E7E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2、请投标单位随时关注本项目的澄清、答疑、变更事项。</w:t>
            </w:r>
          </w:p>
          <w:p w14:paraId="7261618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3、本项目实行电子招投标，供应商须登录政采云平台申请获取招标文件，并通过政采云电子投标客户端制作响应文件，同时自行承担与投标有关的一切费用。</w:t>
            </w:r>
          </w:p>
          <w:p w14:paraId="241E5DE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70C13DB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5、有意向参与新疆区域电子开评标的供应商，可访问新疆数字证书认证中心官方网站（https://www.xjca.com.cn/）或下载“新疆政务通”APP自行进行申领。如需咨询，请联系新疆CA服务热线0991-2819290。</w:t>
            </w:r>
          </w:p>
          <w:p w14:paraId="1898DC3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5、供应商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4B7C28E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6、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1AA5CB5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7、供应商在开标前须提前配置好电脑浏览器（建议使用360浏览器或谷歌浏览器），开标时请使用制作加密电子响应文件的CA锁进行解密及报价确认。</w:t>
            </w:r>
            <w:r>
              <w:rPr>
                <w:rFonts w:hint="eastAsia" w:ascii="仿宋" w:hAnsi="仿宋" w:eastAsia="仿宋" w:cs="仿宋"/>
                <w:b/>
                <w:bCs/>
                <w:sz w:val="24"/>
                <w:szCs w:val="24"/>
                <w:highlight w:val="none"/>
                <w:vertAlign w:val="baseline"/>
                <w:lang w:val="en-US" w:eastAsia="zh-CN"/>
              </w:rPr>
              <w:t>本项目投标文件解密时间定为30分钟，如投标人因自身原因导致在规定的时间无法正常解密，视为开标后撤销其投标文件，投标保证金招标人有权不予退还。</w:t>
            </w:r>
          </w:p>
          <w:p w14:paraId="4AFCFBE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b/>
                <w:bCs/>
                <w:sz w:val="24"/>
                <w:szCs w:val="24"/>
                <w:highlight w:val="none"/>
                <w:vertAlign w:val="baseline"/>
                <w:lang w:val="en-US" w:eastAsia="zh-CN"/>
              </w:rPr>
              <w:t>8、政采云投标客户端中上传电子投标文件为三部分，分别为资格文件、报价文件、商务技术文件。投标人除分别按要求分别上传文件外，建议商务技术文件部分上传整本投标文件（包含资格部分、报价部分、商务技术部分）。</w:t>
            </w:r>
          </w:p>
        </w:tc>
      </w:tr>
    </w:tbl>
    <w:p w14:paraId="1F5B7106">
      <w:pPr>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p>
    <w:p w14:paraId="6852B30C">
      <w:pPr>
        <w:pStyle w:val="3"/>
        <w:numPr>
          <w:ilvl w:val="0"/>
          <w:numId w:val="1"/>
        </w:numPr>
        <w:bidi w:val="0"/>
        <w:jc w:val="center"/>
        <w:rPr>
          <w:rFonts w:hint="eastAsia" w:ascii="仿宋" w:hAnsi="仿宋" w:eastAsia="仿宋" w:cs="仿宋"/>
          <w:sz w:val="32"/>
          <w:szCs w:val="32"/>
          <w:highlight w:val="none"/>
        </w:rPr>
      </w:pPr>
      <w:bookmarkStart w:id="9" w:name="_Toc27881"/>
      <w:r>
        <w:rPr>
          <w:rFonts w:hint="eastAsia" w:ascii="仿宋" w:hAnsi="仿宋" w:eastAsia="仿宋" w:cs="仿宋"/>
          <w:sz w:val="32"/>
          <w:szCs w:val="32"/>
          <w:highlight w:val="none"/>
        </w:rPr>
        <w:t>投标人须知</w:t>
      </w:r>
      <w:bookmarkEnd w:id="9"/>
    </w:p>
    <w:p w14:paraId="6C44A2E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p>
    <w:p w14:paraId="1085C7A3">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center"/>
        <w:textAlignment w:val="auto"/>
        <w:outlineLvl w:val="1"/>
        <w:rPr>
          <w:rFonts w:hint="eastAsia" w:ascii="仿宋" w:hAnsi="仿宋" w:eastAsia="仿宋" w:cs="仿宋"/>
          <w:b/>
          <w:bCs/>
          <w:sz w:val="24"/>
          <w:szCs w:val="24"/>
          <w:highlight w:val="none"/>
        </w:rPr>
      </w:pPr>
      <w:bookmarkStart w:id="10" w:name="_Toc20936"/>
      <w:r>
        <w:rPr>
          <w:rFonts w:hint="eastAsia" w:ascii="仿宋" w:hAnsi="仿宋" w:eastAsia="仿宋" w:cs="仿宋"/>
          <w:b/>
          <w:bCs/>
          <w:sz w:val="24"/>
          <w:szCs w:val="24"/>
          <w:highlight w:val="none"/>
        </w:rPr>
        <w:t>说 明</w:t>
      </w:r>
      <w:bookmarkEnd w:id="10"/>
    </w:p>
    <w:p w14:paraId="46F316BB">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采购人、采购代理机构及投标人</w:t>
      </w:r>
    </w:p>
    <w:p w14:paraId="4BAF5E48">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采购人：是指依法进行政府采购的国家机构、事业单位、团体组织。</w:t>
      </w:r>
    </w:p>
    <w:p w14:paraId="18D1A043">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采购代理机构：本次招标的采购代理机构为新疆世纪星工程咨询有限公司。</w:t>
      </w:r>
    </w:p>
    <w:p w14:paraId="6613532F">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投标人：是指向采购人提供货物、工程或者服务的法人、其他组织或者自然人。</w:t>
      </w:r>
    </w:p>
    <w:p w14:paraId="621F1AD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投标人须满足以下条件：</w:t>
      </w:r>
    </w:p>
    <w:p w14:paraId="07A12BF6">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具备《中华人民共和国政府采购法》第二十二条关于投标人条件的规定，遵守国家、本项目采购人本级和上级财政部门政府采购的有关规定。</w:t>
      </w:r>
    </w:p>
    <w:p w14:paraId="5920EC9C">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以招标文件规定的方式获得了本项目的招标文件。</w:t>
      </w:r>
    </w:p>
    <w:p w14:paraId="1CD35328">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符合</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中规定的其他资格要求。</w:t>
      </w:r>
    </w:p>
    <w:p w14:paraId="18254EC7">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如经财政主管部门批准可以采购进口产品，将在投标须知前附表中写明。但投标人应保证所投产品可履行合法报通关手续进入中国关境内。若</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中未写明允许采购进口产品，如投标人所投产品为进口产品，其投标将作为</w:t>
      </w:r>
      <w:r>
        <w:rPr>
          <w:rFonts w:hint="eastAsia" w:ascii="仿宋" w:hAnsi="仿宋" w:eastAsia="仿宋" w:cs="仿宋"/>
          <w:b/>
          <w:bCs/>
          <w:sz w:val="24"/>
          <w:szCs w:val="24"/>
          <w:highlight w:val="none"/>
          <w:lang w:val="en-US" w:eastAsia="zh-CN"/>
        </w:rPr>
        <w:t>无效投标</w:t>
      </w:r>
      <w:r>
        <w:rPr>
          <w:rFonts w:hint="eastAsia" w:ascii="仿宋" w:hAnsi="仿宋" w:eastAsia="仿宋" w:cs="仿宋"/>
          <w:b w:val="0"/>
          <w:bCs w:val="0"/>
          <w:sz w:val="24"/>
          <w:szCs w:val="24"/>
          <w:highlight w:val="none"/>
          <w:lang w:val="en-US" w:eastAsia="zh-CN"/>
        </w:rPr>
        <w:t xml:space="preserve">被拒绝。 </w:t>
      </w:r>
    </w:p>
    <w:p w14:paraId="12750200">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中小企业、监狱企业及残疾人福利性单位。</w:t>
      </w:r>
    </w:p>
    <w:p w14:paraId="37FAE5C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采购标的对应的中小企业划分标准所属行业见</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w:t>
      </w:r>
    </w:p>
    <w:p w14:paraId="30E4CF72">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若投标须知前附表中写明专门面向中小或小微企业采购的，如投标人所提供的货物为非中小或小微企业制造，或提供的服务、工程为非中小或小微企业承接，其投标将被认定为</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。若投标须知前附表中写明本项目预留部分采购项目预算专门面向中小企业采购的，本项目面向中小企业采购预留份额、措施及比例见</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，未达到上述比例的投标将被认定为</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。承接企业如为监狱企业或残疾人福利性单位的，视同为小型、微型企业。</w:t>
      </w:r>
    </w:p>
    <w:p w14:paraId="5E95978F">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14:paraId="5B107C9F">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 投标人提供的货物、工程或者服务符合下列情形的，享受中小企业扶持政策：</w:t>
      </w:r>
    </w:p>
    <w:p w14:paraId="06286AF3">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在货物采购项目中，货物由中小企业制造，即货物由中小企业生产且使用该中小企业商号或者注册商标；</w:t>
      </w:r>
    </w:p>
    <w:p w14:paraId="3D40E063">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在工程采购项目中，工程由中小企业承建，即工程施工单位为中小企业；</w:t>
      </w:r>
    </w:p>
    <w:p w14:paraId="3FD50FE2">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在服务采购项目中，服务由中小企业承接，即提供服务的人员为中小企业依照《中华人民共和国劳动合同法》订立劳动合同的从业人员。 </w:t>
      </w:r>
    </w:p>
    <w:p w14:paraId="0C045767">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在货物采购项目中，投标人提供的货物既有中小企业制造货物，也有大型企业制造货物的，不享受中小企业扶持政策。 </w:t>
      </w:r>
    </w:p>
    <w:p w14:paraId="2A325BB1">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以联合体形式参加政府采购活动，联合体各方均为中小企业的，联合体视同中小企业。其中，联合体各方均为小微企业的，联合体视同小微企业。</w:t>
      </w:r>
    </w:p>
    <w:p w14:paraId="4538F60D">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22F24E0E">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享受政府采购支持政策的残疾人福利性单位根据《关于促进残疾人就业政府采购政策的通知》（财库〔2017〕141号）应当同时满足以下条件： </w:t>
      </w:r>
    </w:p>
    <w:p w14:paraId="74B9B3EB">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安置的残疾人占本单位在职职工人数的比例不低于25%（含25%），并且安置的残疾人人数不少于10人（含10人）； </w:t>
      </w:r>
    </w:p>
    <w:p w14:paraId="214C455E">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依法与安置的每位残疾人签订了一年以上（含一年）的劳动合同或服务协议；</w:t>
      </w:r>
    </w:p>
    <w:p w14:paraId="53517B5D">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为安置的每位残疾人按月足额缴纳了基本养老保险、基本医疗保险、失业保险、工伤保险和生育保险等社会保险费；</w:t>
      </w:r>
    </w:p>
    <w:p w14:paraId="049A1631">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通过银行等金融机构向安置的每位残疾人，按月支付了不低于单位所在区县适用的经省级人民政府批准的月最低工资标准的工资；</w:t>
      </w:r>
    </w:p>
    <w:p w14:paraId="43D7B214">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提供本单位制造的货物、承担的工程或者服务，或者提供其他残疾人福利性单位制造的货物（不包括使用非残疾人福利性单位注册商标的货物）。</w:t>
      </w:r>
    </w:p>
    <w:p w14:paraId="4248385F">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9D298C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享受中小企业扶持政策获得政府采购合同的，小微企业不得将合同分包给大中型企业，中型企业不得将合同分包给大型企业。</w:t>
      </w:r>
    </w:p>
    <w:p w14:paraId="499F62E9">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政府采购节能产品、环境标志产品</w:t>
      </w:r>
    </w:p>
    <w:p w14:paraId="2E4F7104">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DB3946D">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14:paraId="05AC1713">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如本项目采购产品属于实施政府强制采购品目清单范围的节能产品，则投标人所报产品必须获得国家确定的认证机构出具的、处于有效期之内的节能产品认证证书，否则</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w:t>
      </w:r>
    </w:p>
    <w:p w14:paraId="63A2A8F8">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非政府强制采购的节能产品或环境标志产品，依据品目清单和认证证书实施政府优先采购。优先采购的具体规定见第六章《评标程序、评标方法和评标标准》（如涉及）。</w:t>
      </w:r>
    </w:p>
    <w:p w14:paraId="242A8B96">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支持乡村产业振兴管理</w:t>
      </w:r>
    </w:p>
    <w:p w14:paraId="45503157">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为落实《关于运用政府采购政策支持乡村产业振兴的通知》（财库〔2021〕19 号）有关要求，做好支持脱贫攻坚工作，本项目采购活动中对于支持乡村振兴管理的相关要求见第五章《采购需求》（如涉及）。</w:t>
      </w:r>
    </w:p>
    <w:p w14:paraId="21DE66EF">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 正版软件</w:t>
      </w:r>
    </w:p>
    <w:p w14:paraId="6F70304F">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5351EB5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2EAA71D4">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供应商信用记录</w:t>
      </w:r>
    </w:p>
    <w:p w14:paraId="12722D68">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依据《财政部关于在政府采购活动中查询及使用信用记录有关问题的通知》（财库〔2016〕125号），采购人、采购代理机构应当通过“信用中国”网站（www.creditchina.gov.cn）、中国政府采购网（www.ccgp.gov.cn）等渠道查询相关主体信用记录，对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响应文件将被认定为无效响应。两个以上的自然人、法人或者其他组织组成一个联合体，以一个供应商的身份共同参加政府采购活动的，应当对所有联合体成员进行信用记录查询，联合体成员存在不良信用记录的，视同联合体存在不良信用记录，其响应文件将被认定为无效响应。</w:t>
      </w:r>
    </w:p>
    <w:p w14:paraId="3D701B04">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采购需求标准</w:t>
      </w:r>
    </w:p>
    <w:p w14:paraId="47416A6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商品包装、快递包装政府采购需求标准（试行）</w:t>
      </w:r>
    </w:p>
    <w:p w14:paraId="2BAA0A8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0EBFD70C">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绿色数据中心政府采购需求标准（试行）</w:t>
      </w:r>
    </w:p>
    <w:p w14:paraId="6D5D61B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为加快数据中心绿色转型，根据财政部生态环境部工业和信息化部关于印发《绿色数据中心政府采购需求标准（试行）》的通知（财库〔2023〕7 号），本项目如涉及绿色数据中心，则具体要求见第五章《采购需求》。</w:t>
      </w:r>
    </w:p>
    <w:p w14:paraId="590FF071">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其他采购需求标准</w:t>
      </w:r>
    </w:p>
    <w:p w14:paraId="41462AB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提高数据库政府采购需求管理的科学化、规范化水平，财政部、工业和信息化部制定了《数据库政府采购需求标准（2023版）》、《操作系统政府采购需求标准（2023版）》、《工作站政府采购需求标准（2023年版）》、《通用服务器政府采购需求标准（2023年版）》、《一体式计算机政府采购需求标准（2023年版）》、《便携式计算机政府采购需求标准（2023年版）》、《台式计算机政府采购需求标准（2023年版）》，本项目如涉及数据库、操作系统、工作站、通用服务器、一体式计算机、便携式计算机、台式计算机等，则具体要求见第五章《采购需求》。</w:t>
      </w:r>
    </w:p>
    <w:p w14:paraId="09E75850">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中允许联合体投标，对联合体规定如下：</w:t>
      </w:r>
    </w:p>
    <w:p w14:paraId="28146AF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两个以上投标人可以组成一个投标联合体，以一个投标人的身份投标。  </w:t>
      </w:r>
    </w:p>
    <w:p w14:paraId="2B259360">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联合体各方均应符合《中华人民共和国政府采购法》第二十二条规定的条件，遵守国家、本项目采购人本级和上级财政部门政府采购的有关规定。</w:t>
      </w:r>
    </w:p>
    <w:p w14:paraId="49C60092">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采购人根据采购项目对投标人的特殊要求，联合体中至少应当有一方符合相关规定。</w:t>
      </w:r>
    </w:p>
    <w:p w14:paraId="3006263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联合体各方应签订共同投标协议，明确约定联合体各方承担的工作和相应的责任，并将共同投标协议连同投标文件一并提交采购人或采购代理机构。</w:t>
      </w:r>
    </w:p>
    <w:p w14:paraId="0C6BB59F">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大中型企业、自然人、法人或者其他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14:paraId="7FE1BCBC">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联合体中有同类资质的投标人按照联合体分工承担相同工作的，按照资质等级较低的投标人确定资质等级。</w:t>
      </w:r>
    </w:p>
    <w:p w14:paraId="5A4B16FD">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对联合体投标的其他资格要求见</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w:t>
      </w:r>
    </w:p>
    <w:p w14:paraId="224C35B0">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单位负责人为同一人或者存在直接控股、管理关系的不同投标人，其投标将被认定为</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 xml:space="preserve">。 </w:t>
      </w:r>
    </w:p>
    <w:p w14:paraId="4F368B28">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为本项目提供整体设计、规范编制或者项目管理、监理、检测等服务的投标人，其投标将被认定为</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w:t>
      </w:r>
    </w:p>
    <w:p w14:paraId="51D7F5DD">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 资金来源 </w:t>
      </w:r>
    </w:p>
    <w:p w14:paraId="1447F7E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本项目的采购人已获得足以支付本次招标后所签订的合同项下的资金（包括财政性资金和本项目采购中无法与财政性资金分割的非财政性资金）。 </w:t>
      </w:r>
    </w:p>
    <w:p w14:paraId="6E7AD60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项目预算金额和最高限价见</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w:t>
      </w:r>
    </w:p>
    <w:p w14:paraId="7F4A0EB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投标人报价超过招标文件规定的预算金额或者最高限价的，其投标将被认定为</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 xml:space="preserve">。 </w:t>
      </w:r>
    </w:p>
    <w:p w14:paraId="546AD515">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投标费用</w:t>
      </w:r>
    </w:p>
    <w:p w14:paraId="62C433F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投标人应自行承担所有与准备和参加投标有关的费用，无论投标的结果如何，采购人或采购代理机构在任何情况下均无承担这些费用的义务和责任。</w:t>
      </w:r>
    </w:p>
    <w:p w14:paraId="326B11FA">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bCs/>
          <w:sz w:val="24"/>
          <w:szCs w:val="24"/>
          <w:highlight w:val="none"/>
          <w:lang w:val="en-US" w:eastAsia="zh-CN"/>
        </w:rPr>
        <w:t>适用法律</w:t>
      </w:r>
    </w:p>
    <w:p w14:paraId="53A5953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本项目采购人、采购代理机构、投标人、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14:paraId="40B8E32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sz w:val="24"/>
          <w:szCs w:val="24"/>
          <w:highlight w:val="none"/>
          <w:lang w:val="en-US" w:eastAsia="zh-CN"/>
        </w:rPr>
      </w:pPr>
    </w:p>
    <w:p w14:paraId="75978F1E">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Chars="0"/>
        <w:jc w:val="center"/>
        <w:textAlignment w:val="auto"/>
        <w:outlineLvl w:val="1"/>
        <w:rPr>
          <w:rFonts w:hint="eastAsia" w:ascii="仿宋" w:hAnsi="仿宋" w:eastAsia="仿宋" w:cs="仿宋"/>
          <w:b/>
          <w:bCs/>
          <w:sz w:val="24"/>
          <w:szCs w:val="24"/>
          <w:highlight w:val="none"/>
          <w:lang w:val="en-US" w:eastAsia="zh-CN"/>
        </w:rPr>
      </w:pPr>
      <w:bookmarkStart w:id="11" w:name="_Toc6547"/>
      <w:r>
        <w:rPr>
          <w:rFonts w:hint="eastAsia" w:ascii="仿宋" w:hAnsi="仿宋" w:eastAsia="仿宋" w:cs="仿宋"/>
          <w:b/>
          <w:bCs/>
          <w:sz w:val="24"/>
          <w:szCs w:val="24"/>
          <w:highlight w:val="none"/>
          <w:lang w:val="en-US" w:eastAsia="zh-CN"/>
        </w:rPr>
        <w:t>招标文件</w:t>
      </w:r>
      <w:bookmarkEnd w:id="11"/>
    </w:p>
    <w:p w14:paraId="221AA4DF">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招标文件构成</w:t>
      </w:r>
    </w:p>
    <w:p w14:paraId="6EA01C2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招标文件包括以下部分：</w:t>
      </w:r>
    </w:p>
    <w:p w14:paraId="664A5DC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第一章 招标公告（投标邀请） </w:t>
      </w:r>
    </w:p>
    <w:p w14:paraId="7BEE51F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第二章 投标须知前附表 </w:t>
      </w:r>
    </w:p>
    <w:p w14:paraId="7E3C69C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第三章 投标人须知</w:t>
      </w:r>
    </w:p>
    <w:p w14:paraId="68D3264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第四章 政府采购合同 </w:t>
      </w:r>
    </w:p>
    <w:p w14:paraId="0B90024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第五章 采购需求 </w:t>
      </w:r>
    </w:p>
    <w:p w14:paraId="4612F8F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第六章 评标程序、评标方法和评标标准</w:t>
      </w:r>
    </w:p>
    <w:p w14:paraId="62546FC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第七章 投标文件格式 </w:t>
      </w:r>
    </w:p>
    <w:p w14:paraId="727AAAC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投标人应认真阅读招标文件的全部内容。投标人应按照招标文件要求提交投标文件并保证所提供的全部资料的真实性，并对招标文件做出实质性响应，否则</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w:t>
      </w:r>
    </w:p>
    <w:p w14:paraId="46D89EB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招标文件中有不一致的，有澄清的部分以最终的澄清更正内容为准；未澄清的，以投标须知前附表为准；</w:t>
      </w:r>
      <w:r>
        <w:rPr>
          <w:rFonts w:hint="eastAsia" w:ascii="仿宋" w:hAnsi="仿宋" w:eastAsia="仿宋" w:cs="仿宋"/>
          <w:b w:val="0"/>
          <w:bCs w:val="0"/>
          <w:sz w:val="24"/>
          <w:szCs w:val="24"/>
          <w:highlight w:val="none"/>
          <w:u w:val="none"/>
          <w:lang w:val="en-US" w:eastAsia="zh-CN"/>
        </w:rPr>
        <w:t>投标须知前附表</w:t>
      </w:r>
      <w:r>
        <w:rPr>
          <w:rFonts w:hint="eastAsia" w:ascii="仿宋" w:hAnsi="仿宋" w:eastAsia="仿宋" w:cs="仿宋"/>
          <w:b w:val="0"/>
          <w:bCs w:val="0"/>
          <w:sz w:val="24"/>
          <w:szCs w:val="24"/>
          <w:highlight w:val="none"/>
          <w:lang w:val="en-US" w:eastAsia="zh-CN"/>
        </w:rPr>
        <w:t>不涉及的内容，以编排在后的最后描述为准。</w:t>
      </w:r>
    </w:p>
    <w:p w14:paraId="4C51E9E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现场考察或者答疑会及相关事项见</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w:t>
      </w:r>
    </w:p>
    <w:p w14:paraId="0B9FEC4A">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采购人在踏勘现场中介绍的资料和数据等，只是为了使投标人能够利用招标人现有的资料。招标人对投标人由此而作出的推论、解释和结论概不负责。</w:t>
      </w:r>
    </w:p>
    <w:p w14:paraId="0DFE6FD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投标人自行承担踏勘现场发生的责任、风险和自身费用。</w:t>
      </w:r>
    </w:p>
    <w:p w14:paraId="0A43EA1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原则上采购人、采购代理机构不要求投标人提供样品。除仅凭书面方式不能准确描述采购需求，或者需要对样品进行主观判断以确认是否满足采购需求等特殊情况除外。如需提供样品，对样品相关要求见</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，对样品的评审方法及评审标准见招标文件第六章《评标程序、评标方法和评标标准》。</w:t>
      </w:r>
    </w:p>
    <w:p w14:paraId="5F75FF0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招标文件规定投标人提交样品的，样品属于投标文件的组成部分。样品的生产、运输、安装、保全等一切费用由投标人自理。</w:t>
      </w:r>
    </w:p>
    <w:p w14:paraId="5F64EF9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44431EED">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对招标文件的澄清或修改</w:t>
      </w:r>
    </w:p>
    <w:p w14:paraId="3CFBF1C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或采购代理机构对已发出的招标文件进行必要澄清或者修改的，将在原公告发布媒体（网站）上发布更正公告（通知），因投标人未及时登陆媒体（网站）查看导致通知未及时收到通知的，采购人或采购代理机构不承担责任。</w:t>
      </w:r>
    </w:p>
    <w:p w14:paraId="5014BCA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2E20223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澄清或者修改的内容为招标文件的组成部分，并对所有获取招标文件的潜在投标人具有约束力。澄清或者修改的内容可能影响投标文件编制的，将在投标截止时间至少 15 日前发布；不足 15 日的，将顺延提交投标文件的截止时间和开标时间。</w:t>
      </w:r>
    </w:p>
    <w:p w14:paraId="5ECB295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为了保证对招标文件的澄清和修改满足法律的时限要求，任何要求对招标文件进行澄清的投标人，均应在投标截止期十五日前，以书面形式将澄清要求通知采购人或采购代理机构。</w:t>
      </w:r>
    </w:p>
    <w:p w14:paraId="34176CB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如更正公告有重新发布电子招标文件的，投标人应登录电子招投标平台下载最新发布的电子招标文件制作投标文件。</w:t>
      </w:r>
    </w:p>
    <w:p w14:paraId="22B1C81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7535459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lang w:val="en-US" w:eastAsia="zh-CN"/>
        </w:rPr>
      </w:pPr>
    </w:p>
    <w:p w14:paraId="566E636F">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highlight w:val="none"/>
          <w:lang w:val="en-US" w:eastAsia="zh-CN"/>
        </w:rPr>
      </w:pPr>
      <w:bookmarkStart w:id="12" w:name="_Toc9070"/>
      <w:r>
        <w:rPr>
          <w:rFonts w:hint="eastAsia" w:ascii="仿宋" w:hAnsi="仿宋" w:eastAsia="仿宋" w:cs="仿宋"/>
          <w:b/>
          <w:bCs/>
          <w:sz w:val="24"/>
          <w:szCs w:val="24"/>
          <w:highlight w:val="none"/>
          <w:lang w:val="en-US" w:eastAsia="zh-CN"/>
        </w:rPr>
        <w:t>投标文件的编制</w:t>
      </w:r>
      <w:bookmarkEnd w:id="12"/>
    </w:p>
    <w:p w14:paraId="5216CE13">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single"/>
          <w:lang w:val="en-US" w:eastAsia="zh-CN"/>
        </w:rPr>
      </w:pPr>
      <w:r>
        <w:rPr>
          <w:rFonts w:hint="eastAsia" w:ascii="仿宋" w:hAnsi="仿宋" w:eastAsia="仿宋" w:cs="仿宋"/>
          <w:b w:val="0"/>
          <w:bCs w:val="0"/>
          <w:sz w:val="24"/>
          <w:szCs w:val="24"/>
          <w:highlight w:val="none"/>
          <w:lang w:val="en-US" w:eastAsia="zh-CN"/>
        </w:rPr>
        <w:t>投标范围、投标文件中计量单位的使用及投标语言</w:t>
      </w:r>
    </w:p>
    <w:p w14:paraId="35439DA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投标人可对招标文件中一个或几个分包进行投标，除非在</w:t>
      </w:r>
      <w:r>
        <w:rPr>
          <w:rFonts w:hint="eastAsia" w:ascii="仿宋" w:hAnsi="仿宋" w:eastAsia="仿宋" w:cs="仿宋"/>
          <w:b w:val="0"/>
          <w:bCs w:val="0"/>
          <w:sz w:val="24"/>
          <w:szCs w:val="24"/>
          <w:highlight w:val="none"/>
          <w:u w:val="single"/>
          <w:lang w:val="en-US" w:eastAsia="zh-CN"/>
        </w:rPr>
        <w:t>投标须知前附表中另有规定</w:t>
      </w:r>
      <w:r>
        <w:rPr>
          <w:rFonts w:hint="eastAsia" w:ascii="仿宋" w:hAnsi="仿宋" w:eastAsia="仿宋" w:cs="仿宋"/>
          <w:b w:val="0"/>
          <w:bCs w:val="0"/>
          <w:sz w:val="24"/>
          <w:szCs w:val="24"/>
          <w:highlight w:val="none"/>
          <w:lang w:val="en-US" w:eastAsia="zh-CN"/>
        </w:rPr>
        <w:t xml:space="preserve">。 </w:t>
      </w:r>
    </w:p>
    <w:p w14:paraId="38AA665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投标人应当对所投采购包对应第五章《采购需求》所列的全部内容进行投标，不得将一个采购包中的内容拆分投标，其该包投标将被认定为</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w:t>
      </w:r>
    </w:p>
    <w:p w14:paraId="215E042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无论招标文件中是否要求，投标人所投货物或服务均应符合国家强制性标准。</w:t>
      </w:r>
    </w:p>
    <w:p w14:paraId="38BCFBCE">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除招标文件有特殊要求外，本项目投标所使用的计量单位，应采用中华人民共和国法定计量单位。</w:t>
      </w:r>
    </w:p>
    <w:p w14:paraId="3EFE4A5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 </w:t>
      </w:r>
    </w:p>
    <w:p w14:paraId="27BD5A3F">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投标文件构成</w:t>
      </w:r>
    </w:p>
    <w:p w14:paraId="0EA7DC6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投标人应当按照招标文件的要求编制投标文件。投标文件应由资格证明文件、报价文件、商务和技术文件四部分构成。投标文件的部分格式要求，见第七章《投标文件格式》。</w:t>
      </w:r>
    </w:p>
    <w:p w14:paraId="4532A8A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第五章《采购需求》及第六章《评标程序、评标方法和评标标准》中涉及的证明文件。</w:t>
      </w:r>
    </w:p>
    <w:p w14:paraId="30BB80D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照第五章《采购需求》，说明所提供货物或服务已对第五章《采购需求》做出了响应，或申明与第五章《采购需求》的偏差和例外。如第五章《采购需求》中要求提供证明文件的，投标人应当按具体要求提供证明文件。</w:t>
      </w:r>
    </w:p>
    <w:p w14:paraId="53E3A5E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投标人认为应附的其他材料。</w:t>
      </w:r>
    </w:p>
    <w:p w14:paraId="47E0D2C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上述文件应按照招标文件的规定签署和盖公章或经公章授权的其他单位章（以下统称公章）。采用公章授权方式的，应当在投标文件中附公章授权书（格式自定）。使用电子签名和电子印章的（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14:paraId="5FA5E37F">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投标报价</w:t>
      </w:r>
    </w:p>
    <w:p w14:paraId="23CB778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所有投标均以人民币报价。</w:t>
      </w:r>
    </w:p>
    <w:p w14:paraId="0DB3D9D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的报价应当包括完成本次招标全部采购需求所应提供的全部内容所发生的一切费用和税费，采购人将不再支付报价以外的任何费用。采购需求中有特殊规定的，从其规定。投标人的投标报价应遵守《中华人民共和国价格法》。同时，根据《中华人民共和国政府采购法》及相关配套法律、法规的规定，为保证公平竞争，如投标人有赠与行为的，将导致其</w:t>
      </w:r>
      <w:r>
        <w:rPr>
          <w:rFonts w:hint="eastAsia" w:ascii="仿宋" w:hAnsi="仿宋" w:eastAsia="仿宋" w:cs="仿宋"/>
          <w:b/>
          <w:bCs/>
          <w:sz w:val="24"/>
          <w:szCs w:val="24"/>
          <w:highlight w:val="none"/>
          <w:lang w:val="en-US" w:eastAsia="zh-CN"/>
        </w:rPr>
        <w:t>投标被拒绝</w:t>
      </w:r>
      <w:r>
        <w:rPr>
          <w:rFonts w:hint="eastAsia" w:ascii="仿宋" w:hAnsi="仿宋" w:eastAsia="仿宋" w:cs="仿宋"/>
          <w:b w:val="0"/>
          <w:bCs w:val="0"/>
          <w:sz w:val="24"/>
          <w:szCs w:val="24"/>
          <w:highlight w:val="none"/>
          <w:lang w:val="en-US" w:eastAsia="zh-CN"/>
        </w:rPr>
        <w:t>。</w:t>
      </w:r>
    </w:p>
    <w:p w14:paraId="7717AF1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投标人所报的各分项投标单价在合同履行过程中是固定不变的，不得以任何理由予以变更。任何包含价格调整要求的投标或有选择性或可调整的报价（招标文件另有规定的除外），其投标将被认定为</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 xml:space="preserve">。 </w:t>
      </w:r>
    </w:p>
    <w:p w14:paraId="5E785FE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应按照““第五章采购需求”的需求内容、责任范围以及第四章政府采购合同”进行报价。并按“开标一览表”和“分项报价表”规定的格式报出总价和分项价格。投标总价中不得包含招标文件要求以外的内容，否则，在评审时不予核减。</w:t>
      </w:r>
    </w:p>
    <w:p w14:paraId="051B8D1D">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投标保证金</w:t>
      </w:r>
    </w:p>
    <w:p w14:paraId="2E86972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投标人应按</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中规定的金额及要求交纳投标保证金，并作为其投标的一部分。</w:t>
      </w:r>
    </w:p>
    <w:p w14:paraId="344FE4F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交纳保证金的形式除</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中另有约定外，可采用的形式：政府采购法律法规接受的支票、汇票、本票、网上银行支付或者金融机构、担保机构出具的保函等非现金形式。</w:t>
      </w:r>
    </w:p>
    <w:p w14:paraId="2702114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w:t>
      </w:r>
    </w:p>
    <w:p w14:paraId="3ED4B8A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如采用金融机构、专业担保机构开具的投标担保函、投标保证保险函等形式提交投标保证金的，投标担保函或投标保证保险函须开具给采购人（保险受益人须为采购人），否则其</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。电子保函与纸质保函具有同样效力。</w:t>
      </w:r>
    </w:p>
    <w:p w14:paraId="26C570A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投标保证金（保函）有效期同投标有效期。</w:t>
      </w:r>
    </w:p>
    <w:p w14:paraId="09A1697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联合体投标的，可以由联合体中的一方或者共同提交投标保证金，以一方名义提交投标保证金的，对联合体各方均具有约束力。</w:t>
      </w:r>
    </w:p>
    <w:p w14:paraId="3EE9278A">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14:paraId="4122FC6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投标人在投标截止时间前撤回已提交的投标文件的，自收到投标人书面撤回通知之日起 5 个工作日内退还已收取的投标保证金。 </w:t>
      </w:r>
    </w:p>
    <w:p w14:paraId="1F8560AE">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中标人的投标保证金，自采购合同签订之日起 5 个工作日内退还中标人。 </w:t>
      </w:r>
    </w:p>
    <w:p w14:paraId="435C137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未中标投标人的投标保证金，自中标通知书发出之日起 5 个工作日内退还未中标人。</w:t>
      </w:r>
    </w:p>
    <w:p w14:paraId="32222BB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终止采购活动的项目已经收取投标保证金的，自终止采购活动后 5 个工作日内退还已收取的投标保证金。</w:t>
      </w:r>
    </w:p>
    <w:p w14:paraId="08D85EFA">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有下列情形之一的，采购人或采购代理机构可以不予退还投标保证金：</w:t>
      </w:r>
    </w:p>
    <w:p w14:paraId="5E32FD5B">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在投标有效期内，投标人撤回投标的； </w:t>
      </w:r>
    </w:p>
    <w:p w14:paraId="1806D34F">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中标人不按本招标文件的规定与采购人签订合同的； </w:t>
      </w:r>
    </w:p>
    <w:p w14:paraId="4F5B0E70">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中标人不按本招标文件的规定提交履约保证金的； </w:t>
      </w:r>
    </w:p>
    <w:p w14:paraId="08128702">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中标人不按本招标文件的规定缴纳中标服务费的； </w:t>
      </w:r>
    </w:p>
    <w:p w14:paraId="6715C67F">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存在的串通投标情形的； </w:t>
      </w:r>
    </w:p>
    <w:p w14:paraId="7F42E0A2">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存在向采购人、代理机构或评标专家行贿事实的； </w:t>
      </w:r>
    </w:p>
    <w:p w14:paraId="3206BFAC">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法律、法规规定的其它情况。 </w:t>
      </w:r>
    </w:p>
    <w:p w14:paraId="3B86D927">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投标有效期</w:t>
      </w:r>
    </w:p>
    <w:p w14:paraId="6CD474C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投标文件应在</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中规定的投标有效期内保持有效，投标有效期少于招标文件规定期限的，其</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w:t>
      </w:r>
    </w:p>
    <w:p w14:paraId="2459050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退还其投标保证金。上述要求和答复都应以书面形式提交。</w:t>
      </w:r>
    </w:p>
    <w:p w14:paraId="4CC5D8E9">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投标文件的制作</w:t>
      </w:r>
    </w:p>
    <w:p w14:paraId="355F3E7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7618078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投标人应使用电子招投标平台提供的投标客户端编制、标记、加密投标文件，成功加密后将生成指定格式的电子投标文件和电子备用投标文件</w:t>
      </w:r>
    </w:p>
    <w:p w14:paraId="558B48C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如有对多个采购包投标的，要对每个采购包独立制作电子投标文件。</w:t>
      </w:r>
    </w:p>
    <w:p w14:paraId="239BC33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投标人须对招标文件的对应要求给予唯一的实质性响应，否则将视为</w:t>
      </w:r>
      <w:r>
        <w:rPr>
          <w:rFonts w:hint="eastAsia" w:ascii="仿宋" w:hAnsi="仿宋" w:eastAsia="仿宋" w:cs="仿宋"/>
          <w:b/>
          <w:bCs/>
          <w:sz w:val="24"/>
          <w:szCs w:val="24"/>
          <w:highlight w:val="none"/>
          <w:lang w:val="en-US" w:eastAsia="zh-CN"/>
        </w:rPr>
        <w:t>不响应</w:t>
      </w:r>
      <w:r>
        <w:rPr>
          <w:rFonts w:hint="eastAsia" w:ascii="仿宋" w:hAnsi="仿宋" w:eastAsia="仿宋" w:cs="仿宋"/>
          <w:b w:val="0"/>
          <w:bCs w:val="0"/>
          <w:sz w:val="24"/>
          <w:szCs w:val="24"/>
          <w:highlight w:val="none"/>
          <w:lang w:val="en-US" w:eastAsia="zh-CN"/>
        </w:rPr>
        <w:t>。</w:t>
      </w:r>
    </w:p>
    <w:p w14:paraId="77DB1E4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招标文件中，凡标有“※”的地方均为实质性响应条款，投标人若有一项带“※”的条款未响应或不满足，将按无效投标处理。</w:t>
      </w:r>
    </w:p>
    <w:p w14:paraId="44AFF2B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14:paraId="049D6FB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lang w:val="en-US" w:eastAsia="zh-CN"/>
        </w:rPr>
      </w:pPr>
    </w:p>
    <w:p w14:paraId="76F7BE19">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highlight w:val="none"/>
          <w:lang w:val="en-US" w:eastAsia="zh-CN"/>
        </w:rPr>
      </w:pPr>
      <w:bookmarkStart w:id="13" w:name="_Toc21719"/>
      <w:r>
        <w:rPr>
          <w:rFonts w:hint="eastAsia" w:ascii="仿宋" w:hAnsi="仿宋" w:eastAsia="仿宋" w:cs="仿宋"/>
          <w:b/>
          <w:bCs/>
          <w:sz w:val="24"/>
          <w:szCs w:val="24"/>
          <w:highlight w:val="none"/>
          <w:lang w:val="en-US" w:eastAsia="zh-CN"/>
        </w:rPr>
        <w:t>投标文件的提交</w:t>
      </w:r>
      <w:bookmarkEnd w:id="13"/>
    </w:p>
    <w:p w14:paraId="1CA9EB5D">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投标文件的提交</w:t>
      </w:r>
    </w:p>
    <w:p w14:paraId="7E4D599E">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投标人应在</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14:paraId="38ED8B4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代理机构对因不可抗力事件造成的投标文件的损坏、丢失的，不承担责任。</w:t>
      </w:r>
    </w:p>
    <w:p w14:paraId="4BA7BA1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出现下述情形之一，属于未成功提交投标文件，按无效</w:t>
      </w:r>
      <w:r>
        <w:rPr>
          <w:rFonts w:hint="eastAsia" w:ascii="仿宋" w:hAnsi="仿宋" w:eastAsia="仿宋" w:cs="仿宋"/>
          <w:b/>
          <w:bCs/>
          <w:sz w:val="24"/>
          <w:szCs w:val="24"/>
          <w:highlight w:val="none"/>
          <w:lang w:val="en-US" w:eastAsia="zh-CN"/>
        </w:rPr>
        <w:t>投标处理</w:t>
      </w:r>
      <w:r>
        <w:rPr>
          <w:rFonts w:hint="eastAsia" w:ascii="仿宋" w:hAnsi="仿宋" w:eastAsia="仿宋" w:cs="仿宋"/>
          <w:b w:val="0"/>
          <w:bCs w:val="0"/>
          <w:sz w:val="24"/>
          <w:szCs w:val="24"/>
          <w:highlight w:val="none"/>
          <w:lang w:val="en-US" w:eastAsia="zh-CN"/>
        </w:rPr>
        <w:t>：</w:t>
      </w:r>
    </w:p>
    <w:p w14:paraId="168CBD4A">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至提交投标文件截止时，投标文件未完整上传的。 </w:t>
      </w:r>
    </w:p>
    <w:p w14:paraId="0B77F191">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投标文件未按投标格式中注明需签字盖章的要求进行签名（含电子签名）和加盖电子印章，或签名（含电子签名）或电子印章不完整的。</w:t>
      </w:r>
    </w:p>
    <w:p w14:paraId="4DB53362">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投标文件损坏或格式不正确的。</w:t>
      </w:r>
    </w:p>
    <w:p w14:paraId="2CE16E0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投标文件的修改、撤回与撤销</w:t>
      </w:r>
    </w:p>
    <w:p w14:paraId="2CC918B4">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305ACFF4">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val="0"/>
          <w:bCs w:val="0"/>
          <w:sz w:val="24"/>
          <w:szCs w:val="24"/>
          <w:highlight w:val="none"/>
          <w:lang w:val="en-US" w:eastAsia="zh-CN"/>
        </w:rPr>
        <w:t>在提交投标文件截止时间后，投标人不得补充、修改和更换投标文件。</w:t>
      </w:r>
      <w:r>
        <w:rPr>
          <w:rFonts w:hint="eastAsia" w:ascii="仿宋" w:hAnsi="仿宋" w:eastAsia="仿宋" w:cs="仿宋"/>
          <w:b/>
          <w:bCs/>
          <w:sz w:val="24"/>
          <w:szCs w:val="24"/>
          <w:highlight w:val="none"/>
          <w:lang w:val="en-US" w:eastAsia="zh-CN"/>
        </w:rPr>
        <w:t xml:space="preserve"> </w:t>
      </w:r>
    </w:p>
    <w:p w14:paraId="37A0835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sz w:val="24"/>
          <w:szCs w:val="24"/>
          <w:highlight w:val="none"/>
          <w:lang w:val="en-US" w:eastAsia="zh-CN"/>
        </w:rPr>
      </w:pPr>
    </w:p>
    <w:p w14:paraId="3C4D03F3">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highlight w:val="none"/>
          <w:lang w:val="en-US" w:eastAsia="zh-CN"/>
        </w:rPr>
      </w:pPr>
      <w:bookmarkStart w:id="14" w:name="_Toc15263"/>
      <w:r>
        <w:rPr>
          <w:rFonts w:hint="eastAsia" w:ascii="仿宋" w:hAnsi="仿宋" w:eastAsia="仿宋" w:cs="仿宋"/>
          <w:b/>
          <w:bCs/>
          <w:sz w:val="24"/>
          <w:szCs w:val="24"/>
          <w:highlight w:val="none"/>
          <w:lang w:val="en-US" w:eastAsia="zh-CN"/>
        </w:rPr>
        <w:t>开标、资格审查及评标</w:t>
      </w:r>
      <w:bookmarkEnd w:id="14"/>
    </w:p>
    <w:p w14:paraId="2CAAB6A7">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开标</w:t>
      </w:r>
    </w:p>
    <w:p w14:paraId="0F8D2B09">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采购人和采购代理机构将按</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14:paraId="7ACDB38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采用远程电子开标的：</w:t>
      </w:r>
    </w:p>
    <w:p w14:paraId="4D183B2D">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供应商自行承担。</w:t>
      </w:r>
    </w:p>
    <w:p w14:paraId="5A9C2550">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616EDA90">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投标将被拒绝，作无效</w:t>
      </w:r>
      <w:r>
        <w:rPr>
          <w:rFonts w:hint="eastAsia" w:ascii="仿宋" w:hAnsi="仿宋" w:eastAsia="仿宋" w:cs="仿宋"/>
          <w:b/>
          <w:bCs/>
          <w:sz w:val="24"/>
          <w:szCs w:val="24"/>
          <w:highlight w:val="none"/>
          <w:lang w:val="en-US" w:eastAsia="zh-CN"/>
        </w:rPr>
        <w:t>投标处理</w:t>
      </w:r>
      <w:r>
        <w:rPr>
          <w:rFonts w:hint="eastAsia" w:ascii="仿宋" w:hAnsi="仿宋" w:eastAsia="仿宋" w:cs="仿宋"/>
          <w:b w:val="0"/>
          <w:bCs w:val="0"/>
          <w:sz w:val="24"/>
          <w:szCs w:val="24"/>
          <w:highlight w:val="none"/>
          <w:lang w:val="en-US" w:eastAsia="zh-CN"/>
        </w:rPr>
        <w:t>。</w:t>
      </w:r>
    </w:p>
    <w:p w14:paraId="03F7227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投标人代表对开标过程和开标记录有疑义，以及认为采购人、采购代理机构相关工作人员有需要回避的情形的，应当场提出询问或者回避申请。投标人未参加开标的，视同认可开标结果。</w:t>
      </w:r>
    </w:p>
    <w:p w14:paraId="12A4B588">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投标截止时间后，投标人不足3家的，不得开标。同时，本次采购活动结束。</w:t>
      </w:r>
    </w:p>
    <w:p w14:paraId="11EC1476">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开标时出现下列情况的，视为</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处理：</w:t>
      </w:r>
    </w:p>
    <w:p w14:paraId="2ED411F7">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因投标人自身原因，未在规定时间内完成电子投标文件解密的；</w:t>
      </w:r>
    </w:p>
    <w:p w14:paraId="5A4B3A12">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如需使用备用电子投标文件解密时，在规定的解密时间内无法提供备用电子投标文件或提供的备用电子投标文件与加密的电子投标文件版本不一致（即两份文件不是投标客户端编制同时生成的）。 </w:t>
      </w:r>
    </w:p>
    <w:p w14:paraId="6DFCDEFC">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采购人或采购代理机构将对开标过程进行记录，由参加开标的各投标人代表和相关工作人员签字确认。</w:t>
      </w:r>
    </w:p>
    <w:p w14:paraId="2F8A7A40">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资格审查</w:t>
      </w:r>
    </w:p>
    <w:p w14:paraId="659DE78C">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 </w:t>
      </w:r>
    </w:p>
    <w:p w14:paraId="4AE7FAD4">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资格审查要求详见第六章《评标程序、评标方法和评标标准》。</w:t>
      </w:r>
    </w:p>
    <w:p w14:paraId="1F0A326A">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采购人或采购代理机构将按</w:t>
      </w:r>
      <w:r>
        <w:rPr>
          <w:rFonts w:hint="eastAsia" w:ascii="仿宋" w:hAnsi="仿宋" w:eastAsia="仿宋" w:cs="仿宋"/>
          <w:b w:val="0"/>
          <w:bCs w:val="0"/>
          <w:sz w:val="24"/>
          <w:szCs w:val="24"/>
          <w:highlight w:val="none"/>
          <w:u w:val="none"/>
          <w:lang w:val="en-US" w:eastAsia="zh-CN"/>
        </w:rPr>
        <w:t>第六章《评标程序、评标方法和评标标准》</w:t>
      </w:r>
      <w:r>
        <w:rPr>
          <w:rFonts w:hint="eastAsia" w:ascii="仿宋" w:hAnsi="仿宋" w:eastAsia="仿宋" w:cs="仿宋"/>
          <w:b w:val="0"/>
          <w:bCs w:val="0"/>
          <w:sz w:val="24"/>
          <w:szCs w:val="24"/>
          <w:highlight w:val="none"/>
          <w:lang w:val="en-US" w:eastAsia="zh-CN"/>
        </w:rPr>
        <w:t>中规定的时间查询投标人的信用记录。采购人或采购代理机构将查询网页打印、签字并存档备查。投标人不良信用记录以采购人或采购代理机构查询结果为准。在本招标文件规定的查询时间之外，网站信息发生的任何变更均不作为资格审查依据。</w:t>
      </w:r>
    </w:p>
    <w:p w14:paraId="03D0FF42">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评标委员会</w:t>
      </w:r>
    </w:p>
    <w:p w14:paraId="09AAD948">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评标委员会根据政府采购有关规定和本次招标采购项目的特点进行组建，并负责具体评标事务，独立履行职责。 </w:t>
      </w:r>
    </w:p>
    <w:p w14:paraId="5B17D809">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74AFAF95">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评标程序、评标方法和评标标准</w:t>
      </w:r>
    </w:p>
    <w:p w14:paraId="45BC11C7">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详见第六章《评标程序、评标方法和评标标准》</w:t>
      </w:r>
    </w:p>
    <w:p w14:paraId="78BA1BA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p>
    <w:p w14:paraId="7DCEDE92">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highlight w:val="none"/>
          <w:lang w:val="en-US" w:eastAsia="zh-CN"/>
        </w:rPr>
      </w:pPr>
      <w:bookmarkStart w:id="15" w:name="_Toc7787"/>
      <w:r>
        <w:rPr>
          <w:rFonts w:hint="eastAsia" w:ascii="仿宋" w:hAnsi="仿宋" w:eastAsia="仿宋" w:cs="仿宋"/>
          <w:b/>
          <w:bCs/>
          <w:sz w:val="24"/>
          <w:szCs w:val="24"/>
          <w:highlight w:val="none"/>
          <w:lang w:val="en-US" w:eastAsia="zh-CN"/>
        </w:rPr>
        <w:t>确定中标</w:t>
      </w:r>
      <w:bookmarkEnd w:id="15"/>
    </w:p>
    <w:p w14:paraId="15E4D4B1">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确定中标人</w:t>
      </w:r>
    </w:p>
    <w:p w14:paraId="4398F1E8">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w:t>
      </w:r>
    </w:p>
    <w:p w14:paraId="2FCC24E0">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中标公告与中标通知书</w:t>
      </w:r>
    </w:p>
    <w:p w14:paraId="1B9F3BC2">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采购人或采购代理机构自中标人确定之日起 2 个工作日内，在招标公告发布媒体发布中标结果，同时向中标人发出中标通知书，中标公告期限为 1 个工作日。</w:t>
      </w:r>
    </w:p>
    <w:p w14:paraId="13020F77">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中标通知书对采购人和中标供应商均具有法律效力。中标通知书发出后，中标供应商放弃中标项目的，应当依法承担法律责任。</w:t>
      </w:r>
    </w:p>
    <w:p w14:paraId="04451DDB">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废标</w:t>
      </w:r>
    </w:p>
    <w:p w14:paraId="39608186">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在招标采购中，出现下列情形之一的，应予废标：</w:t>
      </w:r>
    </w:p>
    <w:p w14:paraId="0BC1D6CD">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符合专业条件的供应商或者对招标文件作实质响应的供应商不足三家的；</w:t>
      </w:r>
    </w:p>
    <w:p w14:paraId="36AECB88">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出现影响采购公正的违法、违规行为的；</w:t>
      </w:r>
    </w:p>
    <w:p w14:paraId="625FE593">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投标人的报价均超过了采购预算，采购人不能支付的；</w:t>
      </w:r>
    </w:p>
    <w:p w14:paraId="0AB01E8A">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因重大变故，采购任务取消的；</w:t>
      </w:r>
    </w:p>
    <w:p w14:paraId="4FA43C61">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highlight w:val="none"/>
          <w:lang w:val="en-US" w:eastAsia="zh-CN"/>
        </w:rPr>
      </w:pPr>
      <w:r>
        <w:rPr>
          <w:rFonts w:hint="eastAsia" w:ascii="仿宋" w:hAnsi="仿宋" w:eastAsia="仿宋" w:cs="仿宋"/>
          <w:b w:val="0"/>
          <w:bCs w:val="0"/>
          <w:sz w:val="24"/>
          <w:szCs w:val="24"/>
          <w:highlight w:val="none"/>
          <w:lang w:val="en-US" w:eastAsia="zh-CN"/>
        </w:rPr>
        <w:t>法律、法规规定的其他情形。</w:t>
      </w:r>
    </w:p>
    <w:p w14:paraId="608DAA5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废标后，采购人将废标理由通知所有投标人。</w:t>
      </w:r>
    </w:p>
    <w:p w14:paraId="3EC6375B">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签订合同</w:t>
      </w:r>
    </w:p>
    <w:p w14:paraId="47A53541">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中标人、采购人应当自中标通知书发出之日起 30 日内，按照招标文件和中标人投标文件的规定签订书面合同。所签订的合同不得对招标文件确定的事项和中标人投标文件作实质性修改。 </w:t>
      </w:r>
    </w:p>
    <w:p w14:paraId="63A997C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中标人拒绝与采购人签订合同的，采购人可以按照评标报告推荐的中标候选人名单排序，确定下一候选人为中标人，也可以重新开展政府采购活动。</w:t>
      </w:r>
    </w:p>
    <w:p w14:paraId="6D87F2E8">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联合体中标的，联合体各方应当共同与采购人签订合同，就中标项目向采购人承担连带责任。 </w:t>
      </w:r>
    </w:p>
    <w:p w14:paraId="50A9C15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政府采购合同不能转包。如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。中标人就采购项目和分包项目向采购人负责，分包供应商就分包项目承担责任。</w:t>
      </w:r>
    </w:p>
    <w:p w14:paraId="45A8F723">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履约保证金</w:t>
      </w:r>
    </w:p>
    <w:p w14:paraId="04131134">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中标人应按照</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规定的金额、形式和时间向采购人缴纳履约保证金。</w:t>
      </w:r>
    </w:p>
    <w:p w14:paraId="7A519C59">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经采购人同意，中标人也可以自愿采用其他履约保证金的提供方式。</w:t>
      </w:r>
    </w:p>
    <w:p w14:paraId="7B5097BE">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如果中标人没有按照上述条款规定缴纳履约保证金，将视为放弃中标资格，中标人的投标保证金将被没收。在此情况下，采购人可确定下一候选人为中标人，也可以重新开展政府采购活动。</w:t>
      </w:r>
    </w:p>
    <w:p w14:paraId="6A3EED3B">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代理服务费</w:t>
      </w:r>
    </w:p>
    <w:p w14:paraId="0DA292C5">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收费对象、收费标准及缴纳时间见</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 xml:space="preserve">。由中标人支付的，中标人须一次性向采购代理机构缴纳代理费，投标报价应包含代理费用。 </w:t>
      </w:r>
    </w:p>
    <w:p w14:paraId="379A3B3B">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询问与质疑</w:t>
      </w:r>
    </w:p>
    <w:p w14:paraId="1191DFE1">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询问</w:t>
      </w:r>
    </w:p>
    <w:p w14:paraId="1A1AC1EE">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对政府采购活动事项（招标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中“采购人、采购代理机构的名称、地址和联系方式”。</w:t>
      </w:r>
    </w:p>
    <w:p w14:paraId="07736B3E">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质疑</w:t>
      </w:r>
    </w:p>
    <w:p w14:paraId="6E9D7058">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投标人认为招标文件、采购过程、中标结果使自己的权益受到损害的，可以在知道或者应知其权益受到损害之日起 7 个工作日内，由投标人派授权代表以书面形式向采购人、采购代理机构提出质疑。采购人、采购代理机构在收到质疑函后 7 个工作日内作出答复。</w:t>
      </w:r>
    </w:p>
    <w:p w14:paraId="748A0B68">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供应商应知其权益受到损害之日是指：</w:t>
      </w:r>
    </w:p>
    <w:p w14:paraId="35484D3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（1）对招标文件提出质疑的，为获取招标文件之日或者招标文件获取期限届满之日；</w:t>
      </w:r>
    </w:p>
    <w:p w14:paraId="1D08A85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（2）对采购过程提出质疑的，为各采购程序环节结束之日；</w:t>
      </w:r>
    </w:p>
    <w:p w14:paraId="271C9E4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（3）对中标结果提出质疑的，为中标结果公告期限届满之日。 </w:t>
      </w:r>
    </w:p>
    <w:p w14:paraId="67DA9F58">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06E87572">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质疑函须使用财政部制定的范本文件。投标人为自然人的，应当由本人签字；投标人为法人或者其他组织的，应当由法定代表人、主要负责人，或者其授权代表签字或者盖章，并加盖公章。</w:t>
      </w:r>
    </w:p>
    <w:p w14:paraId="22B9F96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质疑函应当包括下列内容： </w:t>
      </w:r>
    </w:p>
    <w:p w14:paraId="2BF3C22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（1）投标人名称、地址、邮编、联系人及联系电话； </w:t>
      </w:r>
    </w:p>
    <w:p w14:paraId="10C9B4C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（2）质疑项目的名称、编号； </w:t>
      </w:r>
    </w:p>
    <w:p w14:paraId="70E31EE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（3）具体、明确的质疑事项和与质疑事项相关的请求； </w:t>
      </w:r>
    </w:p>
    <w:p w14:paraId="54689CF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（4）事实依据； </w:t>
      </w:r>
    </w:p>
    <w:p w14:paraId="74E6443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（5）必要的法律依据； </w:t>
      </w:r>
    </w:p>
    <w:p w14:paraId="78DA365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（6）提出质疑的日期。</w:t>
      </w:r>
    </w:p>
    <w:p w14:paraId="2E1DC1A7">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378349B5">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14:paraId="63359233">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其他</w:t>
      </w:r>
    </w:p>
    <w:p w14:paraId="342A0134">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本次招标活动中除招标文件规定外还需执行《中华人民共和国政府采购法》、《中华人民共和国政府采购法实施条例》、《政府采购货物和服务招标投标管理办法》（财政部令第87号）及本项目本级和上级财政部门政府采购有关规定。</w:t>
      </w:r>
    </w:p>
    <w:p w14:paraId="74DDFB7E">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在采购人或采购代理机构认为适当时、国家机关调查、审查、审计时以及其他符合法律规定的情形下，采购人或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4998244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适用于本投标人须知的额外增加的变动详见</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w:t>
      </w:r>
    </w:p>
    <w:p w14:paraId="6EF4031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p>
    <w:p w14:paraId="1058020E">
      <w:pP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br w:type="page"/>
      </w:r>
    </w:p>
    <w:p w14:paraId="7A9F5849">
      <w:pPr>
        <w:pStyle w:val="3"/>
        <w:numPr>
          <w:ilvl w:val="0"/>
          <w:numId w:val="1"/>
        </w:numPr>
        <w:bidi w:val="0"/>
        <w:jc w:val="center"/>
        <w:rPr>
          <w:rFonts w:hint="eastAsia" w:ascii="仿宋" w:hAnsi="仿宋" w:eastAsia="仿宋" w:cs="仿宋"/>
          <w:sz w:val="32"/>
          <w:szCs w:val="32"/>
          <w:highlight w:val="none"/>
          <w:lang w:val="en-US" w:eastAsia="zh-CN"/>
        </w:rPr>
      </w:pPr>
      <w:bookmarkStart w:id="16" w:name="_Toc22543"/>
      <w:r>
        <w:rPr>
          <w:rFonts w:hint="eastAsia" w:ascii="仿宋" w:hAnsi="仿宋" w:eastAsia="仿宋" w:cs="仿宋"/>
          <w:sz w:val="32"/>
          <w:szCs w:val="32"/>
          <w:highlight w:val="none"/>
          <w:lang w:val="en-US" w:eastAsia="zh-CN"/>
        </w:rPr>
        <w:t>政府采购合同</w:t>
      </w:r>
      <w:bookmarkEnd w:id="16"/>
    </w:p>
    <w:p w14:paraId="6C7A6491">
      <w:pPr>
        <w:jc w:val="center"/>
        <w:rPr>
          <w:rFonts w:hint="eastAsia" w:ascii="仿宋" w:hAnsi="仿宋" w:eastAsia="仿宋" w:cs="仿宋"/>
          <w:bCs/>
          <w:color w:val="000000"/>
          <w:sz w:val="48"/>
          <w:szCs w:val="48"/>
          <w:highlight w:val="none"/>
        </w:rPr>
      </w:pPr>
      <w:r>
        <w:rPr>
          <w:rFonts w:hint="eastAsia" w:ascii="仿宋" w:hAnsi="仿宋" w:eastAsia="仿宋" w:cs="仿宋"/>
          <w:b w:val="0"/>
          <w:bCs w:val="0"/>
          <w:sz w:val="24"/>
          <w:szCs w:val="24"/>
          <w:highlight w:val="none"/>
          <w:lang w:val="en-US" w:eastAsia="zh-CN"/>
        </w:rPr>
        <w:t xml:space="preserve">  </w:t>
      </w:r>
      <w:r>
        <w:rPr>
          <w:rFonts w:hint="eastAsia" w:ascii="仿宋" w:hAnsi="仿宋" w:eastAsia="仿宋" w:cs="仿宋"/>
          <w:bCs/>
          <w:color w:val="000000"/>
          <w:sz w:val="28"/>
          <w:highlight w:val="none"/>
        </w:rPr>
        <w:t>（具体以实际签订合同为主）</w:t>
      </w:r>
    </w:p>
    <w:p w14:paraId="0153E666">
      <w:pPr>
        <w:pageBreakBefore w:val="0"/>
        <w:kinsoku/>
        <w:wordWrap w:val="0"/>
        <w:overflowPunct/>
        <w:topLinePunct w:val="0"/>
        <w:autoSpaceDE/>
        <w:autoSpaceDN/>
        <w:bidi w:val="0"/>
        <w:adjustRightInd/>
        <w:snapToGrid/>
        <w:spacing w:line="620" w:lineRule="exact"/>
        <w:jc w:val="center"/>
        <w:rPr>
          <w:rFonts w:hint="eastAsia" w:ascii="仿宋" w:hAnsi="仿宋" w:eastAsia="仿宋" w:cs="仿宋"/>
          <w:b/>
          <w:bCs/>
          <w:color w:val="auto"/>
          <w:sz w:val="24"/>
          <w:szCs w:val="24"/>
          <w:lang w:eastAsia="zh-CN"/>
        </w:rPr>
      </w:pPr>
    </w:p>
    <w:p w14:paraId="5AE0A0F3">
      <w:pPr>
        <w:pageBreakBefore w:val="0"/>
        <w:kinsoku/>
        <w:wordWrap w:val="0"/>
        <w:overflowPunct/>
        <w:topLinePunct w:val="0"/>
        <w:autoSpaceDE/>
        <w:autoSpaceDN/>
        <w:bidi w:val="0"/>
        <w:adjustRightInd/>
        <w:snapToGrid/>
        <w:spacing w:line="620" w:lineRule="exact"/>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采购合同</w:t>
      </w:r>
    </w:p>
    <w:p w14:paraId="1EF25244">
      <w:pPr>
        <w:pageBreakBefore w:val="0"/>
        <w:kinsoku/>
        <w:wordWrap w:val="0"/>
        <w:overflowPunct/>
        <w:topLinePunct w:val="0"/>
        <w:autoSpaceDE/>
        <w:autoSpaceDN/>
        <w:bidi w:val="0"/>
        <w:adjustRightInd/>
        <w:snapToGrid/>
        <w:spacing w:line="620" w:lineRule="exact"/>
        <w:jc w:val="center"/>
        <w:rPr>
          <w:rFonts w:hint="eastAsia" w:ascii="仿宋" w:hAnsi="仿宋" w:eastAsia="仿宋" w:cs="仿宋"/>
          <w:b/>
          <w:bCs/>
          <w:color w:val="auto"/>
          <w:sz w:val="24"/>
          <w:szCs w:val="24"/>
          <w:lang w:eastAsia="zh-CN"/>
        </w:rPr>
      </w:pPr>
    </w:p>
    <w:p w14:paraId="6A025CB0">
      <w:pPr>
        <w:pageBreakBefore w:val="0"/>
        <w:kinsoku/>
        <w:wordWrap w:val="0"/>
        <w:overflowPunct/>
        <w:topLinePunct w:val="0"/>
        <w:autoSpaceDE/>
        <w:autoSpaceDN/>
        <w:bidi w:val="0"/>
        <w:adjustRightInd/>
        <w:snapToGrid/>
        <w:spacing w:line="620" w:lineRule="exact"/>
        <w:jc w:val="center"/>
        <w:rPr>
          <w:rFonts w:hint="eastAsia" w:ascii="仿宋" w:hAnsi="仿宋" w:eastAsia="仿宋" w:cs="仿宋"/>
          <w:b/>
          <w:bCs/>
          <w:color w:val="auto"/>
          <w:sz w:val="24"/>
          <w:szCs w:val="24"/>
          <w:u w:val="single"/>
          <w:lang w:eastAsia="zh-CN"/>
        </w:rPr>
      </w:pPr>
      <w:r>
        <w:rPr>
          <w:rFonts w:hint="eastAsia" w:ascii="仿宋" w:hAnsi="仿宋" w:eastAsia="仿宋" w:cs="仿宋"/>
          <w:b/>
          <w:bCs/>
          <w:color w:val="auto"/>
          <w:sz w:val="24"/>
          <w:szCs w:val="24"/>
          <w:lang w:eastAsia="zh-CN"/>
        </w:rPr>
        <w:t>甲方：</w:t>
      </w:r>
      <w:r>
        <w:rPr>
          <w:rFonts w:hint="eastAsia" w:ascii="仿宋" w:hAnsi="仿宋" w:eastAsia="仿宋" w:cs="仿宋"/>
          <w:b/>
          <w:bCs/>
          <w:color w:val="auto"/>
          <w:sz w:val="24"/>
          <w:szCs w:val="24"/>
          <w:u w:val="single"/>
          <w:lang w:eastAsia="zh-CN"/>
        </w:rPr>
        <w:t>乌鲁木齐市疾病预防控制中心</w:t>
      </w:r>
    </w:p>
    <w:p w14:paraId="7EAEB5E8">
      <w:pPr>
        <w:pageBreakBefore w:val="0"/>
        <w:kinsoku/>
        <w:wordWrap w:val="0"/>
        <w:overflowPunct/>
        <w:topLinePunct w:val="0"/>
        <w:autoSpaceDE/>
        <w:autoSpaceDN/>
        <w:bidi w:val="0"/>
        <w:adjustRightInd/>
        <w:snapToGrid/>
        <w:spacing w:line="620" w:lineRule="exact"/>
        <w:jc w:val="center"/>
        <w:rPr>
          <w:rFonts w:hint="eastAsia" w:ascii="仿宋" w:hAnsi="仿宋" w:eastAsia="仿宋" w:cs="仿宋"/>
          <w:b/>
          <w:bCs/>
          <w:color w:val="auto"/>
          <w:sz w:val="24"/>
          <w:szCs w:val="24"/>
          <w:u w:val="single"/>
          <w:lang w:eastAsia="zh-CN"/>
        </w:rPr>
      </w:pPr>
      <w:r>
        <w:rPr>
          <w:rFonts w:hint="eastAsia" w:ascii="仿宋" w:hAnsi="仿宋" w:eastAsia="仿宋" w:cs="仿宋"/>
          <w:b/>
          <w:bCs/>
          <w:color w:val="auto"/>
          <w:sz w:val="24"/>
          <w:szCs w:val="24"/>
          <w:u w:val="single"/>
          <w:lang w:val="en-US" w:eastAsia="zh-CN"/>
        </w:rPr>
        <w:t xml:space="preserve">   </w:t>
      </w:r>
      <w:r>
        <w:rPr>
          <w:rFonts w:hint="eastAsia" w:ascii="仿宋" w:hAnsi="仿宋" w:eastAsia="仿宋" w:cs="仿宋"/>
          <w:b/>
          <w:bCs/>
          <w:color w:val="auto"/>
          <w:sz w:val="24"/>
          <w:szCs w:val="24"/>
          <w:u w:val="single"/>
          <w:lang w:eastAsia="zh-CN"/>
        </w:rPr>
        <w:t>（</w:t>
      </w:r>
      <w:r>
        <w:rPr>
          <w:rFonts w:hint="eastAsia" w:ascii="仿宋" w:hAnsi="仿宋" w:eastAsia="仿宋" w:cs="仿宋"/>
          <w:b/>
          <w:bCs/>
          <w:color w:val="auto"/>
          <w:sz w:val="24"/>
          <w:szCs w:val="24"/>
          <w:u w:val="single"/>
          <w:lang w:val="en-US" w:eastAsia="zh-CN"/>
        </w:rPr>
        <w:t>乌鲁木齐市卫生监督所</w:t>
      </w:r>
      <w:r>
        <w:rPr>
          <w:rFonts w:hint="eastAsia" w:ascii="仿宋" w:hAnsi="仿宋" w:eastAsia="仿宋" w:cs="仿宋"/>
          <w:b/>
          <w:bCs/>
          <w:color w:val="auto"/>
          <w:sz w:val="24"/>
          <w:szCs w:val="24"/>
          <w:u w:val="single"/>
          <w:lang w:eastAsia="zh-CN"/>
        </w:rPr>
        <w:t>）</w:t>
      </w:r>
    </w:p>
    <w:p w14:paraId="0342BB9B">
      <w:pPr>
        <w:pageBreakBefore w:val="0"/>
        <w:kinsoku/>
        <w:wordWrap w:val="0"/>
        <w:overflowPunct/>
        <w:topLinePunct w:val="0"/>
        <w:autoSpaceDE/>
        <w:autoSpaceDN/>
        <w:bidi w:val="0"/>
        <w:adjustRightInd/>
        <w:snapToGrid/>
        <w:spacing w:line="620" w:lineRule="exact"/>
        <w:jc w:val="center"/>
        <w:rPr>
          <w:rFonts w:hint="eastAsia" w:ascii="仿宋" w:hAnsi="仿宋" w:eastAsia="仿宋" w:cs="仿宋"/>
          <w:b/>
          <w:bCs/>
          <w:color w:val="auto"/>
          <w:sz w:val="24"/>
          <w:szCs w:val="24"/>
          <w:u w:val="single"/>
          <w:lang w:eastAsia="zh-CN"/>
        </w:rPr>
      </w:pPr>
    </w:p>
    <w:p w14:paraId="0FA5C3C0">
      <w:pPr>
        <w:jc w:val="center"/>
        <w:rPr>
          <w:rFonts w:hint="eastAsia" w:ascii="仿宋" w:hAnsi="仿宋" w:eastAsia="仿宋" w:cs="仿宋"/>
        </w:rPr>
      </w:pPr>
      <w:r>
        <w:rPr>
          <w:rFonts w:hint="eastAsia" w:ascii="仿宋" w:hAnsi="仿宋" w:eastAsia="仿宋" w:cs="仿宋"/>
          <w:b/>
          <w:bCs/>
          <w:color w:val="auto"/>
          <w:sz w:val="24"/>
          <w:szCs w:val="24"/>
          <w:lang w:eastAsia="zh-CN"/>
        </w:rPr>
        <w:t>乙方：</w:t>
      </w:r>
      <w:r>
        <w:rPr>
          <w:rFonts w:hint="eastAsia" w:ascii="仿宋" w:hAnsi="仿宋" w:eastAsia="仿宋" w:cs="仿宋"/>
          <w:b/>
          <w:bCs/>
          <w:color w:val="auto"/>
          <w:sz w:val="24"/>
          <w:szCs w:val="24"/>
          <w:u w:val="single"/>
          <w:lang w:val="en-US" w:eastAsia="zh-CN"/>
        </w:rPr>
        <w:t xml:space="preserve">                   公司</w:t>
      </w:r>
    </w:p>
    <w:p w14:paraId="223BFA05">
      <w:pPr>
        <w:jc w:val="center"/>
        <w:rPr>
          <w:rFonts w:hint="eastAsia" w:ascii="仿宋" w:hAnsi="仿宋" w:eastAsia="仿宋" w:cs="仿宋"/>
        </w:rPr>
      </w:pPr>
    </w:p>
    <w:p w14:paraId="3482BF48">
      <w:pPr>
        <w:keepNext w:val="0"/>
        <w:keepLines w:val="0"/>
        <w:pageBreakBefore w:val="0"/>
        <w:widowControl w:val="0"/>
        <w:kinsoku/>
        <w:wordWrap w:val="0"/>
        <w:overflowPunct/>
        <w:topLinePunct w:val="0"/>
        <w:autoSpaceDE/>
        <w:autoSpaceDN/>
        <w:bidi w:val="0"/>
        <w:adjustRightInd/>
        <w:snapToGrid/>
        <w:spacing w:line="660" w:lineRule="exact"/>
        <w:jc w:val="center"/>
        <w:textAlignment w:val="auto"/>
        <w:rPr>
          <w:rFonts w:hint="eastAsia" w:ascii="仿宋" w:hAnsi="仿宋" w:eastAsia="仿宋" w:cs="仿宋"/>
          <w:b/>
          <w:bCs/>
          <w:color w:val="auto"/>
          <w:sz w:val="24"/>
          <w:szCs w:val="24"/>
          <w:u w:val="none"/>
          <w:lang w:val="en-US" w:eastAsia="zh-CN"/>
        </w:rPr>
      </w:pPr>
      <w:r>
        <w:rPr>
          <w:rFonts w:hint="eastAsia" w:ascii="仿宋" w:hAnsi="仿宋" w:eastAsia="仿宋" w:cs="仿宋"/>
          <w:b/>
          <w:bCs/>
          <w:color w:val="auto"/>
          <w:sz w:val="24"/>
          <w:szCs w:val="24"/>
          <w:lang w:eastAsia="zh-CN"/>
        </w:rPr>
        <w:t>合同内容：</w:t>
      </w:r>
    </w:p>
    <w:p w14:paraId="79C83972">
      <w:pPr>
        <w:keepNext w:val="0"/>
        <w:keepLines w:val="0"/>
        <w:pageBreakBefore w:val="0"/>
        <w:widowControl w:val="0"/>
        <w:kinsoku/>
        <w:wordWrap w:val="0"/>
        <w:overflowPunct/>
        <w:topLinePunct w:val="0"/>
        <w:autoSpaceDE/>
        <w:autoSpaceDN/>
        <w:bidi w:val="0"/>
        <w:adjustRightInd/>
        <w:snapToGrid/>
        <w:spacing w:line="660" w:lineRule="exact"/>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02</w:t>
      </w: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rPr>
        <w:t>年</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月</w:t>
      </w:r>
    </w:p>
    <w:p w14:paraId="42B9D5B1">
      <w:pPr>
        <w:rPr>
          <w:rFonts w:hint="eastAsia" w:ascii="仿宋" w:hAnsi="仿宋" w:eastAsia="仿宋" w:cs="仿宋"/>
        </w:rPr>
      </w:pPr>
    </w:p>
    <w:p w14:paraId="76B608AB">
      <w:pPr>
        <w:rPr>
          <w:rFonts w:hint="eastAsia" w:ascii="仿宋" w:hAnsi="仿宋" w:eastAsia="仿宋" w:cs="仿宋"/>
        </w:rPr>
      </w:pPr>
      <w:r>
        <w:rPr>
          <w:rFonts w:hint="eastAsia" w:ascii="仿宋" w:hAnsi="仿宋" w:eastAsia="仿宋" w:cs="仿宋"/>
        </w:rPr>
        <w:br w:type="page"/>
      </w:r>
    </w:p>
    <w:p w14:paraId="4B1B7369">
      <w:pPr>
        <w:pStyle w:val="38"/>
        <w:keepNext/>
        <w:keepLines/>
        <w:spacing w:line="360" w:lineRule="auto"/>
        <w:rPr>
          <w:rFonts w:hint="eastAsia" w:ascii="仿宋" w:hAnsi="仿宋" w:eastAsia="仿宋" w:cs="仿宋"/>
          <w:color w:val="auto"/>
        </w:rPr>
      </w:pPr>
      <w:r>
        <w:rPr>
          <w:rFonts w:hint="eastAsia" w:ascii="仿宋" w:hAnsi="仿宋" w:eastAsia="仿宋" w:cs="仿宋"/>
          <w:color w:val="auto"/>
        </w:rPr>
        <w:t>釆购合同</w:t>
      </w:r>
    </w:p>
    <w:p w14:paraId="16DAB7C6">
      <w:pPr>
        <w:pStyle w:val="38"/>
        <w:keepNext/>
        <w:keepLines/>
        <w:spacing w:line="360" w:lineRule="auto"/>
        <w:rPr>
          <w:rFonts w:hint="eastAsia" w:ascii="仿宋" w:hAnsi="仿宋" w:eastAsia="仿宋" w:cs="仿宋"/>
          <w:color w:val="auto"/>
        </w:rPr>
      </w:pPr>
    </w:p>
    <w:p w14:paraId="2600314F">
      <w:pPr>
        <w:pStyle w:val="51"/>
        <w:spacing w:line="360" w:lineRule="auto"/>
        <w:ind w:firstLine="400"/>
        <w:rPr>
          <w:rFonts w:hint="eastAsia" w:ascii="仿宋" w:hAnsi="仿宋" w:eastAsia="仿宋" w:cs="仿宋"/>
          <w:color w:val="auto"/>
          <w:sz w:val="24"/>
          <w:szCs w:val="24"/>
        </w:rPr>
      </w:pPr>
      <w:r>
        <w:rPr>
          <w:rFonts w:hint="eastAsia" w:ascii="仿宋" w:hAnsi="仿宋" w:eastAsia="仿宋" w:cs="仿宋"/>
          <w:color w:val="auto"/>
          <w:sz w:val="24"/>
          <w:szCs w:val="24"/>
        </w:rPr>
        <w:t>甲方（采购方）：</w:t>
      </w:r>
      <w:r>
        <w:rPr>
          <w:rFonts w:hint="eastAsia" w:ascii="仿宋" w:hAnsi="仿宋" w:eastAsia="仿宋" w:cs="仿宋"/>
          <w:color w:val="auto"/>
          <w:sz w:val="24"/>
          <w:szCs w:val="24"/>
          <w:lang w:eastAsia="zh-CN"/>
        </w:rPr>
        <w:t>乌鲁木齐市疾病预防控制中心（</w:t>
      </w:r>
      <w:r>
        <w:rPr>
          <w:rFonts w:hint="eastAsia" w:ascii="仿宋" w:hAnsi="仿宋" w:eastAsia="仿宋" w:cs="仿宋"/>
          <w:color w:val="auto"/>
          <w:sz w:val="24"/>
          <w:szCs w:val="24"/>
          <w:lang w:val="en-US" w:eastAsia="zh-CN"/>
        </w:rPr>
        <w:t>乌鲁木齐市卫生监督所</w:t>
      </w:r>
      <w:r>
        <w:rPr>
          <w:rFonts w:hint="eastAsia" w:ascii="仿宋" w:hAnsi="仿宋" w:eastAsia="仿宋" w:cs="仿宋"/>
          <w:color w:val="auto"/>
          <w:sz w:val="24"/>
          <w:szCs w:val="24"/>
          <w:lang w:eastAsia="zh-CN"/>
        </w:rPr>
        <w:t>）</w:t>
      </w:r>
    </w:p>
    <w:p w14:paraId="38FBE45B">
      <w:pPr>
        <w:pStyle w:val="51"/>
        <w:spacing w:line="360" w:lineRule="auto"/>
        <w:ind w:firstLine="400"/>
        <w:rPr>
          <w:rFonts w:hint="eastAsia" w:ascii="仿宋" w:hAnsi="仿宋" w:eastAsia="仿宋" w:cs="仿宋"/>
          <w:color w:val="auto"/>
          <w:sz w:val="24"/>
          <w:szCs w:val="24"/>
        </w:rPr>
      </w:pPr>
      <w:r>
        <w:rPr>
          <w:rFonts w:hint="eastAsia" w:ascii="仿宋" w:hAnsi="仿宋" w:eastAsia="仿宋" w:cs="仿宋"/>
          <w:color w:val="auto"/>
          <w:sz w:val="24"/>
          <w:szCs w:val="24"/>
        </w:rPr>
        <w:t>乙方（供应方）：</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公司</w:t>
      </w:r>
    </w:p>
    <w:p w14:paraId="7E2BE79F">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lang w:eastAsia="zh-CN"/>
        </w:rPr>
      </w:pPr>
      <w:r>
        <w:rPr>
          <w:rFonts w:hint="eastAsia" w:ascii="仿宋" w:hAnsi="仿宋" w:eastAsia="仿宋" w:cs="仿宋"/>
          <w:snapToGrid w:val="0"/>
          <w:color w:val="auto"/>
          <w:spacing w:val="20"/>
          <w:sz w:val="24"/>
          <w:szCs w:val="24"/>
        </w:rPr>
        <w:t>根据《中华人民共和国政府采购法》、《中华人民共和国</w:t>
      </w:r>
      <w:r>
        <w:rPr>
          <w:rFonts w:hint="eastAsia" w:ascii="仿宋" w:hAnsi="仿宋" w:eastAsia="仿宋" w:cs="仿宋"/>
          <w:snapToGrid w:val="0"/>
          <w:color w:val="auto"/>
          <w:spacing w:val="20"/>
          <w:sz w:val="24"/>
          <w:szCs w:val="24"/>
          <w:lang w:eastAsia="zh-CN"/>
        </w:rPr>
        <w:t>民法</w:t>
      </w:r>
      <w:r>
        <w:rPr>
          <w:rFonts w:hint="eastAsia" w:ascii="仿宋" w:hAnsi="仿宋" w:eastAsia="仿宋" w:cs="仿宋"/>
          <w:snapToGrid w:val="0"/>
          <w:color w:val="auto"/>
          <w:spacing w:val="20"/>
          <w:sz w:val="24"/>
          <w:szCs w:val="24"/>
        </w:rPr>
        <w:t>典》</w:t>
      </w:r>
      <w:r>
        <w:rPr>
          <w:rFonts w:hint="eastAsia" w:ascii="仿宋" w:hAnsi="仿宋" w:eastAsia="仿宋" w:cs="仿宋"/>
          <w:snapToGrid w:val="0"/>
          <w:color w:val="auto"/>
          <w:spacing w:val="20"/>
          <w:sz w:val="24"/>
          <w:szCs w:val="24"/>
          <w:lang w:val="en-US" w:eastAsia="zh-CN"/>
        </w:rPr>
        <w:t>等法律</w:t>
      </w:r>
      <w:r>
        <w:rPr>
          <w:rFonts w:hint="eastAsia" w:ascii="仿宋" w:hAnsi="仿宋" w:eastAsia="仿宋" w:cs="仿宋"/>
          <w:snapToGrid w:val="0"/>
          <w:color w:val="auto"/>
          <w:spacing w:val="20"/>
          <w:sz w:val="24"/>
          <w:szCs w:val="24"/>
        </w:rPr>
        <w:t>, 经双方协商</w:t>
      </w:r>
      <w:r>
        <w:rPr>
          <w:rFonts w:hint="eastAsia" w:ascii="仿宋" w:hAnsi="仿宋" w:eastAsia="仿宋" w:cs="仿宋"/>
          <w:snapToGrid w:val="0"/>
          <w:color w:val="auto"/>
          <w:spacing w:val="20"/>
          <w:sz w:val="24"/>
          <w:szCs w:val="24"/>
          <w:lang w:eastAsia="zh-CN"/>
        </w:rPr>
        <w:t>一</w:t>
      </w:r>
      <w:r>
        <w:rPr>
          <w:rFonts w:hint="eastAsia" w:ascii="仿宋" w:hAnsi="仿宋" w:eastAsia="仿宋" w:cs="仿宋"/>
          <w:snapToGrid w:val="0"/>
          <w:color w:val="auto"/>
          <w:spacing w:val="20"/>
          <w:sz w:val="24"/>
          <w:szCs w:val="24"/>
        </w:rPr>
        <w:t>致，签订本合同。</w:t>
      </w:r>
    </w:p>
    <w:p w14:paraId="3D72FFC4">
      <w:pPr>
        <w:pStyle w:val="51"/>
        <w:keepNext w:val="0"/>
        <w:keepLines w:val="0"/>
        <w:pageBreakBefore w:val="0"/>
        <w:widowControl w:val="0"/>
        <w:kinsoku/>
        <w:wordWrap/>
        <w:overflowPunct/>
        <w:topLinePunct w:val="0"/>
        <w:autoSpaceDE/>
        <w:autoSpaceDN/>
        <w:bidi w:val="0"/>
        <w:adjustRightInd/>
        <w:snapToGrid/>
        <w:spacing w:after="80" w:line="360" w:lineRule="auto"/>
        <w:ind w:left="0" w:leftChars="0" w:firstLine="560" w:firstLineChars="200"/>
        <w:textAlignment w:val="auto"/>
        <w:rPr>
          <w:rFonts w:hint="eastAsia" w:ascii="仿宋" w:hAnsi="仿宋" w:eastAsia="仿宋" w:cs="仿宋"/>
          <w:snapToGrid w:val="0"/>
          <w:color w:val="auto"/>
          <w:spacing w:val="20"/>
          <w:sz w:val="24"/>
          <w:szCs w:val="24"/>
        </w:rPr>
      </w:pPr>
      <w:r>
        <w:rPr>
          <w:rFonts w:hint="eastAsia" w:ascii="仿宋" w:hAnsi="仿宋" w:eastAsia="仿宋" w:cs="仿宋"/>
          <w:b w:val="0"/>
          <w:bCs w:val="0"/>
          <w:snapToGrid w:val="0"/>
          <w:color w:val="auto"/>
          <w:spacing w:val="20"/>
          <w:sz w:val="24"/>
          <w:szCs w:val="24"/>
          <w:lang w:val="en-US" w:eastAsia="zh-CN"/>
        </w:rPr>
        <w:t>1、</w:t>
      </w:r>
      <w:r>
        <w:rPr>
          <w:rFonts w:hint="eastAsia" w:ascii="仿宋" w:hAnsi="仿宋" w:eastAsia="仿宋" w:cs="仿宋"/>
          <w:b w:val="0"/>
          <w:bCs w:val="0"/>
          <w:snapToGrid w:val="0"/>
          <w:color w:val="auto"/>
          <w:spacing w:val="20"/>
          <w:sz w:val="24"/>
          <w:szCs w:val="24"/>
        </w:rPr>
        <w:t>合同标的、规格、数量、单价</w:t>
      </w:r>
      <w:r>
        <w:rPr>
          <w:rFonts w:hint="eastAsia" w:ascii="仿宋" w:hAnsi="仿宋" w:eastAsia="仿宋" w:cs="仿宋"/>
          <w:b w:val="0"/>
          <w:bCs w:val="0"/>
          <w:snapToGrid w:val="0"/>
          <w:color w:val="auto"/>
          <w:spacing w:val="20"/>
          <w:sz w:val="24"/>
          <w:szCs w:val="24"/>
          <w:lang w:eastAsia="zh-CN"/>
        </w:rPr>
        <w:t>、</w:t>
      </w:r>
      <w:r>
        <w:rPr>
          <w:rFonts w:hint="eastAsia" w:ascii="仿宋" w:hAnsi="仿宋" w:eastAsia="仿宋" w:cs="仿宋"/>
          <w:snapToGrid w:val="0"/>
          <w:color w:val="auto"/>
          <w:spacing w:val="20"/>
          <w:sz w:val="24"/>
          <w:szCs w:val="24"/>
        </w:rPr>
        <w:t>乙方负责向甲方供应下表中所列产品</w:t>
      </w:r>
      <w:r>
        <w:rPr>
          <w:rFonts w:hint="eastAsia" w:ascii="仿宋" w:hAnsi="仿宋" w:eastAsia="仿宋" w:cs="仿宋"/>
          <w:snapToGrid w:val="0"/>
          <w:color w:val="auto"/>
          <w:spacing w:val="20"/>
          <w:sz w:val="24"/>
          <w:szCs w:val="24"/>
          <w:lang w:eastAsia="zh-CN"/>
        </w:rPr>
        <w:t>，详见附表</w:t>
      </w:r>
      <w:r>
        <w:rPr>
          <w:rFonts w:hint="eastAsia" w:ascii="仿宋" w:hAnsi="仿宋" w:eastAsia="仿宋" w:cs="仿宋"/>
          <w:snapToGrid w:val="0"/>
          <w:color w:val="auto"/>
          <w:spacing w:val="20"/>
          <w:sz w:val="24"/>
          <w:szCs w:val="24"/>
        </w:rPr>
        <w:t>。</w:t>
      </w:r>
    </w:p>
    <w:p w14:paraId="1A64D153">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rPr>
      </w:pPr>
      <w:bookmarkStart w:id="17" w:name="bookmark4"/>
      <w:r>
        <w:rPr>
          <w:rFonts w:hint="eastAsia" w:ascii="仿宋" w:hAnsi="仿宋" w:eastAsia="仿宋" w:cs="仿宋"/>
          <w:snapToGrid w:val="0"/>
          <w:color w:val="auto"/>
          <w:spacing w:val="20"/>
          <w:sz w:val="24"/>
          <w:szCs w:val="24"/>
          <w:lang w:val="zh-CN" w:eastAsia="zh-CN" w:bidi="zh-CN"/>
        </w:rPr>
        <w:t>2</w:t>
      </w:r>
      <w:bookmarkEnd w:id="17"/>
      <w:r>
        <w:rPr>
          <w:rFonts w:hint="eastAsia" w:ascii="仿宋" w:hAnsi="仿宋" w:eastAsia="仿宋" w:cs="仿宋"/>
          <w:snapToGrid w:val="0"/>
          <w:color w:val="auto"/>
          <w:spacing w:val="20"/>
          <w:sz w:val="24"/>
          <w:szCs w:val="24"/>
          <w:lang w:val="zh-CN" w:eastAsia="zh-CN" w:bidi="zh-CN"/>
        </w:rPr>
        <w:t>、</w:t>
      </w:r>
      <w:r>
        <w:rPr>
          <w:rFonts w:hint="eastAsia" w:ascii="仿宋" w:hAnsi="仿宋" w:eastAsia="仿宋" w:cs="仿宋"/>
          <w:snapToGrid w:val="0"/>
          <w:color w:val="auto"/>
          <w:spacing w:val="20"/>
          <w:sz w:val="24"/>
          <w:szCs w:val="24"/>
        </w:rPr>
        <w:t>合同总价和支付方式</w:t>
      </w:r>
    </w:p>
    <w:p w14:paraId="13265C69">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highlight w:val="none"/>
        </w:rPr>
      </w:pPr>
      <w:r>
        <w:rPr>
          <w:rFonts w:hint="eastAsia" w:ascii="仿宋" w:hAnsi="仿宋" w:eastAsia="仿宋" w:cs="仿宋"/>
          <w:snapToGrid w:val="0"/>
          <w:color w:val="auto"/>
          <w:spacing w:val="20"/>
          <w:sz w:val="24"/>
          <w:szCs w:val="24"/>
          <w:highlight w:val="none"/>
          <w:lang w:val="en-US" w:eastAsia="zh-CN" w:bidi="en-US"/>
        </w:rPr>
        <w:t>2.</w:t>
      </w:r>
      <w:r>
        <w:rPr>
          <w:rFonts w:hint="eastAsia" w:ascii="仿宋" w:hAnsi="仿宋" w:eastAsia="仿宋" w:cs="仿宋"/>
          <w:snapToGrid w:val="0"/>
          <w:color w:val="auto"/>
          <w:spacing w:val="20"/>
          <w:sz w:val="24"/>
          <w:szCs w:val="24"/>
          <w:highlight w:val="none"/>
        </w:rPr>
        <w:t>1合同总价：总价为人民币（大写）：</w:t>
      </w:r>
      <w:r>
        <w:rPr>
          <w:rFonts w:hint="eastAsia" w:ascii="仿宋" w:hAnsi="仿宋" w:eastAsia="仿宋" w:cs="仿宋"/>
          <w:snapToGrid w:val="0"/>
          <w:color w:val="auto"/>
          <w:spacing w:val="20"/>
          <w:w w:val="100"/>
          <w:position w:val="0"/>
          <w:sz w:val="24"/>
          <w:szCs w:val="24"/>
          <w:highlight w:val="none"/>
          <w:u w:val="single"/>
          <w:lang w:val="en-US" w:eastAsia="zh-CN"/>
        </w:rPr>
        <w:t xml:space="preserve">        </w:t>
      </w:r>
      <w:r>
        <w:rPr>
          <w:rFonts w:hint="eastAsia" w:ascii="仿宋" w:hAnsi="仿宋" w:eastAsia="仿宋" w:cs="仿宋"/>
          <w:snapToGrid w:val="0"/>
          <w:color w:val="auto"/>
          <w:spacing w:val="20"/>
          <w:w w:val="100"/>
          <w:position w:val="0"/>
          <w:sz w:val="24"/>
          <w:szCs w:val="24"/>
          <w:highlight w:val="none"/>
          <w:u w:val="single"/>
          <w:lang w:eastAsia="zh-CN"/>
        </w:rPr>
        <w:t>元整</w:t>
      </w:r>
      <w:r>
        <w:rPr>
          <w:rFonts w:hint="eastAsia" w:ascii="仿宋" w:hAnsi="仿宋" w:eastAsia="仿宋" w:cs="仿宋"/>
          <w:snapToGrid w:val="0"/>
          <w:color w:val="auto"/>
          <w:spacing w:val="20"/>
          <w:w w:val="100"/>
          <w:position w:val="0"/>
          <w:sz w:val="24"/>
          <w:szCs w:val="24"/>
          <w:highlight w:val="none"/>
          <w:u w:val="single"/>
          <w:lang w:val="en-US" w:eastAsia="en-US" w:bidi="en-US"/>
        </w:rPr>
        <w:t>（¥</w:t>
      </w:r>
      <w:r>
        <w:rPr>
          <w:rFonts w:hint="eastAsia" w:ascii="仿宋" w:hAnsi="仿宋" w:eastAsia="仿宋" w:cs="仿宋"/>
          <w:snapToGrid w:val="0"/>
          <w:color w:val="auto"/>
          <w:spacing w:val="20"/>
          <w:w w:val="100"/>
          <w:position w:val="0"/>
          <w:sz w:val="24"/>
          <w:szCs w:val="24"/>
          <w:highlight w:val="none"/>
          <w:u w:val="single"/>
          <w:lang w:val="en-US" w:eastAsia="zh-CN" w:bidi="en-US"/>
        </w:rPr>
        <w:t>0.00</w:t>
      </w:r>
      <w:r>
        <w:rPr>
          <w:rFonts w:hint="eastAsia" w:ascii="仿宋" w:hAnsi="仿宋" w:eastAsia="仿宋" w:cs="仿宋"/>
          <w:snapToGrid w:val="0"/>
          <w:color w:val="auto"/>
          <w:spacing w:val="20"/>
          <w:w w:val="100"/>
          <w:position w:val="0"/>
          <w:sz w:val="24"/>
          <w:szCs w:val="24"/>
          <w:highlight w:val="none"/>
          <w:u w:val="single"/>
        </w:rPr>
        <w:t>元）</w:t>
      </w:r>
      <w:r>
        <w:rPr>
          <w:rFonts w:hint="eastAsia" w:ascii="仿宋" w:hAnsi="仿宋" w:eastAsia="仿宋" w:cs="仿宋"/>
          <w:snapToGrid w:val="0"/>
          <w:color w:val="auto"/>
          <w:spacing w:val="20"/>
          <w:sz w:val="24"/>
          <w:szCs w:val="24"/>
          <w:highlight w:val="none"/>
        </w:rPr>
        <w:t>,该合同总金额是</w:t>
      </w:r>
      <w:r>
        <w:rPr>
          <w:rFonts w:hint="eastAsia" w:ascii="仿宋" w:hAnsi="仿宋" w:eastAsia="仿宋" w:cs="仿宋"/>
          <w:snapToGrid w:val="0"/>
          <w:color w:val="auto"/>
          <w:spacing w:val="20"/>
          <w:sz w:val="24"/>
          <w:szCs w:val="24"/>
          <w:highlight w:val="none"/>
          <w:lang w:eastAsia="zh-CN"/>
        </w:rPr>
        <w:t>产品</w:t>
      </w:r>
      <w:r>
        <w:rPr>
          <w:rFonts w:hint="eastAsia" w:ascii="仿宋" w:hAnsi="仿宋" w:eastAsia="仿宋" w:cs="仿宋"/>
          <w:snapToGrid w:val="0"/>
          <w:color w:val="auto"/>
          <w:spacing w:val="20"/>
          <w:sz w:val="24"/>
          <w:szCs w:val="24"/>
          <w:highlight w:val="none"/>
        </w:rPr>
        <w:t>制造、包装、仓储、运输、安装及验收合格之前及保修期与备品备件发生的所有含税费用。合同总价一次包死，不受市场价格变化的影响，并作为结算的唯一依据。</w:t>
      </w:r>
    </w:p>
    <w:p w14:paraId="2770BECA">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highlight w:val="none"/>
          <w:lang w:val="en-US" w:eastAsia="zh-CN"/>
        </w:rPr>
      </w:pPr>
      <w:r>
        <w:rPr>
          <w:rFonts w:hint="eastAsia" w:ascii="仿宋" w:hAnsi="仿宋" w:eastAsia="仿宋" w:cs="仿宋"/>
          <w:snapToGrid w:val="0"/>
          <w:color w:val="auto"/>
          <w:spacing w:val="20"/>
          <w:sz w:val="24"/>
          <w:szCs w:val="24"/>
          <w:highlight w:val="none"/>
          <w:lang w:val="en-US" w:eastAsia="zh-CN"/>
        </w:rPr>
        <w:t>2.2支付金额：</w:t>
      </w:r>
      <w:r>
        <w:rPr>
          <w:rFonts w:hint="eastAsia" w:ascii="仿宋" w:hAnsi="仿宋" w:eastAsia="仿宋" w:cs="仿宋"/>
          <w:snapToGrid w:val="0"/>
          <w:color w:val="auto"/>
          <w:spacing w:val="20"/>
          <w:sz w:val="24"/>
          <w:szCs w:val="24"/>
          <w:highlight w:val="none"/>
        </w:rPr>
        <w:t>人民币（大写）：</w:t>
      </w:r>
      <w:r>
        <w:rPr>
          <w:rFonts w:hint="eastAsia" w:ascii="仿宋" w:hAnsi="仿宋" w:eastAsia="仿宋" w:cs="仿宋"/>
          <w:snapToGrid w:val="0"/>
          <w:color w:val="auto"/>
          <w:spacing w:val="20"/>
          <w:w w:val="100"/>
          <w:position w:val="0"/>
          <w:sz w:val="24"/>
          <w:szCs w:val="24"/>
          <w:highlight w:val="none"/>
          <w:u w:val="single"/>
          <w:lang w:val="en-US" w:eastAsia="zh-CN"/>
        </w:rPr>
        <w:t xml:space="preserve">        </w:t>
      </w:r>
      <w:r>
        <w:rPr>
          <w:rFonts w:hint="eastAsia" w:ascii="仿宋" w:hAnsi="仿宋" w:eastAsia="仿宋" w:cs="仿宋"/>
          <w:snapToGrid w:val="0"/>
          <w:color w:val="auto"/>
          <w:spacing w:val="20"/>
          <w:w w:val="100"/>
          <w:position w:val="0"/>
          <w:sz w:val="24"/>
          <w:szCs w:val="24"/>
          <w:highlight w:val="none"/>
          <w:u w:val="single"/>
          <w:lang w:eastAsia="zh-CN"/>
        </w:rPr>
        <w:t>元整</w:t>
      </w:r>
      <w:r>
        <w:rPr>
          <w:rFonts w:hint="eastAsia" w:ascii="仿宋" w:hAnsi="仿宋" w:eastAsia="仿宋" w:cs="仿宋"/>
          <w:snapToGrid w:val="0"/>
          <w:color w:val="auto"/>
          <w:spacing w:val="20"/>
          <w:w w:val="100"/>
          <w:position w:val="0"/>
          <w:sz w:val="24"/>
          <w:szCs w:val="24"/>
          <w:highlight w:val="none"/>
          <w:u w:val="single"/>
          <w:lang w:val="en-US" w:eastAsia="en-US" w:bidi="en-US"/>
        </w:rPr>
        <w:t>（¥</w:t>
      </w:r>
      <w:r>
        <w:rPr>
          <w:rFonts w:hint="eastAsia" w:ascii="仿宋" w:hAnsi="仿宋" w:eastAsia="仿宋" w:cs="仿宋"/>
          <w:snapToGrid w:val="0"/>
          <w:color w:val="auto"/>
          <w:spacing w:val="20"/>
          <w:w w:val="100"/>
          <w:position w:val="0"/>
          <w:sz w:val="24"/>
          <w:szCs w:val="24"/>
          <w:highlight w:val="none"/>
          <w:u w:val="single"/>
          <w:lang w:val="en-US" w:eastAsia="zh-CN" w:bidi="en-US"/>
        </w:rPr>
        <w:t>0.00</w:t>
      </w:r>
      <w:r>
        <w:rPr>
          <w:rFonts w:hint="eastAsia" w:ascii="仿宋" w:hAnsi="仿宋" w:eastAsia="仿宋" w:cs="仿宋"/>
          <w:snapToGrid w:val="0"/>
          <w:color w:val="auto"/>
          <w:spacing w:val="20"/>
          <w:w w:val="100"/>
          <w:position w:val="0"/>
          <w:sz w:val="24"/>
          <w:szCs w:val="24"/>
          <w:highlight w:val="none"/>
          <w:u w:val="single"/>
        </w:rPr>
        <w:t>元）</w:t>
      </w:r>
    </w:p>
    <w:p w14:paraId="003CC96D">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highlight w:val="none"/>
          <w:u w:val="none"/>
          <w:lang w:val="en-US" w:eastAsia="zh-CN" w:bidi="zh-CN"/>
        </w:rPr>
      </w:pPr>
      <w:bookmarkStart w:id="18" w:name="bookmark5"/>
      <w:bookmarkEnd w:id="18"/>
      <w:r>
        <w:rPr>
          <w:rFonts w:hint="eastAsia" w:ascii="仿宋" w:hAnsi="仿宋" w:eastAsia="仿宋" w:cs="仿宋"/>
          <w:snapToGrid w:val="0"/>
          <w:color w:val="auto"/>
          <w:spacing w:val="20"/>
          <w:sz w:val="24"/>
          <w:szCs w:val="24"/>
          <w:highlight w:val="none"/>
          <w:lang w:val="zh-CN" w:eastAsia="zh-CN" w:bidi="zh-CN"/>
        </w:rPr>
        <w:t>2.</w:t>
      </w:r>
      <w:r>
        <w:rPr>
          <w:rFonts w:hint="eastAsia" w:ascii="仿宋" w:hAnsi="仿宋" w:eastAsia="仿宋" w:cs="仿宋"/>
          <w:snapToGrid w:val="0"/>
          <w:color w:val="auto"/>
          <w:spacing w:val="20"/>
          <w:sz w:val="24"/>
          <w:szCs w:val="24"/>
          <w:highlight w:val="none"/>
          <w:lang w:val="en-US" w:eastAsia="zh-CN" w:bidi="zh-CN"/>
        </w:rPr>
        <w:t>3</w:t>
      </w:r>
      <w:r>
        <w:rPr>
          <w:rFonts w:hint="eastAsia" w:ascii="仿宋" w:hAnsi="仿宋" w:eastAsia="仿宋" w:cs="仿宋"/>
          <w:snapToGrid w:val="0"/>
          <w:color w:val="auto"/>
          <w:spacing w:val="20"/>
          <w:sz w:val="24"/>
          <w:szCs w:val="24"/>
          <w:highlight w:val="none"/>
          <w:lang w:val="zh-CN" w:eastAsia="zh-CN" w:bidi="zh-CN"/>
        </w:rPr>
        <w:t>支付方式：</w:t>
      </w:r>
      <w:bookmarkStart w:id="19" w:name="bookmark6"/>
      <w:r>
        <w:rPr>
          <w:rFonts w:hint="eastAsia" w:ascii="仿宋" w:hAnsi="仿宋" w:eastAsia="仿宋" w:cs="仿宋"/>
          <w:snapToGrid w:val="0"/>
          <w:color w:val="auto"/>
          <w:spacing w:val="20"/>
          <w:sz w:val="24"/>
          <w:szCs w:val="24"/>
          <w:highlight w:val="none"/>
          <w:lang w:val="en-US" w:eastAsia="zh-CN" w:bidi="zh-CN"/>
        </w:rPr>
        <w:t>甲方按以下第</w:t>
      </w:r>
      <w:r>
        <w:rPr>
          <w:rFonts w:hint="eastAsia" w:ascii="仿宋" w:hAnsi="仿宋" w:eastAsia="仿宋" w:cs="仿宋"/>
          <w:snapToGrid w:val="0"/>
          <w:color w:val="auto"/>
          <w:spacing w:val="20"/>
          <w:sz w:val="24"/>
          <w:szCs w:val="24"/>
          <w:highlight w:val="none"/>
          <w:u w:val="single"/>
          <w:lang w:val="en-US" w:eastAsia="zh-CN" w:bidi="zh-CN"/>
        </w:rPr>
        <w:t xml:space="preserve">     </w:t>
      </w:r>
      <w:r>
        <w:rPr>
          <w:rFonts w:hint="eastAsia" w:ascii="仿宋" w:hAnsi="仿宋" w:eastAsia="仿宋" w:cs="仿宋"/>
          <w:snapToGrid w:val="0"/>
          <w:color w:val="auto"/>
          <w:spacing w:val="20"/>
          <w:sz w:val="24"/>
          <w:szCs w:val="24"/>
          <w:highlight w:val="none"/>
          <w:u w:val="none"/>
          <w:lang w:val="en-US" w:eastAsia="zh-CN" w:bidi="zh-CN"/>
        </w:rPr>
        <w:t>种方式支付合同价款</w:t>
      </w:r>
    </w:p>
    <w:p w14:paraId="48563B3F">
      <w:pPr>
        <w:keepNext w:val="0"/>
        <w:keepLines w:val="0"/>
        <w:widowControl/>
        <w:suppressLineNumbers w:val="0"/>
        <w:spacing w:line="360" w:lineRule="auto"/>
        <w:ind w:firstLine="560" w:firstLineChars="200"/>
        <w:jc w:val="left"/>
        <w:rPr>
          <w:rFonts w:hint="eastAsia" w:ascii="仿宋" w:hAnsi="仿宋" w:eastAsia="仿宋" w:cs="仿宋"/>
          <w:snapToGrid w:val="0"/>
          <w:color w:val="auto"/>
          <w:spacing w:val="20"/>
          <w:sz w:val="24"/>
          <w:szCs w:val="24"/>
          <w:highlight w:val="none"/>
          <w:lang w:val="en-US" w:eastAsia="zh-CN" w:bidi="zh-TW"/>
        </w:rPr>
      </w:pPr>
      <w:r>
        <w:rPr>
          <w:rFonts w:hint="eastAsia" w:ascii="仿宋" w:hAnsi="仿宋" w:eastAsia="仿宋" w:cs="仿宋"/>
          <w:snapToGrid w:val="0"/>
          <w:color w:val="auto"/>
          <w:spacing w:val="20"/>
          <w:sz w:val="24"/>
          <w:szCs w:val="24"/>
          <w:highlight w:val="none"/>
          <w:lang w:val="en-US" w:eastAsia="zh-CN" w:bidi="zh-TW"/>
        </w:rPr>
        <w:t>实行国库集中支付的单位：甲方应根据采购计划确认的资金支付方式，按规定将货款支付给乙方。</w:t>
      </w:r>
    </w:p>
    <w:p w14:paraId="32174E21">
      <w:pPr>
        <w:keepNext w:val="0"/>
        <w:keepLines w:val="0"/>
        <w:widowControl/>
        <w:numPr>
          <w:ilvl w:val="0"/>
          <w:numId w:val="9"/>
        </w:numPr>
        <w:suppressLineNumbers w:val="0"/>
        <w:spacing w:line="360" w:lineRule="auto"/>
        <w:ind w:left="200" w:leftChars="0" w:firstLine="520" w:firstLineChars="0"/>
        <w:jc w:val="left"/>
        <w:rPr>
          <w:rFonts w:hint="eastAsia" w:ascii="仿宋" w:hAnsi="仿宋" w:eastAsia="仿宋" w:cs="仿宋"/>
          <w:snapToGrid w:val="0"/>
          <w:color w:val="auto"/>
          <w:spacing w:val="20"/>
          <w:sz w:val="24"/>
          <w:szCs w:val="24"/>
          <w:highlight w:val="none"/>
          <w:lang w:val="en-US" w:eastAsia="zh-CN" w:bidi="zh-TW"/>
        </w:rPr>
      </w:pPr>
      <w:r>
        <w:rPr>
          <w:rFonts w:hint="eastAsia" w:ascii="仿宋" w:hAnsi="仿宋" w:eastAsia="仿宋" w:cs="仿宋"/>
          <w:snapToGrid w:val="0"/>
          <w:color w:val="auto"/>
          <w:spacing w:val="20"/>
          <w:sz w:val="24"/>
          <w:szCs w:val="24"/>
          <w:highlight w:val="none"/>
          <w:lang w:val="en-US" w:eastAsia="zh-CN" w:bidi="zh-TW"/>
        </w:rPr>
        <w:t>确认“财政直接支付方式”的，甲方在支付手续齐全且财政资金到位后，</w:t>
      </w:r>
      <w:r>
        <w:rPr>
          <w:rFonts w:hint="eastAsia" w:ascii="仿宋" w:hAnsi="仿宋" w:eastAsia="仿宋" w:cs="仿宋"/>
          <w:snapToGrid w:val="0"/>
          <w:color w:val="auto"/>
          <w:spacing w:val="20"/>
          <w:sz w:val="24"/>
          <w:szCs w:val="24"/>
          <w:highlight w:val="none"/>
          <w:u w:val="single"/>
          <w:lang w:val="en-US" w:eastAsia="zh-CN" w:bidi="zh-TW"/>
        </w:rPr>
        <w:t xml:space="preserve">    </w:t>
      </w:r>
      <w:r>
        <w:rPr>
          <w:rFonts w:hint="eastAsia" w:ascii="仿宋" w:hAnsi="仿宋" w:eastAsia="仿宋" w:cs="仿宋"/>
          <w:snapToGrid w:val="0"/>
          <w:color w:val="auto"/>
          <w:spacing w:val="20"/>
          <w:sz w:val="24"/>
          <w:szCs w:val="24"/>
          <w:highlight w:val="none"/>
          <w:lang w:val="en-US" w:eastAsia="zh-CN" w:bidi="zh-TW"/>
        </w:rPr>
        <w:t>工作日内向财政国库支付机构提出申请支付令、办理国库支付手续；财政国库支付机构应在规定时间内（不计入甲方付款期限），将货款支付给乙方；</w:t>
      </w:r>
    </w:p>
    <w:p w14:paraId="2D1963A3">
      <w:pPr>
        <w:keepNext w:val="0"/>
        <w:keepLines w:val="0"/>
        <w:widowControl/>
        <w:numPr>
          <w:ilvl w:val="0"/>
          <w:numId w:val="9"/>
        </w:numPr>
        <w:suppressLineNumbers w:val="0"/>
        <w:spacing w:line="360" w:lineRule="auto"/>
        <w:ind w:left="200" w:leftChars="0" w:firstLine="520" w:firstLineChars="0"/>
        <w:jc w:val="left"/>
        <w:rPr>
          <w:rFonts w:hint="eastAsia" w:ascii="仿宋" w:hAnsi="仿宋" w:eastAsia="仿宋" w:cs="仿宋"/>
          <w:snapToGrid w:val="0"/>
          <w:color w:val="auto"/>
          <w:spacing w:val="20"/>
          <w:sz w:val="24"/>
          <w:szCs w:val="24"/>
          <w:highlight w:val="none"/>
          <w:lang w:val="zh-CN" w:eastAsia="zh-CN" w:bidi="zh-TW"/>
        </w:rPr>
      </w:pPr>
      <w:r>
        <w:rPr>
          <w:rFonts w:hint="eastAsia" w:ascii="仿宋" w:hAnsi="仿宋" w:eastAsia="仿宋" w:cs="仿宋"/>
          <w:snapToGrid w:val="0"/>
          <w:color w:val="auto"/>
          <w:spacing w:val="20"/>
          <w:sz w:val="24"/>
          <w:szCs w:val="24"/>
          <w:highlight w:val="none"/>
          <w:lang w:val="en-US" w:eastAsia="zh-CN" w:bidi="zh-TW"/>
        </w:rPr>
        <w:t>确认“财政授权支付”的，甲方在支付手续齐全且财政资金到位后，</w:t>
      </w:r>
      <w:r>
        <w:rPr>
          <w:rFonts w:hint="eastAsia" w:ascii="仿宋" w:hAnsi="仿宋" w:eastAsia="仿宋" w:cs="仿宋"/>
          <w:snapToGrid w:val="0"/>
          <w:color w:val="auto"/>
          <w:spacing w:val="20"/>
          <w:sz w:val="24"/>
          <w:szCs w:val="24"/>
          <w:highlight w:val="none"/>
          <w:u w:val="single"/>
          <w:lang w:val="en-US" w:eastAsia="zh-CN" w:bidi="zh-TW"/>
        </w:rPr>
        <w:t xml:space="preserve">    </w:t>
      </w:r>
      <w:r>
        <w:rPr>
          <w:rFonts w:hint="eastAsia" w:ascii="仿宋" w:hAnsi="仿宋" w:eastAsia="仿宋" w:cs="仿宋"/>
          <w:snapToGrid w:val="0"/>
          <w:color w:val="auto"/>
          <w:spacing w:val="20"/>
          <w:sz w:val="24"/>
          <w:szCs w:val="24"/>
          <w:highlight w:val="none"/>
          <w:lang w:val="en-US" w:eastAsia="zh-CN" w:bidi="zh-TW"/>
        </w:rPr>
        <w:t xml:space="preserve">工作日内由甲方在规定限期内自行将货款直接支付给乙方。 </w:t>
      </w:r>
    </w:p>
    <w:p w14:paraId="6911CBF6">
      <w:pPr>
        <w:keepNext w:val="0"/>
        <w:keepLines w:val="0"/>
        <w:widowControl/>
        <w:numPr>
          <w:ilvl w:val="0"/>
          <w:numId w:val="9"/>
        </w:numPr>
        <w:suppressLineNumbers w:val="0"/>
        <w:spacing w:line="360" w:lineRule="auto"/>
        <w:ind w:left="200" w:leftChars="0" w:firstLine="520" w:firstLineChars="0"/>
        <w:jc w:val="left"/>
        <w:rPr>
          <w:rFonts w:hint="eastAsia" w:ascii="仿宋" w:hAnsi="仿宋" w:eastAsia="仿宋" w:cs="仿宋"/>
          <w:snapToGrid w:val="0"/>
          <w:color w:val="auto"/>
          <w:spacing w:val="20"/>
          <w:sz w:val="24"/>
          <w:szCs w:val="24"/>
          <w:lang w:val="en-US" w:eastAsia="zh-CN" w:bidi="zh-TW"/>
        </w:rPr>
      </w:pPr>
      <w:r>
        <w:rPr>
          <w:rFonts w:hint="eastAsia" w:ascii="仿宋" w:hAnsi="仿宋" w:eastAsia="仿宋" w:cs="仿宋"/>
          <w:snapToGrid w:val="0"/>
          <w:color w:val="auto"/>
          <w:spacing w:val="20"/>
          <w:sz w:val="24"/>
          <w:szCs w:val="24"/>
          <w:highlight w:val="none"/>
          <w:lang w:val="en-US" w:eastAsia="zh-CN" w:bidi="zh-TW"/>
        </w:rPr>
        <w:t xml:space="preserve">未实行国库集中支付的单位：由甲方在规定期限内自行将货款直接支付给乙方。 </w:t>
      </w:r>
      <w:r>
        <w:rPr>
          <w:rFonts w:hint="eastAsia" w:ascii="仿宋" w:hAnsi="仿宋" w:eastAsia="仿宋" w:cs="仿宋"/>
          <w:snapToGrid w:val="0"/>
          <w:color w:val="auto"/>
          <w:spacing w:val="20"/>
          <w:sz w:val="24"/>
          <w:szCs w:val="24"/>
          <w:lang w:val="en-US" w:eastAsia="zh-CN" w:bidi="zh-TW"/>
        </w:rPr>
        <w:t xml:space="preserve">    </w:t>
      </w:r>
    </w:p>
    <w:p w14:paraId="15551CD3">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lang w:val="zh-CN" w:eastAsia="zh-CN" w:bidi="zh-CN"/>
        </w:rPr>
      </w:pPr>
      <w:r>
        <w:rPr>
          <w:rFonts w:hint="eastAsia" w:ascii="仿宋" w:hAnsi="仿宋" w:eastAsia="仿宋" w:cs="仿宋"/>
          <w:snapToGrid w:val="0"/>
          <w:color w:val="auto"/>
          <w:spacing w:val="20"/>
          <w:sz w:val="24"/>
          <w:szCs w:val="24"/>
          <w:lang w:val="zh-CN" w:eastAsia="zh-CN" w:bidi="zh-CN"/>
        </w:rPr>
        <w:t>3</w:t>
      </w:r>
      <w:bookmarkEnd w:id="19"/>
      <w:r>
        <w:rPr>
          <w:rFonts w:hint="eastAsia" w:ascii="仿宋" w:hAnsi="仿宋" w:eastAsia="仿宋" w:cs="仿宋"/>
          <w:snapToGrid w:val="0"/>
          <w:color w:val="auto"/>
          <w:spacing w:val="20"/>
          <w:sz w:val="24"/>
          <w:szCs w:val="24"/>
          <w:lang w:val="zh-CN" w:eastAsia="zh-CN" w:bidi="zh-CN"/>
        </w:rPr>
        <w:t>、合同组成</w:t>
      </w:r>
    </w:p>
    <w:p w14:paraId="684AA7EA">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lang w:val="zh-CN" w:eastAsia="zh-CN" w:bidi="zh-CN"/>
        </w:rPr>
      </w:pPr>
      <w:r>
        <w:rPr>
          <w:rFonts w:hint="eastAsia" w:ascii="仿宋" w:hAnsi="仿宋" w:eastAsia="仿宋" w:cs="仿宋"/>
          <w:snapToGrid w:val="0"/>
          <w:color w:val="auto"/>
          <w:spacing w:val="20"/>
          <w:sz w:val="24"/>
          <w:szCs w:val="24"/>
          <w:lang w:val="zh-CN" w:eastAsia="zh-CN" w:bidi="zh-CN"/>
        </w:rPr>
        <w:t>技术说明及其它有关合同试剂的特定信息由合同附件说明。所有附件及本项</w:t>
      </w:r>
      <w:r>
        <w:rPr>
          <w:rFonts w:hint="eastAsia" w:ascii="仿宋" w:hAnsi="仿宋" w:eastAsia="仿宋" w:cs="仿宋"/>
          <w:snapToGrid w:val="0"/>
          <w:color w:val="auto"/>
          <w:spacing w:val="20"/>
          <w:sz w:val="24"/>
          <w:szCs w:val="24"/>
          <w:lang w:val="en-US" w:eastAsia="zh-CN" w:bidi="zh-CN"/>
        </w:rPr>
        <w:t>目</w:t>
      </w:r>
      <w:r>
        <w:rPr>
          <w:rFonts w:hint="eastAsia" w:ascii="仿宋" w:hAnsi="仿宋" w:eastAsia="仿宋" w:cs="仿宋"/>
          <w:snapToGrid w:val="0"/>
          <w:color w:val="auto"/>
          <w:spacing w:val="20"/>
          <w:sz w:val="24"/>
          <w:szCs w:val="24"/>
          <w:lang w:val="zh-CN" w:eastAsia="zh-CN" w:bidi="zh-CN"/>
        </w:rPr>
        <w:t>的招投标文件、补充协议为本合同的组成部分。</w:t>
      </w:r>
    </w:p>
    <w:p w14:paraId="7C0F338C">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lang w:val="zh-CN" w:eastAsia="zh-CN" w:bidi="zh-CN"/>
        </w:rPr>
      </w:pPr>
      <w:bookmarkStart w:id="20" w:name="bookmark7"/>
      <w:r>
        <w:rPr>
          <w:rFonts w:hint="eastAsia" w:ascii="仿宋" w:hAnsi="仿宋" w:eastAsia="仿宋" w:cs="仿宋"/>
          <w:snapToGrid w:val="0"/>
          <w:color w:val="auto"/>
          <w:spacing w:val="20"/>
          <w:sz w:val="24"/>
          <w:szCs w:val="24"/>
          <w:lang w:val="zh-CN" w:eastAsia="zh-CN" w:bidi="zh-CN"/>
        </w:rPr>
        <w:t>4</w:t>
      </w:r>
      <w:bookmarkEnd w:id="20"/>
      <w:r>
        <w:rPr>
          <w:rFonts w:hint="eastAsia" w:ascii="仿宋" w:hAnsi="仿宋" w:eastAsia="仿宋" w:cs="仿宋"/>
          <w:snapToGrid w:val="0"/>
          <w:color w:val="auto"/>
          <w:spacing w:val="20"/>
          <w:sz w:val="24"/>
          <w:szCs w:val="24"/>
          <w:lang w:val="zh-CN" w:eastAsia="zh-CN" w:bidi="zh-CN"/>
        </w:rPr>
        <w:t>、乙方所提供的产品，必须符合国家标准及环保要求、国家卫健委对使用试剂的相关规定及甲方的技术要求，并提供产品的出厂测试报告。</w:t>
      </w:r>
      <w:r>
        <w:rPr>
          <w:rFonts w:hint="eastAsia" w:ascii="仿宋" w:hAnsi="仿宋" w:eastAsia="仿宋" w:cs="仿宋"/>
          <w:snapToGrid w:val="0"/>
          <w:color w:val="auto"/>
          <w:spacing w:val="20"/>
          <w:sz w:val="24"/>
          <w:szCs w:val="24"/>
        </w:rPr>
        <w:t>因乙方产品发生知识产权纠纷、质量问题导致的产品被监管部门没收、罚款或召回及因第三方主张民事权利等造成的甲方经济损失和相关费用均由乙方承担</w:t>
      </w:r>
      <w:r>
        <w:rPr>
          <w:rFonts w:hint="eastAsia" w:ascii="仿宋" w:hAnsi="仿宋" w:eastAsia="仿宋" w:cs="仿宋"/>
          <w:snapToGrid w:val="0"/>
          <w:color w:val="auto"/>
          <w:spacing w:val="20"/>
          <w:sz w:val="24"/>
          <w:szCs w:val="24"/>
          <w:lang w:val="zh-CN" w:eastAsia="zh-CN" w:bidi="zh-CN"/>
        </w:rPr>
        <w:t>。</w:t>
      </w:r>
    </w:p>
    <w:p w14:paraId="4AE15BBA">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lang w:val="zh-CN" w:eastAsia="zh-CN" w:bidi="zh-CN"/>
        </w:rPr>
      </w:pPr>
      <w:bookmarkStart w:id="21" w:name="bookmark8"/>
      <w:r>
        <w:rPr>
          <w:rFonts w:hint="eastAsia" w:ascii="仿宋" w:hAnsi="仿宋" w:eastAsia="仿宋" w:cs="仿宋"/>
          <w:snapToGrid w:val="0"/>
          <w:color w:val="auto"/>
          <w:spacing w:val="20"/>
          <w:sz w:val="24"/>
          <w:szCs w:val="24"/>
          <w:lang w:val="zh-CN" w:eastAsia="zh-CN" w:bidi="zh-CN"/>
        </w:rPr>
        <w:t>5</w:t>
      </w:r>
      <w:bookmarkEnd w:id="21"/>
      <w:r>
        <w:rPr>
          <w:rFonts w:hint="eastAsia" w:ascii="仿宋" w:hAnsi="仿宋" w:eastAsia="仿宋" w:cs="仿宋"/>
          <w:snapToGrid w:val="0"/>
          <w:color w:val="auto"/>
          <w:spacing w:val="20"/>
          <w:sz w:val="24"/>
          <w:szCs w:val="24"/>
          <w:lang w:val="zh-CN" w:eastAsia="zh-CN" w:bidi="zh-CN"/>
        </w:rPr>
        <w:t>、合同产品包装、交货、安装、调试及验收</w:t>
      </w:r>
    </w:p>
    <w:p w14:paraId="6D555DEA">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lang w:val="zh-CN" w:eastAsia="zh-CN" w:bidi="zh-CN"/>
        </w:rPr>
      </w:pPr>
      <w:r>
        <w:rPr>
          <w:rFonts w:hint="eastAsia" w:ascii="仿宋" w:hAnsi="仿宋" w:eastAsia="仿宋" w:cs="仿宋"/>
          <w:snapToGrid w:val="0"/>
          <w:color w:val="auto"/>
          <w:spacing w:val="20"/>
          <w:sz w:val="24"/>
          <w:szCs w:val="24"/>
          <w:lang w:val="en-US" w:eastAsia="zh-CN" w:bidi="zh-CN"/>
        </w:rPr>
        <w:t>5.1</w:t>
      </w:r>
      <w:r>
        <w:rPr>
          <w:rFonts w:hint="eastAsia" w:ascii="仿宋" w:hAnsi="仿宋" w:eastAsia="仿宋" w:cs="仿宋"/>
          <w:snapToGrid w:val="0"/>
          <w:color w:val="auto"/>
          <w:spacing w:val="20"/>
          <w:sz w:val="24"/>
          <w:szCs w:val="24"/>
          <w:lang w:val="zh-CN" w:eastAsia="zh-CN" w:bidi="zh-CN"/>
        </w:rPr>
        <w:t>合同产品的包装：产品的包装为原厂包装，应有良好的防湿、防锈、防潮、防雨、防腐及防碰撞的措施。凡由于包装不良造成的损失和由此产生的费用均由乙方承担。</w:t>
      </w:r>
    </w:p>
    <w:p w14:paraId="7513CCB0">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lang w:val="zh-CN" w:eastAsia="zh-CN" w:bidi="zh-CN"/>
        </w:rPr>
      </w:pPr>
      <w:r>
        <w:rPr>
          <w:rFonts w:hint="eastAsia" w:ascii="仿宋" w:hAnsi="仿宋" w:eastAsia="仿宋" w:cs="仿宋"/>
          <w:snapToGrid w:val="0"/>
          <w:color w:val="auto"/>
          <w:spacing w:val="20"/>
          <w:sz w:val="24"/>
          <w:szCs w:val="24"/>
          <w:lang w:val="en-US" w:eastAsia="zh-CN" w:bidi="zh-CN"/>
        </w:rPr>
        <w:t>5.2</w:t>
      </w:r>
      <w:r>
        <w:rPr>
          <w:rFonts w:hint="eastAsia" w:ascii="仿宋" w:hAnsi="仿宋" w:eastAsia="仿宋" w:cs="仿宋"/>
          <w:snapToGrid w:val="0"/>
          <w:color w:val="auto"/>
          <w:spacing w:val="20"/>
          <w:sz w:val="24"/>
          <w:szCs w:val="24"/>
          <w:lang w:val="zh-CN" w:eastAsia="zh-CN" w:bidi="zh-CN"/>
        </w:rPr>
        <w:t>合同产品的交货：</w:t>
      </w:r>
    </w:p>
    <w:p w14:paraId="46D89C16">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lang w:val="zh-CN" w:eastAsia="zh-CN" w:bidi="zh-CN"/>
        </w:rPr>
      </w:pPr>
      <w:r>
        <w:rPr>
          <w:rFonts w:hint="eastAsia" w:ascii="仿宋" w:hAnsi="仿宋" w:eastAsia="仿宋" w:cs="仿宋"/>
          <w:snapToGrid w:val="0"/>
          <w:color w:val="auto"/>
          <w:spacing w:val="20"/>
          <w:sz w:val="24"/>
          <w:szCs w:val="24"/>
          <w:lang w:val="en-US" w:eastAsia="zh-CN" w:bidi="zh-CN"/>
        </w:rPr>
        <w:t>5.2.1</w:t>
      </w:r>
      <w:r>
        <w:rPr>
          <w:rFonts w:hint="eastAsia" w:ascii="仿宋" w:hAnsi="仿宋" w:eastAsia="仿宋" w:cs="仿宋"/>
          <w:snapToGrid w:val="0"/>
          <w:color w:val="auto"/>
          <w:spacing w:val="20"/>
          <w:sz w:val="24"/>
          <w:szCs w:val="24"/>
          <w:lang w:val="zh-CN" w:eastAsia="zh-CN" w:bidi="zh-CN"/>
        </w:rPr>
        <w:t>乙方交货时间：合同签订后</w:t>
      </w:r>
      <w:r>
        <w:rPr>
          <w:rFonts w:hint="eastAsia" w:ascii="仿宋" w:hAnsi="仿宋" w:eastAsia="仿宋" w:cs="仿宋"/>
          <w:snapToGrid w:val="0"/>
          <w:color w:val="auto"/>
          <w:spacing w:val="20"/>
          <w:sz w:val="24"/>
          <w:szCs w:val="24"/>
          <w:u w:val="single"/>
          <w:lang w:val="en-US" w:eastAsia="zh-CN" w:bidi="zh-CN"/>
        </w:rPr>
        <w:t xml:space="preserve">    </w:t>
      </w:r>
      <w:r>
        <w:rPr>
          <w:rFonts w:hint="eastAsia" w:ascii="仿宋" w:hAnsi="仿宋" w:eastAsia="仿宋" w:cs="仿宋"/>
          <w:snapToGrid w:val="0"/>
          <w:color w:val="auto"/>
          <w:spacing w:val="20"/>
          <w:sz w:val="24"/>
          <w:szCs w:val="24"/>
          <w:lang w:val="zh-CN" w:eastAsia="zh-CN" w:bidi="zh-CN"/>
        </w:rPr>
        <w:t>日历天内供货、并验收合格。</w:t>
      </w:r>
    </w:p>
    <w:p w14:paraId="3312714F">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lang w:val="zh-CN" w:eastAsia="zh-CN" w:bidi="zh-CN"/>
        </w:rPr>
      </w:pPr>
      <w:r>
        <w:rPr>
          <w:rFonts w:hint="eastAsia" w:ascii="仿宋" w:hAnsi="仿宋" w:eastAsia="仿宋" w:cs="仿宋"/>
          <w:snapToGrid w:val="0"/>
          <w:color w:val="auto"/>
          <w:spacing w:val="20"/>
          <w:sz w:val="24"/>
          <w:szCs w:val="24"/>
          <w:lang w:val="en-US" w:eastAsia="zh-CN" w:bidi="zh-CN"/>
        </w:rPr>
        <w:t>5.2.2</w:t>
      </w:r>
      <w:r>
        <w:rPr>
          <w:rFonts w:hint="eastAsia" w:ascii="仿宋" w:hAnsi="仿宋" w:eastAsia="仿宋" w:cs="仿宋"/>
          <w:snapToGrid w:val="0"/>
          <w:color w:val="auto"/>
          <w:spacing w:val="20"/>
          <w:sz w:val="24"/>
          <w:szCs w:val="24"/>
          <w:lang w:val="zh-CN" w:eastAsia="zh-CN" w:bidi="zh-CN"/>
        </w:rPr>
        <w:t>乙方交货方式：送货上门，交货地点：甲方指定地点。</w:t>
      </w:r>
    </w:p>
    <w:p w14:paraId="190F83EC">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lang w:val="zh-CN" w:eastAsia="zh-CN" w:bidi="zh-CN"/>
        </w:rPr>
      </w:pPr>
      <w:r>
        <w:rPr>
          <w:rFonts w:hint="eastAsia" w:ascii="仿宋" w:hAnsi="仿宋" w:eastAsia="仿宋" w:cs="仿宋"/>
          <w:snapToGrid w:val="0"/>
          <w:color w:val="auto"/>
          <w:spacing w:val="20"/>
          <w:sz w:val="24"/>
          <w:szCs w:val="24"/>
          <w:lang w:val="en-US" w:eastAsia="zh-CN" w:bidi="zh-CN"/>
        </w:rPr>
        <w:t>5.</w:t>
      </w:r>
      <w:r>
        <w:rPr>
          <w:rFonts w:hint="eastAsia" w:ascii="仿宋" w:hAnsi="仿宋" w:eastAsia="仿宋" w:cs="仿宋"/>
          <w:snapToGrid w:val="0"/>
          <w:color w:val="auto"/>
          <w:spacing w:val="20"/>
          <w:sz w:val="24"/>
          <w:szCs w:val="24"/>
          <w:lang w:val="zh-CN" w:eastAsia="zh-CN" w:bidi="zh-CN"/>
        </w:rPr>
        <w:t>3产品的验收：</w:t>
      </w:r>
    </w:p>
    <w:p w14:paraId="55378ADA">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u w:val="single"/>
          <w:lang w:eastAsia="zh-CN"/>
        </w:rPr>
      </w:pPr>
      <w:r>
        <w:rPr>
          <w:rFonts w:hint="eastAsia" w:ascii="仿宋" w:hAnsi="仿宋" w:eastAsia="仿宋" w:cs="仿宋"/>
          <w:snapToGrid w:val="0"/>
          <w:color w:val="auto"/>
          <w:spacing w:val="20"/>
          <w:sz w:val="24"/>
          <w:szCs w:val="24"/>
          <w:lang w:eastAsia="zh-CN" w:bidi="zh-CN"/>
        </w:rPr>
        <w:t>5.3.1</w:t>
      </w:r>
      <w:r>
        <w:rPr>
          <w:rFonts w:hint="eastAsia" w:ascii="仿宋" w:hAnsi="仿宋" w:eastAsia="仿宋" w:cs="仿宋"/>
          <w:snapToGrid w:val="0"/>
          <w:color w:val="auto"/>
          <w:spacing w:val="20"/>
          <w:sz w:val="24"/>
          <w:szCs w:val="24"/>
          <w:lang w:eastAsia="zh-CN"/>
        </w:rPr>
        <w:t>验收时间：货到现场验收。</w:t>
      </w:r>
    </w:p>
    <w:p w14:paraId="647AE386">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highlight w:val="yellow"/>
          <w:lang w:eastAsia="zh-CN"/>
        </w:rPr>
      </w:pPr>
      <w:r>
        <w:rPr>
          <w:rFonts w:hint="eastAsia" w:ascii="仿宋" w:hAnsi="仿宋" w:eastAsia="仿宋" w:cs="仿宋"/>
          <w:snapToGrid w:val="0"/>
          <w:color w:val="auto"/>
          <w:spacing w:val="20"/>
          <w:sz w:val="24"/>
          <w:szCs w:val="24"/>
          <w:lang w:eastAsia="zh-CN"/>
        </w:rPr>
        <w:t>5.3.2验收方式：验收按照下列要求验收，如</w:t>
      </w:r>
      <w:r>
        <w:rPr>
          <w:rFonts w:hint="eastAsia" w:ascii="仿宋" w:hAnsi="仿宋" w:eastAsia="仿宋" w:cs="仿宋"/>
          <w:snapToGrid w:val="0"/>
          <w:color w:val="auto"/>
          <w:spacing w:val="20"/>
          <w:sz w:val="24"/>
          <w:szCs w:val="24"/>
          <w:lang w:val="en-US" w:eastAsia="zh-CN"/>
        </w:rPr>
        <w:t>出</w:t>
      </w:r>
      <w:r>
        <w:rPr>
          <w:rFonts w:hint="eastAsia" w:ascii="仿宋" w:hAnsi="仿宋" w:eastAsia="仿宋" w:cs="仿宋"/>
          <w:snapToGrid w:val="0"/>
          <w:color w:val="auto"/>
          <w:spacing w:val="20"/>
          <w:sz w:val="24"/>
          <w:szCs w:val="24"/>
          <w:lang w:eastAsia="zh-CN"/>
        </w:rPr>
        <w:t>现不合格产品，乙方应在</w:t>
      </w:r>
      <w:r>
        <w:rPr>
          <w:rFonts w:hint="eastAsia" w:ascii="仿宋" w:hAnsi="仿宋" w:eastAsia="仿宋" w:cs="仿宋"/>
          <w:snapToGrid w:val="0"/>
          <w:color w:val="auto"/>
          <w:spacing w:val="20"/>
          <w:sz w:val="24"/>
          <w:szCs w:val="24"/>
          <w:lang w:val="en-US" w:eastAsia="zh-CN"/>
        </w:rPr>
        <w:t>3日内更换相关产品，否则由此造成的损失由乙方负责。</w:t>
      </w:r>
    </w:p>
    <w:p w14:paraId="4047FF71">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lang w:eastAsia="zh-CN"/>
        </w:rPr>
      </w:pPr>
      <w:r>
        <w:rPr>
          <w:rFonts w:hint="eastAsia" w:ascii="仿宋" w:hAnsi="仿宋" w:eastAsia="仿宋" w:cs="仿宋"/>
          <w:snapToGrid w:val="0"/>
          <w:color w:val="auto"/>
          <w:spacing w:val="20"/>
          <w:sz w:val="24"/>
          <w:szCs w:val="24"/>
        </w:rPr>
        <w:fldChar w:fldCharType="begin"/>
      </w:r>
      <w:r>
        <w:rPr>
          <w:rFonts w:hint="eastAsia" w:ascii="仿宋" w:hAnsi="仿宋" w:eastAsia="仿宋" w:cs="仿宋"/>
          <w:snapToGrid w:val="0"/>
          <w:color w:val="auto"/>
          <w:spacing w:val="20"/>
          <w:sz w:val="24"/>
          <w:szCs w:val="24"/>
          <w:lang w:eastAsia="zh-CN"/>
        </w:rPr>
        <w:instrText xml:space="preserve"> = 1 \* GB2 </w:instrText>
      </w:r>
      <w:r>
        <w:rPr>
          <w:rFonts w:hint="eastAsia" w:ascii="仿宋" w:hAnsi="仿宋" w:eastAsia="仿宋" w:cs="仿宋"/>
          <w:snapToGrid w:val="0"/>
          <w:color w:val="auto"/>
          <w:spacing w:val="20"/>
          <w:sz w:val="24"/>
          <w:szCs w:val="24"/>
        </w:rPr>
        <w:fldChar w:fldCharType="separate"/>
      </w:r>
      <w:r>
        <w:rPr>
          <w:rFonts w:hint="eastAsia" w:ascii="仿宋" w:hAnsi="仿宋" w:eastAsia="仿宋" w:cs="仿宋"/>
          <w:snapToGrid w:val="0"/>
          <w:color w:val="auto"/>
          <w:spacing w:val="20"/>
          <w:sz w:val="24"/>
          <w:szCs w:val="24"/>
          <w:lang w:eastAsia="zh-CN"/>
        </w:rPr>
        <w:t>⑴</w:t>
      </w:r>
      <w:r>
        <w:rPr>
          <w:rFonts w:hint="eastAsia" w:ascii="仿宋" w:hAnsi="仿宋" w:eastAsia="仿宋" w:cs="仿宋"/>
          <w:snapToGrid w:val="0"/>
          <w:color w:val="auto"/>
          <w:spacing w:val="20"/>
          <w:sz w:val="24"/>
          <w:szCs w:val="24"/>
        </w:rPr>
        <w:fldChar w:fldCharType="end"/>
      </w:r>
      <w:r>
        <w:rPr>
          <w:rFonts w:hint="eastAsia" w:ascii="仿宋" w:hAnsi="仿宋" w:eastAsia="仿宋" w:cs="仿宋"/>
          <w:snapToGrid w:val="0"/>
          <w:color w:val="auto"/>
          <w:spacing w:val="20"/>
          <w:sz w:val="24"/>
          <w:szCs w:val="24"/>
          <w:lang w:eastAsia="zh-CN"/>
        </w:rPr>
        <w:t>资料验收：供方交货前应按合同规定的要求，提供相关的技术资料。</w:t>
      </w:r>
    </w:p>
    <w:p w14:paraId="29890491">
      <w:pPr>
        <w:keepNext w:val="0"/>
        <w:keepLines w:val="0"/>
        <w:pageBreakBefore w:val="0"/>
        <w:widowControl w:val="0"/>
        <w:kinsoku/>
        <w:wordWrap/>
        <w:overflowPunct/>
        <w:topLinePunct w:val="0"/>
        <w:autoSpaceDE/>
        <w:autoSpaceDN/>
        <w:bidi w:val="0"/>
        <w:adjustRightInd/>
        <w:snapToGrid/>
        <w:spacing w:line="360" w:lineRule="auto"/>
        <w:ind w:left="210" w:leftChars="100" w:firstLine="560" w:firstLineChars="200"/>
        <w:textAlignment w:val="auto"/>
        <w:rPr>
          <w:rFonts w:hint="eastAsia" w:ascii="仿宋" w:hAnsi="仿宋" w:eastAsia="仿宋" w:cs="仿宋"/>
          <w:snapToGrid w:val="0"/>
          <w:color w:val="auto"/>
          <w:spacing w:val="20"/>
          <w:sz w:val="24"/>
          <w:szCs w:val="24"/>
          <w:highlight w:val="yellow"/>
          <w:lang w:eastAsia="zh-CN"/>
        </w:rPr>
      </w:pPr>
      <w:r>
        <w:rPr>
          <w:rFonts w:hint="eastAsia" w:ascii="仿宋" w:hAnsi="仿宋" w:eastAsia="仿宋" w:cs="仿宋"/>
          <w:snapToGrid w:val="0"/>
          <w:color w:val="auto"/>
          <w:spacing w:val="20"/>
          <w:sz w:val="24"/>
          <w:szCs w:val="24"/>
        </w:rPr>
        <w:fldChar w:fldCharType="begin"/>
      </w:r>
      <w:r>
        <w:rPr>
          <w:rFonts w:hint="eastAsia" w:ascii="仿宋" w:hAnsi="仿宋" w:eastAsia="仿宋" w:cs="仿宋"/>
          <w:snapToGrid w:val="0"/>
          <w:color w:val="auto"/>
          <w:spacing w:val="20"/>
          <w:sz w:val="24"/>
          <w:szCs w:val="24"/>
          <w:lang w:eastAsia="zh-CN"/>
        </w:rPr>
        <w:instrText xml:space="preserve"> = 2 \* GB2 </w:instrText>
      </w:r>
      <w:r>
        <w:rPr>
          <w:rFonts w:hint="eastAsia" w:ascii="仿宋" w:hAnsi="仿宋" w:eastAsia="仿宋" w:cs="仿宋"/>
          <w:snapToGrid w:val="0"/>
          <w:color w:val="auto"/>
          <w:spacing w:val="20"/>
          <w:sz w:val="24"/>
          <w:szCs w:val="24"/>
        </w:rPr>
        <w:fldChar w:fldCharType="separate"/>
      </w:r>
      <w:r>
        <w:rPr>
          <w:rFonts w:hint="eastAsia" w:ascii="仿宋" w:hAnsi="仿宋" w:eastAsia="仿宋" w:cs="仿宋"/>
          <w:snapToGrid w:val="0"/>
          <w:color w:val="auto"/>
          <w:spacing w:val="20"/>
          <w:sz w:val="24"/>
          <w:szCs w:val="24"/>
          <w:lang w:eastAsia="zh-CN"/>
        </w:rPr>
        <w:t>⑵</w:t>
      </w:r>
      <w:r>
        <w:rPr>
          <w:rFonts w:hint="eastAsia" w:ascii="仿宋" w:hAnsi="仿宋" w:eastAsia="仿宋" w:cs="仿宋"/>
          <w:snapToGrid w:val="0"/>
          <w:color w:val="auto"/>
          <w:spacing w:val="20"/>
          <w:sz w:val="24"/>
          <w:szCs w:val="24"/>
        </w:rPr>
        <w:fldChar w:fldCharType="end"/>
      </w:r>
      <w:r>
        <w:rPr>
          <w:rFonts w:hint="eastAsia" w:ascii="仿宋" w:hAnsi="仿宋" w:eastAsia="仿宋" w:cs="仿宋"/>
          <w:snapToGrid w:val="0"/>
          <w:color w:val="auto"/>
          <w:spacing w:val="20"/>
          <w:sz w:val="24"/>
          <w:szCs w:val="24"/>
          <w:lang w:eastAsia="zh-CN"/>
        </w:rPr>
        <w:t>实物验收：包括产品名称、数量、规格和包装等外观形态。</w:t>
      </w:r>
    </w:p>
    <w:p w14:paraId="41735EDA">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lang w:eastAsia="zh-CN"/>
        </w:rPr>
      </w:pPr>
      <w:r>
        <w:rPr>
          <w:rFonts w:hint="eastAsia" w:ascii="仿宋" w:hAnsi="仿宋" w:eastAsia="仿宋" w:cs="仿宋"/>
          <w:snapToGrid w:val="0"/>
          <w:color w:val="auto"/>
          <w:spacing w:val="20"/>
          <w:sz w:val="24"/>
          <w:szCs w:val="24"/>
        </w:rPr>
        <w:fldChar w:fldCharType="begin"/>
      </w:r>
      <w:r>
        <w:rPr>
          <w:rFonts w:hint="eastAsia" w:ascii="仿宋" w:hAnsi="仿宋" w:eastAsia="仿宋" w:cs="仿宋"/>
          <w:snapToGrid w:val="0"/>
          <w:color w:val="auto"/>
          <w:spacing w:val="20"/>
          <w:sz w:val="24"/>
          <w:szCs w:val="24"/>
          <w:lang w:eastAsia="zh-CN"/>
        </w:rPr>
        <w:instrText xml:space="preserve"> = 3 \* GB2 </w:instrText>
      </w:r>
      <w:r>
        <w:rPr>
          <w:rFonts w:hint="eastAsia" w:ascii="仿宋" w:hAnsi="仿宋" w:eastAsia="仿宋" w:cs="仿宋"/>
          <w:snapToGrid w:val="0"/>
          <w:color w:val="auto"/>
          <w:spacing w:val="20"/>
          <w:sz w:val="24"/>
          <w:szCs w:val="24"/>
        </w:rPr>
        <w:fldChar w:fldCharType="separate"/>
      </w:r>
      <w:r>
        <w:rPr>
          <w:rFonts w:hint="eastAsia" w:ascii="仿宋" w:hAnsi="仿宋" w:eastAsia="仿宋" w:cs="仿宋"/>
          <w:snapToGrid w:val="0"/>
          <w:color w:val="auto"/>
          <w:spacing w:val="20"/>
          <w:sz w:val="24"/>
          <w:szCs w:val="24"/>
          <w:lang w:eastAsia="zh-CN"/>
        </w:rPr>
        <w:t>⑶</w:t>
      </w:r>
      <w:r>
        <w:rPr>
          <w:rFonts w:hint="eastAsia" w:ascii="仿宋" w:hAnsi="仿宋" w:eastAsia="仿宋" w:cs="仿宋"/>
          <w:snapToGrid w:val="0"/>
          <w:color w:val="auto"/>
          <w:spacing w:val="20"/>
          <w:sz w:val="24"/>
          <w:szCs w:val="24"/>
        </w:rPr>
        <w:fldChar w:fldCharType="end"/>
      </w:r>
      <w:r>
        <w:rPr>
          <w:rFonts w:hint="eastAsia" w:ascii="仿宋" w:hAnsi="仿宋" w:eastAsia="仿宋" w:cs="仿宋"/>
          <w:snapToGrid w:val="0"/>
          <w:color w:val="auto"/>
          <w:spacing w:val="20"/>
          <w:sz w:val="24"/>
          <w:szCs w:val="24"/>
          <w:lang w:eastAsia="zh-CN"/>
        </w:rPr>
        <w:t>产品质量抽检复核。</w:t>
      </w:r>
    </w:p>
    <w:p w14:paraId="79E8F39A">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lang w:val="zh-CN" w:eastAsia="zh-CN" w:bidi="zh-CN"/>
        </w:rPr>
      </w:pPr>
      <w:r>
        <w:rPr>
          <w:rFonts w:hint="eastAsia" w:ascii="仿宋" w:hAnsi="仿宋" w:eastAsia="仿宋" w:cs="仿宋"/>
          <w:snapToGrid w:val="0"/>
          <w:color w:val="auto"/>
          <w:spacing w:val="20"/>
          <w:sz w:val="24"/>
          <w:szCs w:val="24"/>
          <w:lang w:val="en-US" w:eastAsia="zh-CN" w:bidi="zh-CN"/>
        </w:rPr>
        <w:t>5.3.</w:t>
      </w:r>
      <w:r>
        <w:rPr>
          <w:rFonts w:hint="eastAsia" w:ascii="仿宋" w:hAnsi="仿宋" w:eastAsia="仿宋" w:cs="仿宋"/>
          <w:snapToGrid w:val="0"/>
          <w:color w:val="auto"/>
          <w:spacing w:val="20"/>
          <w:sz w:val="24"/>
          <w:szCs w:val="24"/>
          <w:lang w:val="zh-CN" w:eastAsia="zh-CN" w:bidi="zh-CN"/>
        </w:rPr>
        <w:t>4如果合同产品运输过程中因事故造成货物短缺、损坏，乙方应在事故发生后3天内及时安排换货，以保证合同试剂的成功交货。换货的所有费用和损失由乙方承担。</w:t>
      </w:r>
    </w:p>
    <w:p w14:paraId="0634BE1E">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lang w:val="zh-CN" w:eastAsia="zh-CN" w:bidi="zh-CN"/>
        </w:rPr>
      </w:pPr>
      <w:bookmarkStart w:id="22" w:name="bookmark9"/>
      <w:bookmarkEnd w:id="22"/>
      <w:r>
        <w:rPr>
          <w:rFonts w:hint="eastAsia" w:ascii="仿宋" w:hAnsi="仿宋" w:eastAsia="仿宋" w:cs="仿宋"/>
          <w:snapToGrid w:val="0"/>
          <w:color w:val="auto"/>
          <w:spacing w:val="20"/>
          <w:sz w:val="24"/>
          <w:szCs w:val="24"/>
          <w:lang w:val="en-US" w:eastAsia="zh-CN" w:bidi="zh-CN"/>
        </w:rPr>
        <w:t>5.3.5</w:t>
      </w:r>
      <w:r>
        <w:rPr>
          <w:rFonts w:hint="eastAsia" w:ascii="仿宋" w:hAnsi="仿宋" w:eastAsia="仿宋" w:cs="仿宋"/>
          <w:snapToGrid w:val="0"/>
          <w:color w:val="auto"/>
          <w:spacing w:val="20"/>
          <w:sz w:val="24"/>
          <w:szCs w:val="24"/>
          <w:lang w:val="zh-CN" w:eastAsia="zh-CN" w:bidi="zh-CN"/>
        </w:rPr>
        <w:t>国内产品或合资厂的产品必须具备出厂合格证。</w:t>
      </w:r>
    </w:p>
    <w:p w14:paraId="0BE6C8CB">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lang w:val="zh-CN" w:eastAsia="zh-CN" w:bidi="zh-CN"/>
        </w:rPr>
      </w:pPr>
      <w:r>
        <w:rPr>
          <w:rFonts w:hint="eastAsia" w:ascii="仿宋" w:hAnsi="仿宋" w:eastAsia="仿宋" w:cs="仿宋"/>
          <w:snapToGrid w:val="0"/>
          <w:color w:val="auto"/>
          <w:spacing w:val="20"/>
          <w:sz w:val="24"/>
          <w:szCs w:val="24"/>
          <w:lang w:val="en-US" w:eastAsia="zh-CN" w:bidi="zh-CN"/>
        </w:rPr>
        <w:t>5.3.6</w:t>
      </w:r>
      <w:r>
        <w:rPr>
          <w:rFonts w:hint="eastAsia" w:ascii="仿宋" w:hAnsi="仿宋" w:eastAsia="仿宋" w:cs="仿宋"/>
          <w:snapToGrid w:val="0"/>
          <w:color w:val="auto"/>
          <w:spacing w:val="20"/>
          <w:sz w:val="24"/>
          <w:szCs w:val="24"/>
          <w:lang w:val="zh-CN" w:eastAsia="zh-CN" w:bidi="zh-CN"/>
        </w:rPr>
        <w:t>进口产品必须具备省级（或相当于省级）商检部门的检验证明。</w:t>
      </w:r>
    </w:p>
    <w:p w14:paraId="464540B9">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lang w:eastAsia="zh-CN"/>
        </w:rPr>
      </w:pPr>
      <w:r>
        <w:rPr>
          <w:rFonts w:hint="eastAsia" w:ascii="仿宋" w:hAnsi="仿宋" w:eastAsia="仿宋" w:cs="仿宋"/>
          <w:snapToGrid w:val="0"/>
          <w:color w:val="auto"/>
          <w:spacing w:val="20"/>
          <w:sz w:val="24"/>
          <w:szCs w:val="24"/>
          <w:lang w:val="en-US" w:eastAsia="zh-CN" w:bidi="zh-CN"/>
        </w:rPr>
        <w:t>5.4</w:t>
      </w:r>
      <w:r>
        <w:rPr>
          <w:rFonts w:hint="eastAsia" w:ascii="仿宋" w:hAnsi="仿宋" w:eastAsia="仿宋" w:cs="仿宋"/>
          <w:snapToGrid w:val="0"/>
          <w:color w:val="auto"/>
          <w:spacing w:val="20"/>
          <w:sz w:val="24"/>
          <w:szCs w:val="24"/>
          <w:lang w:val="zh-CN" w:eastAsia="zh-CN" w:bidi="zh-CN"/>
        </w:rPr>
        <w:t>乙方保证合同项下提供的产品不侵犯任何第三方的专利、商标或版权，否则，乙方须承担对第三方的专利或版权的侵权责任并承担因此而发生的所有费用。</w:t>
      </w:r>
      <w:bookmarkStart w:id="23" w:name="bookmark10"/>
    </w:p>
    <w:p w14:paraId="6CDDFEE1">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lang w:val="zh-CN" w:eastAsia="zh-CN" w:bidi="zh-CN"/>
        </w:rPr>
      </w:pPr>
      <w:r>
        <w:rPr>
          <w:rFonts w:hint="eastAsia" w:ascii="仿宋" w:hAnsi="仿宋" w:eastAsia="仿宋" w:cs="仿宋"/>
          <w:snapToGrid w:val="0"/>
          <w:color w:val="auto"/>
          <w:spacing w:val="20"/>
          <w:sz w:val="24"/>
          <w:szCs w:val="24"/>
          <w:lang w:val="zh-CN" w:eastAsia="zh-CN" w:bidi="zh-CN"/>
        </w:rPr>
        <w:t>6</w:t>
      </w:r>
      <w:bookmarkEnd w:id="23"/>
      <w:r>
        <w:rPr>
          <w:rFonts w:hint="eastAsia" w:ascii="仿宋" w:hAnsi="仿宋" w:eastAsia="仿宋" w:cs="仿宋"/>
          <w:snapToGrid w:val="0"/>
          <w:color w:val="auto"/>
          <w:spacing w:val="20"/>
          <w:sz w:val="24"/>
          <w:szCs w:val="24"/>
          <w:lang w:val="zh-CN" w:eastAsia="zh-CN" w:bidi="zh-CN"/>
        </w:rPr>
        <w:t>、质量保证及售后服务</w:t>
      </w:r>
    </w:p>
    <w:p w14:paraId="78237F41">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highlight w:val="none"/>
          <w:lang w:eastAsia="zh-CN"/>
        </w:rPr>
      </w:pPr>
      <w:r>
        <w:rPr>
          <w:rFonts w:hint="eastAsia" w:ascii="仿宋" w:hAnsi="仿宋" w:eastAsia="仿宋" w:cs="仿宋"/>
          <w:snapToGrid w:val="0"/>
          <w:color w:val="auto"/>
          <w:spacing w:val="20"/>
          <w:sz w:val="24"/>
          <w:szCs w:val="24"/>
          <w:lang w:eastAsia="zh-CN" w:bidi="zh-CN"/>
        </w:rPr>
        <w:t>6.1</w:t>
      </w:r>
      <w:r>
        <w:rPr>
          <w:rFonts w:hint="eastAsia" w:ascii="仿宋" w:hAnsi="仿宋" w:eastAsia="仿宋" w:cs="仿宋"/>
          <w:snapToGrid w:val="0"/>
          <w:color w:val="auto"/>
          <w:spacing w:val="20"/>
          <w:sz w:val="24"/>
          <w:szCs w:val="24"/>
          <w:lang w:val="zh-CN" w:eastAsia="zh-CN" w:bidi="zh-CN"/>
        </w:rPr>
        <w:t>乙方保证合同产品是全新、未曾使用过的，其质量、规格及技术特征符合国家标准，</w:t>
      </w:r>
      <w:r>
        <w:rPr>
          <w:rFonts w:hint="eastAsia" w:ascii="仿宋" w:hAnsi="仿宋" w:eastAsia="仿宋" w:cs="仿宋"/>
          <w:snapToGrid w:val="0"/>
          <w:color w:val="auto"/>
          <w:spacing w:val="20"/>
          <w:sz w:val="24"/>
          <w:szCs w:val="24"/>
          <w:lang w:eastAsia="zh-CN"/>
        </w:rPr>
        <w:t>并在各个方面符合合同规定的质量、规格和性能要求。提供的产品和投标文件一致。在规定的质量保证期内，乙方应对任何缺陷负责。除合同中另有规定外，出现上述情况乙方应在收到甲方通知后</w:t>
      </w:r>
      <w:r>
        <w:rPr>
          <w:rFonts w:hint="eastAsia" w:ascii="仿宋" w:hAnsi="仿宋" w:eastAsia="仿宋" w:cs="仿宋"/>
          <w:snapToGrid w:val="0"/>
          <w:color w:val="auto"/>
          <w:spacing w:val="20"/>
          <w:sz w:val="24"/>
          <w:szCs w:val="24"/>
          <w:u w:val="single"/>
          <w:lang w:eastAsia="zh-CN"/>
        </w:rPr>
        <w:t>3</w:t>
      </w:r>
      <w:r>
        <w:rPr>
          <w:rFonts w:hint="eastAsia" w:ascii="仿宋" w:hAnsi="仿宋" w:eastAsia="仿宋" w:cs="仿宋"/>
          <w:snapToGrid w:val="0"/>
          <w:color w:val="auto"/>
          <w:spacing w:val="20"/>
          <w:sz w:val="24"/>
          <w:szCs w:val="24"/>
          <w:lang w:eastAsia="zh-CN"/>
        </w:rPr>
        <w:t>天内，免费负责更换</w:t>
      </w:r>
      <w:r>
        <w:rPr>
          <w:rFonts w:hint="eastAsia" w:ascii="仿宋" w:hAnsi="仿宋" w:eastAsia="仿宋" w:cs="仿宋"/>
          <w:snapToGrid w:val="0"/>
          <w:color w:val="auto"/>
          <w:spacing w:val="20"/>
          <w:sz w:val="24"/>
          <w:szCs w:val="24"/>
          <w:highlight w:val="none"/>
          <w:lang w:eastAsia="zh-CN"/>
        </w:rPr>
        <w:t>新的产品。对造成的损失甲方保留索赔的权利。</w:t>
      </w:r>
    </w:p>
    <w:p w14:paraId="7B18BC7B">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highlight w:val="yellow"/>
          <w:lang w:eastAsia="zh-CN"/>
        </w:rPr>
      </w:pPr>
      <w:r>
        <w:rPr>
          <w:rFonts w:hint="eastAsia" w:ascii="仿宋" w:hAnsi="仿宋" w:eastAsia="仿宋" w:cs="仿宋"/>
          <w:snapToGrid w:val="0"/>
          <w:color w:val="auto"/>
          <w:spacing w:val="20"/>
          <w:sz w:val="24"/>
          <w:szCs w:val="24"/>
          <w:highlight w:val="none"/>
          <w:lang w:eastAsia="zh-CN" w:bidi="zh-CN"/>
        </w:rPr>
        <w:t>6.2</w:t>
      </w:r>
      <w:r>
        <w:rPr>
          <w:rFonts w:hint="eastAsia" w:ascii="仿宋" w:hAnsi="仿宋" w:eastAsia="仿宋" w:cs="仿宋"/>
          <w:snapToGrid w:val="0"/>
          <w:color w:val="auto"/>
          <w:spacing w:val="20"/>
          <w:sz w:val="24"/>
          <w:szCs w:val="24"/>
          <w:lang w:val="zh-CN" w:eastAsia="zh-CN"/>
        </w:rPr>
        <w:t>合同产品质保期不得少于</w:t>
      </w:r>
      <w:r>
        <w:rPr>
          <w:rFonts w:hint="eastAsia" w:ascii="仿宋" w:hAnsi="仿宋" w:eastAsia="仿宋" w:cs="仿宋"/>
          <w:snapToGrid w:val="0"/>
          <w:color w:val="auto"/>
          <w:spacing w:val="20"/>
          <w:sz w:val="24"/>
          <w:szCs w:val="24"/>
          <w:u w:val="single"/>
          <w:lang w:val="en-US" w:eastAsia="zh-CN"/>
        </w:rPr>
        <w:t xml:space="preserve">     </w:t>
      </w:r>
      <w:r>
        <w:rPr>
          <w:rFonts w:hint="eastAsia" w:ascii="仿宋" w:hAnsi="仿宋" w:eastAsia="仿宋" w:cs="仿宋"/>
          <w:snapToGrid w:val="0"/>
          <w:color w:val="auto"/>
          <w:spacing w:val="20"/>
          <w:sz w:val="24"/>
          <w:szCs w:val="24"/>
          <w:lang w:val="en-US" w:eastAsia="zh-CN"/>
        </w:rPr>
        <w:t>个月及以上</w:t>
      </w:r>
      <w:r>
        <w:rPr>
          <w:rFonts w:hint="eastAsia" w:ascii="仿宋" w:hAnsi="仿宋" w:eastAsia="仿宋" w:cs="仿宋"/>
          <w:snapToGrid w:val="0"/>
          <w:color w:val="auto"/>
          <w:spacing w:val="20"/>
          <w:sz w:val="24"/>
          <w:szCs w:val="24"/>
          <w:lang w:val="zh-CN" w:eastAsia="zh-CN"/>
        </w:rPr>
        <w:t>，</w:t>
      </w:r>
      <w:r>
        <w:rPr>
          <w:rFonts w:hint="eastAsia" w:ascii="仿宋" w:hAnsi="仿宋" w:eastAsia="仿宋" w:cs="仿宋"/>
          <w:snapToGrid w:val="0"/>
          <w:color w:val="auto"/>
          <w:spacing w:val="20"/>
          <w:sz w:val="24"/>
          <w:szCs w:val="24"/>
          <w:lang w:eastAsia="zh-CN"/>
        </w:rPr>
        <w:t>自产品最终验收合格之日起至质保期届满且经甲方确认无任何质量问题时止。在质保期内因产品质量造成产品不能</w:t>
      </w:r>
      <w:r>
        <w:rPr>
          <w:rFonts w:hint="eastAsia" w:ascii="仿宋" w:hAnsi="仿宋" w:eastAsia="仿宋" w:cs="仿宋"/>
          <w:snapToGrid w:val="0"/>
          <w:color w:val="auto"/>
          <w:spacing w:val="20"/>
          <w:sz w:val="24"/>
          <w:szCs w:val="24"/>
          <w:highlight w:val="none"/>
          <w:lang w:eastAsia="zh-CN"/>
        </w:rPr>
        <w:t>正常使用，影响不能正常工作时间从质保期扣</w:t>
      </w:r>
      <w:r>
        <w:rPr>
          <w:rFonts w:hint="eastAsia" w:ascii="仿宋" w:hAnsi="仿宋" w:eastAsia="仿宋" w:cs="仿宋"/>
          <w:snapToGrid w:val="0"/>
          <w:color w:val="auto"/>
          <w:spacing w:val="20"/>
          <w:sz w:val="24"/>
          <w:szCs w:val="24"/>
          <w:lang w:eastAsia="zh-CN"/>
        </w:rPr>
        <w:t>除；在质保期内，乙方应对产品出现的质量及安全问题负责处理解决并承担一切费用。</w:t>
      </w:r>
    </w:p>
    <w:p w14:paraId="56AB4394">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lang w:val="zh-CN" w:eastAsia="zh-CN" w:bidi="zh-CN"/>
        </w:rPr>
      </w:pPr>
      <w:r>
        <w:rPr>
          <w:rFonts w:hint="eastAsia" w:ascii="仿宋" w:hAnsi="仿宋" w:eastAsia="仿宋" w:cs="仿宋"/>
          <w:snapToGrid w:val="0"/>
          <w:color w:val="auto"/>
          <w:spacing w:val="20"/>
          <w:sz w:val="24"/>
          <w:szCs w:val="24"/>
          <w:lang w:val="en-US" w:eastAsia="zh-CN" w:bidi="zh-CN"/>
        </w:rPr>
        <w:t>6.3</w:t>
      </w:r>
      <w:r>
        <w:rPr>
          <w:rFonts w:hint="eastAsia" w:ascii="仿宋" w:hAnsi="仿宋" w:eastAsia="仿宋" w:cs="仿宋"/>
          <w:snapToGrid w:val="0"/>
          <w:color w:val="auto"/>
          <w:spacing w:val="20"/>
          <w:sz w:val="24"/>
          <w:szCs w:val="24"/>
          <w:lang w:val="zh-CN" w:eastAsia="zh-CN" w:bidi="zh-CN"/>
        </w:rPr>
        <w:t>因产品的质量问题而发生争议由第三方进行质量鉴定。鉴定费用由</w:t>
      </w:r>
      <w:r>
        <w:rPr>
          <w:rFonts w:hint="eastAsia" w:ascii="仿宋" w:hAnsi="仿宋" w:eastAsia="仿宋" w:cs="仿宋"/>
          <w:snapToGrid w:val="0"/>
          <w:color w:val="auto"/>
          <w:spacing w:val="20"/>
          <w:sz w:val="24"/>
          <w:szCs w:val="24"/>
          <w:lang w:val="en-US" w:eastAsia="zh-CN" w:bidi="zh-CN"/>
        </w:rPr>
        <w:t>乙</w:t>
      </w:r>
      <w:r>
        <w:rPr>
          <w:rFonts w:hint="eastAsia" w:ascii="仿宋" w:hAnsi="仿宋" w:eastAsia="仿宋" w:cs="仿宋"/>
          <w:snapToGrid w:val="0"/>
          <w:color w:val="auto"/>
          <w:spacing w:val="20"/>
          <w:sz w:val="24"/>
          <w:szCs w:val="24"/>
          <w:lang w:val="zh-CN" w:eastAsia="zh-CN" w:bidi="zh-CN"/>
        </w:rPr>
        <w:t>方承担。</w:t>
      </w:r>
    </w:p>
    <w:p w14:paraId="003E743D">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lang w:val="zh-CN" w:eastAsia="zh-CN" w:bidi="zh-CN"/>
        </w:rPr>
      </w:pPr>
      <w:r>
        <w:rPr>
          <w:rFonts w:hint="eastAsia" w:ascii="仿宋" w:hAnsi="仿宋" w:eastAsia="仿宋" w:cs="仿宋"/>
          <w:snapToGrid w:val="0"/>
          <w:color w:val="auto"/>
          <w:spacing w:val="20"/>
          <w:sz w:val="24"/>
          <w:szCs w:val="24"/>
          <w:lang w:val="en-US" w:eastAsia="zh-CN" w:bidi="zh-CN"/>
        </w:rPr>
        <w:t>6.4</w:t>
      </w:r>
      <w:r>
        <w:rPr>
          <w:rFonts w:hint="eastAsia" w:ascii="仿宋" w:hAnsi="仿宋" w:eastAsia="仿宋" w:cs="仿宋"/>
          <w:snapToGrid w:val="0"/>
          <w:color w:val="auto"/>
          <w:spacing w:val="20"/>
          <w:sz w:val="24"/>
          <w:szCs w:val="24"/>
          <w:lang w:val="zh-CN" w:eastAsia="zh-CN" w:bidi="zh-CN"/>
        </w:rPr>
        <w:t>乙方为甲方提供操作及维护培训，主要内容为产品的基本结构性能、主要部件的构造及原理，日常使用操作、保养与管理，常见故障的排除，紧急情况的处理等，培训地点主要在试剂安装现场或按甲乙双方协商安排。</w:t>
      </w:r>
    </w:p>
    <w:p w14:paraId="203EB9AA">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lang w:val="zh-CN" w:eastAsia="zh-CN" w:bidi="zh-CN"/>
        </w:rPr>
      </w:pPr>
      <w:r>
        <w:rPr>
          <w:rFonts w:hint="eastAsia" w:ascii="仿宋" w:hAnsi="仿宋" w:eastAsia="仿宋" w:cs="仿宋"/>
          <w:snapToGrid w:val="0"/>
          <w:color w:val="auto"/>
          <w:spacing w:val="20"/>
          <w:sz w:val="24"/>
          <w:szCs w:val="24"/>
          <w:lang w:val="en-US" w:eastAsia="zh-CN" w:bidi="zh-CN"/>
        </w:rPr>
        <w:t>6.5</w:t>
      </w:r>
      <w:r>
        <w:rPr>
          <w:rFonts w:hint="eastAsia" w:ascii="仿宋" w:hAnsi="仿宋" w:eastAsia="仿宋" w:cs="仿宋"/>
          <w:snapToGrid w:val="0"/>
          <w:color w:val="auto"/>
          <w:spacing w:val="20"/>
          <w:sz w:val="24"/>
          <w:szCs w:val="24"/>
          <w:highlight w:val="none"/>
          <w:lang w:val="zh-CN" w:eastAsia="zh-CN" w:bidi="zh-CN"/>
        </w:rPr>
        <w:t>产品出现质量问题时，如因甲方原因造成破</w:t>
      </w:r>
      <w:r>
        <w:rPr>
          <w:rFonts w:hint="eastAsia" w:ascii="仿宋" w:hAnsi="仿宋" w:eastAsia="仿宋" w:cs="仿宋"/>
          <w:snapToGrid w:val="0"/>
          <w:color w:val="auto"/>
          <w:spacing w:val="20"/>
          <w:sz w:val="24"/>
          <w:szCs w:val="24"/>
          <w:lang w:val="zh-CN" w:eastAsia="zh-CN" w:bidi="zh-CN"/>
        </w:rPr>
        <w:t>损、无法使用的，由甲方自行承担；乙方应主动给予甲方进行维修、换货、退货、赔偿等工作。</w:t>
      </w:r>
    </w:p>
    <w:p w14:paraId="054BB570">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highlight w:val="none"/>
          <w:lang w:val="zh-CN" w:eastAsia="zh-CN" w:bidi="zh-CN"/>
        </w:rPr>
      </w:pPr>
      <w:r>
        <w:rPr>
          <w:rFonts w:hint="eastAsia" w:ascii="仿宋" w:hAnsi="仿宋" w:eastAsia="仿宋" w:cs="仿宋"/>
          <w:snapToGrid w:val="0"/>
          <w:color w:val="auto"/>
          <w:spacing w:val="20"/>
          <w:sz w:val="24"/>
          <w:szCs w:val="24"/>
          <w:lang w:val="en-US" w:eastAsia="zh-CN" w:bidi="zh-CN"/>
        </w:rPr>
        <w:t>6.6</w:t>
      </w:r>
      <w:r>
        <w:rPr>
          <w:rFonts w:hint="eastAsia" w:ascii="仿宋" w:hAnsi="仿宋" w:eastAsia="仿宋" w:cs="仿宋"/>
          <w:snapToGrid w:val="0"/>
          <w:color w:val="auto"/>
          <w:spacing w:val="20"/>
          <w:sz w:val="24"/>
          <w:szCs w:val="24"/>
          <w:highlight w:val="none"/>
          <w:lang w:val="zh-CN" w:eastAsia="zh-CN" w:bidi="zh-CN"/>
        </w:rPr>
        <w:t>产品在使用过程中乙方不能按时供货或连续出现产品问题</w:t>
      </w:r>
      <w:r>
        <w:rPr>
          <w:rFonts w:hint="eastAsia" w:ascii="仿宋" w:hAnsi="仿宋" w:eastAsia="仿宋" w:cs="仿宋"/>
          <w:snapToGrid w:val="0"/>
          <w:color w:val="auto"/>
          <w:spacing w:val="20"/>
          <w:sz w:val="24"/>
          <w:szCs w:val="24"/>
          <w:highlight w:val="none"/>
          <w:lang w:eastAsia="zh-CN"/>
        </w:rPr>
        <w:t>，</w:t>
      </w:r>
      <w:r>
        <w:rPr>
          <w:rFonts w:hint="eastAsia" w:ascii="仿宋" w:hAnsi="仿宋" w:eastAsia="仿宋" w:cs="仿宋"/>
          <w:snapToGrid w:val="0"/>
          <w:color w:val="auto"/>
          <w:spacing w:val="20"/>
          <w:sz w:val="24"/>
          <w:szCs w:val="24"/>
          <w:highlight w:val="none"/>
          <w:lang w:val="zh-CN" w:eastAsia="zh-CN" w:bidi="zh-CN"/>
        </w:rPr>
        <w:t>甲方有权利提出更换产品</w:t>
      </w:r>
      <w:r>
        <w:rPr>
          <w:rFonts w:hint="eastAsia" w:ascii="仿宋" w:hAnsi="仿宋" w:eastAsia="仿宋" w:cs="仿宋"/>
          <w:snapToGrid w:val="0"/>
          <w:color w:val="auto"/>
          <w:spacing w:val="20"/>
          <w:sz w:val="24"/>
          <w:szCs w:val="24"/>
          <w:highlight w:val="none"/>
          <w:lang w:val="en-US" w:eastAsia="zh-CN" w:bidi="zh-CN"/>
        </w:rPr>
        <w:t>。</w:t>
      </w:r>
    </w:p>
    <w:p w14:paraId="01F6A94D">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lang w:val="zh-CN" w:eastAsia="zh-CN" w:bidi="zh-CN"/>
        </w:rPr>
      </w:pPr>
      <w:bookmarkStart w:id="24" w:name="bookmark14"/>
      <w:r>
        <w:rPr>
          <w:rFonts w:hint="eastAsia" w:ascii="仿宋" w:hAnsi="仿宋" w:eastAsia="仿宋" w:cs="仿宋"/>
          <w:snapToGrid w:val="0"/>
          <w:color w:val="auto"/>
          <w:spacing w:val="20"/>
          <w:sz w:val="24"/>
          <w:szCs w:val="24"/>
          <w:lang w:val="zh-CN" w:eastAsia="zh-CN" w:bidi="zh-CN"/>
        </w:rPr>
        <w:t>7</w:t>
      </w:r>
      <w:bookmarkEnd w:id="24"/>
      <w:r>
        <w:rPr>
          <w:rFonts w:hint="eastAsia" w:ascii="仿宋" w:hAnsi="仿宋" w:eastAsia="仿宋" w:cs="仿宋"/>
          <w:snapToGrid w:val="0"/>
          <w:color w:val="auto"/>
          <w:spacing w:val="20"/>
          <w:sz w:val="24"/>
          <w:szCs w:val="24"/>
          <w:lang w:val="zh-CN" w:eastAsia="zh-CN" w:bidi="zh-CN"/>
        </w:rPr>
        <w:t>、技术服务</w:t>
      </w:r>
    </w:p>
    <w:p w14:paraId="24725F1F">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lang w:val="zh-CN" w:eastAsia="zh-CN" w:bidi="zh-CN"/>
        </w:rPr>
      </w:pPr>
      <w:bookmarkStart w:id="25" w:name="bookmark15"/>
      <w:bookmarkEnd w:id="25"/>
      <w:r>
        <w:rPr>
          <w:rFonts w:hint="eastAsia" w:ascii="仿宋" w:hAnsi="仿宋" w:eastAsia="仿宋" w:cs="仿宋"/>
          <w:snapToGrid w:val="0"/>
          <w:color w:val="auto"/>
          <w:spacing w:val="20"/>
          <w:sz w:val="24"/>
          <w:szCs w:val="24"/>
          <w:lang w:val="zh-CN" w:eastAsia="zh-CN" w:bidi="zh-CN"/>
        </w:rPr>
        <w:t>7.1乙方应派员到甲方指定地点配合工作。</w:t>
      </w:r>
    </w:p>
    <w:p w14:paraId="05DC4083">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lang w:val="zh-CN" w:eastAsia="zh-CN" w:bidi="zh-CN"/>
        </w:rPr>
      </w:pPr>
      <w:r>
        <w:rPr>
          <w:rFonts w:hint="eastAsia" w:ascii="仿宋" w:hAnsi="仿宋" w:eastAsia="仿宋" w:cs="仿宋"/>
          <w:snapToGrid w:val="0"/>
          <w:color w:val="auto"/>
          <w:spacing w:val="20"/>
          <w:sz w:val="24"/>
          <w:szCs w:val="24"/>
          <w:lang w:val="en-US" w:eastAsia="zh-CN" w:bidi="zh-CN"/>
        </w:rPr>
        <w:t>7.2</w:t>
      </w:r>
      <w:r>
        <w:rPr>
          <w:rFonts w:hint="eastAsia" w:ascii="仿宋" w:hAnsi="仿宋" w:eastAsia="仿宋" w:cs="仿宋"/>
          <w:snapToGrid w:val="0"/>
          <w:color w:val="auto"/>
          <w:spacing w:val="20"/>
          <w:sz w:val="24"/>
          <w:szCs w:val="24"/>
          <w:lang w:val="zh-CN" w:eastAsia="zh-CN" w:bidi="zh-CN"/>
        </w:rPr>
        <w:t>乙方按甲方提供的合同执行进度计划，再配合甲方及有关单位，做好合同执行进度上 的配合工作。</w:t>
      </w:r>
    </w:p>
    <w:p w14:paraId="066E45B9">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lang w:val="zh-CN" w:eastAsia="zh-CN" w:bidi="zh-CN"/>
        </w:rPr>
      </w:pPr>
      <w:bookmarkStart w:id="26" w:name="bookmark16"/>
      <w:r>
        <w:rPr>
          <w:rFonts w:hint="eastAsia" w:ascii="仿宋" w:hAnsi="仿宋" w:eastAsia="仿宋" w:cs="仿宋"/>
          <w:snapToGrid w:val="0"/>
          <w:color w:val="auto"/>
          <w:spacing w:val="20"/>
          <w:sz w:val="24"/>
          <w:szCs w:val="24"/>
          <w:lang w:val="zh-CN" w:eastAsia="zh-CN" w:bidi="zh-CN"/>
        </w:rPr>
        <w:t>8</w:t>
      </w:r>
      <w:bookmarkEnd w:id="26"/>
      <w:r>
        <w:rPr>
          <w:rFonts w:hint="eastAsia" w:ascii="仿宋" w:hAnsi="仿宋" w:eastAsia="仿宋" w:cs="仿宋"/>
          <w:snapToGrid w:val="0"/>
          <w:color w:val="auto"/>
          <w:spacing w:val="20"/>
          <w:sz w:val="24"/>
          <w:szCs w:val="24"/>
          <w:lang w:val="zh-CN" w:eastAsia="zh-CN" w:bidi="zh-CN"/>
        </w:rPr>
        <w:t>、不可抗力</w:t>
      </w:r>
    </w:p>
    <w:p w14:paraId="332B493D">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lang w:val="zh-CN" w:eastAsia="zh-CN" w:bidi="zh-CN"/>
        </w:rPr>
      </w:pPr>
      <w:r>
        <w:rPr>
          <w:rFonts w:hint="eastAsia" w:ascii="仿宋" w:hAnsi="仿宋" w:eastAsia="仿宋" w:cs="仿宋"/>
          <w:snapToGrid w:val="0"/>
          <w:color w:val="auto"/>
          <w:spacing w:val="20"/>
          <w:sz w:val="24"/>
          <w:szCs w:val="24"/>
          <w:lang w:val="en-US" w:eastAsia="zh-CN" w:bidi="zh-CN"/>
        </w:rPr>
        <w:t>8.1</w:t>
      </w:r>
      <w:r>
        <w:rPr>
          <w:rFonts w:hint="eastAsia" w:ascii="仿宋" w:hAnsi="仿宋" w:eastAsia="仿宋" w:cs="仿宋"/>
          <w:snapToGrid w:val="0"/>
          <w:color w:val="auto"/>
          <w:spacing w:val="20"/>
          <w:sz w:val="24"/>
          <w:szCs w:val="24"/>
          <w:lang w:val="zh-CN" w:eastAsia="zh-CN" w:bidi="zh-CN"/>
        </w:rPr>
        <w:t>不可抗力指战争、严重火灾、洪水、台风、地震等或其它双方认定的不可抗力事件。</w:t>
      </w:r>
    </w:p>
    <w:p w14:paraId="1C8E560D">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lang w:val="zh-CN" w:eastAsia="zh-CN" w:bidi="zh-CN"/>
        </w:rPr>
      </w:pPr>
      <w:bookmarkStart w:id="27" w:name="bookmark17"/>
      <w:bookmarkEnd w:id="27"/>
      <w:r>
        <w:rPr>
          <w:rFonts w:hint="eastAsia" w:ascii="仿宋" w:hAnsi="仿宋" w:eastAsia="仿宋" w:cs="仿宋"/>
          <w:snapToGrid w:val="0"/>
          <w:color w:val="auto"/>
          <w:spacing w:val="20"/>
          <w:sz w:val="24"/>
          <w:szCs w:val="24"/>
          <w:lang w:val="zh-CN" w:eastAsia="zh-CN" w:bidi="zh-CN"/>
        </w:rPr>
        <w:t>8.2签约双方中任何一方由于不可抗力影响合同执行时，发生不可抗力一方应尽快将事故通知另一方。在此情况下，乙方仍然有责任采取必要的措施加速供货，双方应通过友好协商尽快解决本合同的执行问题。</w:t>
      </w:r>
    </w:p>
    <w:p w14:paraId="391381D1">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lang w:val="zh-CN" w:eastAsia="zh-CN" w:bidi="zh-CN"/>
        </w:rPr>
      </w:pPr>
      <w:bookmarkStart w:id="28" w:name="bookmark18"/>
      <w:r>
        <w:rPr>
          <w:rFonts w:hint="eastAsia" w:ascii="仿宋" w:hAnsi="仿宋" w:eastAsia="仿宋" w:cs="仿宋"/>
          <w:snapToGrid w:val="0"/>
          <w:color w:val="auto"/>
          <w:spacing w:val="20"/>
          <w:sz w:val="24"/>
          <w:szCs w:val="24"/>
          <w:lang w:val="zh-CN" w:eastAsia="zh-CN" w:bidi="zh-CN"/>
        </w:rPr>
        <w:t>9</w:t>
      </w:r>
      <w:bookmarkEnd w:id="28"/>
      <w:r>
        <w:rPr>
          <w:rFonts w:hint="eastAsia" w:ascii="仿宋" w:hAnsi="仿宋" w:eastAsia="仿宋" w:cs="仿宋"/>
          <w:snapToGrid w:val="0"/>
          <w:color w:val="auto"/>
          <w:spacing w:val="20"/>
          <w:sz w:val="24"/>
          <w:szCs w:val="24"/>
          <w:lang w:val="zh-CN" w:eastAsia="zh-CN" w:bidi="zh-CN"/>
        </w:rPr>
        <w:t>、索赔</w:t>
      </w:r>
    </w:p>
    <w:p w14:paraId="4E0C36B9">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lang w:val="zh-CN" w:eastAsia="zh-CN" w:bidi="zh-CN"/>
        </w:rPr>
      </w:pPr>
      <w:bookmarkStart w:id="29" w:name="bookmark19"/>
      <w:bookmarkEnd w:id="29"/>
      <w:r>
        <w:rPr>
          <w:rFonts w:hint="eastAsia" w:ascii="仿宋" w:hAnsi="仿宋" w:eastAsia="仿宋" w:cs="仿宋"/>
          <w:snapToGrid w:val="0"/>
          <w:color w:val="auto"/>
          <w:spacing w:val="20"/>
          <w:sz w:val="24"/>
          <w:szCs w:val="24"/>
          <w:lang w:val="zh-CN" w:eastAsia="zh-CN" w:bidi="zh-CN"/>
        </w:rPr>
        <w:t>9.1如有异议，甲方有权根据有关政府部门的检验结果向乙方提出索赔。</w:t>
      </w:r>
    </w:p>
    <w:p w14:paraId="109E5D64">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lang w:val="zh-CN" w:eastAsia="zh-CN" w:bidi="zh-CN"/>
        </w:rPr>
      </w:pPr>
      <w:r>
        <w:rPr>
          <w:rFonts w:hint="eastAsia" w:ascii="仿宋" w:hAnsi="仿宋" w:eastAsia="仿宋" w:cs="仿宋"/>
          <w:snapToGrid w:val="0"/>
          <w:color w:val="auto"/>
          <w:spacing w:val="20"/>
          <w:sz w:val="24"/>
          <w:szCs w:val="24"/>
          <w:lang w:val="zh-CN" w:eastAsia="zh-CN" w:bidi="zh-CN"/>
        </w:rPr>
        <w:t>9.2在合同执行期间，双方可按下列一种或多种方式协商解决索赔事宜：</w:t>
      </w:r>
    </w:p>
    <w:p w14:paraId="056B8D46">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lang w:val="zh-CN" w:eastAsia="zh-CN" w:bidi="zh-CN"/>
        </w:rPr>
      </w:pPr>
      <w:bookmarkStart w:id="30" w:name="bookmark20"/>
      <w:r>
        <w:rPr>
          <w:rFonts w:hint="eastAsia" w:ascii="仿宋" w:hAnsi="仿宋" w:eastAsia="仿宋" w:cs="仿宋"/>
          <w:snapToGrid w:val="0"/>
          <w:color w:val="auto"/>
          <w:spacing w:val="20"/>
          <w:sz w:val="24"/>
          <w:szCs w:val="24"/>
          <w:lang w:val="zh-CN" w:eastAsia="zh-CN" w:bidi="zh-CN"/>
        </w:rPr>
        <w:t>1</w:t>
      </w:r>
      <w:bookmarkEnd w:id="30"/>
      <w:r>
        <w:rPr>
          <w:rFonts w:hint="eastAsia" w:ascii="仿宋" w:hAnsi="仿宋" w:eastAsia="仿宋" w:cs="仿宋"/>
          <w:snapToGrid w:val="0"/>
          <w:color w:val="auto"/>
          <w:spacing w:val="20"/>
          <w:sz w:val="24"/>
          <w:szCs w:val="24"/>
          <w:lang w:val="zh-CN" w:eastAsia="zh-CN" w:bidi="zh-CN"/>
        </w:rPr>
        <w:t>）根据货物低劣程度、损坏程度以及甲方所遭受损失的数额甲乙双方商定降低货物的价格后乙方仍应支付违约金。</w:t>
      </w:r>
    </w:p>
    <w:p w14:paraId="12A74AE6">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lang w:val="zh-CN" w:eastAsia="zh-CN" w:bidi="zh-CN"/>
        </w:rPr>
      </w:pPr>
      <w:r>
        <w:rPr>
          <w:rFonts w:hint="eastAsia" w:ascii="仿宋" w:hAnsi="仿宋" w:eastAsia="仿宋" w:cs="仿宋"/>
          <w:snapToGrid w:val="0"/>
          <w:color w:val="auto"/>
          <w:spacing w:val="20"/>
          <w:sz w:val="24"/>
          <w:szCs w:val="24"/>
          <w:lang w:val="en-US" w:eastAsia="zh-CN" w:bidi="zh-CN"/>
        </w:rPr>
        <w:t>2</w:t>
      </w:r>
      <w:r>
        <w:rPr>
          <w:rFonts w:hint="eastAsia" w:ascii="仿宋" w:hAnsi="仿宋" w:eastAsia="仿宋" w:cs="仿宋"/>
          <w:snapToGrid w:val="0"/>
          <w:color w:val="auto"/>
          <w:spacing w:val="20"/>
          <w:sz w:val="24"/>
          <w:szCs w:val="24"/>
          <w:lang w:val="zh-CN" w:eastAsia="zh-CN" w:bidi="zh-CN"/>
        </w:rPr>
        <w:t>）用符合规格、质量和性能要求的新零件、部件或货物来更换有缺陷的部分或修补缺陷的部分， 乙方应承担一切费用和风险并承担由此给甲方所造成的一切损失和费用，同时，乙方应承担违约金，相应延长质量保证期。</w:t>
      </w:r>
    </w:p>
    <w:p w14:paraId="156154E0">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lang w:val="zh-CN" w:eastAsia="zh-CN" w:bidi="zh-CN"/>
        </w:rPr>
      </w:pPr>
      <w:r>
        <w:rPr>
          <w:rFonts w:hint="eastAsia" w:ascii="仿宋" w:hAnsi="仿宋" w:eastAsia="仿宋" w:cs="仿宋"/>
          <w:snapToGrid w:val="0"/>
          <w:color w:val="auto"/>
          <w:spacing w:val="20"/>
          <w:sz w:val="24"/>
          <w:szCs w:val="24"/>
          <w:lang w:val="en-US" w:eastAsia="zh-CN" w:bidi="zh-CN"/>
        </w:rPr>
        <w:t>9.3</w:t>
      </w:r>
      <w:r>
        <w:rPr>
          <w:rFonts w:hint="eastAsia" w:ascii="仿宋" w:hAnsi="仿宋" w:eastAsia="仿宋" w:cs="仿宋"/>
          <w:snapToGrid w:val="0"/>
          <w:color w:val="auto"/>
          <w:spacing w:val="20"/>
          <w:sz w:val="24"/>
          <w:szCs w:val="24"/>
          <w:lang w:val="zh-CN" w:eastAsia="zh-CN" w:bidi="zh-CN"/>
        </w:rPr>
        <w:t>如果在甲方发出索赔通知后30天内，乙方未作书面答复，上述索赔应视为已被乙方接受。甲方将从合同款项中扣回索赔金额。如果这些金额不足以补偿索赔金额，甲方有权向法院起诉。</w:t>
      </w:r>
    </w:p>
    <w:p w14:paraId="0BEBD826">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lang w:val="zh-CN" w:eastAsia="zh-CN" w:bidi="zh-CN"/>
        </w:rPr>
      </w:pPr>
      <w:bookmarkStart w:id="31" w:name="bookmark23"/>
      <w:r>
        <w:rPr>
          <w:rFonts w:hint="eastAsia" w:ascii="仿宋" w:hAnsi="仿宋" w:eastAsia="仿宋" w:cs="仿宋"/>
          <w:snapToGrid w:val="0"/>
          <w:color w:val="auto"/>
          <w:spacing w:val="20"/>
          <w:sz w:val="24"/>
          <w:szCs w:val="24"/>
          <w:lang w:val="zh-CN" w:eastAsia="zh-CN" w:bidi="zh-CN"/>
        </w:rPr>
        <w:t>1</w:t>
      </w:r>
      <w:bookmarkEnd w:id="31"/>
      <w:r>
        <w:rPr>
          <w:rFonts w:hint="eastAsia" w:ascii="仿宋" w:hAnsi="仿宋" w:eastAsia="仿宋" w:cs="仿宋"/>
          <w:snapToGrid w:val="0"/>
          <w:color w:val="auto"/>
          <w:spacing w:val="20"/>
          <w:sz w:val="24"/>
          <w:szCs w:val="24"/>
          <w:lang w:val="zh-CN" w:eastAsia="zh-CN" w:bidi="zh-CN"/>
        </w:rPr>
        <w:t>0、违约与处罚</w:t>
      </w:r>
    </w:p>
    <w:p w14:paraId="0971413A">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lang w:val="zh-CN" w:eastAsia="zh-CN" w:bidi="zh-CN"/>
        </w:rPr>
      </w:pPr>
      <w:bookmarkStart w:id="32" w:name="bookmark24"/>
      <w:bookmarkEnd w:id="32"/>
      <w:r>
        <w:rPr>
          <w:rFonts w:hint="eastAsia" w:ascii="仿宋" w:hAnsi="仿宋" w:eastAsia="仿宋" w:cs="仿宋"/>
          <w:snapToGrid w:val="0"/>
          <w:color w:val="auto"/>
          <w:spacing w:val="20"/>
          <w:sz w:val="24"/>
          <w:szCs w:val="24"/>
          <w:lang w:val="zh-CN" w:eastAsia="zh-CN" w:bidi="zh-CN"/>
        </w:rPr>
        <w:t>10.1甲方应依合同规定时间内，向乙方支付货款，每拖延一天乙方可向甲方加收合同金额的</w:t>
      </w:r>
      <w:r>
        <w:rPr>
          <w:rFonts w:hint="eastAsia" w:ascii="仿宋" w:hAnsi="仿宋" w:eastAsia="仿宋" w:cs="仿宋"/>
          <w:snapToGrid w:val="0"/>
          <w:color w:val="auto"/>
          <w:spacing w:val="20"/>
          <w:sz w:val="24"/>
          <w:szCs w:val="24"/>
          <w:lang w:val="en-US" w:eastAsia="zh-CN" w:bidi="zh-CN"/>
        </w:rPr>
        <w:t>3‰</w:t>
      </w:r>
      <w:r>
        <w:rPr>
          <w:rFonts w:hint="eastAsia" w:ascii="仿宋" w:hAnsi="仿宋" w:eastAsia="仿宋" w:cs="仿宋"/>
          <w:snapToGrid w:val="0"/>
          <w:color w:val="auto"/>
          <w:spacing w:val="20"/>
          <w:sz w:val="24"/>
          <w:szCs w:val="24"/>
          <w:lang w:val="zh-CN" w:eastAsia="zh-CN" w:bidi="zh-CN"/>
        </w:rPr>
        <w:t>的违约金。</w:t>
      </w:r>
    </w:p>
    <w:p w14:paraId="34E2239D">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lang w:val="zh-CN" w:eastAsia="zh-CN" w:bidi="zh-CN"/>
        </w:rPr>
      </w:pPr>
      <w:r>
        <w:rPr>
          <w:rFonts w:hint="eastAsia" w:ascii="仿宋" w:hAnsi="仿宋" w:eastAsia="仿宋" w:cs="仿宋"/>
          <w:snapToGrid w:val="0"/>
          <w:color w:val="auto"/>
          <w:spacing w:val="20"/>
          <w:sz w:val="24"/>
          <w:szCs w:val="24"/>
          <w:lang w:val="en-US" w:eastAsia="zh-CN" w:bidi="zh-CN"/>
        </w:rPr>
        <w:t>10.2</w:t>
      </w:r>
      <w:r>
        <w:rPr>
          <w:rFonts w:hint="eastAsia" w:ascii="仿宋" w:hAnsi="仿宋" w:eastAsia="仿宋" w:cs="仿宋"/>
          <w:snapToGrid w:val="0"/>
          <w:color w:val="auto"/>
          <w:spacing w:val="20"/>
          <w:sz w:val="24"/>
          <w:szCs w:val="24"/>
          <w:lang w:val="zh-CN" w:eastAsia="zh-CN" w:bidi="zh-CN"/>
        </w:rPr>
        <w:t>乙方未能按时交货，每拖延一天，须向甲方支付合同金额的3‰的违约金，不足部分，甲方有权向乙方提出追偿。</w:t>
      </w:r>
    </w:p>
    <w:p w14:paraId="3F4E17B0">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lang w:val="zh-CN" w:eastAsia="zh-CN" w:bidi="zh-CN"/>
        </w:rPr>
      </w:pPr>
      <w:r>
        <w:rPr>
          <w:rFonts w:hint="eastAsia" w:ascii="仿宋" w:hAnsi="仿宋" w:eastAsia="仿宋" w:cs="仿宋"/>
          <w:snapToGrid w:val="0"/>
          <w:color w:val="auto"/>
          <w:spacing w:val="20"/>
          <w:sz w:val="24"/>
          <w:szCs w:val="24"/>
          <w:lang w:val="en-US" w:eastAsia="zh-CN" w:bidi="zh-CN"/>
        </w:rPr>
        <w:t>10.</w:t>
      </w:r>
      <w:r>
        <w:rPr>
          <w:rFonts w:hint="eastAsia" w:ascii="仿宋" w:hAnsi="仿宋" w:eastAsia="仿宋" w:cs="仿宋"/>
          <w:snapToGrid w:val="0"/>
          <w:color w:val="auto"/>
          <w:spacing w:val="20"/>
          <w:sz w:val="24"/>
          <w:szCs w:val="24"/>
          <w:lang w:val="zh-CN" w:eastAsia="zh-CN" w:bidi="zh-CN"/>
        </w:rPr>
        <w:t>3乙方交付的货物不符合合同规定的，甲方有权拒收。</w:t>
      </w:r>
    </w:p>
    <w:p w14:paraId="6D11C9DC">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lang w:val="zh-CN" w:eastAsia="zh-CN" w:bidi="zh-CN"/>
        </w:rPr>
      </w:pPr>
      <w:r>
        <w:rPr>
          <w:rFonts w:hint="eastAsia" w:ascii="仿宋" w:hAnsi="仿宋" w:eastAsia="仿宋" w:cs="仿宋"/>
          <w:snapToGrid w:val="0"/>
          <w:color w:val="auto"/>
          <w:spacing w:val="20"/>
          <w:sz w:val="24"/>
          <w:szCs w:val="24"/>
          <w:lang w:val="en-US" w:eastAsia="zh-CN" w:bidi="zh-CN"/>
        </w:rPr>
        <w:t>10.4</w:t>
      </w:r>
      <w:r>
        <w:rPr>
          <w:rFonts w:hint="eastAsia" w:ascii="仿宋" w:hAnsi="仿宋" w:eastAsia="仿宋" w:cs="仿宋"/>
          <w:snapToGrid w:val="0"/>
          <w:color w:val="auto"/>
          <w:spacing w:val="20"/>
          <w:sz w:val="24"/>
          <w:szCs w:val="24"/>
          <w:lang w:val="zh-CN" w:eastAsia="zh-CN" w:bidi="zh-CN"/>
        </w:rPr>
        <w:t>甲方无正当理由拒收货物的，甲方向乙方支付合同金额的5%的违约金。</w:t>
      </w:r>
    </w:p>
    <w:p w14:paraId="5AB83991">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lang w:val="zh-CN" w:eastAsia="zh-CN" w:bidi="zh-CN"/>
        </w:rPr>
      </w:pPr>
      <w:bookmarkStart w:id="33" w:name="bookmark25"/>
      <w:r>
        <w:rPr>
          <w:rFonts w:hint="eastAsia" w:ascii="仿宋" w:hAnsi="仿宋" w:eastAsia="仿宋" w:cs="仿宋"/>
          <w:snapToGrid w:val="0"/>
          <w:color w:val="auto"/>
          <w:spacing w:val="20"/>
          <w:sz w:val="24"/>
          <w:szCs w:val="24"/>
          <w:lang w:val="zh-CN" w:eastAsia="zh-CN" w:bidi="zh-CN"/>
        </w:rPr>
        <w:t>1</w:t>
      </w:r>
      <w:bookmarkEnd w:id="33"/>
      <w:r>
        <w:rPr>
          <w:rFonts w:hint="eastAsia" w:ascii="仿宋" w:hAnsi="仿宋" w:eastAsia="仿宋" w:cs="仿宋"/>
          <w:snapToGrid w:val="0"/>
          <w:color w:val="auto"/>
          <w:spacing w:val="20"/>
          <w:sz w:val="24"/>
          <w:szCs w:val="24"/>
          <w:lang w:val="zh-CN" w:eastAsia="zh-CN" w:bidi="zh-CN"/>
        </w:rPr>
        <w:t>1、合同终止</w:t>
      </w:r>
    </w:p>
    <w:p w14:paraId="0696F3FC">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lang w:val="zh-CN" w:eastAsia="zh-CN" w:bidi="zh-CN"/>
        </w:rPr>
      </w:pPr>
      <w:r>
        <w:rPr>
          <w:rFonts w:hint="eastAsia" w:ascii="仿宋" w:hAnsi="仿宋" w:eastAsia="仿宋" w:cs="仿宋"/>
          <w:snapToGrid w:val="0"/>
          <w:color w:val="auto"/>
          <w:spacing w:val="20"/>
          <w:sz w:val="24"/>
          <w:szCs w:val="24"/>
          <w:lang w:val="zh-CN" w:eastAsia="zh-CN" w:bidi="zh-CN"/>
        </w:rPr>
        <w:t>如果一方违反合同，并在收到对方违约通知书后在30天内仍未能改正违约的，另一方可立 即终止本合同并主张相关权利。</w:t>
      </w:r>
    </w:p>
    <w:p w14:paraId="00B856E1">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lang w:val="zh-CN" w:eastAsia="zh-CN" w:bidi="zh-CN"/>
        </w:rPr>
      </w:pPr>
      <w:bookmarkStart w:id="34" w:name="bookmark26"/>
      <w:r>
        <w:rPr>
          <w:rFonts w:hint="eastAsia" w:ascii="仿宋" w:hAnsi="仿宋" w:eastAsia="仿宋" w:cs="仿宋"/>
          <w:snapToGrid w:val="0"/>
          <w:color w:val="auto"/>
          <w:spacing w:val="20"/>
          <w:sz w:val="24"/>
          <w:szCs w:val="24"/>
          <w:lang w:val="zh-CN" w:eastAsia="zh-CN" w:bidi="zh-CN"/>
        </w:rPr>
        <w:t>1</w:t>
      </w:r>
      <w:bookmarkEnd w:id="34"/>
      <w:r>
        <w:rPr>
          <w:rFonts w:hint="eastAsia" w:ascii="仿宋" w:hAnsi="仿宋" w:eastAsia="仿宋" w:cs="仿宋"/>
          <w:snapToGrid w:val="0"/>
          <w:color w:val="auto"/>
          <w:spacing w:val="20"/>
          <w:sz w:val="24"/>
          <w:szCs w:val="24"/>
          <w:lang w:val="zh-CN" w:eastAsia="zh-CN" w:bidi="zh-CN"/>
        </w:rPr>
        <w:t>2、法律诉讼</w:t>
      </w:r>
    </w:p>
    <w:p w14:paraId="2AF5B840">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lang w:val="zh-CN" w:eastAsia="zh-CN" w:bidi="zh-CN"/>
        </w:rPr>
      </w:pPr>
      <w:r>
        <w:rPr>
          <w:rFonts w:hint="eastAsia" w:ascii="仿宋" w:hAnsi="仿宋" w:eastAsia="仿宋" w:cs="仿宋"/>
          <w:snapToGrid w:val="0"/>
          <w:color w:val="auto"/>
          <w:spacing w:val="20"/>
          <w:sz w:val="24"/>
          <w:szCs w:val="24"/>
          <w:lang w:val="zh-CN" w:eastAsia="zh-CN" w:bidi="zh-CN"/>
        </w:rPr>
        <w:t>签约双方发生争执和分歧，应通过友好协商解决，若经协商不能达成协议时，可向甲方所在地人民法院提起诉讼。</w:t>
      </w:r>
      <w:bookmarkStart w:id="35" w:name="bookmark28"/>
    </w:p>
    <w:p w14:paraId="4BBCA6A9">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lang w:val="en-US" w:eastAsia="zh-CN" w:bidi="zh-CN"/>
        </w:rPr>
      </w:pPr>
      <w:r>
        <w:rPr>
          <w:rFonts w:hint="eastAsia" w:ascii="仿宋" w:hAnsi="仿宋" w:eastAsia="仿宋" w:cs="仿宋"/>
          <w:snapToGrid w:val="0"/>
          <w:color w:val="auto"/>
          <w:spacing w:val="20"/>
          <w:sz w:val="24"/>
          <w:szCs w:val="24"/>
          <w:lang w:val="en-US" w:eastAsia="zh-CN" w:bidi="zh-CN"/>
        </w:rPr>
        <w:t>1</w:t>
      </w:r>
      <w:bookmarkEnd w:id="35"/>
      <w:r>
        <w:rPr>
          <w:rFonts w:hint="eastAsia" w:ascii="仿宋" w:hAnsi="仿宋" w:eastAsia="仿宋" w:cs="仿宋"/>
          <w:snapToGrid w:val="0"/>
          <w:color w:val="auto"/>
          <w:spacing w:val="20"/>
          <w:sz w:val="24"/>
          <w:szCs w:val="24"/>
          <w:lang w:val="en-US" w:eastAsia="zh-CN" w:bidi="zh-CN"/>
        </w:rPr>
        <w:t>3、其它</w:t>
      </w:r>
    </w:p>
    <w:p w14:paraId="6195FB95">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lang w:val="zh-CN" w:eastAsia="zh-CN" w:bidi="zh-CN"/>
        </w:rPr>
      </w:pPr>
      <w:r>
        <w:rPr>
          <w:rFonts w:hint="eastAsia" w:ascii="仿宋" w:hAnsi="仿宋" w:eastAsia="仿宋" w:cs="仿宋"/>
          <w:snapToGrid w:val="0"/>
          <w:color w:val="auto"/>
          <w:spacing w:val="20"/>
          <w:sz w:val="24"/>
          <w:szCs w:val="24"/>
          <w:lang w:val="en-US" w:eastAsia="zh-CN" w:bidi="zh-CN"/>
        </w:rPr>
        <w:t>13.1</w:t>
      </w:r>
      <w:r>
        <w:rPr>
          <w:rFonts w:hint="eastAsia" w:ascii="仿宋" w:hAnsi="仿宋" w:eastAsia="仿宋" w:cs="仿宋"/>
          <w:snapToGrid w:val="0"/>
          <w:color w:val="auto"/>
          <w:spacing w:val="20"/>
          <w:sz w:val="24"/>
          <w:szCs w:val="24"/>
          <w:lang w:val="zh-CN" w:eastAsia="zh-CN" w:bidi="zh-CN"/>
        </w:rPr>
        <w:t>本合同正本三份，具有同等法律效力，甲方两份、乙方一份。合同自双方盖章之日起即时生效。</w:t>
      </w:r>
    </w:p>
    <w:p w14:paraId="0E54C5AE">
      <w:pPr>
        <w:pStyle w:val="5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napToGrid w:val="0"/>
          <w:color w:val="auto"/>
          <w:spacing w:val="20"/>
          <w:sz w:val="24"/>
          <w:szCs w:val="24"/>
          <w:lang w:val="en-US" w:eastAsia="zh-CN" w:bidi="zh-CN"/>
        </w:rPr>
      </w:pPr>
      <w:r>
        <w:rPr>
          <w:rFonts w:hint="eastAsia" w:ascii="仿宋" w:hAnsi="仿宋" w:eastAsia="仿宋" w:cs="仿宋"/>
          <w:snapToGrid w:val="0"/>
          <w:color w:val="auto"/>
          <w:spacing w:val="20"/>
          <w:sz w:val="24"/>
          <w:szCs w:val="24"/>
          <w:lang w:val="en-US" w:eastAsia="zh-CN" w:bidi="zh-CN"/>
        </w:rPr>
        <w:t>13.2本合同未尽事宜，由双方协商签订补充协议。</w:t>
      </w:r>
    </w:p>
    <w:p w14:paraId="7CA9E5BD">
      <w:pPr>
        <w:pStyle w:val="51"/>
        <w:spacing w:line="360" w:lineRule="auto"/>
        <w:rPr>
          <w:rFonts w:hint="eastAsia" w:ascii="仿宋" w:hAnsi="仿宋" w:eastAsia="仿宋" w:cs="仿宋"/>
          <w:color w:val="auto"/>
          <w:sz w:val="24"/>
          <w:szCs w:val="24"/>
          <w:lang w:val="zh-CN" w:eastAsia="zh-CN" w:bidi="zh-CN"/>
        </w:rPr>
      </w:pPr>
    </w:p>
    <w:p w14:paraId="3DAC885C">
      <w:pPr>
        <w:pStyle w:val="51"/>
        <w:spacing w:line="360" w:lineRule="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bidi="zh-CN"/>
        </w:rPr>
        <w:t xml:space="preserve">甲方：乌鲁木齐市疾病预防控制中心            乙方：:                                          </w:t>
      </w:r>
    </w:p>
    <w:p w14:paraId="1FF99FE8">
      <w:pPr>
        <w:pStyle w:val="51"/>
        <w:spacing w:line="360" w:lineRule="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bidi="zh-CN"/>
        </w:rPr>
        <w:t>法定（授权）代表人（签字）：                法定（授权）代表人（签字）：</w:t>
      </w:r>
    </w:p>
    <w:p w14:paraId="527DA2E8">
      <w:pPr>
        <w:pStyle w:val="51"/>
        <w:spacing w:line="360" w:lineRule="auto"/>
        <w:ind w:left="5500" w:hanging="6000" w:hangingChars="2500"/>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bidi="zh-CN"/>
        </w:rPr>
        <w:t xml:space="preserve">地址：乌鲁木齐市厦门路18号                 地址： </w:t>
      </w:r>
    </w:p>
    <w:p w14:paraId="39C81669">
      <w:pPr>
        <w:pStyle w:val="51"/>
        <w:spacing w:line="360" w:lineRule="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bidi="zh-CN"/>
        </w:rPr>
        <w:t>电话：0991-3767549</w:t>
      </w:r>
      <w:r>
        <w:rPr>
          <w:rFonts w:hint="eastAsia" w:ascii="仿宋" w:hAnsi="仿宋" w:eastAsia="仿宋" w:cs="仿宋"/>
          <w:color w:val="auto"/>
          <w:sz w:val="24"/>
          <w:szCs w:val="24"/>
          <w:lang w:val="en-US" w:eastAsia="en-US" w:bidi="zh-CN"/>
        </w:rPr>
        <w:t xml:space="preserve"> </w:t>
      </w:r>
      <w:r>
        <w:rPr>
          <w:rFonts w:hint="eastAsia" w:ascii="仿宋" w:hAnsi="仿宋" w:eastAsia="仿宋" w:cs="仿宋"/>
          <w:color w:val="auto"/>
          <w:sz w:val="24"/>
          <w:szCs w:val="24"/>
          <w:lang w:val="en-US" w:eastAsia="zh-CN" w:bidi="zh-CN"/>
        </w:rPr>
        <w:t xml:space="preserve">                         电话： </w:t>
      </w:r>
    </w:p>
    <w:p w14:paraId="49F84784">
      <w:pPr>
        <w:pStyle w:val="51"/>
        <w:spacing w:line="360" w:lineRule="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bidi="zh-CN"/>
        </w:rPr>
        <w:t>签订日期：                                  签订日期：</w:t>
      </w:r>
    </w:p>
    <w:p w14:paraId="38BD80A6">
      <w:pPr>
        <w:rPr>
          <w:rFonts w:hint="eastAsia" w:ascii="仿宋" w:hAnsi="仿宋" w:eastAsia="仿宋" w:cs="仿宋"/>
          <w:sz w:val="24"/>
          <w:szCs w:val="32"/>
        </w:rPr>
      </w:pPr>
    </w:p>
    <w:p w14:paraId="01374D1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p>
    <w:p w14:paraId="1FD9CBC1">
      <w:pPr>
        <w:pStyle w:val="51"/>
        <w:spacing w:line="360" w:lineRule="auto"/>
        <w:ind w:left="5500" w:hanging="5521" w:hangingChars="2500"/>
        <w:rPr>
          <w:rFonts w:hint="eastAsia" w:ascii="仿宋" w:hAnsi="仿宋" w:eastAsia="仿宋" w:cs="仿宋"/>
          <w:b/>
          <w:bCs/>
          <w:color w:val="auto"/>
          <w:lang w:val="en-US" w:eastAsia="zh-CN" w:bidi="zh-CN"/>
        </w:rPr>
      </w:pPr>
      <w:r>
        <w:rPr>
          <w:rFonts w:hint="eastAsia" w:ascii="仿宋" w:hAnsi="仿宋" w:eastAsia="仿宋" w:cs="仿宋"/>
          <w:b/>
          <w:bCs/>
          <w:color w:val="auto"/>
          <w:lang w:val="en-US" w:eastAsia="zh-CN" w:bidi="zh-CN"/>
        </w:rPr>
        <w:t>附件：产品明细</w:t>
      </w:r>
    </w:p>
    <w:p w14:paraId="16E54C16">
      <w:pPr>
        <w:pStyle w:val="51"/>
        <w:spacing w:line="360" w:lineRule="auto"/>
        <w:ind w:left="5500" w:hanging="5521" w:hangingChars="2500"/>
        <w:rPr>
          <w:rFonts w:hint="eastAsia" w:ascii="仿宋" w:hAnsi="仿宋" w:eastAsia="仿宋" w:cs="仿宋"/>
          <w:b/>
          <w:bCs/>
          <w:color w:val="auto"/>
          <w:lang w:val="en-US" w:eastAsia="en-US" w:bidi="zh-CN"/>
        </w:rPr>
      </w:pPr>
      <w:r>
        <w:rPr>
          <w:rFonts w:hint="eastAsia" w:ascii="仿宋" w:hAnsi="仿宋" w:eastAsia="仿宋" w:cs="仿宋"/>
          <w:b/>
          <w:bCs/>
          <w:color w:val="auto"/>
          <w:lang w:val="en-US" w:eastAsia="en-US" w:bidi="zh-CN"/>
        </w:rPr>
        <w:t xml:space="preserve">标项名称： </w:t>
      </w:r>
    </w:p>
    <w:p w14:paraId="55E00FDF">
      <w:pPr>
        <w:pStyle w:val="51"/>
        <w:spacing w:line="360" w:lineRule="auto"/>
        <w:ind w:left="5500" w:hanging="5521" w:hangingChars="2500"/>
        <w:rPr>
          <w:rFonts w:hint="default" w:ascii="仿宋" w:hAnsi="仿宋" w:eastAsia="仿宋" w:cs="仿宋"/>
          <w:b/>
          <w:bCs/>
          <w:color w:val="auto"/>
          <w:lang w:val="en-US" w:eastAsia="en-US" w:bidi="zh-CN"/>
        </w:rPr>
      </w:pPr>
      <w:r>
        <w:rPr>
          <w:rFonts w:hint="eastAsia" w:ascii="仿宋" w:hAnsi="仿宋" w:eastAsia="仿宋" w:cs="仿宋"/>
          <w:b/>
          <w:bCs/>
          <w:color w:val="auto"/>
          <w:lang w:val="en-US" w:eastAsia="en-US" w:bidi="zh-CN"/>
        </w:rPr>
        <w:t xml:space="preserve">名称：乌鲁木齐市疾病预防控制中心         </w:t>
      </w:r>
    </w:p>
    <w:p w14:paraId="316A73AB">
      <w:pPr>
        <w:pStyle w:val="51"/>
        <w:spacing w:line="360" w:lineRule="auto"/>
        <w:ind w:left="5500" w:hanging="5521" w:hangingChars="2500"/>
        <w:rPr>
          <w:rFonts w:hint="eastAsia" w:ascii="仿宋" w:hAnsi="仿宋" w:eastAsia="仿宋" w:cs="仿宋"/>
          <w:b/>
          <w:bCs/>
          <w:color w:val="auto"/>
          <w:lang w:val="en-US" w:eastAsia="en-US" w:bidi="zh-CN"/>
        </w:rPr>
      </w:pPr>
      <w:r>
        <w:rPr>
          <w:rFonts w:hint="eastAsia" w:ascii="仿宋" w:hAnsi="仿宋" w:eastAsia="仿宋" w:cs="仿宋"/>
          <w:b/>
          <w:bCs/>
          <w:color w:val="auto"/>
          <w:lang w:val="en-US" w:eastAsia="en-US" w:bidi="zh-CN"/>
        </w:rPr>
        <w:t xml:space="preserve">标项编号： </w:t>
      </w:r>
    </w:p>
    <w:p w14:paraId="39798461">
      <w:pPr>
        <w:pStyle w:val="51"/>
        <w:spacing w:line="360" w:lineRule="auto"/>
        <w:ind w:left="5500" w:hanging="5521" w:hangingChars="2500"/>
        <w:rPr>
          <w:rFonts w:hint="default" w:ascii="仿宋" w:hAnsi="仿宋" w:eastAsia="仿宋" w:cs="仿宋"/>
          <w:b/>
          <w:bCs/>
          <w:color w:val="auto"/>
          <w:lang w:val="en-US" w:eastAsia="zh-CN" w:bidi="zh-CN"/>
        </w:rPr>
      </w:pPr>
      <w:r>
        <w:rPr>
          <w:rFonts w:hint="eastAsia" w:ascii="仿宋" w:hAnsi="仿宋" w:eastAsia="仿宋" w:cs="仿宋"/>
          <w:b/>
          <w:bCs/>
          <w:color w:val="auto"/>
          <w:lang w:val="en-US" w:eastAsia="en-US" w:bidi="zh-CN"/>
        </w:rPr>
        <w:t>资金来源：</w:t>
      </w:r>
    </w:p>
    <w:tbl>
      <w:tblPr>
        <w:tblStyle w:val="23"/>
        <w:tblpPr w:leftFromText="180" w:rightFromText="180" w:vertAnchor="text" w:tblpX="-318" w:tblpY="1"/>
        <w:tblOverlap w:val="never"/>
        <w:tblW w:w="9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175"/>
        <w:gridCol w:w="758"/>
        <w:gridCol w:w="3105"/>
        <w:gridCol w:w="1420"/>
        <w:gridCol w:w="732"/>
        <w:gridCol w:w="891"/>
        <w:gridCol w:w="566"/>
      </w:tblGrid>
      <w:tr w14:paraId="4D1FF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29" w:type="dxa"/>
            <w:shd w:val="clear" w:color="000000" w:fill="FFFFFF"/>
            <w:vAlign w:val="center"/>
          </w:tcPr>
          <w:p w14:paraId="38E477B9">
            <w:pPr>
              <w:keepNext w:val="0"/>
              <w:keepLines w:val="0"/>
              <w:widowControl/>
              <w:suppressLineNumbers w:val="0"/>
              <w:jc w:val="center"/>
              <w:textAlignment w:val="center"/>
              <w:rPr>
                <w:rFonts w:hint="eastAsia" w:ascii="仿宋" w:hAnsi="仿宋" w:eastAsia="仿宋" w:cs="仿宋"/>
                <w:color w:val="auto"/>
                <w:sz w:val="22"/>
                <w:szCs w:val="22"/>
                <w:lang w:val="en-US" w:eastAsia="zh-CN" w:bidi="zh-CN"/>
              </w:rPr>
            </w:pPr>
            <w:r>
              <w:rPr>
                <w:rFonts w:hint="eastAsia" w:ascii="仿宋" w:hAnsi="仿宋" w:eastAsia="仿宋" w:cs="仿宋"/>
                <w:color w:val="auto"/>
                <w:sz w:val="22"/>
                <w:szCs w:val="22"/>
                <w:lang w:val="en-US" w:eastAsia="zh-CN" w:bidi="zh-CN"/>
              </w:rPr>
              <w:t>序号</w:t>
            </w:r>
          </w:p>
        </w:tc>
        <w:tc>
          <w:tcPr>
            <w:tcW w:w="1175" w:type="dxa"/>
            <w:shd w:val="clear" w:color="000000" w:fill="FFFFFF"/>
            <w:vAlign w:val="center"/>
          </w:tcPr>
          <w:p w14:paraId="559EAF9A">
            <w:pPr>
              <w:keepNext w:val="0"/>
              <w:keepLines w:val="0"/>
              <w:widowControl/>
              <w:suppressLineNumbers w:val="0"/>
              <w:jc w:val="center"/>
              <w:textAlignment w:val="center"/>
              <w:rPr>
                <w:rFonts w:hint="eastAsia" w:ascii="仿宋" w:hAnsi="仿宋" w:eastAsia="仿宋" w:cs="仿宋"/>
                <w:color w:val="auto"/>
                <w:sz w:val="22"/>
                <w:szCs w:val="22"/>
                <w:lang w:val="en-US" w:eastAsia="zh-CN" w:bidi="zh-CN"/>
              </w:rPr>
            </w:pPr>
            <w:r>
              <w:rPr>
                <w:rFonts w:hint="eastAsia" w:ascii="仿宋" w:hAnsi="仿宋" w:eastAsia="仿宋" w:cs="仿宋"/>
                <w:color w:val="auto"/>
                <w:sz w:val="22"/>
                <w:szCs w:val="22"/>
                <w:lang w:val="en-US" w:eastAsia="zh-CN" w:bidi="zh-CN"/>
              </w:rPr>
              <w:t>品名</w:t>
            </w:r>
          </w:p>
        </w:tc>
        <w:tc>
          <w:tcPr>
            <w:tcW w:w="758" w:type="dxa"/>
            <w:shd w:val="clear" w:color="000000" w:fill="FFFFFF"/>
            <w:vAlign w:val="center"/>
          </w:tcPr>
          <w:p w14:paraId="48C6F427">
            <w:pPr>
              <w:keepNext w:val="0"/>
              <w:keepLines w:val="0"/>
              <w:widowControl/>
              <w:suppressLineNumbers w:val="0"/>
              <w:jc w:val="center"/>
              <w:textAlignment w:val="center"/>
              <w:rPr>
                <w:rFonts w:hint="eastAsia" w:ascii="仿宋" w:hAnsi="仿宋" w:eastAsia="仿宋" w:cs="仿宋"/>
                <w:color w:val="auto"/>
                <w:sz w:val="22"/>
                <w:szCs w:val="22"/>
                <w:lang w:val="en-US" w:eastAsia="zh-CN" w:bidi="zh-CN"/>
              </w:rPr>
            </w:pPr>
            <w:r>
              <w:rPr>
                <w:rFonts w:hint="eastAsia" w:ascii="仿宋" w:hAnsi="仿宋" w:eastAsia="仿宋" w:cs="仿宋"/>
                <w:color w:val="auto"/>
                <w:sz w:val="22"/>
                <w:szCs w:val="22"/>
                <w:lang w:val="en-US" w:eastAsia="zh-CN" w:bidi="zh-CN"/>
              </w:rPr>
              <w:t>单位</w:t>
            </w:r>
          </w:p>
        </w:tc>
        <w:tc>
          <w:tcPr>
            <w:tcW w:w="3105" w:type="dxa"/>
            <w:shd w:val="clear" w:color="000000" w:fill="FFFFFF"/>
            <w:vAlign w:val="center"/>
          </w:tcPr>
          <w:p w14:paraId="2997FC7E">
            <w:pPr>
              <w:keepNext w:val="0"/>
              <w:keepLines w:val="0"/>
              <w:widowControl/>
              <w:suppressLineNumbers w:val="0"/>
              <w:jc w:val="center"/>
              <w:textAlignment w:val="center"/>
              <w:rPr>
                <w:rFonts w:hint="eastAsia" w:ascii="仿宋" w:hAnsi="仿宋" w:eastAsia="仿宋" w:cs="仿宋"/>
                <w:color w:val="auto"/>
                <w:sz w:val="22"/>
                <w:szCs w:val="22"/>
                <w:lang w:val="en-US" w:eastAsia="zh-CN" w:bidi="zh-CN"/>
              </w:rPr>
            </w:pPr>
            <w:r>
              <w:rPr>
                <w:rFonts w:hint="eastAsia" w:ascii="仿宋" w:hAnsi="仿宋" w:eastAsia="仿宋" w:cs="仿宋"/>
                <w:color w:val="auto"/>
                <w:sz w:val="22"/>
                <w:szCs w:val="22"/>
                <w:lang w:val="en-US" w:eastAsia="zh-CN" w:bidi="zh-CN"/>
              </w:rPr>
              <w:t>规格</w:t>
            </w:r>
          </w:p>
        </w:tc>
        <w:tc>
          <w:tcPr>
            <w:tcW w:w="1420" w:type="dxa"/>
            <w:shd w:val="clear" w:color="000000" w:fill="FFFFFF"/>
            <w:vAlign w:val="center"/>
          </w:tcPr>
          <w:p w14:paraId="7686EC1A">
            <w:pPr>
              <w:keepNext w:val="0"/>
              <w:keepLines w:val="0"/>
              <w:widowControl/>
              <w:suppressLineNumbers w:val="0"/>
              <w:jc w:val="center"/>
              <w:textAlignment w:val="center"/>
              <w:rPr>
                <w:rFonts w:hint="eastAsia" w:ascii="仿宋" w:hAnsi="仿宋" w:eastAsia="仿宋" w:cs="仿宋"/>
                <w:color w:val="auto"/>
                <w:sz w:val="22"/>
                <w:szCs w:val="22"/>
                <w:lang w:val="en-US" w:eastAsia="zh-CN" w:bidi="zh-CN"/>
              </w:rPr>
            </w:pPr>
            <w:r>
              <w:rPr>
                <w:rFonts w:hint="eastAsia" w:ascii="仿宋" w:hAnsi="仿宋" w:eastAsia="仿宋" w:cs="仿宋"/>
                <w:color w:val="auto"/>
                <w:sz w:val="22"/>
                <w:szCs w:val="22"/>
                <w:lang w:val="en-US" w:eastAsia="zh-CN" w:bidi="zh-CN"/>
              </w:rPr>
              <w:t>数量</w:t>
            </w:r>
          </w:p>
        </w:tc>
        <w:tc>
          <w:tcPr>
            <w:tcW w:w="732" w:type="dxa"/>
            <w:shd w:val="clear" w:color="000000" w:fill="FFFFFF"/>
            <w:vAlign w:val="center"/>
          </w:tcPr>
          <w:p w14:paraId="21FFBEF1">
            <w:pPr>
              <w:keepNext w:val="0"/>
              <w:keepLines w:val="0"/>
              <w:widowControl/>
              <w:suppressLineNumbers w:val="0"/>
              <w:jc w:val="center"/>
              <w:textAlignment w:val="center"/>
              <w:rPr>
                <w:rFonts w:hint="eastAsia" w:ascii="仿宋" w:hAnsi="仿宋" w:eastAsia="仿宋" w:cs="仿宋"/>
                <w:color w:val="auto"/>
                <w:sz w:val="22"/>
                <w:szCs w:val="22"/>
                <w:lang w:val="en-US" w:eastAsia="zh-CN" w:bidi="zh-CN"/>
              </w:rPr>
            </w:pPr>
            <w:r>
              <w:rPr>
                <w:rFonts w:hint="eastAsia" w:ascii="仿宋" w:hAnsi="仿宋" w:eastAsia="仿宋" w:cs="仿宋"/>
                <w:color w:val="auto"/>
                <w:sz w:val="22"/>
                <w:szCs w:val="22"/>
                <w:lang w:val="en-US" w:eastAsia="zh-CN" w:bidi="zh-CN"/>
              </w:rPr>
              <w:t>单价（元）</w:t>
            </w:r>
          </w:p>
        </w:tc>
        <w:tc>
          <w:tcPr>
            <w:tcW w:w="891" w:type="dxa"/>
            <w:shd w:val="clear" w:color="000000" w:fill="FFFFFF"/>
            <w:vAlign w:val="center"/>
          </w:tcPr>
          <w:p w14:paraId="756B6167">
            <w:pPr>
              <w:keepNext w:val="0"/>
              <w:keepLines w:val="0"/>
              <w:widowControl/>
              <w:suppressLineNumbers w:val="0"/>
              <w:jc w:val="center"/>
              <w:textAlignment w:val="center"/>
              <w:rPr>
                <w:rFonts w:hint="eastAsia" w:ascii="仿宋" w:hAnsi="仿宋" w:eastAsia="仿宋" w:cs="仿宋"/>
                <w:color w:val="auto"/>
                <w:sz w:val="22"/>
                <w:szCs w:val="22"/>
                <w:lang w:val="en-US" w:eastAsia="zh-CN" w:bidi="zh-CN"/>
              </w:rPr>
            </w:pPr>
            <w:r>
              <w:rPr>
                <w:rFonts w:hint="eastAsia" w:ascii="仿宋" w:hAnsi="仿宋" w:eastAsia="仿宋" w:cs="仿宋"/>
                <w:color w:val="auto"/>
                <w:sz w:val="22"/>
                <w:szCs w:val="22"/>
                <w:lang w:val="en-US" w:eastAsia="zh-CN" w:bidi="zh-CN"/>
              </w:rPr>
              <w:t>小计（元）</w:t>
            </w:r>
          </w:p>
        </w:tc>
        <w:tc>
          <w:tcPr>
            <w:tcW w:w="566" w:type="dxa"/>
            <w:shd w:val="clear" w:color="000000" w:fill="FFFFFF"/>
            <w:vAlign w:val="center"/>
          </w:tcPr>
          <w:p w14:paraId="624AA392">
            <w:pPr>
              <w:keepNext w:val="0"/>
              <w:keepLines w:val="0"/>
              <w:widowControl/>
              <w:suppressLineNumbers w:val="0"/>
              <w:jc w:val="center"/>
              <w:textAlignment w:val="center"/>
              <w:rPr>
                <w:rFonts w:hint="eastAsia" w:ascii="仿宋" w:hAnsi="仿宋" w:eastAsia="仿宋" w:cs="仿宋"/>
                <w:color w:val="auto"/>
                <w:sz w:val="22"/>
                <w:szCs w:val="22"/>
                <w:lang w:val="en-US" w:eastAsia="zh-CN" w:bidi="zh-CN"/>
              </w:rPr>
            </w:pPr>
            <w:r>
              <w:rPr>
                <w:rFonts w:hint="eastAsia" w:ascii="仿宋" w:hAnsi="仿宋" w:eastAsia="仿宋" w:cs="仿宋"/>
                <w:color w:val="auto"/>
                <w:sz w:val="22"/>
                <w:szCs w:val="22"/>
                <w:lang w:val="en-US" w:eastAsia="zh-CN" w:bidi="zh-CN"/>
              </w:rPr>
              <w:t>质量</w:t>
            </w:r>
          </w:p>
        </w:tc>
      </w:tr>
      <w:tr w14:paraId="548CC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629" w:type="dxa"/>
            <w:shd w:val="clear" w:color="000000" w:fill="FFFFFF"/>
            <w:vAlign w:val="center"/>
          </w:tcPr>
          <w:p w14:paraId="2203C46A">
            <w:pPr>
              <w:keepNext w:val="0"/>
              <w:keepLines w:val="0"/>
              <w:widowControl/>
              <w:suppressLineNumbers w:val="0"/>
              <w:jc w:val="center"/>
              <w:textAlignment w:val="center"/>
              <w:rPr>
                <w:rFonts w:hint="eastAsia" w:ascii="宋体" w:hAnsi="宋体" w:eastAsia="宋体" w:cs="宋体"/>
                <w:color w:val="auto"/>
                <w:kern w:val="0"/>
                <w:sz w:val="22"/>
                <w:szCs w:val="22"/>
              </w:rPr>
            </w:pPr>
          </w:p>
        </w:tc>
        <w:tc>
          <w:tcPr>
            <w:tcW w:w="1175" w:type="dxa"/>
            <w:shd w:val="clear" w:color="000000" w:fill="FFFFFF"/>
            <w:vAlign w:val="center"/>
          </w:tcPr>
          <w:p w14:paraId="66BC96B2">
            <w:pPr>
              <w:keepNext w:val="0"/>
              <w:keepLines w:val="0"/>
              <w:widowControl/>
              <w:suppressLineNumbers w:val="0"/>
              <w:jc w:val="center"/>
              <w:textAlignment w:val="center"/>
              <w:rPr>
                <w:rFonts w:hint="eastAsia" w:ascii="宋体" w:hAnsi="宋体" w:eastAsia="宋体" w:cs="宋体"/>
                <w:color w:val="auto"/>
                <w:kern w:val="0"/>
                <w:sz w:val="22"/>
                <w:szCs w:val="22"/>
              </w:rPr>
            </w:pPr>
          </w:p>
        </w:tc>
        <w:tc>
          <w:tcPr>
            <w:tcW w:w="758" w:type="dxa"/>
            <w:shd w:val="clear" w:color="000000" w:fill="FFFFFF"/>
            <w:vAlign w:val="center"/>
          </w:tcPr>
          <w:p w14:paraId="64A0267D">
            <w:pPr>
              <w:keepNext w:val="0"/>
              <w:keepLines w:val="0"/>
              <w:widowControl/>
              <w:suppressLineNumbers w:val="0"/>
              <w:jc w:val="center"/>
              <w:textAlignment w:val="center"/>
              <w:rPr>
                <w:rFonts w:hint="eastAsia" w:ascii="宋体" w:hAnsi="宋体" w:eastAsia="宋体" w:cs="宋体"/>
                <w:color w:val="auto"/>
                <w:kern w:val="0"/>
                <w:sz w:val="22"/>
                <w:szCs w:val="22"/>
              </w:rPr>
            </w:pPr>
          </w:p>
        </w:tc>
        <w:tc>
          <w:tcPr>
            <w:tcW w:w="3105" w:type="dxa"/>
            <w:shd w:val="clear" w:color="000000" w:fill="FFFFFF"/>
            <w:vAlign w:val="center"/>
          </w:tcPr>
          <w:p w14:paraId="3687E82E">
            <w:pPr>
              <w:keepNext w:val="0"/>
              <w:keepLines w:val="0"/>
              <w:widowControl/>
              <w:suppressLineNumbers w:val="0"/>
              <w:jc w:val="center"/>
              <w:textAlignment w:val="center"/>
              <w:rPr>
                <w:rFonts w:hint="eastAsia" w:ascii="宋体" w:hAnsi="宋体" w:eastAsia="宋体" w:cs="宋体"/>
                <w:color w:val="auto"/>
                <w:kern w:val="0"/>
                <w:sz w:val="22"/>
                <w:szCs w:val="22"/>
              </w:rPr>
            </w:pPr>
          </w:p>
        </w:tc>
        <w:tc>
          <w:tcPr>
            <w:tcW w:w="1420" w:type="dxa"/>
            <w:shd w:val="clear" w:color="000000" w:fill="FFFFFF"/>
            <w:vAlign w:val="center"/>
          </w:tcPr>
          <w:p w14:paraId="5171B85B">
            <w:pPr>
              <w:keepNext w:val="0"/>
              <w:keepLines w:val="0"/>
              <w:widowControl/>
              <w:suppressLineNumbers w:val="0"/>
              <w:jc w:val="center"/>
              <w:textAlignment w:val="center"/>
              <w:rPr>
                <w:rFonts w:hint="eastAsia" w:ascii="宋体" w:hAnsi="宋体" w:eastAsia="宋体" w:cs="宋体"/>
                <w:color w:val="auto"/>
                <w:kern w:val="0"/>
                <w:sz w:val="22"/>
                <w:szCs w:val="22"/>
              </w:rPr>
            </w:pPr>
          </w:p>
        </w:tc>
        <w:tc>
          <w:tcPr>
            <w:tcW w:w="732" w:type="dxa"/>
            <w:shd w:val="clear" w:color="000000" w:fill="FFFFFF"/>
            <w:vAlign w:val="center"/>
          </w:tcPr>
          <w:p w14:paraId="0A2C7561">
            <w:pPr>
              <w:keepNext w:val="0"/>
              <w:keepLines w:val="0"/>
              <w:widowControl/>
              <w:suppressLineNumbers w:val="0"/>
              <w:jc w:val="center"/>
              <w:textAlignment w:val="center"/>
              <w:rPr>
                <w:rFonts w:hint="eastAsia" w:ascii="宋体" w:hAnsi="宋体" w:eastAsia="宋体" w:cs="宋体"/>
                <w:color w:val="auto"/>
                <w:sz w:val="22"/>
                <w:szCs w:val="22"/>
              </w:rPr>
            </w:pPr>
          </w:p>
        </w:tc>
        <w:tc>
          <w:tcPr>
            <w:tcW w:w="891" w:type="dxa"/>
            <w:shd w:val="clear" w:color="000000" w:fill="FFFFFF"/>
            <w:vAlign w:val="center"/>
          </w:tcPr>
          <w:p w14:paraId="6DDD5763">
            <w:pPr>
              <w:keepNext w:val="0"/>
              <w:keepLines w:val="0"/>
              <w:widowControl/>
              <w:suppressLineNumbers w:val="0"/>
              <w:jc w:val="center"/>
              <w:textAlignment w:val="center"/>
              <w:rPr>
                <w:rFonts w:hint="eastAsia" w:ascii="宋体" w:hAnsi="宋体" w:eastAsia="宋体" w:cs="宋体"/>
                <w:color w:val="auto"/>
                <w:sz w:val="22"/>
                <w:szCs w:val="22"/>
              </w:rPr>
            </w:pPr>
          </w:p>
        </w:tc>
        <w:tc>
          <w:tcPr>
            <w:tcW w:w="566" w:type="dxa"/>
            <w:shd w:val="clear" w:color="000000" w:fill="FFFFFF"/>
            <w:vAlign w:val="center"/>
          </w:tcPr>
          <w:p w14:paraId="26DE6337">
            <w:pPr>
              <w:jc w:val="center"/>
              <w:rPr>
                <w:rFonts w:hint="eastAsia" w:ascii="宋体" w:hAnsi="宋体" w:eastAsia="宋体" w:cs="宋体"/>
                <w:color w:val="auto"/>
                <w:kern w:val="0"/>
                <w:sz w:val="22"/>
                <w:szCs w:val="22"/>
              </w:rPr>
            </w:pPr>
          </w:p>
        </w:tc>
      </w:tr>
      <w:tr w14:paraId="69AF0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29" w:type="dxa"/>
            <w:shd w:val="clear" w:color="000000" w:fill="FFFFFF"/>
            <w:vAlign w:val="center"/>
          </w:tcPr>
          <w:p w14:paraId="5E17CDBE">
            <w:pPr>
              <w:keepNext w:val="0"/>
              <w:keepLines w:val="0"/>
              <w:widowControl/>
              <w:suppressLineNumbers w:val="0"/>
              <w:jc w:val="center"/>
              <w:textAlignment w:val="center"/>
              <w:rPr>
                <w:rFonts w:hint="eastAsia" w:ascii="宋体" w:hAnsi="宋体" w:eastAsia="宋体" w:cs="宋体"/>
                <w:color w:val="auto"/>
                <w:kern w:val="0"/>
                <w:sz w:val="22"/>
                <w:szCs w:val="22"/>
              </w:rPr>
            </w:pPr>
          </w:p>
        </w:tc>
        <w:tc>
          <w:tcPr>
            <w:tcW w:w="1175" w:type="dxa"/>
            <w:shd w:val="clear" w:color="000000" w:fill="FFFFFF"/>
            <w:vAlign w:val="center"/>
          </w:tcPr>
          <w:p w14:paraId="7CF2D599">
            <w:pPr>
              <w:keepNext w:val="0"/>
              <w:keepLines w:val="0"/>
              <w:widowControl/>
              <w:suppressLineNumbers w:val="0"/>
              <w:jc w:val="center"/>
              <w:textAlignment w:val="center"/>
              <w:rPr>
                <w:rFonts w:hint="eastAsia" w:ascii="宋体" w:hAnsi="宋体" w:eastAsia="宋体" w:cs="宋体"/>
                <w:color w:val="auto"/>
                <w:kern w:val="0"/>
                <w:sz w:val="22"/>
                <w:szCs w:val="22"/>
              </w:rPr>
            </w:pPr>
          </w:p>
        </w:tc>
        <w:tc>
          <w:tcPr>
            <w:tcW w:w="758" w:type="dxa"/>
            <w:shd w:val="clear" w:color="000000" w:fill="FFFFFF"/>
            <w:vAlign w:val="center"/>
          </w:tcPr>
          <w:p w14:paraId="6D2440D4">
            <w:pPr>
              <w:keepNext w:val="0"/>
              <w:keepLines w:val="0"/>
              <w:widowControl/>
              <w:suppressLineNumbers w:val="0"/>
              <w:jc w:val="center"/>
              <w:textAlignment w:val="center"/>
              <w:rPr>
                <w:rFonts w:hint="eastAsia" w:ascii="宋体" w:hAnsi="宋体" w:eastAsia="宋体" w:cs="宋体"/>
                <w:color w:val="auto"/>
                <w:kern w:val="0"/>
                <w:sz w:val="22"/>
                <w:szCs w:val="22"/>
              </w:rPr>
            </w:pPr>
          </w:p>
        </w:tc>
        <w:tc>
          <w:tcPr>
            <w:tcW w:w="3105" w:type="dxa"/>
            <w:shd w:val="clear" w:color="000000" w:fill="FFFFFF"/>
            <w:vAlign w:val="center"/>
          </w:tcPr>
          <w:p w14:paraId="675E5F96">
            <w:pPr>
              <w:keepNext w:val="0"/>
              <w:keepLines w:val="0"/>
              <w:widowControl/>
              <w:suppressLineNumbers w:val="0"/>
              <w:jc w:val="center"/>
              <w:textAlignment w:val="center"/>
              <w:rPr>
                <w:rFonts w:hint="eastAsia" w:ascii="宋体" w:hAnsi="宋体" w:eastAsia="宋体" w:cs="宋体"/>
                <w:color w:val="auto"/>
                <w:kern w:val="0"/>
                <w:sz w:val="22"/>
                <w:szCs w:val="22"/>
              </w:rPr>
            </w:pPr>
          </w:p>
        </w:tc>
        <w:tc>
          <w:tcPr>
            <w:tcW w:w="1420" w:type="dxa"/>
            <w:shd w:val="clear" w:color="000000" w:fill="FFFFFF"/>
            <w:vAlign w:val="center"/>
          </w:tcPr>
          <w:p w14:paraId="49C12A0B">
            <w:pPr>
              <w:keepNext w:val="0"/>
              <w:keepLines w:val="0"/>
              <w:widowControl/>
              <w:suppressLineNumbers w:val="0"/>
              <w:jc w:val="center"/>
              <w:textAlignment w:val="center"/>
              <w:rPr>
                <w:rFonts w:hint="eastAsia" w:ascii="宋体" w:hAnsi="宋体" w:eastAsia="宋体" w:cs="宋体"/>
                <w:color w:val="auto"/>
                <w:kern w:val="0"/>
                <w:sz w:val="22"/>
                <w:szCs w:val="22"/>
              </w:rPr>
            </w:pPr>
          </w:p>
        </w:tc>
        <w:tc>
          <w:tcPr>
            <w:tcW w:w="732" w:type="dxa"/>
            <w:shd w:val="clear" w:color="000000" w:fill="FFFFFF"/>
            <w:vAlign w:val="center"/>
          </w:tcPr>
          <w:p w14:paraId="2901BA41">
            <w:pPr>
              <w:keepNext w:val="0"/>
              <w:keepLines w:val="0"/>
              <w:widowControl/>
              <w:suppressLineNumbers w:val="0"/>
              <w:jc w:val="center"/>
              <w:textAlignment w:val="center"/>
              <w:rPr>
                <w:rFonts w:hint="eastAsia" w:ascii="宋体" w:hAnsi="宋体" w:eastAsia="宋体" w:cs="宋体"/>
                <w:color w:val="auto"/>
                <w:sz w:val="22"/>
                <w:szCs w:val="22"/>
              </w:rPr>
            </w:pPr>
          </w:p>
        </w:tc>
        <w:tc>
          <w:tcPr>
            <w:tcW w:w="891" w:type="dxa"/>
            <w:shd w:val="clear" w:color="000000" w:fill="FFFFFF"/>
            <w:vAlign w:val="center"/>
          </w:tcPr>
          <w:p w14:paraId="182E0682">
            <w:pPr>
              <w:keepNext w:val="0"/>
              <w:keepLines w:val="0"/>
              <w:widowControl/>
              <w:suppressLineNumbers w:val="0"/>
              <w:jc w:val="center"/>
              <w:textAlignment w:val="center"/>
              <w:rPr>
                <w:rFonts w:hint="eastAsia" w:ascii="宋体" w:hAnsi="宋体" w:eastAsia="宋体" w:cs="宋体"/>
                <w:color w:val="auto"/>
                <w:sz w:val="22"/>
                <w:szCs w:val="22"/>
              </w:rPr>
            </w:pPr>
          </w:p>
        </w:tc>
        <w:tc>
          <w:tcPr>
            <w:tcW w:w="566" w:type="dxa"/>
            <w:shd w:val="clear" w:color="000000" w:fill="FFFFFF"/>
            <w:vAlign w:val="center"/>
          </w:tcPr>
          <w:p w14:paraId="32DFFE33">
            <w:pPr>
              <w:jc w:val="center"/>
              <w:rPr>
                <w:rFonts w:hint="eastAsia" w:ascii="宋体" w:hAnsi="宋体" w:eastAsia="宋体" w:cs="宋体"/>
                <w:color w:val="auto"/>
                <w:kern w:val="0"/>
                <w:sz w:val="22"/>
                <w:szCs w:val="22"/>
              </w:rPr>
            </w:pPr>
          </w:p>
        </w:tc>
      </w:tr>
      <w:tr w14:paraId="4517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29" w:type="dxa"/>
            <w:shd w:val="clear" w:color="000000" w:fill="FFFFFF"/>
            <w:vAlign w:val="center"/>
          </w:tcPr>
          <w:p w14:paraId="050E1B26">
            <w:pPr>
              <w:keepNext w:val="0"/>
              <w:keepLines w:val="0"/>
              <w:widowControl/>
              <w:suppressLineNumbers w:val="0"/>
              <w:jc w:val="center"/>
              <w:textAlignment w:val="center"/>
              <w:rPr>
                <w:rFonts w:hint="eastAsia" w:ascii="宋体" w:hAnsi="宋体" w:eastAsia="宋体" w:cs="宋体"/>
                <w:color w:val="auto"/>
                <w:kern w:val="0"/>
                <w:sz w:val="22"/>
                <w:szCs w:val="22"/>
              </w:rPr>
            </w:pPr>
          </w:p>
        </w:tc>
        <w:tc>
          <w:tcPr>
            <w:tcW w:w="1175" w:type="dxa"/>
            <w:shd w:val="clear" w:color="000000" w:fill="FFFFFF"/>
            <w:vAlign w:val="center"/>
          </w:tcPr>
          <w:p w14:paraId="509BE7A4">
            <w:pPr>
              <w:keepNext w:val="0"/>
              <w:keepLines w:val="0"/>
              <w:widowControl/>
              <w:suppressLineNumbers w:val="0"/>
              <w:jc w:val="center"/>
              <w:textAlignment w:val="center"/>
              <w:rPr>
                <w:rFonts w:hint="eastAsia" w:ascii="宋体" w:hAnsi="宋体" w:eastAsia="宋体" w:cs="宋体"/>
                <w:color w:val="auto"/>
                <w:kern w:val="0"/>
                <w:sz w:val="22"/>
                <w:szCs w:val="22"/>
              </w:rPr>
            </w:pPr>
          </w:p>
        </w:tc>
        <w:tc>
          <w:tcPr>
            <w:tcW w:w="758" w:type="dxa"/>
            <w:shd w:val="clear" w:color="000000" w:fill="FFFFFF"/>
            <w:vAlign w:val="center"/>
          </w:tcPr>
          <w:p w14:paraId="2E2C5964">
            <w:pPr>
              <w:keepNext w:val="0"/>
              <w:keepLines w:val="0"/>
              <w:widowControl/>
              <w:suppressLineNumbers w:val="0"/>
              <w:jc w:val="center"/>
              <w:textAlignment w:val="center"/>
              <w:rPr>
                <w:rFonts w:hint="eastAsia" w:ascii="宋体" w:hAnsi="宋体" w:eastAsia="宋体" w:cs="宋体"/>
                <w:color w:val="auto"/>
                <w:kern w:val="0"/>
                <w:sz w:val="22"/>
                <w:szCs w:val="22"/>
              </w:rPr>
            </w:pPr>
          </w:p>
        </w:tc>
        <w:tc>
          <w:tcPr>
            <w:tcW w:w="3105" w:type="dxa"/>
            <w:shd w:val="clear" w:color="000000" w:fill="FFFFFF"/>
            <w:vAlign w:val="center"/>
          </w:tcPr>
          <w:p w14:paraId="062A2253">
            <w:pPr>
              <w:keepNext w:val="0"/>
              <w:keepLines w:val="0"/>
              <w:widowControl/>
              <w:suppressLineNumbers w:val="0"/>
              <w:jc w:val="center"/>
              <w:textAlignment w:val="center"/>
              <w:rPr>
                <w:rFonts w:hint="eastAsia" w:ascii="宋体" w:hAnsi="宋体" w:eastAsia="宋体" w:cs="宋体"/>
                <w:color w:val="auto"/>
                <w:kern w:val="0"/>
                <w:sz w:val="22"/>
                <w:szCs w:val="22"/>
              </w:rPr>
            </w:pPr>
          </w:p>
        </w:tc>
        <w:tc>
          <w:tcPr>
            <w:tcW w:w="1420" w:type="dxa"/>
            <w:shd w:val="clear" w:color="000000" w:fill="FFFFFF"/>
            <w:vAlign w:val="center"/>
          </w:tcPr>
          <w:p w14:paraId="35FD5B2A">
            <w:pPr>
              <w:keepNext w:val="0"/>
              <w:keepLines w:val="0"/>
              <w:widowControl/>
              <w:suppressLineNumbers w:val="0"/>
              <w:jc w:val="center"/>
              <w:textAlignment w:val="center"/>
              <w:rPr>
                <w:rFonts w:hint="eastAsia" w:ascii="宋体" w:hAnsi="宋体" w:eastAsia="宋体" w:cs="宋体"/>
                <w:color w:val="auto"/>
                <w:kern w:val="0"/>
                <w:sz w:val="22"/>
                <w:szCs w:val="22"/>
              </w:rPr>
            </w:pPr>
          </w:p>
        </w:tc>
        <w:tc>
          <w:tcPr>
            <w:tcW w:w="732" w:type="dxa"/>
            <w:shd w:val="clear" w:color="000000" w:fill="FFFFFF"/>
            <w:vAlign w:val="center"/>
          </w:tcPr>
          <w:p w14:paraId="41AD4C05">
            <w:pPr>
              <w:keepNext w:val="0"/>
              <w:keepLines w:val="0"/>
              <w:widowControl/>
              <w:suppressLineNumbers w:val="0"/>
              <w:jc w:val="center"/>
              <w:textAlignment w:val="center"/>
              <w:rPr>
                <w:rFonts w:hint="eastAsia" w:ascii="宋体" w:hAnsi="宋体" w:eastAsia="宋体" w:cs="宋体"/>
                <w:color w:val="auto"/>
                <w:sz w:val="22"/>
                <w:szCs w:val="22"/>
              </w:rPr>
            </w:pPr>
          </w:p>
        </w:tc>
        <w:tc>
          <w:tcPr>
            <w:tcW w:w="891" w:type="dxa"/>
            <w:shd w:val="clear" w:color="000000" w:fill="FFFFFF"/>
            <w:vAlign w:val="center"/>
          </w:tcPr>
          <w:p w14:paraId="17E3FADF">
            <w:pPr>
              <w:keepNext w:val="0"/>
              <w:keepLines w:val="0"/>
              <w:widowControl/>
              <w:suppressLineNumbers w:val="0"/>
              <w:jc w:val="center"/>
              <w:textAlignment w:val="center"/>
              <w:rPr>
                <w:rFonts w:hint="eastAsia" w:ascii="宋体" w:hAnsi="宋体" w:eastAsia="宋体" w:cs="宋体"/>
                <w:color w:val="auto"/>
                <w:sz w:val="22"/>
                <w:szCs w:val="22"/>
              </w:rPr>
            </w:pPr>
          </w:p>
        </w:tc>
        <w:tc>
          <w:tcPr>
            <w:tcW w:w="566" w:type="dxa"/>
            <w:shd w:val="clear" w:color="000000" w:fill="FFFFFF"/>
            <w:vAlign w:val="center"/>
          </w:tcPr>
          <w:p w14:paraId="425C3A66">
            <w:pPr>
              <w:jc w:val="center"/>
              <w:rPr>
                <w:rFonts w:hint="eastAsia" w:ascii="宋体" w:hAnsi="宋体" w:eastAsia="宋体" w:cs="宋体"/>
                <w:color w:val="auto"/>
                <w:kern w:val="0"/>
                <w:sz w:val="22"/>
                <w:szCs w:val="22"/>
              </w:rPr>
            </w:pPr>
          </w:p>
        </w:tc>
      </w:tr>
      <w:tr w14:paraId="5C759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9" w:type="dxa"/>
            <w:shd w:val="clear" w:color="000000" w:fill="FFFFFF"/>
            <w:vAlign w:val="center"/>
          </w:tcPr>
          <w:p w14:paraId="23ED5C1C">
            <w:pPr>
              <w:keepNext w:val="0"/>
              <w:keepLines w:val="0"/>
              <w:widowControl/>
              <w:suppressLineNumbers w:val="0"/>
              <w:jc w:val="center"/>
              <w:textAlignment w:val="center"/>
              <w:rPr>
                <w:rFonts w:hint="eastAsia" w:ascii="宋体" w:hAnsi="宋体" w:eastAsia="宋体" w:cs="宋体"/>
                <w:color w:val="auto"/>
                <w:kern w:val="0"/>
                <w:sz w:val="22"/>
                <w:szCs w:val="22"/>
              </w:rPr>
            </w:pPr>
          </w:p>
        </w:tc>
        <w:tc>
          <w:tcPr>
            <w:tcW w:w="1175" w:type="dxa"/>
            <w:shd w:val="clear" w:color="000000" w:fill="FFFFFF"/>
            <w:vAlign w:val="center"/>
          </w:tcPr>
          <w:p w14:paraId="5E76244D">
            <w:pPr>
              <w:keepNext w:val="0"/>
              <w:keepLines w:val="0"/>
              <w:widowControl/>
              <w:suppressLineNumbers w:val="0"/>
              <w:jc w:val="center"/>
              <w:textAlignment w:val="center"/>
              <w:rPr>
                <w:rFonts w:hint="eastAsia" w:ascii="宋体" w:hAnsi="宋体" w:eastAsia="宋体" w:cs="宋体"/>
                <w:color w:val="auto"/>
                <w:kern w:val="0"/>
                <w:sz w:val="22"/>
                <w:szCs w:val="22"/>
              </w:rPr>
            </w:pPr>
          </w:p>
        </w:tc>
        <w:tc>
          <w:tcPr>
            <w:tcW w:w="758" w:type="dxa"/>
            <w:shd w:val="clear" w:color="000000" w:fill="FFFFFF"/>
            <w:vAlign w:val="center"/>
          </w:tcPr>
          <w:p w14:paraId="4AA73DD4">
            <w:pPr>
              <w:keepNext w:val="0"/>
              <w:keepLines w:val="0"/>
              <w:widowControl/>
              <w:suppressLineNumbers w:val="0"/>
              <w:jc w:val="center"/>
              <w:textAlignment w:val="center"/>
              <w:rPr>
                <w:rFonts w:hint="eastAsia" w:ascii="宋体" w:hAnsi="宋体" w:eastAsia="宋体" w:cs="宋体"/>
                <w:color w:val="auto"/>
                <w:kern w:val="0"/>
                <w:sz w:val="22"/>
                <w:szCs w:val="22"/>
              </w:rPr>
            </w:pPr>
          </w:p>
        </w:tc>
        <w:tc>
          <w:tcPr>
            <w:tcW w:w="3105" w:type="dxa"/>
            <w:shd w:val="clear" w:color="000000" w:fill="FFFFFF"/>
            <w:vAlign w:val="center"/>
          </w:tcPr>
          <w:p w14:paraId="5EECB5BF">
            <w:pPr>
              <w:keepNext w:val="0"/>
              <w:keepLines w:val="0"/>
              <w:widowControl/>
              <w:suppressLineNumbers w:val="0"/>
              <w:jc w:val="center"/>
              <w:textAlignment w:val="center"/>
              <w:rPr>
                <w:rFonts w:hint="eastAsia" w:ascii="宋体" w:hAnsi="宋体" w:eastAsia="宋体" w:cs="宋体"/>
                <w:color w:val="auto"/>
                <w:kern w:val="0"/>
                <w:sz w:val="22"/>
                <w:szCs w:val="22"/>
              </w:rPr>
            </w:pPr>
          </w:p>
        </w:tc>
        <w:tc>
          <w:tcPr>
            <w:tcW w:w="1420" w:type="dxa"/>
            <w:shd w:val="clear" w:color="000000" w:fill="FFFFFF"/>
            <w:vAlign w:val="center"/>
          </w:tcPr>
          <w:p w14:paraId="777CC92E">
            <w:pPr>
              <w:keepNext w:val="0"/>
              <w:keepLines w:val="0"/>
              <w:widowControl/>
              <w:suppressLineNumbers w:val="0"/>
              <w:jc w:val="center"/>
              <w:textAlignment w:val="center"/>
              <w:rPr>
                <w:rFonts w:hint="eastAsia" w:ascii="宋体" w:hAnsi="宋体" w:eastAsia="宋体" w:cs="宋体"/>
                <w:color w:val="auto"/>
                <w:kern w:val="0"/>
                <w:sz w:val="22"/>
                <w:szCs w:val="22"/>
              </w:rPr>
            </w:pPr>
          </w:p>
        </w:tc>
        <w:tc>
          <w:tcPr>
            <w:tcW w:w="732" w:type="dxa"/>
            <w:shd w:val="clear" w:color="000000" w:fill="FFFFFF"/>
            <w:vAlign w:val="center"/>
          </w:tcPr>
          <w:p w14:paraId="4A6EC05E">
            <w:pPr>
              <w:keepNext w:val="0"/>
              <w:keepLines w:val="0"/>
              <w:widowControl/>
              <w:suppressLineNumbers w:val="0"/>
              <w:jc w:val="center"/>
              <w:textAlignment w:val="center"/>
              <w:rPr>
                <w:rFonts w:hint="eastAsia" w:ascii="宋体" w:hAnsi="宋体" w:eastAsia="宋体" w:cs="宋体"/>
                <w:color w:val="auto"/>
                <w:sz w:val="22"/>
                <w:szCs w:val="22"/>
              </w:rPr>
            </w:pPr>
          </w:p>
        </w:tc>
        <w:tc>
          <w:tcPr>
            <w:tcW w:w="891" w:type="dxa"/>
            <w:shd w:val="clear" w:color="000000" w:fill="FFFFFF"/>
            <w:vAlign w:val="center"/>
          </w:tcPr>
          <w:p w14:paraId="6E63DFCD">
            <w:pPr>
              <w:keepNext w:val="0"/>
              <w:keepLines w:val="0"/>
              <w:widowControl/>
              <w:suppressLineNumbers w:val="0"/>
              <w:jc w:val="center"/>
              <w:textAlignment w:val="center"/>
              <w:rPr>
                <w:rFonts w:hint="eastAsia" w:ascii="宋体" w:hAnsi="宋体" w:eastAsia="宋体" w:cs="宋体"/>
                <w:color w:val="auto"/>
                <w:sz w:val="22"/>
                <w:szCs w:val="22"/>
              </w:rPr>
            </w:pPr>
          </w:p>
        </w:tc>
        <w:tc>
          <w:tcPr>
            <w:tcW w:w="566" w:type="dxa"/>
            <w:shd w:val="clear" w:color="000000" w:fill="FFFFFF"/>
            <w:vAlign w:val="center"/>
          </w:tcPr>
          <w:p w14:paraId="2466F9D6">
            <w:pPr>
              <w:jc w:val="center"/>
              <w:rPr>
                <w:rFonts w:hint="eastAsia" w:ascii="宋体" w:hAnsi="宋体" w:eastAsia="宋体" w:cs="宋体"/>
                <w:color w:val="auto"/>
                <w:kern w:val="0"/>
                <w:sz w:val="22"/>
                <w:szCs w:val="22"/>
              </w:rPr>
            </w:pPr>
          </w:p>
        </w:tc>
      </w:tr>
      <w:tr w14:paraId="113FF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29" w:type="dxa"/>
            <w:shd w:val="clear" w:color="000000" w:fill="FFFFFF"/>
            <w:vAlign w:val="center"/>
          </w:tcPr>
          <w:p w14:paraId="44E9AAC8">
            <w:pPr>
              <w:keepNext w:val="0"/>
              <w:keepLines w:val="0"/>
              <w:widowControl/>
              <w:suppressLineNumbers w:val="0"/>
              <w:jc w:val="center"/>
              <w:textAlignment w:val="center"/>
              <w:rPr>
                <w:rFonts w:hint="eastAsia" w:ascii="宋体" w:hAnsi="宋体" w:eastAsia="宋体" w:cs="宋体"/>
                <w:color w:val="auto"/>
                <w:kern w:val="0"/>
                <w:sz w:val="22"/>
                <w:szCs w:val="22"/>
              </w:rPr>
            </w:pPr>
          </w:p>
        </w:tc>
        <w:tc>
          <w:tcPr>
            <w:tcW w:w="1175" w:type="dxa"/>
            <w:shd w:val="clear" w:color="000000" w:fill="FFFFFF"/>
            <w:vAlign w:val="center"/>
          </w:tcPr>
          <w:p w14:paraId="051024BB">
            <w:pPr>
              <w:keepNext w:val="0"/>
              <w:keepLines w:val="0"/>
              <w:widowControl/>
              <w:suppressLineNumbers w:val="0"/>
              <w:jc w:val="center"/>
              <w:textAlignment w:val="center"/>
              <w:rPr>
                <w:rFonts w:hint="eastAsia" w:ascii="宋体" w:hAnsi="宋体" w:eastAsia="宋体" w:cs="宋体"/>
                <w:color w:val="auto"/>
                <w:kern w:val="0"/>
                <w:sz w:val="22"/>
                <w:szCs w:val="22"/>
              </w:rPr>
            </w:pPr>
          </w:p>
        </w:tc>
        <w:tc>
          <w:tcPr>
            <w:tcW w:w="758" w:type="dxa"/>
            <w:shd w:val="clear" w:color="000000" w:fill="FFFFFF"/>
            <w:vAlign w:val="center"/>
          </w:tcPr>
          <w:p w14:paraId="650F5F1F">
            <w:pPr>
              <w:keepNext w:val="0"/>
              <w:keepLines w:val="0"/>
              <w:widowControl/>
              <w:suppressLineNumbers w:val="0"/>
              <w:jc w:val="center"/>
              <w:textAlignment w:val="center"/>
              <w:rPr>
                <w:rFonts w:hint="eastAsia" w:ascii="宋体" w:hAnsi="宋体" w:eastAsia="宋体" w:cs="宋体"/>
                <w:color w:val="auto"/>
                <w:kern w:val="0"/>
                <w:sz w:val="22"/>
                <w:szCs w:val="22"/>
              </w:rPr>
            </w:pPr>
          </w:p>
        </w:tc>
        <w:tc>
          <w:tcPr>
            <w:tcW w:w="3105" w:type="dxa"/>
            <w:shd w:val="clear" w:color="000000" w:fill="FFFFFF"/>
            <w:vAlign w:val="center"/>
          </w:tcPr>
          <w:p w14:paraId="58E83DF5">
            <w:pPr>
              <w:keepNext w:val="0"/>
              <w:keepLines w:val="0"/>
              <w:widowControl/>
              <w:suppressLineNumbers w:val="0"/>
              <w:jc w:val="center"/>
              <w:textAlignment w:val="center"/>
              <w:rPr>
                <w:rFonts w:hint="eastAsia" w:ascii="宋体" w:hAnsi="宋体" w:eastAsia="宋体" w:cs="宋体"/>
                <w:color w:val="auto"/>
                <w:kern w:val="0"/>
                <w:sz w:val="22"/>
                <w:szCs w:val="22"/>
              </w:rPr>
            </w:pPr>
          </w:p>
        </w:tc>
        <w:tc>
          <w:tcPr>
            <w:tcW w:w="1420" w:type="dxa"/>
            <w:shd w:val="clear" w:color="000000" w:fill="FFFFFF"/>
            <w:vAlign w:val="center"/>
          </w:tcPr>
          <w:p w14:paraId="6E069E2D">
            <w:pPr>
              <w:keepNext w:val="0"/>
              <w:keepLines w:val="0"/>
              <w:widowControl/>
              <w:suppressLineNumbers w:val="0"/>
              <w:jc w:val="center"/>
              <w:textAlignment w:val="center"/>
              <w:rPr>
                <w:rFonts w:hint="eastAsia" w:ascii="宋体" w:hAnsi="宋体" w:eastAsia="宋体" w:cs="宋体"/>
                <w:color w:val="auto"/>
                <w:kern w:val="0"/>
                <w:sz w:val="22"/>
                <w:szCs w:val="22"/>
              </w:rPr>
            </w:pPr>
          </w:p>
        </w:tc>
        <w:tc>
          <w:tcPr>
            <w:tcW w:w="732" w:type="dxa"/>
            <w:shd w:val="clear" w:color="000000" w:fill="FFFFFF"/>
            <w:vAlign w:val="center"/>
          </w:tcPr>
          <w:p w14:paraId="36EFC756">
            <w:pPr>
              <w:keepNext w:val="0"/>
              <w:keepLines w:val="0"/>
              <w:widowControl/>
              <w:suppressLineNumbers w:val="0"/>
              <w:jc w:val="center"/>
              <w:textAlignment w:val="center"/>
              <w:rPr>
                <w:rFonts w:hint="eastAsia" w:ascii="宋体" w:hAnsi="宋体" w:eastAsia="宋体" w:cs="宋体"/>
                <w:color w:val="auto"/>
                <w:sz w:val="22"/>
                <w:szCs w:val="22"/>
              </w:rPr>
            </w:pPr>
          </w:p>
        </w:tc>
        <w:tc>
          <w:tcPr>
            <w:tcW w:w="891" w:type="dxa"/>
            <w:shd w:val="clear" w:color="000000" w:fill="FFFFFF"/>
            <w:vAlign w:val="center"/>
          </w:tcPr>
          <w:p w14:paraId="3F990FC0">
            <w:pPr>
              <w:keepNext w:val="0"/>
              <w:keepLines w:val="0"/>
              <w:widowControl/>
              <w:suppressLineNumbers w:val="0"/>
              <w:jc w:val="center"/>
              <w:textAlignment w:val="center"/>
              <w:rPr>
                <w:rFonts w:hint="eastAsia" w:ascii="宋体" w:hAnsi="宋体" w:eastAsia="宋体" w:cs="宋体"/>
                <w:color w:val="auto"/>
                <w:sz w:val="22"/>
                <w:szCs w:val="22"/>
              </w:rPr>
            </w:pPr>
          </w:p>
        </w:tc>
        <w:tc>
          <w:tcPr>
            <w:tcW w:w="566" w:type="dxa"/>
            <w:shd w:val="clear" w:color="000000" w:fill="FFFFFF"/>
            <w:vAlign w:val="center"/>
          </w:tcPr>
          <w:p w14:paraId="7EC33377">
            <w:pPr>
              <w:jc w:val="center"/>
              <w:rPr>
                <w:rFonts w:hint="eastAsia" w:ascii="宋体" w:hAnsi="宋体" w:eastAsia="宋体" w:cs="宋体"/>
                <w:color w:val="auto"/>
                <w:kern w:val="0"/>
                <w:sz w:val="22"/>
                <w:szCs w:val="22"/>
              </w:rPr>
            </w:pPr>
          </w:p>
        </w:tc>
      </w:tr>
      <w:tr w14:paraId="15DFB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29" w:type="dxa"/>
            <w:shd w:val="clear" w:color="000000" w:fill="FFFFFF"/>
            <w:vAlign w:val="center"/>
          </w:tcPr>
          <w:p w14:paraId="40F3ADB0">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p>
        </w:tc>
        <w:tc>
          <w:tcPr>
            <w:tcW w:w="1175" w:type="dxa"/>
            <w:shd w:val="clear" w:color="000000" w:fill="FFFFFF"/>
            <w:vAlign w:val="center"/>
          </w:tcPr>
          <w:p w14:paraId="7DBDF4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58" w:type="dxa"/>
            <w:shd w:val="clear" w:color="000000" w:fill="FFFFFF"/>
            <w:vAlign w:val="center"/>
          </w:tcPr>
          <w:p w14:paraId="48B7C4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105" w:type="dxa"/>
            <w:shd w:val="clear" w:color="000000" w:fill="FFFFFF"/>
            <w:vAlign w:val="center"/>
          </w:tcPr>
          <w:p w14:paraId="4116E9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20" w:type="dxa"/>
            <w:shd w:val="clear" w:color="000000" w:fill="FFFFFF"/>
            <w:vAlign w:val="center"/>
          </w:tcPr>
          <w:p w14:paraId="22CFBD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32" w:type="dxa"/>
            <w:shd w:val="clear" w:color="000000" w:fill="FFFFFF"/>
            <w:vAlign w:val="center"/>
          </w:tcPr>
          <w:p w14:paraId="18EB32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91" w:type="dxa"/>
            <w:shd w:val="clear" w:color="000000" w:fill="FFFFFF"/>
            <w:vAlign w:val="center"/>
          </w:tcPr>
          <w:p w14:paraId="00FE9E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66" w:type="dxa"/>
            <w:shd w:val="clear" w:color="000000" w:fill="FFFFFF"/>
            <w:vAlign w:val="center"/>
          </w:tcPr>
          <w:p w14:paraId="7C3CD5A0">
            <w:pPr>
              <w:jc w:val="center"/>
              <w:rPr>
                <w:rFonts w:hint="eastAsia" w:ascii="宋体" w:hAnsi="宋体" w:eastAsia="宋体" w:cs="宋体"/>
                <w:color w:val="auto"/>
                <w:kern w:val="0"/>
                <w:sz w:val="22"/>
                <w:szCs w:val="22"/>
              </w:rPr>
            </w:pPr>
          </w:p>
        </w:tc>
      </w:tr>
      <w:tr w14:paraId="6CBE1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29" w:type="dxa"/>
            <w:shd w:val="clear" w:color="000000" w:fill="FFFFFF"/>
            <w:vAlign w:val="center"/>
          </w:tcPr>
          <w:p w14:paraId="6DE668CA">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p>
        </w:tc>
        <w:tc>
          <w:tcPr>
            <w:tcW w:w="1175" w:type="dxa"/>
            <w:shd w:val="clear" w:color="000000" w:fill="FFFFFF"/>
            <w:vAlign w:val="center"/>
          </w:tcPr>
          <w:p w14:paraId="585119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58" w:type="dxa"/>
            <w:shd w:val="clear" w:color="000000" w:fill="FFFFFF"/>
            <w:vAlign w:val="center"/>
          </w:tcPr>
          <w:p w14:paraId="441CE3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105" w:type="dxa"/>
            <w:shd w:val="clear" w:color="000000" w:fill="FFFFFF"/>
            <w:vAlign w:val="center"/>
          </w:tcPr>
          <w:p w14:paraId="1848A1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20" w:type="dxa"/>
            <w:shd w:val="clear" w:color="000000" w:fill="FFFFFF"/>
            <w:vAlign w:val="center"/>
          </w:tcPr>
          <w:p w14:paraId="48B08C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32" w:type="dxa"/>
            <w:shd w:val="clear" w:color="000000" w:fill="FFFFFF"/>
            <w:vAlign w:val="center"/>
          </w:tcPr>
          <w:p w14:paraId="5D98B7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91" w:type="dxa"/>
            <w:shd w:val="clear" w:color="000000" w:fill="FFFFFF"/>
            <w:vAlign w:val="center"/>
          </w:tcPr>
          <w:p w14:paraId="614DF4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66" w:type="dxa"/>
            <w:shd w:val="clear" w:color="000000" w:fill="FFFFFF"/>
            <w:vAlign w:val="center"/>
          </w:tcPr>
          <w:p w14:paraId="4182B547">
            <w:pPr>
              <w:jc w:val="center"/>
              <w:rPr>
                <w:rFonts w:hint="eastAsia" w:ascii="宋体" w:hAnsi="宋体" w:eastAsia="宋体" w:cs="宋体"/>
                <w:color w:val="auto"/>
                <w:kern w:val="0"/>
                <w:sz w:val="22"/>
                <w:szCs w:val="22"/>
              </w:rPr>
            </w:pPr>
          </w:p>
        </w:tc>
      </w:tr>
      <w:tr w14:paraId="3E2C0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29" w:type="dxa"/>
            <w:shd w:val="clear" w:color="000000" w:fill="FFFFFF"/>
            <w:vAlign w:val="center"/>
          </w:tcPr>
          <w:p w14:paraId="12200438">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p>
        </w:tc>
        <w:tc>
          <w:tcPr>
            <w:tcW w:w="1175" w:type="dxa"/>
            <w:shd w:val="clear" w:color="000000" w:fill="FFFFFF"/>
            <w:vAlign w:val="center"/>
          </w:tcPr>
          <w:p w14:paraId="0C86F5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58" w:type="dxa"/>
            <w:shd w:val="clear" w:color="000000" w:fill="FFFFFF"/>
            <w:vAlign w:val="center"/>
          </w:tcPr>
          <w:p w14:paraId="58E275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105" w:type="dxa"/>
            <w:shd w:val="clear" w:color="000000" w:fill="FFFFFF"/>
            <w:vAlign w:val="center"/>
          </w:tcPr>
          <w:p w14:paraId="13412B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20" w:type="dxa"/>
            <w:shd w:val="clear" w:color="000000" w:fill="FFFFFF"/>
            <w:vAlign w:val="center"/>
          </w:tcPr>
          <w:p w14:paraId="4B011A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32" w:type="dxa"/>
            <w:shd w:val="clear" w:color="000000" w:fill="FFFFFF"/>
            <w:vAlign w:val="center"/>
          </w:tcPr>
          <w:p w14:paraId="17E5A9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91" w:type="dxa"/>
            <w:shd w:val="clear" w:color="000000" w:fill="FFFFFF"/>
            <w:vAlign w:val="center"/>
          </w:tcPr>
          <w:p w14:paraId="362438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66" w:type="dxa"/>
            <w:shd w:val="clear" w:color="000000" w:fill="FFFFFF"/>
            <w:vAlign w:val="center"/>
          </w:tcPr>
          <w:p w14:paraId="5E373AD7">
            <w:pPr>
              <w:jc w:val="center"/>
              <w:rPr>
                <w:rFonts w:hint="eastAsia" w:ascii="宋体" w:hAnsi="宋体" w:eastAsia="宋体" w:cs="宋体"/>
                <w:color w:val="auto"/>
                <w:kern w:val="0"/>
                <w:sz w:val="22"/>
                <w:szCs w:val="22"/>
              </w:rPr>
            </w:pPr>
          </w:p>
        </w:tc>
      </w:tr>
      <w:tr w14:paraId="41931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29" w:type="dxa"/>
            <w:shd w:val="clear" w:color="000000" w:fill="FFFFFF"/>
            <w:vAlign w:val="center"/>
          </w:tcPr>
          <w:p w14:paraId="055ABF3E">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p>
        </w:tc>
        <w:tc>
          <w:tcPr>
            <w:tcW w:w="1175" w:type="dxa"/>
            <w:shd w:val="clear" w:color="000000" w:fill="FFFFFF"/>
            <w:vAlign w:val="center"/>
          </w:tcPr>
          <w:p w14:paraId="016E4C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58" w:type="dxa"/>
            <w:shd w:val="clear" w:color="000000" w:fill="FFFFFF"/>
            <w:vAlign w:val="center"/>
          </w:tcPr>
          <w:p w14:paraId="3F7547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105" w:type="dxa"/>
            <w:shd w:val="clear" w:color="000000" w:fill="FFFFFF"/>
            <w:vAlign w:val="center"/>
          </w:tcPr>
          <w:p w14:paraId="13E5A0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20" w:type="dxa"/>
            <w:shd w:val="clear" w:color="000000" w:fill="FFFFFF"/>
            <w:vAlign w:val="center"/>
          </w:tcPr>
          <w:p w14:paraId="6599E8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32" w:type="dxa"/>
            <w:shd w:val="clear" w:color="000000" w:fill="FFFFFF"/>
            <w:vAlign w:val="center"/>
          </w:tcPr>
          <w:p w14:paraId="255807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91" w:type="dxa"/>
            <w:shd w:val="clear" w:color="000000" w:fill="FFFFFF"/>
            <w:vAlign w:val="center"/>
          </w:tcPr>
          <w:p w14:paraId="07C3F2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66" w:type="dxa"/>
            <w:shd w:val="clear" w:color="000000" w:fill="FFFFFF"/>
            <w:vAlign w:val="center"/>
          </w:tcPr>
          <w:p w14:paraId="56BD7EE7">
            <w:pPr>
              <w:jc w:val="center"/>
              <w:rPr>
                <w:rFonts w:hint="eastAsia" w:ascii="宋体" w:hAnsi="宋体" w:eastAsia="宋体" w:cs="宋体"/>
                <w:color w:val="auto"/>
                <w:kern w:val="0"/>
                <w:sz w:val="22"/>
                <w:szCs w:val="22"/>
              </w:rPr>
            </w:pPr>
          </w:p>
        </w:tc>
      </w:tr>
    </w:tbl>
    <w:p w14:paraId="577342F4">
      <w:pP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br w:type="page"/>
      </w:r>
    </w:p>
    <w:p w14:paraId="5B4E45BB">
      <w:pPr>
        <w:pStyle w:val="19"/>
        <w:rPr>
          <w:rFonts w:hint="eastAsia" w:ascii="仿宋" w:hAnsi="仿宋" w:eastAsia="仿宋" w:cs="仿宋"/>
          <w:lang w:val="en-US" w:eastAsia="zh-CN"/>
        </w:rPr>
      </w:pPr>
    </w:p>
    <w:p w14:paraId="22507F42">
      <w:pPr>
        <w:pStyle w:val="3"/>
        <w:numPr>
          <w:ilvl w:val="0"/>
          <w:numId w:val="1"/>
        </w:numPr>
        <w:bidi w:val="0"/>
        <w:jc w:val="center"/>
        <w:rPr>
          <w:rFonts w:hint="eastAsia" w:ascii="仿宋" w:hAnsi="仿宋" w:eastAsia="仿宋" w:cs="仿宋"/>
          <w:sz w:val="32"/>
          <w:szCs w:val="32"/>
          <w:highlight w:val="none"/>
          <w:lang w:val="en-US" w:eastAsia="zh-CN"/>
        </w:rPr>
      </w:pPr>
      <w:bookmarkStart w:id="36" w:name="_Toc20159"/>
      <w:r>
        <w:rPr>
          <w:rFonts w:hint="eastAsia" w:ascii="仿宋" w:hAnsi="仿宋" w:eastAsia="仿宋" w:cs="仿宋"/>
          <w:sz w:val="32"/>
          <w:szCs w:val="32"/>
          <w:highlight w:val="none"/>
          <w:lang w:val="en-US" w:eastAsia="zh-CN"/>
        </w:rPr>
        <w:t>采购需求</w:t>
      </w:r>
      <w:bookmarkEnd w:id="36"/>
    </w:p>
    <w:p w14:paraId="24146BA6">
      <w:pPr>
        <w:rPr>
          <w:rFonts w:hint="eastAsia" w:ascii="仿宋" w:hAnsi="仿宋" w:eastAsia="仿宋" w:cs="仿宋"/>
          <w:highlight w:val="none"/>
          <w:lang w:val="en-US" w:eastAsia="zh-CN"/>
        </w:rPr>
      </w:pPr>
    </w:p>
    <w:p w14:paraId="3A3CBF4A">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kern w:val="2"/>
          <w:sz w:val="24"/>
          <w:szCs w:val="24"/>
          <w:lang w:val="en-US" w:eastAsia="zh-CN" w:bidi="ar-SA"/>
        </w:rPr>
        <w:t>一、需求一览表及技术要求</w:t>
      </w:r>
    </w:p>
    <w:tbl>
      <w:tblPr>
        <w:tblStyle w:val="24"/>
        <w:tblW w:w="9907" w:type="dxa"/>
        <w:tblInd w:w="-6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2044"/>
        <w:gridCol w:w="656"/>
        <w:gridCol w:w="622"/>
        <w:gridCol w:w="4085"/>
        <w:gridCol w:w="572"/>
        <w:gridCol w:w="1428"/>
      </w:tblGrid>
      <w:tr w14:paraId="17C1C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54DB7E73">
            <w:pPr>
              <w:keepNext w:val="0"/>
              <w:keepLines w:val="0"/>
              <w:widowControl/>
              <w:numPr>
                <w:ilvl w:val="0"/>
                <w:numId w:val="0"/>
              </w:numPr>
              <w:suppressLineNumbers w:val="0"/>
              <w:bidi w:val="0"/>
              <w:spacing w:line="240" w:lineRule="auto"/>
              <w:jc w:val="center"/>
              <w:outlineLvl w:val="9"/>
              <w:rPr>
                <w:rFonts w:hint="eastAsia" w:ascii="仿宋" w:hAnsi="仿宋" w:eastAsia="仿宋" w:cs="仿宋"/>
                <w:sz w:val="20"/>
                <w:szCs w:val="20"/>
                <w:vertAlign w:val="baseline"/>
                <w:lang w:val="en-US" w:eastAsia="zh-CN"/>
              </w:rPr>
            </w:pPr>
            <w:r>
              <w:rPr>
                <w:rFonts w:hint="eastAsia" w:ascii="仿宋" w:hAnsi="仿宋" w:eastAsia="仿宋" w:cs="仿宋"/>
                <w:b/>
                <w:bCs/>
                <w:color w:val="000000"/>
                <w:kern w:val="0"/>
                <w:sz w:val="20"/>
                <w:szCs w:val="20"/>
                <w:lang w:val="en-US" w:eastAsia="zh-CN" w:bidi="ar"/>
              </w:rPr>
              <w:t>序号</w:t>
            </w:r>
          </w:p>
        </w:tc>
        <w:tc>
          <w:tcPr>
            <w:tcW w:w="2044" w:type="dxa"/>
            <w:vAlign w:val="center"/>
          </w:tcPr>
          <w:p w14:paraId="67D7E767">
            <w:pPr>
              <w:keepNext w:val="0"/>
              <w:keepLines w:val="0"/>
              <w:widowControl/>
              <w:suppressLineNumbers w:val="0"/>
              <w:spacing w:line="240" w:lineRule="auto"/>
              <w:jc w:val="center"/>
              <w:rPr>
                <w:rFonts w:hint="eastAsia" w:ascii="仿宋" w:hAnsi="仿宋" w:eastAsia="仿宋" w:cs="仿宋"/>
                <w:sz w:val="20"/>
                <w:szCs w:val="20"/>
                <w:vertAlign w:val="baseline"/>
                <w:lang w:val="en-US" w:eastAsia="zh-CN"/>
              </w:rPr>
            </w:pPr>
            <w:r>
              <w:rPr>
                <w:rFonts w:hint="eastAsia" w:ascii="仿宋" w:hAnsi="仿宋" w:eastAsia="仿宋" w:cs="仿宋"/>
                <w:b/>
                <w:bCs/>
                <w:color w:val="000000"/>
                <w:kern w:val="0"/>
                <w:sz w:val="20"/>
                <w:szCs w:val="20"/>
                <w:lang w:val="en-US" w:eastAsia="zh-CN" w:bidi="ar"/>
              </w:rPr>
              <w:t>品目名称</w:t>
            </w:r>
          </w:p>
        </w:tc>
        <w:tc>
          <w:tcPr>
            <w:tcW w:w="656" w:type="dxa"/>
            <w:vAlign w:val="center"/>
          </w:tcPr>
          <w:p w14:paraId="0E07C1A9">
            <w:pPr>
              <w:keepNext w:val="0"/>
              <w:keepLines w:val="0"/>
              <w:widowControl/>
              <w:suppressLineNumbers w:val="0"/>
              <w:spacing w:line="240" w:lineRule="auto"/>
              <w:jc w:val="center"/>
              <w:rPr>
                <w:rFonts w:hint="eastAsia" w:ascii="仿宋" w:hAnsi="仿宋" w:eastAsia="仿宋" w:cs="仿宋"/>
                <w:sz w:val="20"/>
                <w:szCs w:val="20"/>
                <w:vertAlign w:val="baseline"/>
                <w:lang w:val="en-US" w:eastAsia="zh-CN"/>
              </w:rPr>
            </w:pPr>
            <w:r>
              <w:rPr>
                <w:rFonts w:hint="eastAsia" w:ascii="仿宋" w:hAnsi="仿宋" w:eastAsia="仿宋" w:cs="仿宋"/>
                <w:b/>
                <w:bCs/>
                <w:color w:val="000000"/>
                <w:kern w:val="0"/>
                <w:sz w:val="20"/>
                <w:szCs w:val="20"/>
                <w:lang w:val="en-US" w:eastAsia="zh-CN" w:bidi="ar"/>
              </w:rPr>
              <w:t>单位</w:t>
            </w:r>
          </w:p>
        </w:tc>
        <w:tc>
          <w:tcPr>
            <w:tcW w:w="622" w:type="dxa"/>
            <w:vAlign w:val="center"/>
          </w:tcPr>
          <w:p w14:paraId="79C4B86A">
            <w:pPr>
              <w:keepNext w:val="0"/>
              <w:keepLines w:val="0"/>
              <w:widowControl/>
              <w:suppressLineNumbers w:val="0"/>
              <w:spacing w:line="240" w:lineRule="auto"/>
              <w:jc w:val="center"/>
              <w:rPr>
                <w:rFonts w:hint="eastAsia" w:ascii="仿宋" w:hAnsi="仿宋" w:eastAsia="仿宋" w:cs="仿宋"/>
                <w:sz w:val="20"/>
                <w:szCs w:val="20"/>
                <w:vertAlign w:val="baseline"/>
                <w:lang w:val="en-US" w:eastAsia="zh-CN"/>
              </w:rPr>
            </w:pPr>
            <w:r>
              <w:rPr>
                <w:rFonts w:hint="eastAsia" w:ascii="仿宋" w:hAnsi="仿宋" w:eastAsia="仿宋" w:cs="仿宋"/>
                <w:b/>
                <w:bCs/>
                <w:color w:val="000000"/>
                <w:kern w:val="0"/>
                <w:sz w:val="20"/>
                <w:szCs w:val="20"/>
                <w:lang w:val="en-US" w:eastAsia="zh-CN" w:bidi="ar"/>
              </w:rPr>
              <w:t>数量</w:t>
            </w:r>
          </w:p>
        </w:tc>
        <w:tc>
          <w:tcPr>
            <w:tcW w:w="4085" w:type="dxa"/>
            <w:vAlign w:val="center"/>
          </w:tcPr>
          <w:p w14:paraId="0BF47897">
            <w:pPr>
              <w:keepNext w:val="0"/>
              <w:keepLines w:val="0"/>
              <w:widowControl/>
              <w:suppressLineNumbers w:val="0"/>
              <w:spacing w:line="240" w:lineRule="auto"/>
              <w:jc w:val="center"/>
              <w:rPr>
                <w:rFonts w:hint="eastAsia" w:ascii="仿宋" w:hAnsi="仿宋" w:eastAsia="仿宋" w:cs="仿宋"/>
                <w:sz w:val="20"/>
                <w:szCs w:val="20"/>
                <w:vertAlign w:val="baseline"/>
                <w:lang w:val="en-US" w:eastAsia="zh-CN"/>
              </w:rPr>
            </w:pPr>
            <w:r>
              <w:rPr>
                <w:rFonts w:hint="eastAsia" w:ascii="仿宋" w:hAnsi="仿宋" w:eastAsia="仿宋" w:cs="仿宋"/>
                <w:b/>
                <w:bCs/>
                <w:color w:val="000000"/>
                <w:kern w:val="0"/>
                <w:sz w:val="20"/>
                <w:szCs w:val="20"/>
                <w:lang w:val="en-US" w:eastAsia="zh-CN" w:bidi="ar"/>
              </w:rPr>
              <w:t>技术参数</w:t>
            </w:r>
          </w:p>
        </w:tc>
        <w:tc>
          <w:tcPr>
            <w:tcW w:w="572" w:type="dxa"/>
            <w:vAlign w:val="center"/>
          </w:tcPr>
          <w:p w14:paraId="51B73BB6">
            <w:pPr>
              <w:keepNext w:val="0"/>
              <w:keepLines w:val="0"/>
              <w:widowControl/>
              <w:suppressLineNumbers w:val="0"/>
              <w:spacing w:line="240" w:lineRule="auto"/>
              <w:jc w:val="center"/>
              <w:rPr>
                <w:rFonts w:hint="eastAsia" w:ascii="仿宋" w:hAnsi="仿宋" w:eastAsia="仿宋" w:cs="仿宋"/>
                <w:sz w:val="20"/>
                <w:szCs w:val="20"/>
                <w:vertAlign w:val="baseline"/>
                <w:lang w:val="en-US" w:eastAsia="zh-CN"/>
              </w:rPr>
            </w:pPr>
            <w:r>
              <w:rPr>
                <w:rFonts w:hint="eastAsia" w:ascii="仿宋" w:hAnsi="仿宋" w:eastAsia="仿宋" w:cs="仿宋"/>
                <w:b/>
                <w:bCs/>
                <w:color w:val="000000"/>
                <w:kern w:val="0"/>
                <w:sz w:val="20"/>
                <w:szCs w:val="20"/>
                <w:lang w:val="en-US" w:eastAsia="zh-CN" w:bidi="ar"/>
              </w:rPr>
              <w:t>产地</w:t>
            </w:r>
          </w:p>
        </w:tc>
        <w:tc>
          <w:tcPr>
            <w:tcW w:w="1428" w:type="dxa"/>
            <w:vAlign w:val="center"/>
          </w:tcPr>
          <w:p w14:paraId="5C4B6DFC">
            <w:pPr>
              <w:keepNext w:val="0"/>
              <w:keepLines w:val="0"/>
              <w:widowControl/>
              <w:numPr>
                <w:ilvl w:val="0"/>
                <w:numId w:val="0"/>
              </w:numPr>
              <w:suppressLineNumbers w:val="0"/>
              <w:bidi w:val="0"/>
              <w:spacing w:line="240" w:lineRule="auto"/>
              <w:jc w:val="center"/>
              <w:outlineLvl w:val="9"/>
              <w:rPr>
                <w:rFonts w:hint="eastAsia" w:ascii="仿宋" w:hAnsi="仿宋" w:eastAsia="仿宋" w:cs="仿宋"/>
                <w:sz w:val="20"/>
                <w:szCs w:val="20"/>
                <w:vertAlign w:val="baseline"/>
                <w:lang w:val="en-US" w:eastAsia="zh-CN"/>
              </w:rPr>
            </w:pPr>
            <w:r>
              <w:rPr>
                <w:rFonts w:hint="eastAsia" w:ascii="仿宋" w:hAnsi="仿宋" w:eastAsia="仿宋" w:cs="仿宋"/>
                <w:b/>
                <w:bCs/>
                <w:color w:val="000000"/>
                <w:kern w:val="0"/>
                <w:sz w:val="20"/>
                <w:szCs w:val="20"/>
                <w:lang w:val="en-US" w:eastAsia="zh-CN" w:bidi="ar"/>
              </w:rPr>
              <w:t>单价最高限制（元）</w:t>
            </w:r>
          </w:p>
        </w:tc>
      </w:tr>
      <w:tr w14:paraId="3555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4766CEFD">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2044" w:type="dxa"/>
            <w:vAlign w:val="center"/>
          </w:tcPr>
          <w:p w14:paraId="66AD769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硝酸（易制爆试剂）</w:t>
            </w:r>
          </w:p>
        </w:tc>
        <w:tc>
          <w:tcPr>
            <w:tcW w:w="656" w:type="dxa"/>
            <w:vAlign w:val="center"/>
          </w:tcPr>
          <w:p w14:paraId="3B9E0398">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瓶</w:t>
            </w:r>
          </w:p>
        </w:tc>
        <w:tc>
          <w:tcPr>
            <w:tcW w:w="622" w:type="dxa"/>
            <w:vAlign w:val="center"/>
          </w:tcPr>
          <w:p w14:paraId="2B3F2492">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4085" w:type="dxa"/>
            <w:vAlign w:val="center"/>
          </w:tcPr>
          <w:p w14:paraId="4AF30EC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2.5L/瓶，MOS级别，适用于ICP-MS</w:t>
            </w:r>
          </w:p>
        </w:tc>
        <w:tc>
          <w:tcPr>
            <w:tcW w:w="572" w:type="dxa"/>
            <w:vAlign w:val="center"/>
          </w:tcPr>
          <w:p w14:paraId="253F0E0C">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5EC15C0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1350</w:t>
            </w:r>
          </w:p>
        </w:tc>
      </w:tr>
      <w:tr w14:paraId="5503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3DCE7886">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2044" w:type="dxa"/>
            <w:vAlign w:val="center"/>
          </w:tcPr>
          <w:p w14:paraId="24FADCB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离子色谱进样定量环</w:t>
            </w:r>
          </w:p>
        </w:tc>
        <w:tc>
          <w:tcPr>
            <w:tcW w:w="656" w:type="dxa"/>
            <w:vAlign w:val="center"/>
          </w:tcPr>
          <w:p w14:paraId="792AA47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622" w:type="dxa"/>
            <w:vAlign w:val="center"/>
          </w:tcPr>
          <w:p w14:paraId="37C2EED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6AA9915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25μl，适用于Thermo</w:t>
            </w:r>
          </w:p>
        </w:tc>
        <w:tc>
          <w:tcPr>
            <w:tcW w:w="572" w:type="dxa"/>
            <w:vAlign w:val="center"/>
          </w:tcPr>
          <w:p w14:paraId="67D165A2">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76BB9C7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1734</w:t>
            </w:r>
          </w:p>
        </w:tc>
      </w:tr>
      <w:tr w14:paraId="2AA5F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1C0CA2B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2044" w:type="dxa"/>
            <w:vAlign w:val="center"/>
          </w:tcPr>
          <w:p w14:paraId="4185343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离子色谱进样定量环</w:t>
            </w:r>
          </w:p>
        </w:tc>
        <w:tc>
          <w:tcPr>
            <w:tcW w:w="656" w:type="dxa"/>
            <w:vAlign w:val="center"/>
          </w:tcPr>
          <w:p w14:paraId="4C3F0F0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622" w:type="dxa"/>
            <w:vAlign w:val="center"/>
          </w:tcPr>
          <w:p w14:paraId="43DBFE96">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2E095BF2">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100μl，适用于Thermo</w:t>
            </w:r>
          </w:p>
        </w:tc>
        <w:tc>
          <w:tcPr>
            <w:tcW w:w="572" w:type="dxa"/>
            <w:vAlign w:val="center"/>
          </w:tcPr>
          <w:p w14:paraId="527293FC">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3133626F">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1308</w:t>
            </w:r>
          </w:p>
        </w:tc>
      </w:tr>
      <w:tr w14:paraId="12FA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7B41FA0A">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2044" w:type="dxa"/>
            <w:vAlign w:val="center"/>
          </w:tcPr>
          <w:p w14:paraId="2348D2B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淋洗液过滤头白色</w:t>
            </w:r>
          </w:p>
        </w:tc>
        <w:tc>
          <w:tcPr>
            <w:tcW w:w="656" w:type="dxa"/>
            <w:vAlign w:val="center"/>
          </w:tcPr>
          <w:p w14:paraId="6F4CED3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箱</w:t>
            </w:r>
          </w:p>
        </w:tc>
        <w:tc>
          <w:tcPr>
            <w:tcW w:w="622" w:type="dxa"/>
            <w:vAlign w:val="center"/>
          </w:tcPr>
          <w:p w14:paraId="6D1068C7">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126CB5C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Thermo FLTR END-LINEELU 1/4-28，适用于Thermo</w:t>
            </w:r>
          </w:p>
        </w:tc>
        <w:tc>
          <w:tcPr>
            <w:tcW w:w="572" w:type="dxa"/>
            <w:vAlign w:val="center"/>
          </w:tcPr>
          <w:p w14:paraId="337821A6">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4569453F">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175</w:t>
            </w:r>
          </w:p>
        </w:tc>
      </w:tr>
      <w:tr w14:paraId="2D38C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38114CC2">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2044" w:type="dxa"/>
            <w:vAlign w:val="center"/>
          </w:tcPr>
          <w:p w14:paraId="60748E6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玻璃衬管</w:t>
            </w:r>
          </w:p>
        </w:tc>
        <w:tc>
          <w:tcPr>
            <w:tcW w:w="656" w:type="dxa"/>
            <w:vAlign w:val="center"/>
          </w:tcPr>
          <w:p w14:paraId="5AE526DC">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包</w:t>
            </w:r>
          </w:p>
        </w:tc>
        <w:tc>
          <w:tcPr>
            <w:tcW w:w="622" w:type="dxa"/>
            <w:vAlign w:val="center"/>
          </w:tcPr>
          <w:p w14:paraId="5BD736ED">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0137B82A">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5个/包，不分流，惰性化处理，距顶部25mm处安装石英棉，适用于岛津2010plus</w:t>
            </w:r>
          </w:p>
        </w:tc>
        <w:tc>
          <w:tcPr>
            <w:tcW w:w="572" w:type="dxa"/>
            <w:vAlign w:val="center"/>
          </w:tcPr>
          <w:p w14:paraId="0C9CCA90">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5E7AB9AC">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5177</w:t>
            </w:r>
          </w:p>
        </w:tc>
      </w:tr>
      <w:tr w14:paraId="4BB23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452C88D8">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2044" w:type="dxa"/>
            <w:vAlign w:val="center"/>
          </w:tcPr>
          <w:p w14:paraId="6CB39C76">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玻璃衬管</w:t>
            </w:r>
          </w:p>
        </w:tc>
        <w:tc>
          <w:tcPr>
            <w:tcW w:w="656" w:type="dxa"/>
            <w:vAlign w:val="center"/>
          </w:tcPr>
          <w:p w14:paraId="3EF1F23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包</w:t>
            </w:r>
          </w:p>
        </w:tc>
        <w:tc>
          <w:tcPr>
            <w:tcW w:w="622" w:type="dxa"/>
            <w:vAlign w:val="center"/>
          </w:tcPr>
          <w:p w14:paraId="26B9866D">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4085" w:type="dxa"/>
            <w:vAlign w:val="center"/>
          </w:tcPr>
          <w:p w14:paraId="179AA61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5个/包，LNR GC2010／2014 0.75MMID SPME PKT5，适用于岛津2010plus</w:t>
            </w:r>
          </w:p>
        </w:tc>
        <w:tc>
          <w:tcPr>
            <w:tcW w:w="572" w:type="dxa"/>
            <w:vAlign w:val="center"/>
          </w:tcPr>
          <w:p w14:paraId="696DD3CC">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4329805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1448</w:t>
            </w:r>
          </w:p>
        </w:tc>
      </w:tr>
      <w:tr w14:paraId="5FE04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5D38899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2044" w:type="dxa"/>
            <w:vAlign w:val="center"/>
          </w:tcPr>
          <w:p w14:paraId="7ED844DC">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玻璃衬管</w:t>
            </w:r>
          </w:p>
        </w:tc>
        <w:tc>
          <w:tcPr>
            <w:tcW w:w="656" w:type="dxa"/>
            <w:vAlign w:val="center"/>
          </w:tcPr>
          <w:p w14:paraId="7E4FAAB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包</w:t>
            </w:r>
          </w:p>
        </w:tc>
        <w:tc>
          <w:tcPr>
            <w:tcW w:w="622" w:type="dxa"/>
            <w:vAlign w:val="center"/>
          </w:tcPr>
          <w:p w14:paraId="02343CDE">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4085" w:type="dxa"/>
            <w:vAlign w:val="center"/>
          </w:tcPr>
          <w:p w14:paraId="225AB99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5个/包，INSERT SPLIT DEACTIVATED TREAT 5pcs，适用于GCMS-QP2010／QP2010S／岛津QP2010Plus</w:t>
            </w:r>
          </w:p>
        </w:tc>
        <w:tc>
          <w:tcPr>
            <w:tcW w:w="572" w:type="dxa"/>
            <w:vAlign w:val="center"/>
          </w:tcPr>
          <w:p w14:paraId="325341BB">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07A3CEF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4711</w:t>
            </w:r>
          </w:p>
        </w:tc>
      </w:tr>
      <w:tr w14:paraId="7A28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427C75C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2044" w:type="dxa"/>
            <w:vAlign w:val="center"/>
          </w:tcPr>
          <w:p w14:paraId="34508DD7">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玻璃衬管</w:t>
            </w:r>
          </w:p>
        </w:tc>
        <w:tc>
          <w:tcPr>
            <w:tcW w:w="656" w:type="dxa"/>
            <w:vAlign w:val="center"/>
          </w:tcPr>
          <w:p w14:paraId="6E4E3C9E">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包</w:t>
            </w:r>
          </w:p>
        </w:tc>
        <w:tc>
          <w:tcPr>
            <w:tcW w:w="622" w:type="dxa"/>
            <w:vAlign w:val="center"/>
          </w:tcPr>
          <w:p w14:paraId="1D109F3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4085" w:type="dxa"/>
            <w:vAlign w:val="center"/>
          </w:tcPr>
          <w:p w14:paraId="6B4C941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5个/包，惰性化处理，含石英棉，LINER GC2010 3.4MMID GN WWOOL PKT5适用于岛津GC-2010</w:t>
            </w:r>
          </w:p>
        </w:tc>
        <w:tc>
          <w:tcPr>
            <w:tcW w:w="572" w:type="dxa"/>
            <w:vAlign w:val="center"/>
          </w:tcPr>
          <w:p w14:paraId="7FBEEFC2">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4459749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1518</w:t>
            </w:r>
          </w:p>
        </w:tc>
      </w:tr>
      <w:tr w14:paraId="61EA4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4C90B28A">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2044" w:type="dxa"/>
            <w:vAlign w:val="center"/>
          </w:tcPr>
          <w:p w14:paraId="5299B7C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石墨垫圈</w:t>
            </w:r>
          </w:p>
        </w:tc>
        <w:tc>
          <w:tcPr>
            <w:tcW w:w="656" w:type="dxa"/>
            <w:vAlign w:val="center"/>
          </w:tcPr>
          <w:p w14:paraId="7B7345F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包</w:t>
            </w:r>
          </w:p>
        </w:tc>
        <w:tc>
          <w:tcPr>
            <w:tcW w:w="622" w:type="dxa"/>
            <w:vAlign w:val="center"/>
          </w:tcPr>
          <w:p w14:paraId="67FEC8B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560FF286">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4个/包，石墨O型圈，分流衬管用，450度，GRAPHITE O-RING,SPRIT 适用于岛津GC-2010</w:t>
            </w:r>
          </w:p>
        </w:tc>
        <w:tc>
          <w:tcPr>
            <w:tcW w:w="572" w:type="dxa"/>
            <w:vAlign w:val="center"/>
          </w:tcPr>
          <w:p w14:paraId="212E16A3">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0A5F4217">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1493</w:t>
            </w:r>
          </w:p>
        </w:tc>
      </w:tr>
      <w:tr w14:paraId="6D6A1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2B5A270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2044" w:type="dxa"/>
            <w:vAlign w:val="center"/>
          </w:tcPr>
          <w:p w14:paraId="0E697ACF">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石墨垫圈</w:t>
            </w:r>
          </w:p>
        </w:tc>
        <w:tc>
          <w:tcPr>
            <w:tcW w:w="656" w:type="dxa"/>
            <w:vAlign w:val="center"/>
          </w:tcPr>
          <w:p w14:paraId="227D6CAD">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包</w:t>
            </w:r>
          </w:p>
        </w:tc>
        <w:tc>
          <w:tcPr>
            <w:tcW w:w="622" w:type="dxa"/>
            <w:vAlign w:val="center"/>
          </w:tcPr>
          <w:p w14:paraId="58EC555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66E7CE3A">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4个 /包，石墨O型圈，不分流衬管用，450度，GRAPHITE O-RING,SPPITLESS 4pc适用于岛津GC-2010</w:t>
            </w:r>
          </w:p>
        </w:tc>
        <w:tc>
          <w:tcPr>
            <w:tcW w:w="572" w:type="dxa"/>
            <w:vAlign w:val="center"/>
          </w:tcPr>
          <w:p w14:paraId="6D1137DF">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4D16170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1493</w:t>
            </w:r>
          </w:p>
        </w:tc>
      </w:tr>
      <w:tr w14:paraId="3017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2FD390BA">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11</w:t>
            </w:r>
          </w:p>
        </w:tc>
        <w:tc>
          <w:tcPr>
            <w:tcW w:w="2044" w:type="dxa"/>
            <w:vAlign w:val="center"/>
          </w:tcPr>
          <w:p w14:paraId="4E69BCF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石墨夹具（FID）</w:t>
            </w:r>
          </w:p>
        </w:tc>
        <w:tc>
          <w:tcPr>
            <w:tcW w:w="656" w:type="dxa"/>
            <w:vAlign w:val="center"/>
          </w:tcPr>
          <w:p w14:paraId="040E4DCE">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622" w:type="dxa"/>
            <w:vAlign w:val="center"/>
          </w:tcPr>
          <w:p w14:paraId="1B837D36">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733059C8">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1个，GRAPHITE JIG,FID适用于岛津GC-2010</w:t>
            </w:r>
          </w:p>
        </w:tc>
        <w:tc>
          <w:tcPr>
            <w:tcW w:w="572" w:type="dxa"/>
            <w:vAlign w:val="center"/>
          </w:tcPr>
          <w:p w14:paraId="0B32101A">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5709B61A">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211</w:t>
            </w:r>
          </w:p>
        </w:tc>
      </w:tr>
      <w:tr w14:paraId="140DA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722555A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2044" w:type="dxa"/>
            <w:vAlign w:val="center"/>
          </w:tcPr>
          <w:p w14:paraId="0F44898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石墨夹具（FPD）</w:t>
            </w:r>
          </w:p>
        </w:tc>
        <w:tc>
          <w:tcPr>
            <w:tcW w:w="656" w:type="dxa"/>
            <w:vAlign w:val="center"/>
          </w:tcPr>
          <w:p w14:paraId="19B27F76">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622" w:type="dxa"/>
            <w:vAlign w:val="center"/>
          </w:tcPr>
          <w:p w14:paraId="39BF8DF6">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0EED2ED2">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1个，GRAPHITE FITTING NUT,FPD适用于岛津GC-2010</w:t>
            </w:r>
          </w:p>
        </w:tc>
        <w:tc>
          <w:tcPr>
            <w:tcW w:w="572" w:type="dxa"/>
            <w:vAlign w:val="center"/>
          </w:tcPr>
          <w:p w14:paraId="09CC8F93">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120127BD">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136</w:t>
            </w:r>
          </w:p>
        </w:tc>
      </w:tr>
      <w:tr w14:paraId="4F2E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7665E3D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13</w:t>
            </w:r>
          </w:p>
        </w:tc>
        <w:tc>
          <w:tcPr>
            <w:tcW w:w="2044" w:type="dxa"/>
            <w:vAlign w:val="center"/>
          </w:tcPr>
          <w:p w14:paraId="372640D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石墨夹具（ECD）</w:t>
            </w:r>
          </w:p>
        </w:tc>
        <w:tc>
          <w:tcPr>
            <w:tcW w:w="656" w:type="dxa"/>
            <w:vAlign w:val="center"/>
          </w:tcPr>
          <w:p w14:paraId="523FA50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622" w:type="dxa"/>
            <w:vAlign w:val="center"/>
          </w:tcPr>
          <w:p w14:paraId="4F790B6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6CF31A3C">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1个，GRAPHITE FITTING NUT,ECD适用于岛津GC-2010</w:t>
            </w:r>
          </w:p>
        </w:tc>
        <w:tc>
          <w:tcPr>
            <w:tcW w:w="572" w:type="dxa"/>
            <w:vAlign w:val="center"/>
          </w:tcPr>
          <w:p w14:paraId="3F0F201A">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4E3369D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173</w:t>
            </w:r>
          </w:p>
        </w:tc>
      </w:tr>
      <w:tr w14:paraId="42C8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2AEB95C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14</w:t>
            </w:r>
          </w:p>
        </w:tc>
        <w:tc>
          <w:tcPr>
            <w:tcW w:w="2044" w:type="dxa"/>
            <w:vAlign w:val="center"/>
          </w:tcPr>
          <w:p w14:paraId="491DC5D2">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石墨夹具  （进样口）</w:t>
            </w:r>
          </w:p>
        </w:tc>
        <w:tc>
          <w:tcPr>
            <w:tcW w:w="656" w:type="dxa"/>
            <w:vAlign w:val="center"/>
          </w:tcPr>
          <w:p w14:paraId="08BB4796">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622" w:type="dxa"/>
            <w:vAlign w:val="center"/>
          </w:tcPr>
          <w:p w14:paraId="2151FCD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30314856">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1个，GRAPHITE JIG,SPL适用于岛津GC-2010</w:t>
            </w:r>
          </w:p>
        </w:tc>
        <w:tc>
          <w:tcPr>
            <w:tcW w:w="572" w:type="dxa"/>
            <w:vAlign w:val="center"/>
          </w:tcPr>
          <w:p w14:paraId="65820081">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4041DF4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211</w:t>
            </w:r>
          </w:p>
        </w:tc>
      </w:tr>
      <w:tr w14:paraId="08AA3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00ADABD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2044" w:type="dxa"/>
            <w:vAlign w:val="center"/>
          </w:tcPr>
          <w:p w14:paraId="41D1E7D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进样垫SEPTUM SET(CRS)</w:t>
            </w:r>
          </w:p>
        </w:tc>
        <w:tc>
          <w:tcPr>
            <w:tcW w:w="656" w:type="dxa"/>
            <w:vAlign w:val="center"/>
          </w:tcPr>
          <w:p w14:paraId="74FB6E1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1F14FD5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62FE932A">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25／PKT，绿色，低流失,耐温350℃，适用于岛津GC-2010</w:t>
            </w:r>
          </w:p>
        </w:tc>
        <w:tc>
          <w:tcPr>
            <w:tcW w:w="572" w:type="dxa"/>
            <w:vAlign w:val="center"/>
          </w:tcPr>
          <w:p w14:paraId="1C1083F5">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2EC7EF8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1351</w:t>
            </w:r>
          </w:p>
        </w:tc>
      </w:tr>
      <w:tr w14:paraId="312E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4DEFE72C">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16</w:t>
            </w:r>
          </w:p>
        </w:tc>
        <w:tc>
          <w:tcPr>
            <w:tcW w:w="2044" w:type="dxa"/>
            <w:vAlign w:val="center"/>
          </w:tcPr>
          <w:p w14:paraId="78437F2C">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进样垫ENDURO BLUE SEPTA PKT50</w:t>
            </w:r>
          </w:p>
        </w:tc>
        <w:tc>
          <w:tcPr>
            <w:tcW w:w="656" w:type="dxa"/>
            <w:vAlign w:val="center"/>
          </w:tcPr>
          <w:p w14:paraId="7D812CB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包</w:t>
            </w:r>
          </w:p>
        </w:tc>
        <w:tc>
          <w:tcPr>
            <w:tcW w:w="622" w:type="dxa"/>
            <w:vAlign w:val="center"/>
          </w:tcPr>
          <w:p w14:paraId="3E761722">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5F95329A">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50个／包，耐久性隔垫，淡蓝色，适用于OCI口，针尖较细的注射器；最高使用温度（INJ设定温度）350摄氏度，适用于岛津GC-2010</w:t>
            </w:r>
          </w:p>
        </w:tc>
        <w:tc>
          <w:tcPr>
            <w:tcW w:w="572" w:type="dxa"/>
            <w:vAlign w:val="center"/>
          </w:tcPr>
          <w:p w14:paraId="28E7F701">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17D6B05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1148</w:t>
            </w:r>
          </w:p>
        </w:tc>
      </w:tr>
      <w:tr w14:paraId="34E6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2DC4AD9F">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17</w:t>
            </w:r>
          </w:p>
        </w:tc>
        <w:tc>
          <w:tcPr>
            <w:tcW w:w="2044" w:type="dxa"/>
            <w:vAlign w:val="center"/>
          </w:tcPr>
          <w:p w14:paraId="3EA6CE9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石墨压环</w:t>
            </w:r>
          </w:p>
        </w:tc>
        <w:tc>
          <w:tcPr>
            <w:tcW w:w="656" w:type="dxa"/>
            <w:vAlign w:val="center"/>
          </w:tcPr>
          <w:p w14:paraId="148F666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包</w:t>
            </w:r>
          </w:p>
        </w:tc>
        <w:tc>
          <w:tcPr>
            <w:tcW w:w="622" w:type="dxa"/>
            <w:vAlign w:val="center"/>
          </w:tcPr>
          <w:p w14:paraId="7F6D7CFE">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4085" w:type="dxa"/>
            <w:vAlign w:val="center"/>
          </w:tcPr>
          <w:p w14:paraId="1BDC377D">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10个／包，（0.25mm用）GVF16-004 VESP FERRμLE PKT10，适用于岛津GCMS-TQ8030／TQ8040</w:t>
            </w:r>
          </w:p>
        </w:tc>
        <w:tc>
          <w:tcPr>
            <w:tcW w:w="572" w:type="dxa"/>
            <w:vAlign w:val="center"/>
          </w:tcPr>
          <w:p w14:paraId="2B38350A">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29A7BBA7">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568</w:t>
            </w:r>
          </w:p>
        </w:tc>
      </w:tr>
      <w:tr w14:paraId="457AA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5D50B0DC">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18</w:t>
            </w:r>
          </w:p>
        </w:tc>
        <w:tc>
          <w:tcPr>
            <w:tcW w:w="2044" w:type="dxa"/>
            <w:vAlign w:val="center"/>
          </w:tcPr>
          <w:p w14:paraId="26B0BA3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石墨压环</w:t>
            </w:r>
          </w:p>
        </w:tc>
        <w:tc>
          <w:tcPr>
            <w:tcW w:w="656" w:type="dxa"/>
            <w:vAlign w:val="center"/>
          </w:tcPr>
          <w:p w14:paraId="0B85D52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包</w:t>
            </w:r>
          </w:p>
        </w:tc>
        <w:tc>
          <w:tcPr>
            <w:tcW w:w="622" w:type="dxa"/>
            <w:vAlign w:val="center"/>
          </w:tcPr>
          <w:p w14:paraId="14BC0DB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18EE29F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10个／包，（0.32mm用）GVF16-005 VESP FERRμLE PKT10，适用于GCMS-TQ8030／TQ8040</w:t>
            </w:r>
          </w:p>
        </w:tc>
        <w:tc>
          <w:tcPr>
            <w:tcW w:w="572" w:type="dxa"/>
            <w:vAlign w:val="center"/>
          </w:tcPr>
          <w:p w14:paraId="269220DD">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43E25FB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628</w:t>
            </w:r>
          </w:p>
        </w:tc>
      </w:tr>
      <w:tr w14:paraId="4C6BC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2BE1EC1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19</w:t>
            </w:r>
          </w:p>
        </w:tc>
        <w:tc>
          <w:tcPr>
            <w:tcW w:w="2044" w:type="dxa"/>
            <w:vAlign w:val="center"/>
          </w:tcPr>
          <w:p w14:paraId="440A5DD6">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柱螺母</w:t>
            </w:r>
          </w:p>
        </w:tc>
        <w:tc>
          <w:tcPr>
            <w:tcW w:w="656" w:type="dxa"/>
            <w:vAlign w:val="center"/>
          </w:tcPr>
          <w:p w14:paraId="688467D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622" w:type="dxa"/>
            <w:vAlign w:val="center"/>
          </w:tcPr>
          <w:p w14:paraId="4FDC9008">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4085" w:type="dxa"/>
            <w:vAlign w:val="center"/>
          </w:tcPr>
          <w:p w14:paraId="7F95B65D">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221-32705，分流 /不分流进样口，适用于岛津2010plus，侧边开口</w:t>
            </w:r>
          </w:p>
        </w:tc>
        <w:tc>
          <w:tcPr>
            <w:tcW w:w="572" w:type="dxa"/>
            <w:vAlign w:val="center"/>
          </w:tcPr>
          <w:p w14:paraId="455C2D87">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5C1164EC">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121</w:t>
            </w:r>
          </w:p>
        </w:tc>
      </w:tr>
      <w:tr w14:paraId="1883F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491ED56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2044" w:type="dxa"/>
            <w:vAlign w:val="center"/>
          </w:tcPr>
          <w:p w14:paraId="3C111A02">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超高惰性色谱柱  DB-5Q</w:t>
            </w:r>
          </w:p>
        </w:tc>
        <w:tc>
          <w:tcPr>
            <w:tcW w:w="656" w:type="dxa"/>
            <w:vAlign w:val="center"/>
          </w:tcPr>
          <w:p w14:paraId="5139C64C">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622" w:type="dxa"/>
            <w:vAlign w:val="center"/>
          </w:tcPr>
          <w:p w14:paraId="7EDF5E8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7C2FFCFD">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30×0.25mm×0.25μm  耐温-60-350℃安捷伦122-5532Q</w:t>
            </w:r>
          </w:p>
        </w:tc>
        <w:tc>
          <w:tcPr>
            <w:tcW w:w="572" w:type="dxa"/>
            <w:vAlign w:val="center"/>
          </w:tcPr>
          <w:p w14:paraId="5F3322B4">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02FDF17A">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7850</w:t>
            </w:r>
          </w:p>
        </w:tc>
      </w:tr>
      <w:tr w14:paraId="767C4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3BB08086">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21</w:t>
            </w:r>
          </w:p>
        </w:tc>
        <w:tc>
          <w:tcPr>
            <w:tcW w:w="2044" w:type="dxa"/>
            <w:vAlign w:val="center"/>
          </w:tcPr>
          <w:p w14:paraId="7468AF4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10微升进样针</w:t>
            </w:r>
          </w:p>
        </w:tc>
        <w:tc>
          <w:tcPr>
            <w:tcW w:w="656" w:type="dxa"/>
            <w:vAlign w:val="center"/>
          </w:tcPr>
          <w:p w14:paraId="5C3F3C4E">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622" w:type="dxa"/>
            <w:vAlign w:val="center"/>
          </w:tcPr>
          <w:p w14:paraId="5819BDA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4085" w:type="dxa"/>
            <w:vAlign w:val="center"/>
          </w:tcPr>
          <w:p w14:paraId="69AA858F">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适用于岛津气相，岛津221-34618</w:t>
            </w:r>
          </w:p>
        </w:tc>
        <w:tc>
          <w:tcPr>
            <w:tcW w:w="572" w:type="dxa"/>
            <w:vAlign w:val="center"/>
          </w:tcPr>
          <w:p w14:paraId="4D292875">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46391DA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667</w:t>
            </w:r>
          </w:p>
        </w:tc>
      </w:tr>
      <w:tr w14:paraId="53384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6FA65BE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22</w:t>
            </w:r>
          </w:p>
        </w:tc>
        <w:tc>
          <w:tcPr>
            <w:tcW w:w="2044" w:type="dxa"/>
            <w:vAlign w:val="center"/>
          </w:tcPr>
          <w:p w14:paraId="00EE021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0.25mm石墨垫</w:t>
            </w:r>
          </w:p>
        </w:tc>
        <w:tc>
          <w:tcPr>
            <w:tcW w:w="656" w:type="dxa"/>
            <w:vAlign w:val="center"/>
          </w:tcPr>
          <w:p w14:paraId="24D55AB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15DEB6BE">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4085" w:type="dxa"/>
            <w:vAlign w:val="center"/>
          </w:tcPr>
          <w:p w14:paraId="7E78616F">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适用于Thermo热电气相热电290VA191</w:t>
            </w:r>
          </w:p>
        </w:tc>
        <w:tc>
          <w:tcPr>
            <w:tcW w:w="572" w:type="dxa"/>
            <w:vAlign w:val="center"/>
          </w:tcPr>
          <w:p w14:paraId="538E099B">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0FABA50D">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949</w:t>
            </w:r>
          </w:p>
        </w:tc>
      </w:tr>
      <w:tr w14:paraId="30500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345A352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23</w:t>
            </w:r>
          </w:p>
        </w:tc>
        <w:tc>
          <w:tcPr>
            <w:tcW w:w="2044" w:type="dxa"/>
            <w:vAlign w:val="center"/>
          </w:tcPr>
          <w:p w14:paraId="3907E9C8">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0.25mm石墨垫</w:t>
            </w:r>
          </w:p>
        </w:tc>
        <w:tc>
          <w:tcPr>
            <w:tcW w:w="656" w:type="dxa"/>
            <w:vAlign w:val="center"/>
          </w:tcPr>
          <w:p w14:paraId="5FA0282A">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0D9DD23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4085" w:type="dxa"/>
            <w:vAlign w:val="center"/>
          </w:tcPr>
          <w:p w14:paraId="25EF261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适用于Thermo热电气质，热电29033496</w:t>
            </w:r>
          </w:p>
        </w:tc>
        <w:tc>
          <w:tcPr>
            <w:tcW w:w="572" w:type="dxa"/>
            <w:vAlign w:val="center"/>
          </w:tcPr>
          <w:p w14:paraId="179EC7CA">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094932B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941</w:t>
            </w:r>
          </w:p>
        </w:tc>
      </w:tr>
      <w:tr w14:paraId="18267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5CBE5FEC">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24</w:t>
            </w:r>
          </w:p>
        </w:tc>
        <w:tc>
          <w:tcPr>
            <w:tcW w:w="2044" w:type="dxa"/>
            <w:vAlign w:val="center"/>
          </w:tcPr>
          <w:p w14:paraId="4E3C0656">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0.32mm石墨垫</w:t>
            </w:r>
          </w:p>
        </w:tc>
        <w:tc>
          <w:tcPr>
            <w:tcW w:w="656" w:type="dxa"/>
            <w:vAlign w:val="center"/>
          </w:tcPr>
          <w:p w14:paraId="5B748F2D">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7A2D88FF">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21FC5F7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适用于Thermo热电气相，热电290VA192</w:t>
            </w:r>
          </w:p>
        </w:tc>
        <w:tc>
          <w:tcPr>
            <w:tcW w:w="572" w:type="dxa"/>
            <w:vAlign w:val="center"/>
          </w:tcPr>
          <w:p w14:paraId="7AB7CF89">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595D320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863</w:t>
            </w:r>
          </w:p>
        </w:tc>
      </w:tr>
      <w:tr w14:paraId="44FC0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4A356E6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25</w:t>
            </w:r>
          </w:p>
        </w:tc>
        <w:tc>
          <w:tcPr>
            <w:tcW w:w="2044" w:type="dxa"/>
            <w:vAlign w:val="center"/>
          </w:tcPr>
          <w:p w14:paraId="5BDBB5E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0.32mm石墨垫</w:t>
            </w:r>
          </w:p>
        </w:tc>
        <w:tc>
          <w:tcPr>
            <w:tcW w:w="656" w:type="dxa"/>
            <w:vAlign w:val="center"/>
          </w:tcPr>
          <w:p w14:paraId="63821197">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729D2B0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707E569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适用于Thermo热电气质，热电29033497</w:t>
            </w:r>
          </w:p>
        </w:tc>
        <w:tc>
          <w:tcPr>
            <w:tcW w:w="572" w:type="dxa"/>
            <w:vAlign w:val="center"/>
          </w:tcPr>
          <w:p w14:paraId="2DE94E44">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77C5DFB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1027</w:t>
            </w:r>
          </w:p>
        </w:tc>
      </w:tr>
      <w:tr w14:paraId="119D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0568A15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26</w:t>
            </w:r>
          </w:p>
        </w:tc>
        <w:tc>
          <w:tcPr>
            <w:tcW w:w="2044" w:type="dxa"/>
            <w:vAlign w:val="center"/>
          </w:tcPr>
          <w:p w14:paraId="7E4108EF">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氧化还原电极</w:t>
            </w:r>
          </w:p>
        </w:tc>
        <w:tc>
          <w:tcPr>
            <w:tcW w:w="656" w:type="dxa"/>
            <w:vAlign w:val="center"/>
          </w:tcPr>
          <w:p w14:paraId="19D04D9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622" w:type="dxa"/>
            <w:vAlign w:val="center"/>
          </w:tcPr>
          <w:p w14:paraId="7657B4F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3577A2B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适用于梅特勒滴定仪，梅特勒DMI140-SC</w:t>
            </w:r>
          </w:p>
        </w:tc>
        <w:tc>
          <w:tcPr>
            <w:tcW w:w="572" w:type="dxa"/>
            <w:vAlign w:val="center"/>
          </w:tcPr>
          <w:p w14:paraId="29F6559B">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1D62AF6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7220</w:t>
            </w:r>
          </w:p>
        </w:tc>
      </w:tr>
      <w:tr w14:paraId="4051E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7C0FC61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27</w:t>
            </w:r>
          </w:p>
        </w:tc>
        <w:tc>
          <w:tcPr>
            <w:tcW w:w="2044" w:type="dxa"/>
            <w:vAlign w:val="center"/>
          </w:tcPr>
          <w:p w14:paraId="4DB58A6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进样口螺母</w:t>
            </w:r>
          </w:p>
        </w:tc>
        <w:tc>
          <w:tcPr>
            <w:tcW w:w="656" w:type="dxa"/>
            <w:vAlign w:val="center"/>
          </w:tcPr>
          <w:p w14:paraId="464DF80C">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622" w:type="dxa"/>
            <w:vAlign w:val="center"/>
          </w:tcPr>
          <w:p w14:paraId="6488636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2A5D0CA2">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适用于安捷伦气相,安捷伦18740-60835</w:t>
            </w:r>
          </w:p>
        </w:tc>
        <w:tc>
          <w:tcPr>
            <w:tcW w:w="572" w:type="dxa"/>
            <w:vAlign w:val="center"/>
          </w:tcPr>
          <w:p w14:paraId="3682AA5E">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2133CA2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638</w:t>
            </w:r>
          </w:p>
        </w:tc>
      </w:tr>
      <w:tr w14:paraId="0280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15E353D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28</w:t>
            </w:r>
          </w:p>
        </w:tc>
        <w:tc>
          <w:tcPr>
            <w:tcW w:w="2044" w:type="dxa"/>
            <w:vAlign w:val="center"/>
          </w:tcPr>
          <w:p w14:paraId="4F3838D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超高惰性色谱柱VF-1701ms</w:t>
            </w:r>
          </w:p>
        </w:tc>
        <w:tc>
          <w:tcPr>
            <w:tcW w:w="656" w:type="dxa"/>
            <w:vAlign w:val="center"/>
          </w:tcPr>
          <w:p w14:paraId="234A892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622" w:type="dxa"/>
            <w:vAlign w:val="center"/>
          </w:tcPr>
          <w:p w14:paraId="79E54F8A">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473F088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30m×0.25mm×0.25ｕm,适用于安捷伦CP9151</w:t>
            </w:r>
          </w:p>
        </w:tc>
        <w:tc>
          <w:tcPr>
            <w:tcW w:w="572" w:type="dxa"/>
            <w:vAlign w:val="center"/>
          </w:tcPr>
          <w:p w14:paraId="710B9700">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0FA29A42">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7713</w:t>
            </w:r>
          </w:p>
        </w:tc>
      </w:tr>
      <w:tr w14:paraId="4D35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46EC88C8">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29</w:t>
            </w:r>
          </w:p>
        </w:tc>
        <w:tc>
          <w:tcPr>
            <w:tcW w:w="2044" w:type="dxa"/>
            <w:vAlign w:val="center"/>
          </w:tcPr>
          <w:p w14:paraId="26E4476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luer活塞</w:t>
            </w:r>
          </w:p>
        </w:tc>
        <w:tc>
          <w:tcPr>
            <w:tcW w:w="656" w:type="dxa"/>
            <w:vAlign w:val="center"/>
          </w:tcPr>
          <w:p w14:paraId="4694E296">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包</w:t>
            </w:r>
          </w:p>
        </w:tc>
        <w:tc>
          <w:tcPr>
            <w:tcW w:w="622" w:type="dxa"/>
            <w:vAlign w:val="center"/>
          </w:tcPr>
          <w:p w14:paraId="76519FF7">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4085" w:type="dxa"/>
            <w:vAlign w:val="center"/>
          </w:tcPr>
          <w:p w14:paraId="0690D70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15个/包，有短截止阀，适用于安捷伦12131005</w:t>
            </w:r>
          </w:p>
        </w:tc>
        <w:tc>
          <w:tcPr>
            <w:tcW w:w="572" w:type="dxa"/>
            <w:vAlign w:val="center"/>
          </w:tcPr>
          <w:p w14:paraId="110EE8F5">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29D3910A">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1352</w:t>
            </w:r>
          </w:p>
        </w:tc>
      </w:tr>
      <w:tr w14:paraId="3FE7F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56C8FF7E">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30</w:t>
            </w:r>
          </w:p>
        </w:tc>
        <w:tc>
          <w:tcPr>
            <w:tcW w:w="2044" w:type="dxa"/>
            <w:vAlign w:val="center"/>
          </w:tcPr>
          <w:p w14:paraId="76FBDC1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载气净化器</w:t>
            </w:r>
          </w:p>
        </w:tc>
        <w:tc>
          <w:tcPr>
            <w:tcW w:w="656" w:type="dxa"/>
            <w:vAlign w:val="center"/>
          </w:tcPr>
          <w:p w14:paraId="68C4B46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622" w:type="dxa"/>
            <w:vAlign w:val="center"/>
          </w:tcPr>
          <w:p w14:paraId="40D8F6B2">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4085" w:type="dxa"/>
            <w:vAlign w:val="center"/>
          </w:tcPr>
          <w:p w14:paraId="72E5531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适用于安捷伦CP17973</w:t>
            </w:r>
          </w:p>
        </w:tc>
        <w:tc>
          <w:tcPr>
            <w:tcW w:w="572" w:type="dxa"/>
            <w:vAlign w:val="center"/>
          </w:tcPr>
          <w:p w14:paraId="5851E59D">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6B9EAC52">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2400</w:t>
            </w:r>
          </w:p>
        </w:tc>
      </w:tr>
      <w:tr w14:paraId="0C8A0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6EF12BAF">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31</w:t>
            </w:r>
          </w:p>
        </w:tc>
        <w:tc>
          <w:tcPr>
            <w:tcW w:w="2044" w:type="dxa"/>
            <w:vAlign w:val="center"/>
          </w:tcPr>
          <w:p w14:paraId="50070C5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支架工具包</w:t>
            </w:r>
          </w:p>
        </w:tc>
        <w:tc>
          <w:tcPr>
            <w:tcW w:w="656" w:type="dxa"/>
            <w:vAlign w:val="center"/>
          </w:tcPr>
          <w:p w14:paraId="25B2153D">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622" w:type="dxa"/>
            <w:vAlign w:val="center"/>
          </w:tcPr>
          <w:p w14:paraId="72102142">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1573E95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适合于岛津AOC-20i Plus，221-44548-93</w:t>
            </w:r>
          </w:p>
        </w:tc>
        <w:tc>
          <w:tcPr>
            <w:tcW w:w="572" w:type="dxa"/>
            <w:vAlign w:val="center"/>
          </w:tcPr>
          <w:p w14:paraId="27080F32">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7F8C68E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2200</w:t>
            </w:r>
          </w:p>
        </w:tc>
      </w:tr>
      <w:tr w14:paraId="0749D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5034872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32</w:t>
            </w:r>
          </w:p>
        </w:tc>
        <w:tc>
          <w:tcPr>
            <w:tcW w:w="2044" w:type="dxa"/>
            <w:vAlign w:val="center"/>
          </w:tcPr>
          <w:p w14:paraId="6886528A">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超高惰性色谱柱DB-5</w:t>
            </w:r>
          </w:p>
        </w:tc>
        <w:tc>
          <w:tcPr>
            <w:tcW w:w="656" w:type="dxa"/>
            <w:vAlign w:val="center"/>
          </w:tcPr>
          <w:p w14:paraId="79902DCF">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622" w:type="dxa"/>
            <w:vAlign w:val="center"/>
          </w:tcPr>
          <w:p w14:paraId="604BDE96">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718D6FE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30m×0.32mm×0.25ｕm  适用于安捷伦123-5032</w:t>
            </w:r>
          </w:p>
        </w:tc>
        <w:tc>
          <w:tcPr>
            <w:tcW w:w="572" w:type="dxa"/>
            <w:vAlign w:val="center"/>
          </w:tcPr>
          <w:p w14:paraId="05AA34B0">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1D9939C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6849</w:t>
            </w:r>
          </w:p>
        </w:tc>
      </w:tr>
      <w:tr w14:paraId="12057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2CB56DD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33</w:t>
            </w:r>
          </w:p>
        </w:tc>
        <w:tc>
          <w:tcPr>
            <w:tcW w:w="2044" w:type="dxa"/>
            <w:vAlign w:val="center"/>
          </w:tcPr>
          <w:p w14:paraId="52526A67">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O型圈</w:t>
            </w:r>
          </w:p>
        </w:tc>
        <w:tc>
          <w:tcPr>
            <w:tcW w:w="656" w:type="dxa"/>
            <w:vAlign w:val="center"/>
          </w:tcPr>
          <w:p w14:paraId="39ED3E1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622" w:type="dxa"/>
            <w:vAlign w:val="center"/>
          </w:tcPr>
          <w:p w14:paraId="5BBAAC3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0E9BABC2">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适用于Thermo热电29001316</w:t>
            </w:r>
          </w:p>
        </w:tc>
        <w:tc>
          <w:tcPr>
            <w:tcW w:w="572" w:type="dxa"/>
            <w:vAlign w:val="center"/>
          </w:tcPr>
          <w:p w14:paraId="42E62374">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22921BA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121</w:t>
            </w:r>
          </w:p>
        </w:tc>
      </w:tr>
      <w:tr w14:paraId="35D8D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531634E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34</w:t>
            </w:r>
          </w:p>
        </w:tc>
        <w:tc>
          <w:tcPr>
            <w:tcW w:w="2044" w:type="dxa"/>
            <w:vAlign w:val="center"/>
          </w:tcPr>
          <w:p w14:paraId="7D852A8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不锈钢探针</w:t>
            </w:r>
          </w:p>
        </w:tc>
        <w:tc>
          <w:tcPr>
            <w:tcW w:w="656" w:type="dxa"/>
            <w:vAlign w:val="center"/>
          </w:tcPr>
          <w:p w14:paraId="1F476C1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包</w:t>
            </w:r>
          </w:p>
        </w:tc>
        <w:tc>
          <w:tcPr>
            <w:tcW w:w="622" w:type="dxa"/>
            <w:vAlign w:val="center"/>
          </w:tcPr>
          <w:p w14:paraId="644A44A8">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294503F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25个/包，适用于Vac SPS24安捷伦固相萃取装置430-3000</w:t>
            </w:r>
          </w:p>
        </w:tc>
        <w:tc>
          <w:tcPr>
            <w:tcW w:w="572" w:type="dxa"/>
            <w:vAlign w:val="center"/>
          </w:tcPr>
          <w:p w14:paraId="3E99187A">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165D4D9F">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2040</w:t>
            </w:r>
          </w:p>
        </w:tc>
      </w:tr>
      <w:tr w14:paraId="211DF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54A73602">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35</w:t>
            </w:r>
          </w:p>
        </w:tc>
        <w:tc>
          <w:tcPr>
            <w:tcW w:w="2044" w:type="dxa"/>
            <w:vAlign w:val="center"/>
          </w:tcPr>
          <w:p w14:paraId="74DE0167">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ACQUITY色谱柱在线过滤器</w:t>
            </w:r>
          </w:p>
        </w:tc>
        <w:tc>
          <w:tcPr>
            <w:tcW w:w="656" w:type="dxa"/>
            <w:vAlign w:val="center"/>
          </w:tcPr>
          <w:p w14:paraId="1269AD1C">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622" w:type="dxa"/>
            <w:vAlign w:val="center"/>
          </w:tcPr>
          <w:p w14:paraId="7DEF288C">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4A53BBB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1个/盒，适用于waters液相自动进样器FTN</w:t>
            </w:r>
          </w:p>
        </w:tc>
        <w:tc>
          <w:tcPr>
            <w:tcW w:w="572" w:type="dxa"/>
            <w:vAlign w:val="center"/>
          </w:tcPr>
          <w:p w14:paraId="20F8726D">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727021C8">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3322</w:t>
            </w:r>
          </w:p>
        </w:tc>
      </w:tr>
      <w:tr w14:paraId="0645F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5351E38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2044" w:type="dxa"/>
            <w:vAlign w:val="center"/>
          </w:tcPr>
          <w:p w14:paraId="2D7A228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液相色谱柱</w:t>
            </w:r>
          </w:p>
        </w:tc>
        <w:tc>
          <w:tcPr>
            <w:tcW w:w="656" w:type="dxa"/>
            <w:vAlign w:val="center"/>
          </w:tcPr>
          <w:p w14:paraId="797D1B2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660DC377">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4578918D">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 xml:space="preserve">1根/盒，PAH C18 色谱柱，120 Å， 5 µm，4.6 mm ×250 mm，适用于waters </w:t>
            </w:r>
          </w:p>
        </w:tc>
        <w:tc>
          <w:tcPr>
            <w:tcW w:w="572" w:type="dxa"/>
            <w:vAlign w:val="center"/>
          </w:tcPr>
          <w:p w14:paraId="2F99C1E8">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35C21AC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9500</w:t>
            </w:r>
          </w:p>
        </w:tc>
      </w:tr>
      <w:tr w14:paraId="332E5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3FEE95A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37</w:t>
            </w:r>
          </w:p>
        </w:tc>
        <w:tc>
          <w:tcPr>
            <w:tcW w:w="2044" w:type="dxa"/>
            <w:vAlign w:val="center"/>
          </w:tcPr>
          <w:p w14:paraId="741FDF6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液相色谱柱</w:t>
            </w:r>
          </w:p>
        </w:tc>
        <w:tc>
          <w:tcPr>
            <w:tcW w:w="656" w:type="dxa"/>
            <w:vAlign w:val="center"/>
          </w:tcPr>
          <w:p w14:paraId="65461C57">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690328C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6CB4B1C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 xml:space="preserve">1根/盒， PAH C18 色谱柱，120 Å, 5µm  2.1mm×150mm，适用于waters </w:t>
            </w:r>
          </w:p>
        </w:tc>
        <w:tc>
          <w:tcPr>
            <w:tcW w:w="572" w:type="dxa"/>
            <w:vAlign w:val="center"/>
          </w:tcPr>
          <w:p w14:paraId="0205359E">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63B4667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9000</w:t>
            </w:r>
          </w:p>
        </w:tc>
      </w:tr>
      <w:tr w14:paraId="5B4A3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0692E54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38</w:t>
            </w:r>
          </w:p>
        </w:tc>
        <w:tc>
          <w:tcPr>
            <w:tcW w:w="2044" w:type="dxa"/>
            <w:vAlign w:val="center"/>
          </w:tcPr>
          <w:p w14:paraId="1E5CF4DE">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液相色谱柱</w:t>
            </w:r>
          </w:p>
        </w:tc>
        <w:tc>
          <w:tcPr>
            <w:tcW w:w="656" w:type="dxa"/>
            <w:vAlign w:val="center"/>
          </w:tcPr>
          <w:p w14:paraId="2B005B3D">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7200F46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69B5D887">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 xml:space="preserve">1根/盒，Sunfire C18色谱柱 100Å, 3.5µm， 4.6 mm ×150 mm，适用于waters </w:t>
            </w:r>
          </w:p>
        </w:tc>
        <w:tc>
          <w:tcPr>
            <w:tcW w:w="572" w:type="dxa"/>
            <w:vAlign w:val="center"/>
          </w:tcPr>
          <w:p w14:paraId="746302F8">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2AF46A16">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7000</w:t>
            </w:r>
          </w:p>
        </w:tc>
      </w:tr>
      <w:tr w14:paraId="00820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584DCC6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39</w:t>
            </w:r>
          </w:p>
        </w:tc>
        <w:tc>
          <w:tcPr>
            <w:tcW w:w="2044" w:type="dxa"/>
            <w:vAlign w:val="center"/>
          </w:tcPr>
          <w:p w14:paraId="2A41E41F">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液相色谱柱</w:t>
            </w:r>
          </w:p>
        </w:tc>
        <w:tc>
          <w:tcPr>
            <w:tcW w:w="656" w:type="dxa"/>
            <w:vAlign w:val="center"/>
          </w:tcPr>
          <w:p w14:paraId="23D40AF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22099F18">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2736DBDE">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 xml:space="preserve">1根/盒，SunFire® C18 5μm 4.6× 250 mm，适用于waters </w:t>
            </w:r>
          </w:p>
        </w:tc>
        <w:tc>
          <w:tcPr>
            <w:tcW w:w="572" w:type="dxa"/>
            <w:vAlign w:val="center"/>
          </w:tcPr>
          <w:p w14:paraId="4D2F37B0">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035F5FDF">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6500</w:t>
            </w:r>
          </w:p>
        </w:tc>
      </w:tr>
      <w:tr w14:paraId="4B3F9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2CA03ECC">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40</w:t>
            </w:r>
          </w:p>
        </w:tc>
        <w:tc>
          <w:tcPr>
            <w:tcW w:w="2044" w:type="dxa"/>
            <w:vAlign w:val="center"/>
          </w:tcPr>
          <w:p w14:paraId="5F78EEEE">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阳离子抑制器</w:t>
            </w:r>
          </w:p>
        </w:tc>
        <w:tc>
          <w:tcPr>
            <w:tcW w:w="656" w:type="dxa"/>
            <w:vAlign w:val="center"/>
          </w:tcPr>
          <w:p w14:paraId="14ACFA8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622" w:type="dxa"/>
            <w:vAlign w:val="center"/>
          </w:tcPr>
          <w:p w14:paraId="1B0BCA2A">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5CCDAD0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适用于Thermo，ICS-1100，CSRS 300 4mm</w:t>
            </w:r>
          </w:p>
        </w:tc>
        <w:tc>
          <w:tcPr>
            <w:tcW w:w="572" w:type="dxa"/>
            <w:vAlign w:val="center"/>
          </w:tcPr>
          <w:p w14:paraId="4B35FD91">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61B5D45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23843</w:t>
            </w:r>
          </w:p>
        </w:tc>
      </w:tr>
      <w:tr w14:paraId="61F69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1E530DBD">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41</w:t>
            </w:r>
          </w:p>
        </w:tc>
        <w:tc>
          <w:tcPr>
            <w:tcW w:w="2044" w:type="dxa"/>
            <w:vAlign w:val="center"/>
          </w:tcPr>
          <w:p w14:paraId="379A2F1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不分流衬管</w:t>
            </w:r>
          </w:p>
        </w:tc>
        <w:tc>
          <w:tcPr>
            <w:tcW w:w="656" w:type="dxa"/>
            <w:vAlign w:val="center"/>
          </w:tcPr>
          <w:p w14:paraId="0BDB96BA">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包</w:t>
            </w:r>
          </w:p>
        </w:tc>
        <w:tc>
          <w:tcPr>
            <w:tcW w:w="622" w:type="dxa"/>
            <w:vAlign w:val="center"/>
          </w:tcPr>
          <w:p w14:paraId="078606E7">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4085" w:type="dxa"/>
            <w:vAlign w:val="center"/>
          </w:tcPr>
          <w:p w14:paraId="2605719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5个/包，RT-23336,适用于岛津气相2030，农残专用衬管</w:t>
            </w:r>
          </w:p>
        </w:tc>
        <w:tc>
          <w:tcPr>
            <w:tcW w:w="572" w:type="dxa"/>
            <w:vAlign w:val="center"/>
          </w:tcPr>
          <w:p w14:paraId="3BE6AA64">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5BB5FE2C">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3771</w:t>
            </w:r>
          </w:p>
        </w:tc>
      </w:tr>
      <w:tr w14:paraId="2396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3485C8AA">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42</w:t>
            </w:r>
          </w:p>
        </w:tc>
        <w:tc>
          <w:tcPr>
            <w:tcW w:w="2044" w:type="dxa"/>
            <w:vAlign w:val="center"/>
          </w:tcPr>
          <w:p w14:paraId="029042B8">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主动阀阀芯</w:t>
            </w:r>
          </w:p>
        </w:tc>
        <w:tc>
          <w:tcPr>
            <w:tcW w:w="656" w:type="dxa"/>
            <w:vAlign w:val="center"/>
          </w:tcPr>
          <w:p w14:paraId="4AAF325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622" w:type="dxa"/>
            <w:vAlign w:val="center"/>
          </w:tcPr>
          <w:p w14:paraId="4DF36D3F">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0C7B240A">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适用于waters液相，H-classQSM</w:t>
            </w:r>
          </w:p>
        </w:tc>
        <w:tc>
          <w:tcPr>
            <w:tcW w:w="572" w:type="dxa"/>
            <w:vAlign w:val="center"/>
          </w:tcPr>
          <w:p w14:paraId="65F765AF">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7EF0C05E">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2740</w:t>
            </w:r>
          </w:p>
        </w:tc>
      </w:tr>
      <w:tr w14:paraId="72080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46D2D2E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43</w:t>
            </w:r>
          </w:p>
        </w:tc>
        <w:tc>
          <w:tcPr>
            <w:tcW w:w="2044" w:type="dxa"/>
            <w:vAlign w:val="center"/>
          </w:tcPr>
          <w:p w14:paraId="61028328">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分流衬管</w:t>
            </w:r>
          </w:p>
        </w:tc>
        <w:tc>
          <w:tcPr>
            <w:tcW w:w="656" w:type="dxa"/>
            <w:vAlign w:val="center"/>
          </w:tcPr>
          <w:p w14:paraId="06BCEFCE">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包</w:t>
            </w:r>
          </w:p>
        </w:tc>
        <w:tc>
          <w:tcPr>
            <w:tcW w:w="622" w:type="dxa"/>
            <w:vAlign w:val="center"/>
          </w:tcPr>
          <w:p w14:paraId="6384360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559D6D6A">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5个/包，适用于岛津气相2030，农残专用衬管</w:t>
            </w:r>
          </w:p>
        </w:tc>
        <w:tc>
          <w:tcPr>
            <w:tcW w:w="572" w:type="dxa"/>
            <w:vAlign w:val="center"/>
          </w:tcPr>
          <w:p w14:paraId="62D644A9">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6F2E7A7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2061</w:t>
            </w:r>
          </w:p>
        </w:tc>
      </w:tr>
      <w:tr w14:paraId="6FCF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273A772E">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44</w:t>
            </w:r>
          </w:p>
        </w:tc>
        <w:tc>
          <w:tcPr>
            <w:tcW w:w="2044" w:type="dxa"/>
            <w:vAlign w:val="center"/>
          </w:tcPr>
          <w:p w14:paraId="30F98B4A">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PH电极</w:t>
            </w:r>
          </w:p>
        </w:tc>
        <w:tc>
          <w:tcPr>
            <w:tcW w:w="656" w:type="dxa"/>
            <w:vAlign w:val="center"/>
          </w:tcPr>
          <w:p w14:paraId="1C0BB58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622" w:type="dxa"/>
            <w:vAlign w:val="center"/>
          </w:tcPr>
          <w:p w14:paraId="69316C3E">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6917253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适用于梅特勒Inlab Expert Pro-RSM</w:t>
            </w:r>
          </w:p>
        </w:tc>
        <w:tc>
          <w:tcPr>
            <w:tcW w:w="572" w:type="dxa"/>
            <w:vAlign w:val="center"/>
          </w:tcPr>
          <w:p w14:paraId="7A3B6459">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5E3468C7">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5695</w:t>
            </w:r>
          </w:p>
        </w:tc>
      </w:tr>
      <w:tr w14:paraId="12262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2F4993AF">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45</w:t>
            </w:r>
          </w:p>
        </w:tc>
        <w:tc>
          <w:tcPr>
            <w:tcW w:w="2044" w:type="dxa"/>
            <w:vAlign w:val="center"/>
          </w:tcPr>
          <w:p w14:paraId="6EFA3A6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O型圈</w:t>
            </w:r>
          </w:p>
        </w:tc>
        <w:tc>
          <w:tcPr>
            <w:tcW w:w="656" w:type="dxa"/>
            <w:vAlign w:val="center"/>
          </w:tcPr>
          <w:p w14:paraId="5498DF2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622" w:type="dxa"/>
            <w:vAlign w:val="center"/>
          </w:tcPr>
          <w:p w14:paraId="0B408E7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013F963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适用于热电29001313</w:t>
            </w:r>
          </w:p>
        </w:tc>
        <w:tc>
          <w:tcPr>
            <w:tcW w:w="572" w:type="dxa"/>
            <w:vAlign w:val="center"/>
          </w:tcPr>
          <w:p w14:paraId="6017CC10">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7F6AE658">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299</w:t>
            </w:r>
          </w:p>
        </w:tc>
      </w:tr>
      <w:tr w14:paraId="6F5A3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44C6411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46</w:t>
            </w:r>
          </w:p>
        </w:tc>
        <w:tc>
          <w:tcPr>
            <w:tcW w:w="2044" w:type="dxa"/>
            <w:vAlign w:val="center"/>
          </w:tcPr>
          <w:p w14:paraId="7263895D">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被动阀</w:t>
            </w:r>
          </w:p>
        </w:tc>
        <w:tc>
          <w:tcPr>
            <w:tcW w:w="656" w:type="dxa"/>
            <w:vAlign w:val="center"/>
          </w:tcPr>
          <w:p w14:paraId="703D0C9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622" w:type="dxa"/>
            <w:vAlign w:val="center"/>
          </w:tcPr>
          <w:p w14:paraId="1CD7938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030CC6E8">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适用于waters液相，H-classQSM</w:t>
            </w:r>
          </w:p>
        </w:tc>
        <w:tc>
          <w:tcPr>
            <w:tcW w:w="572" w:type="dxa"/>
            <w:vAlign w:val="center"/>
          </w:tcPr>
          <w:p w14:paraId="3746D9E5">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60C3D59F">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2735</w:t>
            </w:r>
          </w:p>
        </w:tc>
      </w:tr>
      <w:tr w14:paraId="5EA35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03F9B40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47</w:t>
            </w:r>
          </w:p>
        </w:tc>
        <w:tc>
          <w:tcPr>
            <w:tcW w:w="2044" w:type="dxa"/>
            <w:vAlign w:val="center"/>
          </w:tcPr>
          <w:p w14:paraId="38D60BAE">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荧光检测器性能维护套件</w:t>
            </w:r>
          </w:p>
        </w:tc>
        <w:tc>
          <w:tcPr>
            <w:tcW w:w="656" w:type="dxa"/>
            <w:vAlign w:val="center"/>
          </w:tcPr>
          <w:p w14:paraId="207B5B8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套</w:t>
            </w:r>
          </w:p>
        </w:tc>
        <w:tc>
          <w:tcPr>
            <w:tcW w:w="622" w:type="dxa"/>
            <w:vAlign w:val="center"/>
          </w:tcPr>
          <w:p w14:paraId="5F129D6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737A68FE">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适用于waters液相，H-classQSM，FLR检测器</w:t>
            </w:r>
          </w:p>
        </w:tc>
        <w:tc>
          <w:tcPr>
            <w:tcW w:w="572" w:type="dxa"/>
            <w:vAlign w:val="center"/>
          </w:tcPr>
          <w:p w14:paraId="77170C2F">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198F011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16241</w:t>
            </w:r>
          </w:p>
        </w:tc>
      </w:tr>
      <w:tr w14:paraId="66E3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7188DE8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48</w:t>
            </w:r>
          </w:p>
        </w:tc>
        <w:tc>
          <w:tcPr>
            <w:tcW w:w="2044" w:type="dxa"/>
            <w:vAlign w:val="center"/>
          </w:tcPr>
          <w:p w14:paraId="66755E1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CP25吸嘴</w:t>
            </w:r>
          </w:p>
        </w:tc>
        <w:tc>
          <w:tcPr>
            <w:tcW w:w="656" w:type="dxa"/>
            <w:vAlign w:val="center"/>
          </w:tcPr>
          <w:p w14:paraId="12B20082">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5851EED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563D3C7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TIPACK盒装，适用于杰尔森F148012仪器</w:t>
            </w:r>
          </w:p>
        </w:tc>
        <w:tc>
          <w:tcPr>
            <w:tcW w:w="572" w:type="dxa"/>
            <w:vAlign w:val="center"/>
          </w:tcPr>
          <w:p w14:paraId="0B12C8A7">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1A3EAFE2">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2800</w:t>
            </w:r>
          </w:p>
        </w:tc>
      </w:tr>
      <w:tr w14:paraId="5CD4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3E0DC29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49</w:t>
            </w:r>
          </w:p>
        </w:tc>
        <w:tc>
          <w:tcPr>
            <w:tcW w:w="2044" w:type="dxa"/>
            <w:vAlign w:val="center"/>
          </w:tcPr>
          <w:p w14:paraId="2D216C7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CP50吸嘴</w:t>
            </w:r>
          </w:p>
        </w:tc>
        <w:tc>
          <w:tcPr>
            <w:tcW w:w="656" w:type="dxa"/>
            <w:vAlign w:val="center"/>
          </w:tcPr>
          <w:p w14:paraId="050720CC">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06EF6927">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4F7ECA1F">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TIPACK盒装，适用于杰尔森F148013仪器</w:t>
            </w:r>
          </w:p>
        </w:tc>
        <w:tc>
          <w:tcPr>
            <w:tcW w:w="572" w:type="dxa"/>
            <w:vAlign w:val="center"/>
          </w:tcPr>
          <w:p w14:paraId="26460991">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225C217D">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2800</w:t>
            </w:r>
          </w:p>
        </w:tc>
      </w:tr>
      <w:tr w14:paraId="0068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41D5BB32">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50</w:t>
            </w:r>
          </w:p>
        </w:tc>
        <w:tc>
          <w:tcPr>
            <w:tcW w:w="2044" w:type="dxa"/>
            <w:vAlign w:val="center"/>
          </w:tcPr>
          <w:p w14:paraId="442B2C3D">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25微升外置活塞式移液器</w:t>
            </w:r>
          </w:p>
        </w:tc>
        <w:tc>
          <w:tcPr>
            <w:tcW w:w="656" w:type="dxa"/>
            <w:vAlign w:val="center"/>
          </w:tcPr>
          <w:p w14:paraId="5BF677E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622" w:type="dxa"/>
            <w:vAlign w:val="center"/>
          </w:tcPr>
          <w:p w14:paraId="6B5063B6">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350E9F9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M25E，适用于杰尔森FD1002</w:t>
            </w:r>
          </w:p>
        </w:tc>
        <w:tc>
          <w:tcPr>
            <w:tcW w:w="572" w:type="dxa"/>
            <w:vAlign w:val="center"/>
          </w:tcPr>
          <w:p w14:paraId="0032F027">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58AE2B0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2800</w:t>
            </w:r>
          </w:p>
        </w:tc>
      </w:tr>
      <w:tr w14:paraId="54120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46BA627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51</w:t>
            </w:r>
          </w:p>
        </w:tc>
        <w:tc>
          <w:tcPr>
            <w:tcW w:w="2044" w:type="dxa"/>
            <w:vAlign w:val="center"/>
          </w:tcPr>
          <w:p w14:paraId="376F62FF">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50微升外置活塞式移液器</w:t>
            </w:r>
          </w:p>
        </w:tc>
        <w:tc>
          <w:tcPr>
            <w:tcW w:w="656" w:type="dxa"/>
            <w:vAlign w:val="center"/>
          </w:tcPr>
          <w:p w14:paraId="28D59842">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622" w:type="dxa"/>
            <w:vAlign w:val="center"/>
          </w:tcPr>
          <w:p w14:paraId="4F0A83AA">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77BEF05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M50E，适用于杰尔森FD1003</w:t>
            </w:r>
          </w:p>
        </w:tc>
        <w:tc>
          <w:tcPr>
            <w:tcW w:w="572" w:type="dxa"/>
            <w:vAlign w:val="center"/>
          </w:tcPr>
          <w:p w14:paraId="3475DEBF">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5F8BC37F">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2800</w:t>
            </w:r>
          </w:p>
        </w:tc>
      </w:tr>
      <w:tr w14:paraId="4CCA7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4991F6B7">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52</w:t>
            </w:r>
          </w:p>
        </w:tc>
        <w:tc>
          <w:tcPr>
            <w:tcW w:w="2044" w:type="dxa"/>
            <w:vAlign w:val="center"/>
          </w:tcPr>
          <w:p w14:paraId="38BDC8AC">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Dneasy血液及组织核酸提取试剂盒（50人份）</w:t>
            </w:r>
          </w:p>
        </w:tc>
        <w:tc>
          <w:tcPr>
            <w:tcW w:w="656" w:type="dxa"/>
            <w:vAlign w:val="center"/>
          </w:tcPr>
          <w:p w14:paraId="25F2E1B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34349EC7">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6492559D">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QIAGEN 69504 Qiagen DNeasy Blood &amp; Tissue Kit（(DNA抽提试剂盒）50人次/盒；保质期12个月</w:t>
            </w:r>
          </w:p>
        </w:tc>
        <w:tc>
          <w:tcPr>
            <w:tcW w:w="572" w:type="dxa"/>
            <w:vAlign w:val="center"/>
          </w:tcPr>
          <w:p w14:paraId="387E3D38">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6736FF22">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3425.4</w:t>
            </w:r>
          </w:p>
        </w:tc>
      </w:tr>
      <w:tr w14:paraId="64456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29C08EB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53</w:t>
            </w:r>
          </w:p>
        </w:tc>
        <w:tc>
          <w:tcPr>
            <w:tcW w:w="2044" w:type="dxa"/>
            <w:vAlign w:val="center"/>
          </w:tcPr>
          <w:p w14:paraId="2C26D26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BIOWEST REGULAR AGAROSE G-10琼脂糖</w:t>
            </w:r>
          </w:p>
        </w:tc>
        <w:tc>
          <w:tcPr>
            <w:tcW w:w="656" w:type="dxa"/>
            <w:vAlign w:val="center"/>
          </w:tcPr>
          <w:p w14:paraId="10082F47">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4C36C22A">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09019A7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100g</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适用于普通的琼脂糖凝胶电泳</w:t>
            </w:r>
          </w:p>
        </w:tc>
        <w:tc>
          <w:tcPr>
            <w:tcW w:w="572" w:type="dxa"/>
            <w:vAlign w:val="center"/>
          </w:tcPr>
          <w:p w14:paraId="37D0AC5F">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3FD90FB6">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200</w:t>
            </w:r>
          </w:p>
        </w:tc>
      </w:tr>
      <w:tr w14:paraId="002F2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1FD7421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54</w:t>
            </w:r>
          </w:p>
        </w:tc>
        <w:tc>
          <w:tcPr>
            <w:tcW w:w="2044" w:type="dxa"/>
            <w:vAlign w:val="center"/>
          </w:tcPr>
          <w:p w14:paraId="7E0BF4CC">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生化鉴定卡（GN卡）</w:t>
            </w:r>
          </w:p>
        </w:tc>
        <w:tc>
          <w:tcPr>
            <w:tcW w:w="656" w:type="dxa"/>
            <w:vAlign w:val="center"/>
          </w:tcPr>
          <w:p w14:paraId="2863E63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619325EF">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3ED06116">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1*96孔/套 10块/盒，适配于梅里埃VITECK II全自动生化鉴定系统</w:t>
            </w:r>
          </w:p>
        </w:tc>
        <w:tc>
          <w:tcPr>
            <w:tcW w:w="572" w:type="dxa"/>
            <w:vAlign w:val="center"/>
          </w:tcPr>
          <w:p w14:paraId="38B32493">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69DD336E">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1580</w:t>
            </w:r>
          </w:p>
        </w:tc>
      </w:tr>
      <w:tr w14:paraId="3B05F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68B38478">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55</w:t>
            </w:r>
          </w:p>
        </w:tc>
        <w:tc>
          <w:tcPr>
            <w:tcW w:w="2044" w:type="dxa"/>
            <w:vAlign w:val="center"/>
          </w:tcPr>
          <w:p w14:paraId="27C49BE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生化鉴定卡（BCL卡）</w:t>
            </w:r>
          </w:p>
        </w:tc>
        <w:tc>
          <w:tcPr>
            <w:tcW w:w="656" w:type="dxa"/>
            <w:vAlign w:val="center"/>
          </w:tcPr>
          <w:p w14:paraId="2371054D">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6C3F148E">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13610018">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1*96孔/套 10块/盒，适配于梅里埃VITECK II全自动生化鉴定系统</w:t>
            </w:r>
          </w:p>
        </w:tc>
        <w:tc>
          <w:tcPr>
            <w:tcW w:w="572" w:type="dxa"/>
            <w:vAlign w:val="center"/>
          </w:tcPr>
          <w:p w14:paraId="51C288DC">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进口</w:t>
            </w:r>
          </w:p>
        </w:tc>
        <w:tc>
          <w:tcPr>
            <w:tcW w:w="1428" w:type="dxa"/>
            <w:vAlign w:val="center"/>
          </w:tcPr>
          <w:p w14:paraId="5C39607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1620</w:t>
            </w:r>
          </w:p>
        </w:tc>
      </w:tr>
    </w:tbl>
    <w:p w14:paraId="41370E11">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highlight w:val="none"/>
          <w:lang w:val="en-US" w:eastAsia="zh-CN"/>
        </w:rPr>
      </w:pPr>
    </w:p>
    <w:p w14:paraId="737E67FA">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b/>
          <w:bCs/>
          <w:kern w:val="2"/>
          <w:sz w:val="24"/>
          <w:szCs w:val="24"/>
          <w:lang w:val="en-US" w:eastAsia="zh-CN" w:bidi="ar-SA"/>
        </w:rPr>
        <w:t>二、商务</w:t>
      </w:r>
      <w:r>
        <w:rPr>
          <w:rFonts w:hint="eastAsia" w:ascii="仿宋" w:hAnsi="仿宋" w:eastAsia="仿宋" w:cs="仿宋"/>
          <w:b/>
          <w:bCs/>
          <w:sz w:val="24"/>
          <w:szCs w:val="24"/>
          <w:highlight w:val="none"/>
          <w:lang w:val="en-US" w:eastAsia="zh-CN"/>
        </w:rPr>
        <w:t>要求</w:t>
      </w:r>
    </w:p>
    <w:p w14:paraId="1B49B64B">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1、</w:t>
      </w:r>
      <w:r>
        <w:rPr>
          <w:rFonts w:hint="eastAsia" w:ascii="仿宋" w:hAnsi="仿宋" w:eastAsia="仿宋" w:cs="仿宋"/>
          <w:b w:val="0"/>
          <w:bCs w:val="0"/>
          <w:sz w:val="24"/>
          <w:szCs w:val="24"/>
          <w:highlight w:val="none"/>
          <w:lang w:val="en-US" w:eastAsia="zh-CN"/>
        </w:rPr>
        <w:t>交货时间：合同签订后30日内交货。</w:t>
      </w:r>
      <w:r>
        <w:rPr>
          <w:rFonts w:hint="eastAsia" w:ascii="仿宋" w:hAnsi="仿宋" w:eastAsia="仿宋" w:cs="仿宋"/>
          <w:highlight w:val="none"/>
          <w:lang w:val="en-US" w:eastAsia="zh-CN"/>
        </w:rPr>
        <w:t xml:space="preserve"> </w:t>
      </w:r>
    </w:p>
    <w:p w14:paraId="37C40978">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2、</w:t>
      </w:r>
      <w:r>
        <w:rPr>
          <w:rFonts w:hint="eastAsia" w:ascii="仿宋" w:hAnsi="仿宋" w:eastAsia="仿宋" w:cs="仿宋"/>
          <w:b w:val="0"/>
          <w:bCs w:val="0"/>
          <w:sz w:val="24"/>
          <w:szCs w:val="24"/>
          <w:lang w:val="en-US" w:eastAsia="zh-CN"/>
        </w:rPr>
        <w:t>采购项目（标的）实施的地点：采购人指定地点</w:t>
      </w:r>
      <w:r>
        <w:rPr>
          <w:rFonts w:hint="eastAsia" w:ascii="仿宋" w:hAnsi="仿宋" w:eastAsia="仿宋" w:cs="仿宋"/>
          <w:lang w:val="en-US" w:eastAsia="zh-CN"/>
        </w:rPr>
        <w:t xml:space="preserve"> </w:t>
      </w:r>
    </w:p>
    <w:p w14:paraId="7D1EFEB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3、付款条件：（具体支付比例以合同签订时为准） </w:t>
      </w:r>
    </w:p>
    <w:p w14:paraId="25A53D7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报价要求：投标报价包含成本、运输、包装、售后服务、税费及其他一切完成本项目采购需求全部内容的费用；在合同履行期间，如遇价格联动（如国家或自治区试剂耗材带量集中采购、阳光采购联盟）等政策性调价，合同中相应品目单价将按新政策中规定的单价执行，否则单价不予调整。</w:t>
      </w:r>
    </w:p>
    <w:p w14:paraId="415DA631">
      <w:pPr>
        <w:rPr>
          <w:rFonts w:hint="eastAsia" w:ascii="仿宋" w:hAnsi="仿宋" w:eastAsia="仿宋" w:cs="仿宋"/>
          <w:highlight w:val="none"/>
          <w:lang w:val="en-US" w:eastAsia="zh-CN"/>
        </w:rPr>
      </w:pPr>
    </w:p>
    <w:p w14:paraId="0E84B441">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kern w:val="2"/>
          <w:sz w:val="24"/>
          <w:szCs w:val="24"/>
          <w:highlight w:val="none"/>
          <w:lang w:val="en-US" w:eastAsia="zh-CN" w:bidi="ar-SA"/>
        </w:rPr>
        <w:t>三、</w:t>
      </w:r>
      <w:r>
        <w:rPr>
          <w:rFonts w:hint="eastAsia" w:ascii="仿宋" w:hAnsi="仿宋" w:eastAsia="仿宋" w:cs="仿宋"/>
          <w:b/>
          <w:bCs/>
          <w:sz w:val="24"/>
          <w:szCs w:val="24"/>
          <w:highlight w:val="none"/>
          <w:lang w:val="en-US" w:eastAsia="zh-CN"/>
        </w:rPr>
        <w:t>其他相关要求</w:t>
      </w:r>
    </w:p>
    <w:p w14:paraId="5A09C29A">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bookmarkStart w:id="37" w:name="OLE_LINK1"/>
      <w:r>
        <w:rPr>
          <w:rFonts w:hint="eastAsia" w:ascii="仿宋" w:hAnsi="仿宋" w:eastAsia="仿宋" w:cs="仿宋"/>
          <w:lang w:val="en-US" w:eastAsia="zh-CN"/>
        </w:rPr>
        <w:t>1</w:t>
      </w:r>
      <w:r>
        <w:rPr>
          <w:rFonts w:hint="eastAsia" w:ascii="仿宋" w:hAnsi="仿宋" w:eastAsia="仿宋" w:cs="仿宋"/>
          <w:b w:val="0"/>
          <w:bCs w:val="0"/>
          <w:sz w:val="24"/>
          <w:szCs w:val="24"/>
          <w:lang w:val="en-US" w:eastAsia="zh-CN"/>
        </w:rPr>
        <w:t xml:space="preserve">.质量要求 </w:t>
      </w:r>
    </w:p>
    <w:p w14:paraId="66C59322">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lang w:val="en-US" w:eastAsia="zh-CN"/>
        </w:rPr>
        <w:t xml:space="preserve">1.1 </w:t>
      </w:r>
      <w:r>
        <w:rPr>
          <w:rFonts w:hint="eastAsia" w:ascii="仿宋" w:hAnsi="仿宋" w:eastAsia="仿宋" w:cs="仿宋"/>
          <w:b w:val="0"/>
          <w:bCs w:val="0"/>
          <w:sz w:val="24"/>
          <w:szCs w:val="24"/>
          <w:lang w:val="en-US" w:eastAsia="zh-CN"/>
        </w:rPr>
        <w:t xml:space="preserve">质量标准：符合国家及行业现行相关标准。采购人对不符合质量、有效期、 </w:t>
      </w:r>
    </w:p>
    <w:p w14:paraId="456927CC">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包装和订单数量要求的产品，有权拒绝接收，投标人应对不符合要求的产品及时 </w:t>
      </w:r>
    </w:p>
    <w:p w14:paraId="2EFBFCD8">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进行更换，不得影响采购人的使用。采购人有权对投标人交付的产品进行抽样检 </w:t>
      </w:r>
    </w:p>
    <w:p w14:paraId="4F459DE1">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验，检验应当由具备检验资质的机构实施，投标人认可检测结果并承担检测费用。 </w:t>
      </w:r>
    </w:p>
    <w:p w14:paraId="79A2F5D6">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 xml:space="preserve">1.2 </w:t>
      </w:r>
      <w:r>
        <w:rPr>
          <w:rFonts w:hint="eastAsia" w:ascii="仿宋" w:hAnsi="仿宋" w:eastAsia="仿宋" w:cs="仿宋"/>
          <w:b w:val="0"/>
          <w:bCs w:val="0"/>
          <w:sz w:val="24"/>
          <w:szCs w:val="24"/>
          <w:lang w:val="en-US" w:eastAsia="zh-CN"/>
        </w:rPr>
        <w:t>所投试剂及耗材均为正品，所有产品如出现质量问题需无条件退换货。</w:t>
      </w:r>
      <w:r>
        <w:rPr>
          <w:rFonts w:hint="eastAsia" w:ascii="仿宋" w:hAnsi="仿宋" w:eastAsia="仿宋" w:cs="仿宋"/>
          <w:lang w:val="en-US" w:eastAsia="zh-CN"/>
        </w:rPr>
        <w:t xml:space="preserve"> </w:t>
      </w:r>
    </w:p>
    <w:p w14:paraId="422F74C6">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lang w:val="en-US" w:eastAsia="zh-CN"/>
        </w:rPr>
        <w:t xml:space="preserve">1.3 </w:t>
      </w:r>
      <w:r>
        <w:rPr>
          <w:rFonts w:hint="eastAsia" w:ascii="仿宋" w:hAnsi="仿宋" w:eastAsia="仿宋" w:cs="仿宋"/>
          <w:b w:val="0"/>
          <w:bCs w:val="0"/>
          <w:sz w:val="24"/>
          <w:szCs w:val="24"/>
          <w:lang w:val="en-US" w:eastAsia="zh-CN"/>
        </w:rPr>
        <w:t xml:space="preserve">本项目采购的试剂、耗材应经过严格质量监控，保证试剂、耗材内外包装的 </w:t>
      </w:r>
    </w:p>
    <w:p w14:paraId="06DA5C97">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生产批号完全一致。 </w:t>
      </w:r>
    </w:p>
    <w:p w14:paraId="0CF46E30">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lang w:val="en-US" w:eastAsia="zh-CN"/>
        </w:rPr>
        <w:t xml:space="preserve">1.4 </w:t>
      </w:r>
      <w:r>
        <w:rPr>
          <w:rFonts w:hint="eastAsia" w:ascii="仿宋" w:hAnsi="仿宋" w:eastAsia="仿宋" w:cs="仿宋"/>
          <w:b w:val="0"/>
          <w:bCs w:val="0"/>
          <w:sz w:val="24"/>
          <w:szCs w:val="24"/>
          <w:lang w:val="en-US" w:eastAsia="zh-CN"/>
        </w:rPr>
        <w:t xml:space="preserve">成交人应保证所供产品是全新的、未使用过的，完全符合国家及行业现行相 </w:t>
      </w:r>
    </w:p>
    <w:p w14:paraId="2A546391">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关标准规定的质量、规格、环保和性能等要求；投标货物与产品应满足国家规定 </w:t>
      </w:r>
    </w:p>
    <w:p w14:paraId="65D87B2C">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的安全指标；投标人所投货物必须是国家批准正式生产和市场准入的成熟货物。2.配送和运输 </w:t>
      </w:r>
    </w:p>
    <w:p w14:paraId="71D6D14B">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lang w:val="en-US" w:eastAsia="zh-CN"/>
        </w:rPr>
        <w:t xml:space="preserve">2.1 </w:t>
      </w:r>
      <w:r>
        <w:rPr>
          <w:rFonts w:hint="eastAsia" w:ascii="仿宋" w:hAnsi="仿宋" w:eastAsia="仿宋" w:cs="仿宋"/>
          <w:b w:val="0"/>
          <w:bCs w:val="0"/>
          <w:sz w:val="24"/>
          <w:szCs w:val="24"/>
          <w:lang w:val="en-US" w:eastAsia="zh-CN"/>
        </w:rPr>
        <w:t xml:space="preserve">货物运输符合的相关国际惯例，试剂、耗材运达所产生的费用由投标人负责。 </w:t>
      </w:r>
    </w:p>
    <w:p w14:paraId="09ECD476">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运输途中的货物破损及损失风险由投标人承担，投标人承担运费。投标人应具有 </w:t>
      </w:r>
    </w:p>
    <w:p w14:paraId="1E7DFB8B">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与本次招标的供货规模和范围相适应的场地、标的货物供应保障、专业运输仓储 </w:t>
      </w:r>
    </w:p>
    <w:p w14:paraId="32AAB4D0">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设施设备。投标人需按照本项目需求提供拟定配送方案（配送方案应包括但不限 </w:t>
      </w:r>
    </w:p>
    <w:p w14:paraId="26FE4A64">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于响应时间、运输仓储条件等）、应急预案（投标人应制定应急预案以应对本项 </w:t>
      </w:r>
    </w:p>
    <w:p w14:paraId="08ACEB8E">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目采购的试剂耗材储运过程中发生的异常情况，保证试剂耗材安全、准确、及时 </w:t>
      </w:r>
    </w:p>
    <w:p w14:paraId="0234B1FB">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b w:val="0"/>
          <w:bCs w:val="0"/>
          <w:sz w:val="24"/>
          <w:szCs w:val="24"/>
          <w:lang w:val="en-US" w:eastAsia="zh-CN"/>
        </w:rPr>
        <w:t>送达）；</w:t>
      </w:r>
      <w:r>
        <w:rPr>
          <w:rFonts w:hint="eastAsia" w:ascii="仿宋" w:hAnsi="仿宋" w:eastAsia="仿宋" w:cs="仿宋"/>
          <w:lang w:val="en-US" w:eastAsia="zh-CN"/>
        </w:rPr>
        <w:t xml:space="preserve"> </w:t>
      </w:r>
    </w:p>
    <w:p w14:paraId="121E97AB">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lang w:val="en-US" w:eastAsia="zh-CN"/>
        </w:rPr>
        <w:t xml:space="preserve">2.2 </w:t>
      </w:r>
      <w:r>
        <w:rPr>
          <w:rFonts w:hint="eastAsia" w:ascii="仿宋" w:hAnsi="仿宋" w:eastAsia="仿宋" w:cs="仿宋"/>
          <w:b w:val="0"/>
          <w:bCs w:val="0"/>
          <w:sz w:val="24"/>
          <w:szCs w:val="24"/>
          <w:lang w:val="en-US" w:eastAsia="zh-CN"/>
        </w:rPr>
        <w:t xml:space="preserve">运送本项目试剂耗材的车辆应使用专用封闭厢式货车，并针对运输试剂耗材 </w:t>
      </w:r>
    </w:p>
    <w:p w14:paraId="4E1BCAFE">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的包装条件及道路、天气状况采取相应措施，防止对试剂耗材质量造成影响。对 </w:t>
      </w:r>
    </w:p>
    <w:p w14:paraId="536D75DF">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有温度要求试剂耗材的运输，应有冷藏或保温的措施，并严格按照《医疗器械冷 </w:t>
      </w:r>
    </w:p>
    <w:p w14:paraId="409F1CDF">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链（运输、贮存）管理指南》（国家食品药品监督管理局【2016】第 154 号） </w:t>
      </w:r>
    </w:p>
    <w:p w14:paraId="72D7398C">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要求进行贮存与运输管理。  </w:t>
      </w:r>
    </w:p>
    <w:p w14:paraId="0BCE6CD9">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3.</w:t>
      </w:r>
      <w:r>
        <w:rPr>
          <w:rFonts w:hint="eastAsia" w:ascii="仿宋" w:hAnsi="仿宋" w:eastAsia="仿宋" w:cs="仿宋"/>
          <w:b w:val="0"/>
          <w:bCs w:val="0"/>
          <w:sz w:val="24"/>
          <w:szCs w:val="24"/>
          <w:lang w:val="en-US" w:eastAsia="zh-CN"/>
        </w:rPr>
        <w:t>售后服务</w:t>
      </w:r>
      <w:r>
        <w:rPr>
          <w:rFonts w:hint="eastAsia" w:ascii="仿宋" w:hAnsi="仿宋" w:eastAsia="仿宋" w:cs="仿宋"/>
          <w:b w:val="0"/>
          <w:bCs w:val="0"/>
          <w:lang w:val="en-US" w:eastAsia="zh-CN"/>
        </w:rPr>
        <w:t xml:space="preserve"> </w:t>
      </w:r>
    </w:p>
    <w:p w14:paraId="792BB63C">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lang w:val="en-US" w:eastAsia="zh-CN"/>
        </w:rPr>
        <w:t xml:space="preserve">3.1 </w:t>
      </w:r>
      <w:r>
        <w:rPr>
          <w:rFonts w:hint="eastAsia" w:ascii="仿宋" w:hAnsi="仿宋" w:eastAsia="仿宋" w:cs="仿宋"/>
          <w:b w:val="0"/>
          <w:bCs w:val="0"/>
          <w:sz w:val="24"/>
          <w:szCs w:val="24"/>
          <w:lang w:val="en-US" w:eastAsia="zh-CN"/>
        </w:rPr>
        <w:t xml:space="preserve">质量保证期：自试剂或耗材验收之日起不少于 12 个月（如技术要求中明确规定了质保年限则以技术要求中规定的质保年限为准），国家标准有要 </w:t>
      </w:r>
    </w:p>
    <w:p w14:paraId="439A9057">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求或产品厂商有更高质保承诺或招标文件中有单独要求的，按更长质保期进行质 </w:t>
      </w:r>
    </w:p>
    <w:p w14:paraId="52C03131">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保。质保期内，免费进行疑难问题解答，对数据分析结果和相关产品进行使用指 </w:t>
      </w:r>
    </w:p>
    <w:p w14:paraId="358236D2">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导，并通过技术人员上门，往来信函、电话、电子邮件，解答采购人在使用中碰到的各种技术问题。 </w:t>
      </w:r>
    </w:p>
    <w:p w14:paraId="68564F67">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lang w:val="en-US" w:eastAsia="zh-CN"/>
        </w:rPr>
        <w:t>3.2</w:t>
      </w:r>
      <w:r>
        <w:rPr>
          <w:rFonts w:hint="eastAsia" w:ascii="仿宋" w:hAnsi="仿宋" w:eastAsia="仿宋" w:cs="仿宋"/>
          <w:b w:val="0"/>
          <w:bCs w:val="0"/>
          <w:sz w:val="24"/>
          <w:szCs w:val="24"/>
          <w:lang w:val="en-US" w:eastAsia="zh-CN"/>
        </w:rPr>
        <w:t xml:space="preserve"> 产品送达后，经验收不合格的，投标人必须在 48 小时内予以更换。在质量 </w:t>
      </w:r>
    </w:p>
    <w:p w14:paraId="46C0D29C">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保证期内，投标人应对由于设计、工艺或者材料的缺陷而发生的任何不足或故障 </w:t>
      </w:r>
    </w:p>
    <w:p w14:paraId="12AC5179">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负责，并承担因此而发生的一切费用。连续出现两次质量问题，采购人有权中止 </w:t>
      </w:r>
    </w:p>
    <w:p w14:paraId="648299A7">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该投标人的供货。  </w:t>
      </w:r>
    </w:p>
    <w:p w14:paraId="16DE3A03">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lang w:val="en-US" w:eastAsia="zh-CN"/>
        </w:rPr>
        <w:t xml:space="preserve">3.3 </w:t>
      </w:r>
      <w:r>
        <w:rPr>
          <w:rFonts w:hint="eastAsia" w:ascii="仿宋" w:hAnsi="仿宋" w:eastAsia="仿宋" w:cs="仿宋"/>
          <w:b w:val="0"/>
          <w:bCs w:val="0"/>
          <w:sz w:val="24"/>
          <w:szCs w:val="24"/>
          <w:lang w:val="en-US" w:eastAsia="zh-CN"/>
        </w:rPr>
        <w:t xml:space="preserve">针对采购人的具体需求及招标文件的有关要求提出质量保证和售后服务方 </w:t>
      </w:r>
    </w:p>
    <w:p w14:paraId="3F532DAD">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案。对于投标人所配送的产品在有效期内出现质量问题时，投标人应在 24 小时 </w:t>
      </w:r>
    </w:p>
    <w:p w14:paraId="3C99DBAF">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内退货，48 小时内更换合格产品，承担由此引发的医疗纠纷中产生的一切费用， </w:t>
      </w:r>
    </w:p>
    <w:p w14:paraId="108C3119">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并出具针对此问题原因的书面分析报告。连续出现两次质量问题，采购人有权中 </w:t>
      </w:r>
    </w:p>
    <w:p w14:paraId="5CF19B8C">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b w:val="0"/>
          <w:bCs w:val="0"/>
          <w:sz w:val="24"/>
          <w:szCs w:val="24"/>
          <w:lang w:val="en-US" w:eastAsia="zh-CN"/>
        </w:rPr>
        <w:t>止该投标人的供货。</w:t>
      </w:r>
      <w:r>
        <w:rPr>
          <w:rFonts w:hint="eastAsia" w:ascii="仿宋" w:hAnsi="仿宋" w:eastAsia="仿宋" w:cs="仿宋"/>
          <w:lang w:val="en-US" w:eastAsia="zh-CN"/>
        </w:rPr>
        <w:t xml:space="preserve"> </w:t>
      </w:r>
    </w:p>
    <w:p w14:paraId="24C37AB0">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lang w:val="en-US" w:eastAsia="zh-CN"/>
        </w:rPr>
        <w:t xml:space="preserve">3.4 </w:t>
      </w:r>
      <w:r>
        <w:rPr>
          <w:rFonts w:hint="eastAsia" w:ascii="仿宋" w:hAnsi="仿宋" w:eastAsia="仿宋" w:cs="仿宋"/>
          <w:b w:val="0"/>
          <w:bCs w:val="0"/>
          <w:sz w:val="24"/>
          <w:szCs w:val="24"/>
          <w:lang w:val="en-US" w:eastAsia="zh-CN"/>
        </w:rPr>
        <w:t xml:space="preserve">投标人应针对本项目组建专有服务团队。服务团队应包括项目负责人 1 人， </w:t>
      </w:r>
    </w:p>
    <w:p w14:paraId="10CC60DE">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具备相关项目服务经验。其他团队人员应根据项目要求配备，包括配送人员，技 </w:t>
      </w:r>
    </w:p>
    <w:p w14:paraId="296D80E9">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术支持人员，商务人员等。 </w:t>
      </w:r>
    </w:p>
    <w:p w14:paraId="40641AB6">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lang w:val="en-US" w:eastAsia="zh-CN"/>
        </w:rPr>
        <w:t>3.5</w:t>
      </w:r>
      <w:r>
        <w:rPr>
          <w:rFonts w:hint="eastAsia" w:ascii="仿宋" w:hAnsi="仿宋" w:eastAsia="仿宋" w:cs="仿宋"/>
          <w:b w:val="0"/>
          <w:bCs w:val="0"/>
          <w:sz w:val="24"/>
          <w:szCs w:val="24"/>
          <w:lang w:val="en-US" w:eastAsia="zh-CN"/>
        </w:rPr>
        <w:t xml:space="preserve"> 对于投标人所配送的产品由于非采购人原因的，如国家政策变化或产品本身 </w:t>
      </w:r>
    </w:p>
    <w:p w14:paraId="6F4C5ADC">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质量原因或被国家禁用不允许使用的产品，投标人应给予无条件退货。 </w:t>
      </w:r>
    </w:p>
    <w:p w14:paraId="3F737714">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lang w:val="en-US" w:eastAsia="zh-CN"/>
        </w:rPr>
        <w:t xml:space="preserve">3.6 </w:t>
      </w:r>
      <w:r>
        <w:rPr>
          <w:rFonts w:hint="eastAsia" w:ascii="仿宋" w:hAnsi="仿宋" w:eastAsia="仿宋" w:cs="仿宋"/>
          <w:b w:val="0"/>
          <w:bCs w:val="0"/>
          <w:sz w:val="24"/>
          <w:szCs w:val="24"/>
          <w:lang w:val="en-US" w:eastAsia="zh-CN"/>
        </w:rPr>
        <w:t>投标人应对所配送的产品在包装未拆封情况下提供无条件退货服务。</w:t>
      </w:r>
    </w:p>
    <w:p w14:paraId="3E384EB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br w:type="page"/>
      </w:r>
      <w:bookmarkEnd w:id="37"/>
    </w:p>
    <w:p w14:paraId="6E16409D">
      <w:pPr>
        <w:pStyle w:val="21"/>
        <w:rPr>
          <w:rFonts w:hint="eastAsia" w:ascii="仿宋" w:hAnsi="仿宋" w:eastAsia="仿宋" w:cs="仿宋"/>
          <w:highlight w:val="none"/>
          <w:lang w:val="en-US" w:eastAsia="zh-CN"/>
        </w:rPr>
      </w:pPr>
    </w:p>
    <w:p w14:paraId="67C27353">
      <w:pPr>
        <w:pStyle w:val="3"/>
        <w:numPr>
          <w:ilvl w:val="0"/>
          <w:numId w:val="1"/>
        </w:numPr>
        <w:bidi w:val="0"/>
        <w:jc w:val="center"/>
        <w:rPr>
          <w:rFonts w:hint="eastAsia" w:ascii="仿宋" w:hAnsi="仿宋" w:eastAsia="仿宋" w:cs="仿宋"/>
          <w:sz w:val="32"/>
          <w:szCs w:val="32"/>
          <w:highlight w:val="none"/>
          <w:lang w:val="en-US" w:eastAsia="zh-CN"/>
        </w:rPr>
      </w:pPr>
      <w:bookmarkStart w:id="38" w:name="_Toc21893"/>
      <w:r>
        <w:rPr>
          <w:rFonts w:hint="eastAsia" w:ascii="仿宋" w:hAnsi="仿宋" w:eastAsia="仿宋" w:cs="仿宋"/>
          <w:sz w:val="32"/>
          <w:szCs w:val="32"/>
          <w:highlight w:val="none"/>
          <w:lang w:val="en-US" w:eastAsia="zh-CN"/>
        </w:rPr>
        <w:t>评标程序、评标方法和评标标准</w:t>
      </w:r>
      <w:bookmarkEnd w:id="38"/>
    </w:p>
    <w:p w14:paraId="06B8622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p>
    <w:p w14:paraId="0358FCA3">
      <w:pPr>
        <w:keepNext w:val="0"/>
        <w:keepLines w:val="0"/>
        <w:pageBreakBefore w:val="0"/>
        <w:widowControl w:val="0"/>
        <w:numPr>
          <w:ilvl w:val="0"/>
          <w:numId w:val="10"/>
        </w:numPr>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lang w:val="en-US" w:eastAsia="zh-CN"/>
        </w:rPr>
      </w:pPr>
      <w:bookmarkStart w:id="39" w:name="_Toc27440"/>
      <w:r>
        <w:rPr>
          <w:rFonts w:hint="eastAsia" w:ascii="仿宋" w:hAnsi="仿宋" w:eastAsia="仿宋" w:cs="仿宋"/>
          <w:b/>
          <w:bCs/>
          <w:sz w:val="24"/>
          <w:szCs w:val="24"/>
          <w:highlight w:val="none"/>
          <w:lang w:val="en-US" w:eastAsia="zh-CN"/>
        </w:rPr>
        <w:t>评标方法</w:t>
      </w:r>
      <w:bookmarkEnd w:id="39"/>
      <w:r>
        <w:rPr>
          <w:rFonts w:hint="eastAsia" w:ascii="仿宋" w:hAnsi="仿宋" w:eastAsia="仿宋" w:cs="仿宋"/>
          <w:b/>
          <w:bCs/>
          <w:sz w:val="24"/>
          <w:szCs w:val="24"/>
          <w:highlight w:val="none"/>
          <w:lang w:val="en-US" w:eastAsia="zh-CN"/>
        </w:rPr>
        <w:t xml:space="preserve"> </w:t>
      </w:r>
    </w:p>
    <w:p w14:paraId="059EB67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本项目采用综合评分法，是指投标文件满足招标文件全部实质性要求，且按照评审因素的量化指标评审得分最高的投标人为中标候选人的评标方法。</w:t>
      </w:r>
    </w:p>
    <w:p w14:paraId="622001EA">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highlight w:val="none"/>
          <w:lang w:val="en-US" w:eastAsia="zh-CN"/>
        </w:rPr>
      </w:pPr>
      <w:bookmarkStart w:id="40" w:name="_Toc12617"/>
      <w:r>
        <w:rPr>
          <w:rFonts w:hint="eastAsia" w:ascii="仿宋" w:hAnsi="仿宋" w:eastAsia="仿宋" w:cs="仿宋"/>
          <w:b/>
          <w:bCs/>
          <w:sz w:val="24"/>
          <w:szCs w:val="24"/>
          <w:highlight w:val="none"/>
          <w:lang w:val="en-US" w:eastAsia="zh-CN"/>
        </w:rPr>
        <w:t>评标原则</w:t>
      </w:r>
      <w:bookmarkEnd w:id="40"/>
    </w:p>
    <w:p w14:paraId="3AD91B17">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val="0"/>
          <w:bCs w:val="0"/>
          <w:sz w:val="24"/>
          <w:szCs w:val="24"/>
          <w:highlight w:val="none"/>
          <w:lang w:val="en-US" w:eastAsia="zh-CN"/>
        </w:rPr>
        <w:t>评标活动遵循公平、公正、科学和择优的原则，以招标文件和投标文件为评标的基本依据，并按照招标文件规定的评标方法和评标标准进行评标。</w:t>
      </w:r>
    </w:p>
    <w:p w14:paraId="14B47297">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具体评审事项由评标委员会负责，并按招标文件的规定办法进行评审。对招标文件中描述有歧义或前后不一致的地方，评标委员会有权按法律法规的规定进行评判，但对同一条款的评判应适用于每个投标人。</w:t>
      </w:r>
    </w:p>
    <w:p w14:paraId="06952DBF">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highlight w:val="none"/>
          <w:lang w:val="en-US" w:eastAsia="zh-CN"/>
        </w:rPr>
      </w:pPr>
      <w:bookmarkStart w:id="41" w:name="_Toc6046"/>
      <w:r>
        <w:rPr>
          <w:rFonts w:hint="eastAsia" w:ascii="仿宋" w:hAnsi="仿宋" w:eastAsia="仿宋" w:cs="仿宋"/>
          <w:b/>
          <w:bCs/>
          <w:sz w:val="24"/>
          <w:szCs w:val="24"/>
          <w:highlight w:val="none"/>
          <w:lang w:val="en-US" w:eastAsia="zh-CN"/>
        </w:rPr>
        <w:t>资格审查</w:t>
      </w:r>
      <w:bookmarkEnd w:id="41"/>
    </w:p>
    <w:p w14:paraId="45524E6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开标结束后，采购人或采购代理机构将根据《资格审查要求》中的规定，对投标人进行资格审查，以确定投标人是否具备投标资格，并形成资格审查结果。资格性审查中凡有其中任意一项未通过的，评审结果为未通过，未通过资格性审查的投标人按</w:t>
      </w:r>
      <w:r>
        <w:rPr>
          <w:rFonts w:hint="eastAsia" w:ascii="仿宋" w:hAnsi="仿宋" w:eastAsia="仿宋" w:cs="仿宋"/>
          <w:b/>
          <w:bCs/>
          <w:sz w:val="24"/>
          <w:szCs w:val="24"/>
          <w:highlight w:val="none"/>
          <w:lang w:val="en-US" w:eastAsia="zh-CN"/>
        </w:rPr>
        <w:t>无效投标</w:t>
      </w:r>
      <w:r>
        <w:rPr>
          <w:rFonts w:hint="eastAsia" w:ascii="仿宋" w:hAnsi="仿宋" w:eastAsia="仿宋" w:cs="仿宋"/>
          <w:b w:val="0"/>
          <w:bCs w:val="0"/>
          <w:sz w:val="24"/>
          <w:szCs w:val="24"/>
          <w:highlight w:val="none"/>
          <w:lang w:val="en-US" w:eastAsia="zh-CN"/>
        </w:rPr>
        <w:t>处理，不进入符合性审查。资格审查要求如下：</w:t>
      </w:r>
    </w:p>
    <w:p w14:paraId="2248505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资格审查要求</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2484"/>
        <w:gridCol w:w="5228"/>
      </w:tblGrid>
      <w:tr w14:paraId="0144D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14:paraId="1839C8C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序号</w:t>
            </w:r>
          </w:p>
        </w:tc>
        <w:tc>
          <w:tcPr>
            <w:tcW w:w="2484" w:type="dxa"/>
            <w:vAlign w:val="center"/>
          </w:tcPr>
          <w:p w14:paraId="0493082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审查因素</w:t>
            </w:r>
          </w:p>
        </w:tc>
        <w:tc>
          <w:tcPr>
            <w:tcW w:w="5228" w:type="dxa"/>
            <w:vAlign w:val="center"/>
          </w:tcPr>
          <w:p w14:paraId="28536CF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审查内容</w:t>
            </w:r>
          </w:p>
        </w:tc>
      </w:tr>
      <w:tr w14:paraId="0F29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14:paraId="6CE867C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w:t>
            </w:r>
          </w:p>
        </w:tc>
        <w:tc>
          <w:tcPr>
            <w:tcW w:w="2484" w:type="dxa"/>
            <w:vAlign w:val="center"/>
          </w:tcPr>
          <w:p w14:paraId="3A696DE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具有独立承担民事责任的能力</w:t>
            </w:r>
          </w:p>
        </w:tc>
        <w:tc>
          <w:tcPr>
            <w:tcW w:w="5228" w:type="dxa"/>
            <w:vAlign w:val="center"/>
          </w:tcPr>
          <w:p w14:paraId="5FD1767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上述资料须复印件加盖公章）</w:t>
            </w:r>
          </w:p>
          <w:p w14:paraId="2430483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highlight w:val="none"/>
                <w:lang w:val="en-US" w:eastAsia="zh-CN"/>
              </w:rPr>
            </w:pPr>
            <w:r>
              <w:rPr>
                <w:rFonts w:hint="eastAsia" w:ascii="仿宋" w:hAnsi="仿宋" w:eastAsia="仿宋" w:cs="仿宋"/>
                <w:b w:val="0"/>
                <w:bCs w:val="0"/>
                <w:sz w:val="21"/>
                <w:szCs w:val="21"/>
                <w:highlight w:val="none"/>
                <w:vertAlign w:val="baseline"/>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7D68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14:paraId="61EA030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2</w:t>
            </w:r>
          </w:p>
        </w:tc>
        <w:tc>
          <w:tcPr>
            <w:tcW w:w="2484" w:type="dxa"/>
            <w:vAlign w:val="center"/>
          </w:tcPr>
          <w:p w14:paraId="0256752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具有良好的商业信誉和健全的财务会计制度</w:t>
            </w:r>
          </w:p>
        </w:tc>
        <w:tc>
          <w:tcPr>
            <w:tcW w:w="5228" w:type="dxa"/>
            <w:vAlign w:val="center"/>
          </w:tcPr>
          <w:p w14:paraId="2B260DF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须提供本单位上一年度由会计师事务所出具的财务审计报告（当上一年度审计报告未出来时（每年6月前（含）），可提供前一年度审计报告），审计报告须包括资产负债表、利润表、现金流量表、所有者权益变动（如有）及其附注（复印件并加盖本单位公章）。如投标人无法提供上年度审计报告，则需提供开标日前三个月内银行出具的资信证明原件或复印件加盖公章。如投标人注册成立不足三个月的则提供承诺书（自拟）原件。</w:t>
            </w:r>
          </w:p>
        </w:tc>
      </w:tr>
      <w:tr w14:paraId="61D27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14:paraId="5E22A69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3</w:t>
            </w:r>
          </w:p>
        </w:tc>
        <w:tc>
          <w:tcPr>
            <w:tcW w:w="2484" w:type="dxa"/>
            <w:vAlign w:val="center"/>
          </w:tcPr>
          <w:p w14:paraId="7D386BC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具有履行合同所必需的设备和专业技术能力</w:t>
            </w:r>
          </w:p>
        </w:tc>
        <w:tc>
          <w:tcPr>
            <w:tcW w:w="5228" w:type="dxa"/>
            <w:vAlign w:val="center"/>
          </w:tcPr>
          <w:p w14:paraId="79B9ECC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须提供具备履行合同所必需的设备和专业技术能力的书面声明原件</w:t>
            </w:r>
          </w:p>
        </w:tc>
      </w:tr>
      <w:tr w14:paraId="65253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14:paraId="60A31AA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4</w:t>
            </w:r>
          </w:p>
        </w:tc>
        <w:tc>
          <w:tcPr>
            <w:tcW w:w="2484" w:type="dxa"/>
            <w:vAlign w:val="center"/>
          </w:tcPr>
          <w:p w14:paraId="029EEC9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有依法缴纳税收和依法缴纳社会保障资金的记录</w:t>
            </w:r>
          </w:p>
        </w:tc>
        <w:tc>
          <w:tcPr>
            <w:tcW w:w="5228" w:type="dxa"/>
            <w:vAlign w:val="center"/>
          </w:tcPr>
          <w:p w14:paraId="5B5167D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须提供投标文件递交截止日期之前六个月内任何一期的纳税记录（如投标人缴纳的增值税、所得税、印花税等我国现行税种中任意一项即可）或证明文件原件或复印件加盖公章（依法免税的应提供相应文件说明）</w:t>
            </w:r>
          </w:p>
          <w:p w14:paraId="7F30253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2.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tc>
      </w:tr>
      <w:tr w14:paraId="029B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14:paraId="06115CC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5</w:t>
            </w:r>
          </w:p>
        </w:tc>
        <w:tc>
          <w:tcPr>
            <w:tcW w:w="2484" w:type="dxa"/>
            <w:vAlign w:val="center"/>
          </w:tcPr>
          <w:p w14:paraId="22D79CF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参加政府采购活动前三年内，在经营活动中没有重大违法记录</w:t>
            </w:r>
          </w:p>
        </w:tc>
        <w:tc>
          <w:tcPr>
            <w:tcW w:w="5228" w:type="dxa"/>
            <w:vAlign w:val="center"/>
          </w:tcPr>
          <w:p w14:paraId="437426E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须提供声明函原件</w:t>
            </w:r>
          </w:p>
        </w:tc>
      </w:tr>
      <w:tr w14:paraId="2538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14:paraId="7110468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6</w:t>
            </w:r>
          </w:p>
        </w:tc>
        <w:tc>
          <w:tcPr>
            <w:tcW w:w="2484" w:type="dxa"/>
            <w:vAlign w:val="center"/>
          </w:tcPr>
          <w:p w14:paraId="0B97E23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投标人信用记录</w:t>
            </w:r>
          </w:p>
        </w:tc>
        <w:tc>
          <w:tcPr>
            <w:tcW w:w="5228" w:type="dxa"/>
            <w:vAlign w:val="center"/>
          </w:tcPr>
          <w:p w14:paraId="4D52E2D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查询渠道：信用中国网站和中国政府采购网</w:t>
            </w:r>
          </w:p>
          <w:p w14:paraId="59676CF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查询时间：投标截止时间后至资格审查阶段完成；</w:t>
            </w:r>
          </w:p>
          <w:p w14:paraId="29062B1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投标无效。联合体形式投标的，联合体成员存在不良信用记录，视同联合体存在不良信用记录。</w:t>
            </w:r>
          </w:p>
          <w:p w14:paraId="27BB6BA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无须投标人提供，由采购人或采购代理机构查询结果为准。</w:t>
            </w:r>
          </w:p>
        </w:tc>
      </w:tr>
      <w:tr w14:paraId="3711B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14:paraId="5E7FC9B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7</w:t>
            </w:r>
          </w:p>
        </w:tc>
        <w:tc>
          <w:tcPr>
            <w:tcW w:w="2484" w:type="dxa"/>
            <w:vAlign w:val="center"/>
          </w:tcPr>
          <w:p w14:paraId="0108CC1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本项目的特定资格要求</w:t>
            </w:r>
          </w:p>
        </w:tc>
        <w:tc>
          <w:tcPr>
            <w:tcW w:w="5228" w:type="dxa"/>
            <w:vAlign w:val="center"/>
          </w:tcPr>
          <w:p w14:paraId="244A8FC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如投标产品属于医疗器械的，投标人如为代理商，投标人应具有合法的医疗器械经营资格；投标人如为制造商，使用自身生产的产品投标时，投标人应具有合法的医疗器械生产资格；</w:t>
            </w:r>
          </w:p>
          <w:p w14:paraId="3BAA024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投标人如为代理商，如所投产品属第二类医疗器械的应具有《医疗器械经营备案凭证》，属第三类医疗器械的应具有《医疗器械经营许可证》，须提供相关证明文件复印件加盖公章；</w:t>
            </w:r>
          </w:p>
          <w:p w14:paraId="2B8F458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人如为制造商，使用自身生产的产品投标时，如所投产品属第一类医疗器械的应具有《医疗器械生产备案凭证》，属第二类、第三类医疗器械的应具有《医疗器械生产许可证》，须提供相关证明文件复印件加盖公章。本项目接受进口产品投标，对于接受进口产品投标的品目且供应商以进口产品参加投标时，如投标货物非供应商制造，供应商投标时须提供制造商（或其境内总代理的）就本项目所提供的投标品牌产品授权书，授权书中须要注明项目名称、招标编号、货物名称、品牌及型号，授权书格式供应商自行拟定。如是境内总代理提供的产品授权书，供应商还须提供制造商给予境内总代理的正式授权文件的复印件，以证明所供货物来源的可靠性。</w:t>
            </w:r>
          </w:p>
        </w:tc>
      </w:tr>
    </w:tbl>
    <w:p w14:paraId="79AC56B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sz w:val="24"/>
          <w:szCs w:val="24"/>
          <w:highlight w:val="none"/>
          <w:lang w:val="en-US" w:eastAsia="zh-CN"/>
        </w:rPr>
      </w:pPr>
    </w:p>
    <w:p w14:paraId="65F213F2">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highlight w:val="none"/>
          <w:lang w:val="en-US" w:eastAsia="zh-CN"/>
        </w:rPr>
      </w:pPr>
      <w:bookmarkStart w:id="42" w:name="_Toc4337"/>
      <w:r>
        <w:rPr>
          <w:rFonts w:hint="eastAsia" w:ascii="仿宋" w:hAnsi="仿宋" w:eastAsia="仿宋" w:cs="仿宋"/>
          <w:b/>
          <w:bCs/>
          <w:sz w:val="24"/>
          <w:szCs w:val="24"/>
          <w:highlight w:val="none"/>
          <w:lang w:val="en-US" w:eastAsia="zh-CN"/>
        </w:rPr>
        <w:t>符合性审查</w:t>
      </w:r>
      <w:bookmarkEnd w:id="42"/>
    </w:p>
    <w:p w14:paraId="0AD6279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评标委员会对通过资格审查的合格投标人的投标文件进行符合性审查。评标委员会根据《符合性审查要求》中规定的审查因素和审查内容，对投标人的投标文件是否实质上响应招标文件进行符合性审查，并形成符合性审查评审结果。符合性审查中凡有其中任意一项未通过的，评审结果为未通过，未通过符合性审查的投标人按无效投标处理，不进入详细评审。符合性审查要求如下：</w:t>
      </w:r>
    </w:p>
    <w:p w14:paraId="5EA13A1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符合性审查要求</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32"/>
        <w:gridCol w:w="5573"/>
      </w:tblGrid>
      <w:tr w14:paraId="0C3A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016376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序号</w:t>
            </w:r>
          </w:p>
        </w:tc>
        <w:tc>
          <w:tcPr>
            <w:tcW w:w="2132" w:type="dxa"/>
            <w:vAlign w:val="center"/>
          </w:tcPr>
          <w:p w14:paraId="038FF9F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审查因素</w:t>
            </w:r>
          </w:p>
        </w:tc>
        <w:tc>
          <w:tcPr>
            <w:tcW w:w="5573" w:type="dxa"/>
            <w:vAlign w:val="center"/>
          </w:tcPr>
          <w:p w14:paraId="001D050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审查内容</w:t>
            </w:r>
          </w:p>
        </w:tc>
      </w:tr>
      <w:tr w14:paraId="58FCE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A3F8AA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w:t>
            </w:r>
          </w:p>
        </w:tc>
        <w:tc>
          <w:tcPr>
            <w:tcW w:w="2132" w:type="dxa"/>
            <w:vAlign w:val="center"/>
          </w:tcPr>
          <w:p w14:paraId="14BD1B3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授权委托书</w:t>
            </w:r>
          </w:p>
        </w:tc>
        <w:tc>
          <w:tcPr>
            <w:tcW w:w="5573" w:type="dxa"/>
            <w:vAlign w:val="center"/>
          </w:tcPr>
          <w:p w14:paraId="64FABA5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投标文件中由法定代表人签字或盖签名章的，须提供法定代表人身份证明书；投标文件中由授权委托人签字的，须提供法定代表人授权委托书及法定代表人身份证明书。</w:t>
            </w:r>
          </w:p>
        </w:tc>
      </w:tr>
      <w:tr w14:paraId="73672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973AD0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2</w:t>
            </w:r>
          </w:p>
        </w:tc>
        <w:tc>
          <w:tcPr>
            <w:tcW w:w="2132" w:type="dxa"/>
            <w:vAlign w:val="center"/>
          </w:tcPr>
          <w:p w14:paraId="48F117A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投标完整性</w:t>
            </w:r>
          </w:p>
        </w:tc>
        <w:tc>
          <w:tcPr>
            <w:tcW w:w="5573" w:type="dxa"/>
            <w:vAlign w:val="center"/>
          </w:tcPr>
          <w:p w14:paraId="11ACE78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未将一个采购包/标项中的内容拆开投标</w:t>
            </w:r>
          </w:p>
        </w:tc>
      </w:tr>
      <w:tr w14:paraId="16C4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4A02D0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3</w:t>
            </w:r>
          </w:p>
        </w:tc>
        <w:tc>
          <w:tcPr>
            <w:tcW w:w="2132" w:type="dxa"/>
            <w:vAlign w:val="center"/>
          </w:tcPr>
          <w:p w14:paraId="6355393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投标报价</w:t>
            </w:r>
          </w:p>
        </w:tc>
        <w:tc>
          <w:tcPr>
            <w:tcW w:w="5573" w:type="dxa"/>
            <w:vAlign w:val="center"/>
          </w:tcPr>
          <w:p w14:paraId="7C6C3AE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投标报价未超过招标文件中规定的采购品目单价预算金额/单价最高限价或项目/采购包预算金额或者项目/采购包最高限价；</w:t>
            </w:r>
          </w:p>
        </w:tc>
      </w:tr>
      <w:tr w14:paraId="14144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973A1A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4</w:t>
            </w:r>
          </w:p>
        </w:tc>
        <w:tc>
          <w:tcPr>
            <w:tcW w:w="2132" w:type="dxa"/>
            <w:vAlign w:val="center"/>
          </w:tcPr>
          <w:p w14:paraId="176A6A6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报价唯一性</w:t>
            </w:r>
          </w:p>
        </w:tc>
        <w:tc>
          <w:tcPr>
            <w:tcW w:w="5573" w:type="dxa"/>
            <w:vAlign w:val="center"/>
          </w:tcPr>
          <w:p w14:paraId="3415453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投标文件未出现可选择性或可调整的报价（招标文件另有规定的除外）</w:t>
            </w:r>
          </w:p>
        </w:tc>
      </w:tr>
      <w:tr w14:paraId="573D4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283C74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5</w:t>
            </w:r>
          </w:p>
        </w:tc>
        <w:tc>
          <w:tcPr>
            <w:tcW w:w="2132" w:type="dxa"/>
            <w:vAlign w:val="center"/>
          </w:tcPr>
          <w:p w14:paraId="005638F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投标有效期</w:t>
            </w:r>
          </w:p>
        </w:tc>
        <w:tc>
          <w:tcPr>
            <w:tcW w:w="5573" w:type="dxa"/>
            <w:vAlign w:val="center"/>
          </w:tcPr>
          <w:p w14:paraId="36A8418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投标文件中承诺的投标有效期满足招标文件中载明的投标有效期的</w:t>
            </w:r>
          </w:p>
        </w:tc>
      </w:tr>
      <w:tr w14:paraId="5DD9C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5EA976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6</w:t>
            </w:r>
          </w:p>
        </w:tc>
        <w:tc>
          <w:tcPr>
            <w:tcW w:w="2132" w:type="dxa"/>
            <w:vAlign w:val="center"/>
          </w:tcPr>
          <w:p w14:paraId="083C7D4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签署、盖章</w:t>
            </w:r>
          </w:p>
        </w:tc>
        <w:tc>
          <w:tcPr>
            <w:tcW w:w="5573" w:type="dxa"/>
            <w:vAlign w:val="center"/>
          </w:tcPr>
          <w:p w14:paraId="514A165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按照招标文件要求签署、盖章的</w:t>
            </w:r>
          </w:p>
        </w:tc>
      </w:tr>
      <w:tr w14:paraId="4E2F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D805E5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7</w:t>
            </w:r>
          </w:p>
        </w:tc>
        <w:tc>
          <w:tcPr>
            <w:tcW w:w="2132" w:type="dxa"/>
            <w:vAlign w:val="center"/>
          </w:tcPr>
          <w:p w14:paraId="5E051DA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投标保证金</w:t>
            </w:r>
          </w:p>
        </w:tc>
        <w:tc>
          <w:tcPr>
            <w:tcW w:w="5573" w:type="dxa"/>
            <w:vAlign w:val="center"/>
          </w:tcPr>
          <w:p w14:paraId="0DA040C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按照招标文件的规定提交投标保证金</w:t>
            </w:r>
          </w:p>
        </w:tc>
      </w:tr>
      <w:tr w14:paraId="40A76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F1CE28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8</w:t>
            </w:r>
          </w:p>
        </w:tc>
        <w:tc>
          <w:tcPr>
            <w:tcW w:w="2132" w:type="dxa"/>
            <w:vAlign w:val="center"/>
          </w:tcPr>
          <w:p w14:paraId="7160596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报价合理性</w:t>
            </w:r>
          </w:p>
        </w:tc>
        <w:tc>
          <w:tcPr>
            <w:tcW w:w="5573" w:type="dxa"/>
            <w:vAlign w:val="center"/>
          </w:tcPr>
          <w:p w14:paraId="14F46FA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报价合理，或投标人的报价明显低于其他通过符合性审查投标人的报价，有可能影响产品质量或者不能诚信履约的，能够应评标委员会要求在规定时间内证明其报价合理性的</w:t>
            </w:r>
          </w:p>
        </w:tc>
      </w:tr>
      <w:tr w14:paraId="7A58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1E7D39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9</w:t>
            </w:r>
          </w:p>
        </w:tc>
        <w:tc>
          <w:tcPr>
            <w:tcW w:w="2132" w:type="dxa"/>
            <w:vAlign w:val="center"/>
          </w:tcPr>
          <w:p w14:paraId="2C6244F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附加条件</w:t>
            </w:r>
          </w:p>
        </w:tc>
        <w:tc>
          <w:tcPr>
            <w:tcW w:w="5573" w:type="dxa"/>
            <w:vAlign w:val="center"/>
          </w:tcPr>
          <w:p w14:paraId="70031F7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投标文件未含有采购人不能接受的附加条件的</w:t>
            </w:r>
          </w:p>
        </w:tc>
      </w:tr>
      <w:tr w14:paraId="4789D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2437C6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10</w:t>
            </w:r>
          </w:p>
        </w:tc>
        <w:tc>
          <w:tcPr>
            <w:tcW w:w="2132" w:type="dxa"/>
            <w:vAlign w:val="center"/>
          </w:tcPr>
          <w:p w14:paraId="5D3000B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其他</w:t>
            </w:r>
          </w:p>
        </w:tc>
        <w:tc>
          <w:tcPr>
            <w:tcW w:w="5573" w:type="dxa"/>
            <w:vAlign w:val="center"/>
          </w:tcPr>
          <w:p w14:paraId="765CDA6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投标文件中不存在违反国家法律、法规和招标文件规定的其他无效情形</w:t>
            </w:r>
          </w:p>
        </w:tc>
      </w:tr>
    </w:tbl>
    <w:p w14:paraId="1E56899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p>
    <w:p w14:paraId="030925A3">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highlight w:val="none"/>
          <w:lang w:val="en-US" w:eastAsia="zh-CN"/>
        </w:rPr>
      </w:pPr>
      <w:bookmarkStart w:id="43" w:name="_Toc23924"/>
      <w:r>
        <w:rPr>
          <w:rFonts w:hint="eastAsia" w:ascii="仿宋" w:hAnsi="仿宋" w:eastAsia="仿宋" w:cs="仿宋"/>
          <w:b/>
          <w:bCs/>
          <w:sz w:val="24"/>
          <w:szCs w:val="24"/>
          <w:highlight w:val="none"/>
          <w:lang w:val="en-US" w:eastAsia="zh-CN"/>
        </w:rPr>
        <w:t>投标文件有关事项的澄清或者说明</w:t>
      </w:r>
      <w:bookmarkEnd w:id="43"/>
    </w:p>
    <w:p w14:paraId="64E0D283">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评标过程中，评标委员会将以书面形式要求投标人对其投标文件中含义不明确、同类问题表述不一致或者有明显文字和计算错误的内容，作出必要的澄清、说明或者补正。代理机构可根据开标环节记录的授权代表人联系方式电话告知投标人，投标人需登录电子招投标系统，在规定时间内完成澄清（响应），并加盖电子印章。若因投标人联系方式错误未接收短信、未接听电话或超时未进行澄清（响应）造成的不利后果由供应商自行承担。投标人的澄清、说明或者补正不得超出投标文件的范围或者改变投标文件的实质性内容。澄清文件将作为投标文件内容的一部分。</w:t>
      </w:r>
    </w:p>
    <w:p w14:paraId="43E6DAB8">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仿宋" w:hAnsi="仿宋" w:eastAsia="仿宋" w:cs="仿宋"/>
          <w:b/>
          <w:bCs/>
          <w:sz w:val="24"/>
          <w:szCs w:val="24"/>
          <w:highlight w:val="none"/>
          <w:lang w:val="en-US" w:eastAsia="zh-CN"/>
        </w:rPr>
        <w:t>无效投标</w:t>
      </w:r>
      <w:r>
        <w:rPr>
          <w:rFonts w:hint="eastAsia" w:ascii="仿宋" w:hAnsi="仿宋" w:eastAsia="仿宋" w:cs="仿宋"/>
          <w:b w:val="0"/>
          <w:bCs w:val="0"/>
          <w:sz w:val="24"/>
          <w:szCs w:val="24"/>
          <w:highlight w:val="none"/>
          <w:lang w:val="en-US" w:eastAsia="zh-CN"/>
        </w:rPr>
        <w:t>处理。</w:t>
      </w:r>
    </w:p>
    <w:p w14:paraId="59BF0C45">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w:t>
      </w:r>
    </w:p>
    <w:p w14:paraId="7F6BC471">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评标委员会不接受投标人主动提出的澄清、说明或补正。</w:t>
      </w:r>
    </w:p>
    <w:p w14:paraId="16C128F3">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评标委员会对投标人提交的澄清、说明或补正有疑问的，可以要求投标人进一步澄清、说明或补正。</w:t>
      </w:r>
    </w:p>
    <w:p w14:paraId="43E873F1">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对报价的计算错误按以下原则修正：</w:t>
      </w:r>
    </w:p>
    <w:p w14:paraId="41F16F14">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文件中开标一览表内容与投标文件中相应内容不一致的，以开标一览表为准；（电子开评标系统中开标记录（开标一览表）与投标文件中开标一览表（报价表）内容不一致的，以电子开评标系统中开标记录内容为准）</w:t>
      </w:r>
    </w:p>
    <w:p w14:paraId="2560D7EF">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大写金额和小写金额不一致的，以大写金额为准；</w:t>
      </w:r>
    </w:p>
    <w:p w14:paraId="3663A376">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单价金额小数点或者百分比有明显错位的，以开标一览表的总价为准，并修改单价。</w:t>
      </w:r>
    </w:p>
    <w:p w14:paraId="645F5995">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总价金额与按单价汇总金额不一致的，以单价金额计算结果为准。但是单价金额计算结果超过预算金额/最高限价的，对其按</w:t>
      </w:r>
      <w:r>
        <w:rPr>
          <w:rFonts w:hint="eastAsia" w:ascii="仿宋" w:hAnsi="仿宋" w:eastAsia="仿宋" w:cs="仿宋"/>
          <w:b/>
          <w:bCs/>
          <w:sz w:val="24"/>
          <w:szCs w:val="24"/>
          <w:highlight w:val="none"/>
          <w:lang w:val="en-US" w:eastAsia="zh-CN"/>
        </w:rPr>
        <w:t>无效投标</w:t>
      </w:r>
      <w:r>
        <w:rPr>
          <w:rFonts w:hint="eastAsia" w:ascii="仿宋" w:hAnsi="仿宋" w:eastAsia="仿宋" w:cs="仿宋"/>
          <w:b w:val="0"/>
          <w:bCs w:val="0"/>
          <w:sz w:val="24"/>
          <w:szCs w:val="24"/>
          <w:highlight w:val="none"/>
          <w:lang w:val="en-US" w:eastAsia="zh-CN"/>
        </w:rPr>
        <w:t>处理。</w:t>
      </w:r>
    </w:p>
    <w:p w14:paraId="46E0D39F">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若投标客户端上传的电子报价数据（开标一览表中的公布唱标价）与电子投标文件价格不一致的，以电子报价数据（开标一览表中的公布唱标价）为准。 </w:t>
      </w:r>
    </w:p>
    <w:p w14:paraId="33CF99B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注：同时出现两种以上不一致的，按照前款规定的顺序在系统上进行价格澄清。澄清后的价格加盖电子印章确认后产生约束力，但不得超出投标文件的范围或者改变投标文件的实质性内容，投标人不确认的，其</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w:t>
      </w:r>
    </w:p>
    <w:p w14:paraId="23549F7F">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highlight w:val="none"/>
          <w:lang w:val="en-US" w:eastAsia="zh-CN"/>
        </w:rPr>
      </w:pPr>
      <w:bookmarkStart w:id="44" w:name="_Toc22049"/>
      <w:r>
        <w:rPr>
          <w:rFonts w:hint="eastAsia" w:ascii="仿宋" w:hAnsi="仿宋" w:eastAsia="仿宋" w:cs="仿宋"/>
          <w:b/>
          <w:bCs/>
          <w:sz w:val="24"/>
          <w:szCs w:val="24"/>
          <w:highlight w:val="none"/>
          <w:lang w:val="en-US" w:eastAsia="zh-CN"/>
        </w:rPr>
        <w:t>详细评审</w:t>
      </w:r>
      <w:bookmarkEnd w:id="44"/>
    </w:p>
    <w:p w14:paraId="2091592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经资格审查和符合性审查合格的投标文件，评标委员会将根据《详细评审标准》，对其技术部分、商务部分及报价部分作进一步的综合比较和评价。详细评审标准如下：</w:t>
      </w:r>
    </w:p>
    <w:p w14:paraId="235866A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详细评审标准</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994"/>
        <w:gridCol w:w="843"/>
        <w:gridCol w:w="5611"/>
      </w:tblGrid>
      <w:tr w14:paraId="18CA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068" w:type="dxa"/>
            <w:gridSpan w:val="2"/>
            <w:vAlign w:val="center"/>
          </w:tcPr>
          <w:p w14:paraId="217F5372">
            <w:pPr>
              <w:spacing w:line="240" w:lineRule="auto"/>
              <w:ind w:left="0" w:leftChars="0" w:right="638" w:rightChars="304"/>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评分因素</w:t>
            </w:r>
          </w:p>
        </w:tc>
        <w:tc>
          <w:tcPr>
            <w:tcW w:w="843" w:type="dxa"/>
            <w:vAlign w:val="center"/>
          </w:tcPr>
          <w:p w14:paraId="3EF28C5C">
            <w:pPr>
              <w:spacing w:line="240" w:lineRule="auto"/>
              <w:ind w:left="0" w:leftChars="0" w:right="0" w:rightChars="0"/>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分值</w:t>
            </w:r>
          </w:p>
        </w:tc>
        <w:tc>
          <w:tcPr>
            <w:tcW w:w="5611" w:type="dxa"/>
            <w:vAlign w:val="center"/>
          </w:tcPr>
          <w:p w14:paraId="6F87AD2B">
            <w:pPr>
              <w:spacing w:line="240" w:lineRule="auto"/>
              <w:ind w:left="0" w:leftChars="0" w:right="-31" w:rightChars="-15"/>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评分细则</w:t>
            </w:r>
          </w:p>
        </w:tc>
      </w:tr>
      <w:tr w14:paraId="5F1C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2068" w:type="dxa"/>
            <w:gridSpan w:val="2"/>
            <w:vAlign w:val="center"/>
          </w:tcPr>
          <w:p w14:paraId="4C316C7A">
            <w:pPr>
              <w:spacing w:line="240" w:lineRule="auto"/>
              <w:ind w:left="0" w:leftChars="0" w:right="638" w:rightChars="304"/>
              <w:jc w:val="center"/>
              <w:rPr>
                <w:rFonts w:hint="eastAsia" w:ascii="仿宋" w:hAnsi="仿宋" w:eastAsia="仿宋" w:cs="仿宋"/>
                <w:b/>
                <w:bCs w:val="0"/>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分值构成</w:t>
            </w:r>
          </w:p>
        </w:tc>
        <w:tc>
          <w:tcPr>
            <w:tcW w:w="6454" w:type="dxa"/>
            <w:gridSpan w:val="2"/>
            <w:vAlign w:val="center"/>
          </w:tcPr>
          <w:p w14:paraId="4593AA4E">
            <w:pPr>
              <w:spacing w:line="240" w:lineRule="auto"/>
              <w:ind w:left="0" w:leftChars="0" w:right="-31" w:rightChars="-15"/>
              <w:jc w:val="lef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商务部分</w:t>
            </w:r>
            <w:r>
              <w:rPr>
                <w:rFonts w:hint="eastAsia" w:ascii="仿宋" w:hAnsi="仿宋" w:eastAsia="仿宋" w:cs="仿宋"/>
                <w:b w:val="0"/>
                <w:bCs/>
                <w:color w:val="auto"/>
                <w:kern w:val="0"/>
                <w:sz w:val="21"/>
                <w:szCs w:val="21"/>
                <w:highlight w:val="none"/>
                <w:lang w:val="en-US" w:eastAsia="zh-CN"/>
              </w:rPr>
              <w:t>5</w:t>
            </w:r>
            <w:r>
              <w:rPr>
                <w:rFonts w:hint="eastAsia" w:ascii="仿宋" w:hAnsi="仿宋" w:eastAsia="仿宋" w:cs="仿宋"/>
                <w:b w:val="0"/>
                <w:bCs/>
                <w:color w:val="auto"/>
                <w:kern w:val="0"/>
                <w:sz w:val="21"/>
                <w:szCs w:val="21"/>
                <w:highlight w:val="none"/>
              </w:rPr>
              <w:t>.0分</w:t>
            </w:r>
          </w:p>
          <w:p w14:paraId="4AFE25C8">
            <w:pPr>
              <w:spacing w:line="240" w:lineRule="auto"/>
              <w:ind w:left="0" w:leftChars="0" w:right="-31" w:rightChars="-15"/>
              <w:jc w:val="lef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技术部分</w:t>
            </w:r>
            <w:r>
              <w:rPr>
                <w:rFonts w:hint="eastAsia" w:ascii="仿宋" w:hAnsi="仿宋" w:eastAsia="仿宋" w:cs="仿宋"/>
                <w:b w:val="0"/>
                <w:bCs/>
                <w:color w:val="auto"/>
                <w:kern w:val="0"/>
                <w:sz w:val="21"/>
                <w:szCs w:val="21"/>
                <w:highlight w:val="none"/>
                <w:lang w:val="en-US" w:eastAsia="zh-CN"/>
              </w:rPr>
              <w:t>65</w:t>
            </w:r>
            <w:r>
              <w:rPr>
                <w:rFonts w:hint="eastAsia" w:ascii="仿宋" w:hAnsi="仿宋" w:eastAsia="仿宋" w:cs="仿宋"/>
                <w:b w:val="0"/>
                <w:bCs/>
                <w:color w:val="auto"/>
                <w:kern w:val="0"/>
                <w:sz w:val="21"/>
                <w:szCs w:val="21"/>
                <w:highlight w:val="none"/>
              </w:rPr>
              <w:t>.0分</w:t>
            </w:r>
          </w:p>
          <w:p w14:paraId="1FFD7ED4">
            <w:pPr>
              <w:spacing w:line="240" w:lineRule="auto"/>
              <w:ind w:left="0" w:leftChars="0" w:right="-31" w:rightChars="-15"/>
              <w:jc w:val="left"/>
              <w:rPr>
                <w:rFonts w:hint="eastAsia" w:ascii="仿宋" w:hAnsi="仿宋" w:eastAsia="仿宋" w:cs="仿宋"/>
                <w:b/>
                <w:bCs w:val="0"/>
                <w:color w:val="auto"/>
                <w:kern w:val="0"/>
                <w:sz w:val="21"/>
                <w:szCs w:val="21"/>
                <w:highlight w:val="none"/>
              </w:rPr>
            </w:pPr>
            <w:r>
              <w:rPr>
                <w:rFonts w:hint="eastAsia" w:ascii="仿宋" w:hAnsi="仿宋" w:eastAsia="仿宋" w:cs="仿宋"/>
                <w:b w:val="0"/>
                <w:bCs/>
                <w:color w:val="auto"/>
                <w:kern w:val="0"/>
                <w:sz w:val="21"/>
                <w:szCs w:val="21"/>
                <w:highlight w:val="none"/>
              </w:rPr>
              <w:t>报价得分</w:t>
            </w:r>
            <w:r>
              <w:rPr>
                <w:rFonts w:hint="eastAsia" w:ascii="仿宋" w:hAnsi="仿宋" w:eastAsia="仿宋" w:cs="仿宋"/>
                <w:b w:val="0"/>
                <w:bCs/>
                <w:color w:val="auto"/>
                <w:kern w:val="0"/>
                <w:sz w:val="21"/>
                <w:szCs w:val="21"/>
                <w:highlight w:val="none"/>
                <w:lang w:val="en-US" w:eastAsia="zh-CN"/>
              </w:rPr>
              <w:t>3</w:t>
            </w:r>
            <w:r>
              <w:rPr>
                <w:rFonts w:hint="eastAsia" w:ascii="仿宋" w:hAnsi="仿宋" w:eastAsia="仿宋" w:cs="仿宋"/>
                <w:b w:val="0"/>
                <w:bCs/>
                <w:color w:val="auto"/>
                <w:kern w:val="0"/>
                <w:sz w:val="21"/>
                <w:szCs w:val="21"/>
                <w:highlight w:val="none"/>
              </w:rPr>
              <w:t>0.0分</w:t>
            </w:r>
          </w:p>
        </w:tc>
      </w:tr>
      <w:tr w14:paraId="0926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068" w:type="dxa"/>
            <w:gridSpan w:val="2"/>
            <w:vAlign w:val="center"/>
          </w:tcPr>
          <w:p w14:paraId="32E8CD1B">
            <w:pPr>
              <w:pStyle w:val="15"/>
              <w:spacing w:line="240" w:lineRule="auto"/>
              <w:ind w:right="8" w:rightChars="0"/>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lang w:val="en-US" w:eastAsia="zh-CN"/>
              </w:rPr>
              <w:t>报价</w:t>
            </w:r>
            <w:r>
              <w:rPr>
                <w:rFonts w:hint="eastAsia" w:ascii="仿宋" w:hAnsi="仿宋" w:eastAsia="仿宋" w:cs="仿宋"/>
                <w:sz w:val="21"/>
                <w:szCs w:val="21"/>
                <w:highlight w:val="none"/>
                <w:vertAlign w:val="baseline"/>
              </w:rPr>
              <w:t>部分（30 分）</w:t>
            </w:r>
          </w:p>
        </w:tc>
        <w:tc>
          <w:tcPr>
            <w:tcW w:w="843" w:type="dxa"/>
            <w:vAlign w:val="center"/>
          </w:tcPr>
          <w:p w14:paraId="30941764">
            <w:pPr>
              <w:pStyle w:val="15"/>
              <w:spacing w:line="240" w:lineRule="auto"/>
              <w:ind w:right="0" w:rightChars="0"/>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30</w:t>
            </w:r>
          </w:p>
        </w:tc>
        <w:tc>
          <w:tcPr>
            <w:tcW w:w="5611" w:type="dxa"/>
          </w:tcPr>
          <w:p w14:paraId="1619BFD0">
            <w:pPr>
              <w:pStyle w:val="15"/>
              <w:spacing w:line="240" w:lineRule="auto"/>
              <w:ind w:right="-31" w:rightChars="-15"/>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lang w:val="en-US" w:eastAsia="zh-CN"/>
              </w:rPr>
              <w:t>满足招</w:t>
            </w:r>
            <w:r>
              <w:rPr>
                <w:rFonts w:hint="eastAsia" w:ascii="仿宋" w:hAnsi="仿宋" w:eastAsia="仿宋" w:cs="仿宋"/>
                <w:sz w:val="21"/>
                <w:szCs w:val="21"/>
                <w:highlight w:val="none"/>
                <w:vertAlign w:val="baseline"/>
              </w:rPr>
              <w:t>标文件要求且投标价格最低的有效投标报价（即除低于成本报价以外的报价）为评标基准价。其他</w:t>
            </w:r>
            <w:r>
              <w:rPr>
                <w:rFonts w:hint="eastAsia" w:ascii="仿宋" w:hAnsi="仿宋" w:eastAsia="仿宋" w:cs="仿宋"/>
                <w:sz w:val="21"/>
                <w:szCs w:val="21"/>
                <w:highlight w:val="none"/>
                <w:vertAlign w:val="baseline"/>
                <w:lang w:val="en-US" w:eastAsia="zh-CN"/>
              </w:rPr>
              <w:t>投标人</w:t>
            </w:r>
            <w:r>
              <w:rPr>
                <w:rFonts w:hint="eastAsia" w:ascii="仿宋" w:hAnsi="仿宋" w:eastAsia="仿宋" w:cs="仿宋"/>
                <w:sz w:val="21"/>
                <w:szCs w:val="21"/>
                <w:highlight w:val="none"/>
                <w:vertAlign w:val="baseline"/>
              </w:rPr>
              <w:t>的价格分统一按照下列公式计算：</w:t>
            </w:r>
          </w:p>
          <w:p w14:paraId="0DBA7FE5">
            <w:pPr>
              <w:pStyle w:val="15"/>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rPr>
              <w:t>投标报价得分=（评标基准价/投标报价）×</w:t>
            </w:r>
            <w:r>
              <w:rPr>
                <w:rFonts w:hint="eastAsia" w:ascii="仿宋" w:hAnsi="仿宋" w:eastAsia="仿宋" w:cs="仿宋"/>
                <w:sz w:val="21"/>
                <w:szCs w:val="21"/>
                <w:highlight w:val="none"/>
                <w:vertAlign w:val="baseline"/>
                <w:lang w:val="en-US" w:eastAsia="zh-CN"/>
              </w:rPr>
              <w:t>价格满分分值</w:t>
            </w:r>
          </w:p>
        </w:tc>
      </w:tr>
      <w:tr w14:paraId="7A8D3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jc w:val="center"/>
        </w:trPr>
        <w:tc>
          <w:tcPr>
            <w:tcW w:w="1074" w:type="dxa"/>
            <w:tcBorders>
              <w:right w:val="single" w:color="000000" w:sz="4" w:space="0"/>
            </w:tcBorders>
            <w:vAlign w:val="center"/>
          </w:tcPr>
          <w:p w14:paraId="70131A22">
            <w:pPr>
              <w:pStyle w:val="15"/>
              <w:spacing w:line="240" w:lineRule="auto"/>
              <w:ind w:right="-19" w:rightChars="-9"/>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rPr>
              <w:t>商务部分(</w:t>
            </w:r>
            <w:r>
              <w:rPr>
                <w:rFonts w:hint="eastAsia" w:ascii="仿宋" w:hAnsi="仿宋" w:eastAsia="仿宋" w:cs="仿宋"/>
                <w:sz w:val="21"/>
                <w:szCs w:val="21"/>
                <w:highlight w:val="none"/>
                <w:vertAlign w:val="baseline"/>
                <w:lang w:val="en-US" w:eastAsia="zh-CN"/>
              </w:rPr>
              <w:t>5</w:t>
            </w:r>
            <w:r>
              <w:rPr>
                <w:rFonts w:hint="eastAsia" w:ascii="仿宋" w:hAnsi="仿宋" w:eastAsia="仿宋" w:cs="仿宋"/>
                <w:sz w:val="21"/>
                <w:szCs w:val="21"/>
                <w:highlight w:val="none"/>
                <w:vertAlign w:val="baseline"/>
              </w:rPr>
              <w:t>分)</w:t>
            </w:r>
          </w:p>
        </w:tc>
        <w:tc>
          <w:tcPr>
            <w:tcW w:w="994" w:type="dxa"/>
            <w:tcBorders>
              <w:left w:val="single" w:color="000000" w:sz="4" w:space="0"/>
            </w:tcBorders>
            <w:vAlign w:val="center"/>
          </w:tcPr>
          <w:p w14:paraId="6D446C11">
            <w:pPr>
              <w:pStyle w:val="15"/>
              <w:spacing w:line="240" w:lineRule="auto"/>
              <w:ind w:right="31" w:rightChars="15"/>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类似项目业绩</w:t>
            </w:r>
          </w:p>
        </w:tc>
        <w:tc>
          <w:tcPr>
            <w:tcW w:w="843" w:type="dxa"/>
            <w:vAlign w:val="center"/>
          </w:tcPr>
          <w:p w14:paraId="07FDCEF8">
            <w:pPr>
              <w:pStyle w:val="15"/>
              <w:spacing w:line="240" w:lineRule="auto"/>
              <w:ind w:right="0" w:rightChars="0"/>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5</w:t>
            </w:r>
          </w:p>
        </w:tc>
        <w:tc>
          <w:tcPr>
            <w:tcW w:w="5611" w:type="dxa"/>
          </w:tcPr>
          <w:p w14:paraId="3E1E5F07">
            <w:pPr>
              <w:pStyle w:val="15"/>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 xml:space="preserve">投标人自 2022 年 1 月 1 日至投标截止日止（以合同签订 </w:t>
            </w:r>
          </w:p>
          <w:p w14:paraId="61C6A6E3">
            <w:pPr>
              <w:pStyle w:val="15"/>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 xml:space="preserve">合同时间为准）独立承担的类似项目，每提供 1 份有效的 </w:t>
            </w:r>
          </w:p>
          <w:p w14:paraId="4F0361DE">
            <w:pPr>
              <w:pStyle w:val="15"/>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 xml:space="preserve">业绩资料得 1 分，满分 5 分。 </w:t>
            </w:r>
          </w:p>
          <w:p w14:paraId="6E1C04CA">
            <w:pPr>
              <w:pStyle w:val="15"/>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 xml:space="preserve">注：1.须提供业绩合同关键页（含：首页、标的页、合同金 </w:t>
            </w:r>
          </w:p>
          <w:p w14:paraId="7A360BA1">
            <w:pPr>
              <w:pStyle w:val="15"/>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 xml:space="preserve">额页、签字盖章页）。复印件加盖公章，时间以合同签订日 </w:t>
            </w:r>
          </w:p>
          <w:p w14:paraId="10D9BC01">
            <w:pPr>
              <w:pStyle w:val="15"/>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 xml:space="preserve">期为准。不符合上述要求或未按要求提供有效证明文件的业 </w:t>
            </w:r>
          </w:p>
          <w:p w14:paraId="73FABA96">
            <w:pPr>
              <w:pStyle w:val="15"/>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 xml:space="preserve">绩在评审时将不予承认。 </w:t>
            </w:r>
          </w:p>
          <w:p w14:paraId="038EFF33">
            <w:pPr>
              <w:pStyle w:val="15"/>
              <w:spacing w:line="240" w:lineRule="auto"/>
              <w:ind w:right="-31" w:rightChars="-15"/>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lang w:val="en-US" w:eastAsia="zh-CN"/>
              </w:rPr>
              <w:t>2.投标人提供虚假合同的，按虚假投标处理。</w:t>
            </w:r>
          </w:p>
        </w:tc>
      </w:tr>
      <w:tr w14:paraId="4C246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074" w:type="dxa"/>
            <w:vMerge w:val="restart"/>
            <w:tcBorders>
              <w:right w:val="single" w:color="000000" w:sz="4" w:space="0"/>
            </w:tcBorders>
            <w:vAlign w:val="center"/>
          </w:tcPr>
          <w:p w14:paraId="07D57EE4">
            <w:pPr>
              <w:pStyle w:val="15"/>
              <w:spacing w:line="240" w:lineRule="auto"/>
              <w:ind w:right="-19" w:rightChars="-9"/>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技术部分 (</w:t>
            </w:r>
            <w:r>
              <w:rPr>
                <w:rFonts w:hint="eastAsia" w:ascii="仿宋" w:hAnsi="仿宋" w:eastAsia="仿宋" w:cs="仿宋"/>
                <w:sz w:val="21"/>
                <w:szCs w:val="21"/>
                <w:highlight w:val="none"/>
                <w:vertAlign w:val="baseline"/>
                <w:lang w:val="en-US" w:eastAsia="zh-CN"/>
              </w:rPr>
              <w:t>65</w:t>
            </w:r>
            <w:r>
              <w:rPr>
                <w:rFonts w:hint="eastAsia" w:ascii="仿宋" w:hAnsi="仿宋" w:eastAsia="仿宋" w:cs="仿宋"/>
                <w:sz w:val="21"/>
                <w:szCs w:val="21"/>
                <w:highlight w:val="none"/>
                <w:vertAlign w:val="baseline"/>
              </w:rPr>
              <w:t>分)</w:t>
            </w:r>
          </w:p>
        </w:tc>
        <w:tc>
          <w:tcPr>
            <w:tcW w:w="994" w:type="dxa"/>
            <w:tcBorders>
              <w:left w:val="single" w:color="000000" w:sz="4" w:space="0"/>
            </w:tcBorders>
            <w:vAlign w:val="center"/>
          </w:tcPr>
          <w:p w14:paraId="2CFF212A">
            <w:pPr>
              <w:pStyle w:val="15"/>
              <w:spacing w:line="240" w:lineRule="auto"/>
              <w:ind w:right="31" w:rightChars="15"/>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对投标文件技术要求的响应程度</w:t>
            </w:r>
          </w:p>
        </w:tc>
        <w:tc>
          <w:tcPr>
            <w:tcW w:w="843" w:type="dxa"/>
            <w:vAlign w:val="center"/>
          </w:tcPr>
          <w:p w14:paraId="2A11425F">
            <w:pPr>
              <w:pStyle w:val="15"/>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40</w:t>
            </w:r>
          </w:p>
        </w:tc>
        <w:tc>
          <w:tcPr>
            <w:tcW w:w="5611" w:type="dxa"/>
          </w:tcPr>
          <w:p w14:paraId="392EEE8D">
            <w:pPr>
              <w:pStyle w:val="15"/>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 xml:space="preserve">根据投标人对招标文件采购需求中“一、需求一览表及技术 </w:t>
            </w:r>
          </w:p>
          <w:p w14:paraId="6ADC0835">
            <w:pPr>
              <w:pStyle w:val="15"/>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 xml:space="preserve">要求”的质量技术参数响应情况进行评分。 </w:t>
            </w:r>
          </w:p>
          <w:p w14:paraId="5E05FD04">
            <w:pPr>
              <w:pStyle w:val="15"/>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完全响应招标文件要求得满分 40 分；每有一项负偏离或缺漏项扣2分，扣完为止。</w:t>
            </w:r>
          </w:p>
          <w:p w14:paraId="705F8F9D">
            <w:pPr>
              <w:pStyle w:val="15"/>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 xml:space="preserve">注：投标人须对本招标文件技术要求进行点对点应答，必须 </w:t>
            </w:r>
          </w:p>
          <w:p w14:paraId="25C64741">
            <w:pPr>
              <w:pStyle w:val="15"/>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 xml:space="preserve">在引用本采购文件的基础上,进行逐条逐项答复、说明和解 </w:t>
            </w:r>
          </w:p>
          <w:p w14:paraId="380A2B54">
            <w:pPr>
              <w:pStyle w:val="15"/>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 xml:space="preserve">释,特别对有具体参数要求的指标，投标人必须提供所投货 </w:t>
            </w:r>
          </w:p>
          <w:p w14:paraId="1E2E3CDF">
            <w:pPr>
              <w:pStyle w:val="15"/>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物的具体参数值。</w:t>
            </w:r>
          </w:p>
        </w:tc>
      </w:tr>
      <w:tr w14:paraId="22569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1074" w:type="dxa"/>
            <w:vMerge w:val="continue"/>
            <w:tcBorders>
              <w:right w:val="single" w:color="000000" w:sz="4" w:space="0"/>
            </w:tcBorders>
            <w:vAlign w:val="center"/>
          </w:tcPr>
          <w:p w14:paraId="16A2808A">
            <w:pPr>
              <w:pStyle w:val="15"/>
              <w:spacing w:line="240" w:lineRule="auto"/>
              <w:ind w:right="638" w:rightChars="304"/>
              <w:jc w:val="center"/>
              <w:rPr>
                <w:rFonts w:hint="eastAsia" w:ascii="仿宋" w:hAnsi="仿宋" w:eastAsia="仿宋" w:cs="仿宋"/>
                <w:sz w:val="21"/>
                <w:szCs w:val="21"/>
                <w:highlight w:val="none"/>
                <w:vertAlign w:val="baseline"/>
              </w:rPr>
            </w:pPr>
          </w:p>
        </w:tc>
        <w:tc>
          <w:tcPr>
            <w:tcW w:w="994" w:type="dxa"/>
            <w:tcBorders>
              <w:left w:val="single" w:color="000000" w:sz="4" w:space="0"/>
            </w:tcBorders>
            <w:vAlign w:val="center"/>
          </w:tcPr>
          <w:p w14:paraId="5B0B1157">
            <w:pPr>
              <w:pStyle w:val="15"/>
              <w:spacing w:line="240" w:lineRule="auto"/>
              <w:ind w:right="31" w:rightChars="15"/>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 xml:space="preserve">质量要 </w:t>
            </w:r>
          </w:p>
          <w:p w14:paraId="778C38F6">
            <w:pPr>
              <w:pStyle w:val="15"/>
              <w:spacing w:line="240" w:lineRule="auto"/>
              <w:ind w:right="31" w:rightChars="15"/>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vertAlign w:val="baseline"/>
                <w:lang w:val="en-US" w:eastAsia="zh-CN"/>
              </w:rPr>
              <w:t>求</w:t>
            </w:r>
          </w:p>
        </w:tc>
        <w:tc>
          <w:tcPr>
            <w:tcW w:w="843" w:type="dxa"/>
            <w:vAlign w:val="center"/>
          </w:tcPr>
          <w:p w14:paraId="7F107DBF">
            <w:pPr>
              <w:pStyle w:val="15"/>
              <w:spacing w:line="240" w:lineRule="auto"/>
              <w:ind w:right="0" w:rightChars="0"/>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vertAlign w:val="baseline"/>
                <w:lang w:val="en-US" w:eastAsia="zh-CN"/>
              </w:rPr>
              <w:t>4</w:t>
            </w:r>
          </w:p>
        </w:tc>
        <w:tc>
          <w:tcPr>
            <w:tcW w:w="5611" w:type="dxa"/>
            <w:vAlign w:val="top"/>
          </w:tcPr>
          <w:p w14:paraId="46D83217">
            <w:pPr>
              <w:pStyle w:val="15"/>
              <w:spacing w:line="240" w:lineRule="auto"/>
              <w:ind w:right="-31" w:rightChars="-15"/>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 xml:space="preserve">根据投标人按照招标文件采购需求中“三、其他技术要求-1. </w:t>
            </w:r>
          </w:p>
          <w:p w14:paraId="387F5D78">
            <w:pPr>
              <w:pStyle w:val="15"/>
              <w:spacing w:line="240" w:lineRule="auto"/>
              <w:ind w:right="-31" w:rightChars="-15"/>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 xml:space="preserve">质量要求”逐条响应情况进行打分。 </w:t>
            </w:r>
          </w:p>
          <w:p w14:paraId="4D7B2388">
            <w:pPr>
              <w:pStyle w:val="15"/>
              <w:spacing w:line="240" w:lineRule="auto"/>
              <w:ind w:right="-31" w:rightChars="-15"/>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 xml:space="preserve">完全响应招标文件要求得满分 4 分； </w:t>
            </w:r>
          </w:p>
          <w:p w14:paraId="4AD6ABE1">
            <w:pPr>
              <w:pStyle w:val="15"/>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vertAlign w:val="baseline"/>
                <w:lang w:val="en-US" w:eastAsia="zh-CN"/>
              </w:rPr>
              <w:t>有 1 项条款负偏离，扣 1 分；</w:t>
            </w:r>
          </w:p>
        </w:tc>
      </w:tr>
      <w:tr w14:paraId="3605E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74" w:type="dxa"/>
            <w:vMerge w:val="continue"/>
            <w:tcBorders>
              <w:right w:val="single" w:color="000000" w:sz="4" w:space="0"/>
            </w:tcBorders>
            <w:vAlign w:val="center"/>
          </w:tcPr>
          <w:p w14:paraId="0ADD0B8A">
            <w:pPr>
              <w:pStyle w:val="15"/>
              <w:spacing w:line="240" w:lineRule="auto"/>
              <w:ind w:right="638" w:rightChars="304"/>
              <w:jc w:val="center"/>
              <w:rPr>
                <w:rFonts w:hint="eastAsia" w:ascii="仿宋" w:hAnsi="仿宋" w:eastAsia="仿宋" w:cs="仿宋"/>
                <w:sz w:val="21"/>
                <w:szCs w:val="21"/>
                <w:highlight w:val="none"/>
                <w:vertAlign w:val="baseline"/>
              </w:rPr>
            </w:pPr>
          </w:p>
        </w:tc>
        <w:tc>
          <w:tcPr>
            <w:tcW w:w="994" w:type="dxa"/>
            <w:tcBorders>
              <w:left w:val="single" w:color="000000" w:sz="4" w:space="0"/>
            </w:tcBorders>
            <w:vAlign w:val="center"/>
          </w:tcPr>
          <w:p w14:paraId="798630D3">
            <w:pPr>
              <w:pStyle w:val="15"/>
              <w:spacing w:line="240" w:lineRule="auto"/>
              <w:ind w:right="31" w:rightChars="15"/>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vertAlign w:val="baseline"/>
              </w:rPr>
              <w:t>售后服务方案</w:t>
            </w:r>
          </w:p>
        </w:tc>
        <w:tc>
          <w:tcPr>
            <w:tcW w:w="843" w:type="dxa"/>
            <w:vAlign w:val="center"/>
          </w:tcPr>
          <w:p w14:paraId="53C339BF">
            <w:pPr>
              <w:pStyle w:val="15"/>
              <w:spacing w:line="240" w:lineRule="auto"/>
              <w:ind w:right="0" w:rightChars="0"/>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vertAlign w:val="baseline"/>
                <w:lang w:val="en-US" w:eastAsia="zh-CN"/>
              </w:rPr>
              <w:t>8</w:t>
            </w:r>
          </w:p>
        </w:tc>
        <w:tc>
          <w:tcPr>
            <w:tcW w:w="5611" w:type="dxa"/>
            <w:vAlign w:val="top"/>
          </w:tcPr>
          <w:p w14:paraId="666D5611">
            <w:pPr>
              <w:pStyle w:val="15"/>
              <w:ind w:right="-31" w:rightChars="-15"/>
              <w:jc w:val="left"/>
              <w:rPr>
                <w:rFonts w:hint="eastAsia" w:ascii="仿宋" w:hAnsi="仿宋" w:eastAsia="仿宋" w:cs="仿宋"/>
                <w:kern w:val="0"/>
                <w:sz w:val="22"/>
                <w:szCs w:val="22"/>
                <w:highlight w:val="none"/>
                <w:vertAlign w:val="baseline"/>
                <w:lang w:val="en-US" w:eastAsia="zh-CN" w:bidi="zh-CN"/>
              </w:rPr>
            </w:pPr>
            <w:r>
              <w:rPr>
                <w:rFonts w:hint="eastAsia" w:ascii="仿宋" w:hAnsi="仿宋" w:eastAsia="仿宋" w:cs="仿宋"/>
                <w:sz w:val="21"/>
                <w:szCs w:val="21"/>
                <w:vertAlign w:val="baseline"/>
                <w:lang w:val="en-US" w:eastAsia="zh-CN"/>
              </w:rPr>
              <w:t>对投标人提供的售后服务方案，包括但不限于：售后服务内容、服务方式、售后负责人员及其他资源保障等，</w:t>
            </w:r>
            <w:r>
              <w:rPr>
                <w:rFonts w:hint="eastAsia" w:ascii="仿宋" w:hAnsi="仿宋" w:eastAsia="仿宋" w:cs="仿宋"/>
                <w:kern w:val="0"/>
                <w:sz w:val="22"/>
                <w:szCs w:val="22"/>
                <w:highlight w:val="none"/>
                <w:vertAlign w:val="baseline"/>
                <w:lang w:val="en-US" w:eastAsia="zh-CN" w:bidi="zh-CN"/>
              </w:rPr>
              <w:t>以上4项内容无缺项、无漏项且无缺陷的得8分，其中每有一项内容存在缺项或漏项的扣2分，每有一处存在缺陷的扣1分，该项分值扣完为止，未提供不得分。</w:t>
            </w:r>
          </w:p>
          <w:p w14:paraId="1863746C">
            <w:pPr>
              <w:pStyle w:val="15"/>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kern w:val="0"/>
                <w:sz w:val="22"/>
                <w:szCs w:val="22"/>
                <w:highlight w:val="none"/>
                <w:vertAlign w:val="baseline"/>
                <w:lang w:val="en-US" w:eastAsia="zh-CN" w:bidi="zh-CN"/>
              </w:rPr>
              <w:t>说明：本项目“缺陷”是指：方案内容不清晰或交叉混乱；方案与实际情况不匹配；引用科学原理错误；引用的法律法规、标准（方法）或其他规范性文件错误。</w:t>
            </w:r>
          </w:p>
        </w:tc>
      </w:tr>
      <w:tr w14:paraId="110CF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74" w:type="dxa"/>
            <w:vMerge w:val="continue"/>
            <w:tcBorders>
              <w:right w:val="single" w:color="000000" w:sz="4" w:space="0"/>
            </w:tcBorders>
            <w:vAlign w:val="center"/>
          </w:tcPr>
          <w:p w14:paraId="00990ED2">
            <w:pPr>
              <w:pStyle w:val="15"/>
              <w:spacing w:line="240" w:lineRule="auto"/>
              <w:ind w:right="31" w:rightChars="15"/>
              <w:jc w:val="center"/>
              <w:rPr>
                <w:rFonts w:hint="eastAsia" w:ascii="仿宋" w:hAnsi="仿宋" w:eastAsia="仿宋" w:cs="仿宋"/>
              </w:rPr>
            </w:pPr>
          </w:p>
        </w:tc>
        <w:tc>
          <w:tcPr>
            <w:tcW w:w="994" w:type="dxa"/>
            <w:tcBorders>
              <w:left w:val="single" w:color="000000" w:sz="4" w:space="0"/>
            </w:tcBorders>
            <w:vAlign w:val="center"/>
          </w:tcPr>
          <w:p w14:paraId="42FA91FD">
            <w:pPr>
              <w:pStyle w:val="15"/>
              <w:spacing w:line="240" w:lineRule="auto"/>
              <w:ind w:right="31" w:rightChars="15"/>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vertAlign w:val="baseline"/>
                <w:lang w:val="en-US" w:eastAsia="zh-CN"/>
              </w:rPr>
              <w:t>供货方案</w:t>
            </w:r>
          </w:p>
        </w:tc>
        <w:tc>
          <w:tcPr>
            <w:tcW w:w="843" w:type="dxa"/>
            <w:vAlign w:val="center"/>
          </w:tcPr>
          <w:p w14:paraId="789DB098">
            <w:pPr>
              <w:pStyle w:val="15"/>
              <w:spacing w:line="240" w:lineRule="auto"/>
              <w:ind w:right="0" w:rightChars="0"/>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vertAlign w:val="baseline"/>
                <w:lang w:val="en-US" w:eastAsia="zh-CN"/>
              </w:rPr>
              <w:t>10</w:t>
            </w:r>
          </w:p>
        </w:tc>
        <w:tc>
          <w:tcPr>
            <w:tcW w:w="5611" w:type="dxa"/>
            <w:vAlign w:val="top"/>
          </w:tcPr>
          <w:p w14:paraId="65FE179B">
            <w:pPr>
              <w:pStyle w:val="15"/>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对投标人提供的供货方案，包括时间安排、运输组织、保障供货的措施等进行评价。</w:t>
            </w:r>
          </w:p>
          <w:p w14:paraId="64CAC9D9">
            <w:pPr>
              <w:pStyle w:val="15"/>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1、有交货方案的，得1分；</w:t>
            </w:r>
          </w:p>
          <w:p w14:paraId="10463CAA">
            <w:pPr>
              <w:pStyle w:val="15"/>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2、交货方案明确总负责人和交验负责人的，得1分，负责人信息应当包含姓名、职务、联系方式、劳务合同，提供的信息不全或缺少1人不得分； </w:t>
            </w:r>
          </w:p>
          <w:p w14:paraId="12277E5F">
            <w:pPr>
              <w:pStyle w:val="15"/>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3、交货方案包括时间进度计划表、进货计划、运输和交验方案的，分别得1 分，总分3分； </w:t>
            </w:r>
          </w:p>
          <w:p w14:paraId="143433E1">
            <w:pPr>
              <w:pStyle w:val="15"/>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4、交货方案包括生产制作、运输、存储等环节安全保护措施的，得2分；有缺项的，得1分；无安全保护措施的，不得分； </w:t>
            </w:r>
          </w:p>
          <w:p w14:paraId="32544C69">
            <w:pPr>
              <w:pStyle w:val="15"/>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5、时间进度表包含进货、运输、供货、交验等过程的，得1分；有缺项的，不得分； </w:t>
            </w:r>
          </w:p>
          <w:p w14:paraId="3B565170">
            <w:pPr>
              <w:pStyle w:val="15"/>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6、运输和交验方案包含具体实施人员及联系方式、运输路线、交验的，得1分；有缺项的，不得分。</w:t>
            </w:r>
          </w:p>
          <w:p w14:paraId="275CB910">
            <w:pPr>
              <w:pStyle w:val="15"/>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vertAlign w:val="baseline"/>
                <w:lang w:val="en-US" w:eastAsia="zh-CN"/>
              </w:rPr>
              <w:t>7、货物出现紧缺时，有行之有效的应急供货保障方案的得1分，未提供或不具备操作性的不得分。</w:t>
            </w:r>
          </w:p>
        </w:tc>
      </w:tr>
      <w:tr w14:paraId="175F4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74" w:type="dxa"/>
            <w:vMerge w:val="continue"/>
            <w:tcBorders>
              <w:right w:val="single" w:color="000000" w:sz="4" w:space="0"/>
            </w:tcBorders>
            <w:vAlign w:val="center"/>
          </w:tcPr>
          <w:p w14:paraId="73D8CF6C">
            <w:pPr>
              <w:pStyle w:val="15"/>
              <w:spacing w:line="240" w:lineRule="auto"/>
              <w:ind w:right="31" w:rightChars="15"/>
              <w:jc w:val="center"/>
              <w:rPr>
                <w:rFonts w:hint="eastAsia" w:ascii="仿宋" w:hAnsi="仿宋" w:eastAsia="仿宋" w:cs="仿宋"/>
                <w:sz w:val="21"/>
                <w:szCs w:val="21"/>
                <w:highlight w:val="none"/>
                <w:vertAlign w:val="baseline"/>
              </w:rPr>
            </w:pPr>
          </w:p>
        </w:tc>
        <w:tc>
          <w:tcPr>
            <w:tcW w:w="994" w:type="dxa"/>
            <w:tcBorders>
              <w:left w:val="single" w:color="000000" w:sz="4" w:space="0"/>
            </w:tcBorders>
            <w:vAlign w:val="center"/>
          </w:tcPr>
          <w:p w14:paraId="6386BE04">
            <w:pPr>
              <w:pStyle w:val="15"/>
              <w:spacing w:line="240" w:lineRule="auto"/>
              <w:ind w:right="31" w:rightChars="15"/>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vertAlign w:val="baseline"/>
                <w:lang w:val="en-US" w:eastAsia="zh-CN"/>
              </w:rPr>
              <w:t>应急预案</w:t>
            </w:r>
          </w:p>
        </w:tc>
        <w:tc>
          <w:tcPr>
            <w:tcW w:w="843" w:type="dxa"/>
            <w:vAlign w:val="center"/>
          </w:tcPr>
          <w:p w14:paraId="67B9DF7A">
            <w:pPr>
              <w:pStyle w:val="15"/>
              <w:spacing w:line="240" w:lineRule="auto"/>
              <w:ind w:right="0" w:rightChars="0"/>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vertAlign w:val="baseline"/>
                <w:lang w:val="en-US" w:eastAsia="zh-CN"/>
              </w:rPr>
              <w:t>3</w:t>
            </w:r>
          </w:p>
        </w:tc>
        <w:tc>
          <w:tcPr>
            <w:tcW w:w="5611" w:type="dxa"/>
            <w:vAlign w:val="top"/>
          </w:tcPr>
          <w:p w14:paraId="2F692FB1">
            <w:pPr>
              <w:pStyle w:val="15"/>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根据投标人提供的应急预案进行打分。 </w:t>
            </w:r>
          </w:p>
          <w:p w14:paraId="18EDC3FD">
            <w:pPr>
              <w:pStyle w:val="15"/>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方案细致合理，贴合技术需求得3分； </w:t>
            </w:r>
          </w:p>
          <w:p w14:paraId="74D57BE9">
            <w:pPr>
              <w:pStyle w:val="15"/>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方案较细致合理，基本贴合技术需求得2分； </w:t>
            </w:r>
          </w:p>
          <w:p w14:paraId="4CD0D537">
            <w:pPr>
              <w:pStyle w:val="15"/>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方案简单，部分贴合技术需求得 1 分； </w:t>
            </w:r>
          </w:p>
          <w:p w14:paraId="0EAE772B">
            <w:pPr>
              <w:pStyle w:val="15"/>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vertAlign w:val="baseline"/>
                <w:lang w:val="en-US" w:eastAsia="zh-CN"/>
              </w:rPr>
              <w:t>未单独提供该方案不得分。</w:t>
            </w:r>
          </w:p>
        </w:tc>
      </w:tr>
    </w:tbl>
    <w:p w14:paraId="097DC41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lang w:val="en-US" w:eastAsia="zh-CN"/>
        </w:rPr>
      </w:pPr>
    </w:p>
    <w:p w14:paraId="470896A6">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评标委员会每位成员独立对每个有效投标人的投标文件进行评价、打分；然后汇总每个投标人的得分，计算得分平均值，以平均值由高到低进行排序，按排序顺序推荐中标候选人。分值计算保留小数点后二位，第三位四舍五入。</w:t>
      </w:r>
    </w:p>
    <w:p w14:paraId="30D78B2F">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落实中小企业政府采购政策的价格调整：</w:t>
      </w:r>
    </w:p>
    <w:p w14:paraId="1994D067">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或《残疾人福利性单位声明函》或省级以上监狱管理局、戒毒管理局（含新疆生产建设兵团）出具的属于监狱企业的证明文件的投标人，其投标报价扣除</w:t>
      </w:r>
      <w:r>
        <w:rPr>
          <w:rFonts w:hint="eastAsia" w:ascii="仿宋" w:hAnsi="仿宋" w:eastAsia="仿宋" w:cs="仿宋"/>
          <w:b w:val="0"/>
          <w:bCs w:val="0"/>
          <w:sz w:val="24"/>
          <w:szCs w:val="24"/>
          <w:highlight w:val="none"/>
          <w:u w:val="single"/>
          <w:lang w:val="en-US" w:eastAsia="zh-CN"/>
        </w:rPr>
        <w:t xml:space="preserve"> 10 % </w:t>
      </w:r>
      <w:r>
        <w:rPr>
          <w:rFonts w:hint="eastAsia" w:ascii="仿宋" w:hAnsi="仿宋" w:eastAsia="仿宋" w:cs="仿宋"/>
          <w:b w:val="0"/>
          <w:bCs w:val="0"/>
          <w:sz w:val="24"/>
          <w:szCs w:val="24"/>
          <w:highlight w:val="none"/>
          <w:lang w:val="en-US" w:eastAsia="zh-CN"/>
        </w:rPr>
        <w:t>后参与评审。对于同时属于小微企业、监狱企业或残疾人福利性单位的，不重复进行投标报价扣除。</w:t>
      </w:r>
    </w:p>
    <w:p w14:paraId="632906E6">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仿宋" w:hAnsi="仿宋" w:eastAsia="仿宋" w:cs="仿宋"/>
          <w:b w:val="0"/>
          <w:bCs w:val="0"/>
          <w:sz w:val="24"/>
          <w:szCs w:val="24"/>
          <w:highlight w:val="none"/>
          <w:u w:val="single"/>
          <w:lang w:val="en-US" w:eastAsia="zh-CN"/>
        </w:rPr>
        <w:t xml:space="preserve"> 30 %</w:t>
      </w:r>
      <w:r>
        <w:rPr>
          <w:rFonts w:hint="eastAsia" w:ascii="仿宋" w:hAnsi="仿宋" w:eastAsia="仿宋" w:cs="仿宋"/>
          <w:b w:val="0"/>
          <w:bCs w:val="0"/>
          <w:sz w:val="24"/>
          <w:szCs w:val="24"/>
          <w:highlight w:val="none"/>
          <w:lang w:val="en-US" w:eastAsia="zh-CN"/>
        </w:rPr>
        <w:t>以上的联合体或者大中型企业的报价给予</w:t>
      </w:r>
      <w:r>
        <w:rPr>
          <w:rFonts w:hint="eastAsia" w:ascii="仿宋" w:hAnsi="仿宋" w:eastAsia="仿宋" w:cs="仿宋"/>
          <w:b w:val="0"/>
          <w:bCs w:val="0"/>
          <w:sz w:val="24"/>
          <w:szCs w:val="24"/>
          <w:highlight w:val="none"/>
          <w:u w:val="single"/>
          <w:lang w:val="en-US" w:eastAsia="zh-CN"/>
        </w:rPr>
        <w:t xml:space="preserve"> 4% </w:t>
      </w:r>
      <w:r>
        <w:rPr>
          <w:rFonts w:hint="eastAsia" w:ascii="仿宋" w:hAnsi="仿宋" w:eastAsia="仿宋" w:cs="仿宋"/>
          <w:b w:val="0"/>
          <w:bCs w:val="0"/>
          <w:sz w:val="24"/>
          <w:szCs w:val="24"/>
          <w:highlight w:val="none"/>
          <w:lang w:val="en-US" w:eastAsia="zh-CN"/>
        </w:rPr>
        <w:t>的扣除，用扣除后的价格参加评审。</w:t>
      </w:r>
    </w:p>
    <w:p w14:paraId="2814E6F0">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组成联合体或者接受分包的小微企业与联合体内其他企业、分包企业之间存在直接控股、管理关系的，不享受价格扣除优惠政策。</w:t>
      </w:r>
    </w:p>
    <w:p w14:paraId="5EE31E1F">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价格扣除比例对小型企业和微型企业同等对待，不作区分。</w:t>
      </w:r>
    </w:p>
    <w:p w14:paraId="6CB745EA">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中小企业参加政府采购活动，应当按照招标文件给定的格式出具《中小企业声明函》，否则不得享受相关中小企业扶持政策。</w:t>
      </w:r>
    </w:p>
    <w:p w14:paraId="37B434AE">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监狱企业提供了由省级以上监狱管理局、戒毒管理局（含新疆生产建设兵团）出具的属于监狱企业的证明文件的，视同小微企业。</w:t>
      </w:r>
    </w:p>
    <w:p w14:paraId="4D3634E0">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残疾人福利性单位按招标文件要求提供了《残疾人福利性单位声明函》（见附件）的，视同小微企业。</w:t>
      </w:r>
    </w:p>
    <w:p w14:paraId="41FA4E6E">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若投标人同时属于小型或微型企业、监狱企业、残疾人福利性单位中的两种及以上，将不重复享受小微企业价格扣减的优惠政策。</w:t>
      </w:r>
    </w:p>
    <w:p w14:paraId="1F98E684">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single"/>
          <w:lang w:val="en-US" w:eastAsia="zh-CN"/>
        </w:rPr>
      </w:pPr>
      <w:r>
        <w:rPr>
          <w:rFonts w:hint="eastAsia" w:ascii="仿宋" w:hAnsi="仿宋" w:eastAsia="仿宋" w:cs="仿宋"/>
          <w:b w:val="0"/>
          <w:bCs w:val="0"/>
          <w:sz w:val="24"/>
          <w:szCs w:val="24"/>
          <w:highlight w:val="none"/>
          <w:lang w:val="en-US" w:eastAsia="zh-CN"/>
        </w:rPr>
        <w:t>投标人所投产品如被列入财政部与国家主管部门颁发的节能产品目录或环境标志产品目录或无线局域网产品目录，应提供相关证明，在评标时予以优先采购，具体优惠措施为：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b w:val="0"/>
          <w:bCs w:val="0"/>
          <w:sz w:val="24"/>
          <w:szCs w:val="24"/>
          <w:highlight w:val="none"/>
          <w:u w:val="single"/>
          <w:lang w:val="en-US" w:eastAsia="zh-CN"/>
        </w:rPr>
        <w:t>综合得分相同时排名优先。</w:t>
      </w:r>
    </w:p>
    <w:p w14:paraId="069EECF7">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single"/>
          <w:lang w:val="en-US" w:eastAsia="zh-CN"/>
        </w:rPr>
      </w:pPr>
      <w:r>
        <w:rPr>
          <w:rFonts w:hint="eastAsia" w:ascii="仿宋" w:hAnsi="仿宋" w:eastAsia="仿宋" w:cs="仿宋"/>
          <w:b w:val="0"/>
          <w:bCs w:val="0"/>
          <w:sz w:val="24"/>
          <w:szCs w:val="24"/>
          <w:highlight w:val="none"/>
          <w:u w:val="none"/>
          <w:lang w:val="en-US" w:eastAsia="zh-CN"/>
        </w:rPr>
        <w:t>如采购人所采购产品为政府强制采购的节能产品，投标人所投产品的品牌及型号必须为清单中有效期内产品并提供证明文件，否则其投标将作为</w:t>
      </w:r>
      <w:r>
        <w:rPr>
          <w:rFonts w:hint="eastAsia" w:ascii="仿宋" w:hAnsi="仿宋" w:eastAsia="仿宋" w:cs="仿宋"/>
          <w:b/>
          <w:bCs/>
          <w:sz w:val="24"/>
          <w:szCs w:val="24"/>
          <w:highlight w:val="none"/>
          <w:u w:val="none"/>
          <w:lang w:val="en-US" w:eastAsia="zh-CN"/>
        </w:rPr>
        <w:t>无效投标</w:t>
      </w:r>
      <w:r>
        <w:rPr>
          <w:rFonts w:hint="eastAsia" w:ascii="仿宋" w:hAnsi="仿宋" w:eastAsia="仿宋" w:cs="仿宋"/>
          <w:b w:val="0"/>
          <w:bCs w:val="0"/>
          <w:sz w:val="24"/>
          <w:szCs w:val="24"/>
          <w:highlight w:val="none"/>
          <w:u w:val="none"/>
          <w:lang w:val="en-US" w:eastAsia="zh-CN"/>
        </w:rPr>
        <w:t>被拒绝。</w:t>
      </w:r>
    </w:p>
    <w:p w14:paraId="60918A19">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投标人所投产品列入无线局域网产品清单，应提供相关证明，在评标时予以优先采购，具体优惠措施为：</w:t>
      </w:r>
      <w:r>
        <w:rPr>
          <w:rFonts w:hint="eastAsia" w:ascii="仿宋" w:hAnsi="仿宋" w:eastAsia="仿宋" w:cs="仿宋"/>
          <w:b w:val="0"/>
          <w:bCs w:val="0"/>
          <w:sz w:val="24"/>
          <w:szCs w:val="24"/>
          <w:highlight w:val="none"/>
          <w:u w:val="single"/>
          <w:lang w:val="en-US" w:eastAsia="zh-CN"/>
        </w:rPr>
        <w:t>综合得分相同时排名优先 。</w:t>
      </w:r>
    </w:p>
    <w:p w14:paraId="43CBDDD4">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同品牌处理办法：</w:t>
      </w:r>
    </w:p>
    <w:p w14:paraId="2FEDAE54">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如采用最低评标办法，则：</w:t>
      </w:r>
      <w:r>
        <w:rPr>
          <w:rFonts w:hint="eastAsia" w:ascii="仿宋" w:hAnsi="仿宋" w:eastAsia="仿宋" w:cs="仿宋"/>
          <w:b w:val="0"/>
          <w:bCs w:val="0"/>
          <w:sz w:val="24"/>
          <w:szCs w:val="24"/>
          <w:highlight w:val="none"/>
          <w:u w:val="single"/>
          <w:lang w:val="en-US" w:eastAsia="zh-CN"/>
        </w:rPr>
        <w:t>提供相同品牌产品（单一产品或核心产品品牌相同）的不同投标人以其中通过资格审查、符合性审查且报价最低的参加评标；报价相同的，由采购人或者采购人委托评标委员会采取随机抽取方式确定，其他同品牌投标人不作为中标候选人。</w:t>
      </w:r>
    </w:p>
    <w:p w14:paraId="7172C791">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如采用综合评标法，则：</w:t>
      </w:r>
      <w:r>
        <w:rPr>
          <w:rFonts w:hint="eastAsia" w:ascii="仿宋" w:hAnsi="仿宋" w:eastAsia="仿宋" w:cs="仿宋"/>
          <w:b w:val="0"/>
          <w:bCs w:val="0"/>
          <w:sz w:val="24"/>
          <w:szCs w:val="24"/>
          <w:highlight w:val="none"/>
          <w:u w:val="single"/>
          <w:lang w:val="en-US" w:eastAsia="zh-CN"/>
        </w:rPr>
        <w:t>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14:paraId="5D66BBB6">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如一个分包内包含多种产品的，采购人或采购代理机构将在</w:t>
      </w:r>
      <w:r>
        <w:rPr>
          <w:rFonts w:hint="eastAsia" w:ascii="仿宋" w:hAnsi="仿宋" w:eastAsia="仿宋" w:cs="仿宋"/>
          <w:b w:val="0"/>
          <w:bCs w:val="0"/>
          <w:sz w:val="24"/>
          <w:szCs w:val="24"/>
          <w:highlight w:val="none"/>
          <w:u w:val="single"/>
          <w:lang w:val="en-US" w:eastAsia="zh-CN"/>
        </w:rPr>
        <w:t>投标人须知前附表</w:t>
      </w:r>
      <w:r>
        <w:rPr>
          <w:rFonts w:hint="eastAsia" w:ascii="仿宋" w:hAnsi="仿宋" w:eastAsia="仿宋" w:cs="仿宋"/>
          <w:b w:val="0"/>
          <w:bCs w:val="0"/>
          <w:sz w:val="24"/>
          <w:szCs w:val="24"/>
          <w:highlight w:val="none"/>
          <w:u w:val="none"/>
          <w:lang w:val="en-US" w:eastAsia="zh-CN"/>
        </w:rPr>
        <w:t xml:space="preserve">中载明核心产品，多家投标人提供的所有核心产品品牌均相同的，按前两条规定处理。 </w:t>
      </w:r>
    </w:p>
    <w:p w14:paraId="1D9D9E6D">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确定中标候选人名单</w:t>
      </w:r>
    </w:p>
    <w:p w14:paraId="7619B624">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17CB912E">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采用最低评标价法的，评标结果按投标报价由低到高顺序排列。投标报价相同的并列。投标文件满足招标文件全部实质性要求且投标报价最低的投标人为排名第一的中标候选人。</w:t>
      </w:r>
    </w:p>
    <w:p w14:paraId="1B46A3BE">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评标委员会要对评分汇总情况进行复核，特别是对排名第一的、报价最低的、投标或响应文件被认定为无效的情形进行重点复核。</w:t>
      </w:r>
    </w:p>
    <w:p w14:paraId="3AF92A04">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评标委员会将根据各投标人的评标排序，依次推荐本项目（各采购包/标项）的中标候选人，起草并签署评标报告。本项目（各采购包/标项）评标委员会共（各）推荐</w:t>
      </w:r>
      <w:r>
        <w:rPr>
          <w:rFonts w:hint="eastAsia" w:ascii="仿宋" w:hAnsi="仿宋" w:eastAsia="仿宋" w:cs="仿宋"/>
          <w:b w:val="0"/>
          <w:bCs w:val="0"/>
          <w:sz w:val="24"/>
          <w:szCs w:val="24"/>
          <w:highlight w:val="none"/>
          <w:u w:val="single"/>
          <w:lang w:val="en-US" w:eastAsia="zh-CN"/>
        </w:rPr>
        <w:t xml:space="preserve"> 1 </w:t>
      </w:r>
      <w:r>
        <w:rPr>
          <w:rFonts w:hint="eastAsia" w:ascii="仿宋" w:hAnsi="仿宋" w:eastAsia="仿宋" w:cs="仿宋"/>
          <w:b w:val="0"/>
          <w:bCs w:val="0"/>
          <w:sz w:val="24"/>
          <w:szCs w:val="24"/>
          <w:highlight w:val="none"/>
          <w:u w:val="none"/>
          <w:lang w:val="en-US" w:eastAsia="zh-CN"/>
        </w:rPr>
        <w:t>名中标候选人。</w:t>
      </w:r>
    </w:p>
    <w:p w14:paraId="454027AB">
      <w:pPr>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br w:type="page"/>
      </w:r>
    </w:p>
    <w:p w14:paraId="1F195053">
      <w:pPr>
        <w:pStyle w:val="3"/>
        <w:numPr>
          <w:ilvl w:val="0"/>
          <w:numId w:val="1"/>
        </w:numPr>
        <w:bidi w:val="0"/>
        <w:jc w:val="center"/>
        <w:rPr>
          <w:rFonts w:hint="eastAsia" w:ascii="仿宋" w:hAnsi="仿宋" w:eastAsia="仿宋" w:cs="仿宋"/>
          <w:sz w:val="32"/>
          <w:szCs w:val="32"/>
          <w:highlight w:val="none"/>
          <w:lang w:val="en-US" w:eastAsia="zh-CN"/>
        </w:rPr>
      </w:pPr>
      <w:bookmarkStart w:id="45" w:name="_Toc31337"/>
      <w:r>
        <w:rPr>
          <w:rFonts w:hint="eastAsia" w:ascii="仿宋" w:hAnsi="仿宋" w:eastAsia="仿宋" w:cs="仿宋"/>
          <w:sz w:val="32"/>
          <w:szCs w:val="32"/>
          <w:highlight w:val="none"/>
          <w:lang w:val="en-US" w:eastAsia="zh-CN"/>
        </w:rPr>
        <w:t>投标文件格式</w:t>
      </w:r>
      <w:bookmarkEnd w:id="45"/>
    </w:p>
    <w:p w14:paraId="499F77A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u w:val="none"/>
          <w:lang w:val="en-US" w:eastAsia="zh-CN"/>
        </w:rPr>
      </w:pPr>
    </w:p>
    <w:p w14:paraId="5A4F4AD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sz w:val="24"/>
          <w:szCs w:val="24"/>
          <w:highlight w:val="none"/>
          <w:u w:val="none"/>
          <w:lang w:val="en-US" w:eastAsia="zh-CN"/>
        </w:rPr>
      </w:pPr>
      <w:r>
        <w:rPr>
          <w:rFonts w:hint="eastAsia" w:ascii="仿宋" w:hAnsi="仿宋" w:eastAsia="仿宋" w:cs="仿宋"/>
          <w:b/>
          <w:bCs/>
          <w:sz w:val="24"/>
          <w:szCs w:val="24"/>
          <w:highlight w:val="none"/>
          <w:u w:val="none"/>
          <w:lang w:val="en-US" w:eastAsia="zh-CN"/>
        </w:rPr>
        <w:t>投标人编制文件须知</w:t>
      </w:r>
    </w:p>
    <w:p w14:paraId="76C93854">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为保证评标工作的顺利进行，各投标人需参照如下的格式，认真进行投标文件的编写工作。需建立详细的目录。</w:t>
      </w:r>
    </w:p>
    <w:p w14:paraId="35A57CF1">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各投标人提交文件中涉及商业机密的，应明确标明，采购人及最终用户将给予保密处理，否则视为公开资料。</w:t>
      </w:r>
    </w:p>
    <w:p w14:paraId="47A21270">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全部声明和问题的回答及所附材料必须是真实的、准确的和完整的。</w:t>
      </w:r>
    </w:p>
    <w:p w14:paraId="5386660B">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本采购文件中所要求加盖的投标人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采购文件规定处加盖个人名章、手签章、印鉴等。</w:t>
      </w:r>
    </w:p>
    <w:p w14:paraId="07843165">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“法定代表人（单位负责人）”指供应商营业执照或登记证书载明的“法定代表人”、“负责人”、“执行事务合伙人”、“投资人”等。</w:t>
      </w:r>
    </w:p>
    <w:p w14:paraId="7BE7ECA6">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以联合体参加的，除采购文件格式中要求外，采购文件要求的供应商盖章处应按加盖联合体协议中约定的联合体牵头人公章或所有联合体成员公章。</w:t>
      </w:r>
    </w:p>
    <w:p w14:paraId="634E47CE">
      <w:pPr>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br w:type="page"/>
      </w:r>
    </w:p>
    <w:p w14:paraId="2A3F93AA">
      <w:pPr>
        <w:keepNext w:val="0"/>
        <w:keepLines w:val="0"/>
        <w:widowControl/>
        <w:suppressLineNumbers w:val="0"/>
        <w:jc w:val="left"/>
        <w:rPr>
          <w:rFonts w:hint="eastAsia" w:ascii="仿宋" w:hAnsi="仿宋" w:eastAsia="仿宋" w:cs="仿宋"/>
          <w:b/>
          <w:bCs/>
          <w:color w:val="000000"/>
          <w:kern w:val="0"/>
          <w:sz w:val="24"/>
          <w:szCs w:val="24"/>
          <w:highlight w:val="none"/>
          <w:lang w:val="en-US" w:eastAsia="zh-CN" w:bidi="ar"/>
        </w:rPr>
      </w:pPr>
    </w:p>
    <w:p w14:paraId="46A2452E">
      <w:pPr>
        <w:keepNext w:val="0"/>
        <w:keepLines w:val="0"/>
        <w:widowControl/>
        <w:suppressLineNumbers w:val="0"/>
        <w:jc w:val="left"/>
        <w:outlineLvl w:val="1"/>
        <w:rPr>
          <w:rFonts w:hint="eastAsia" w:ascii="仿宋" w:hAnsi="仿宋" w:eastAsia="仿宋" w:cs="仿宋"/>
          <w:b/>
          <w:bCs/>
          <w:color w:val="000000"/>
          <w:kern w:val="0"/>
          <w:sz w:val="24"/>
          <w:szCs w:val="24"/>
          <w:highlight w:val="none"/>
          <w:lang w:val="en-US" w:eastAsia="zh-CN" w:bidi="ar"/>
        </w:rPr>
      </w:pPr>
      <w:bookmarkStart w:id="46" w:name="_Toc10196"/>
      <w:r>
        <w:rPr>
          <w:rFonts w:hint="eastAsia" w:ascii="仿宋" w:hAnsi="仿宋" w:eastAsia="仿宋" w:cs="仿宋"/>
          <w:b/>
          <w:bCs/>
          <w:color w:val="000000"/>
          <w:kern w:val="0"/>
          <w:sz w:val="24"/>
          <w:szCs w:val="24"/>
          <w:highlight w:val="none"/>
          <w:lang w:val="en-US" w:eastAsia="zh-CN" w:bidi="ar"/>
        </w:rPr>
        <w:t>投标文件封面（参考格式）</w:t>
      </w:r>
      <w:bookmarkEnd w:id="46"/>
    </w:p>
    <w:p w14:paraId="30CE0D33">
      <w:pPr>
        <w:keepNext w:val="0"/>
        <w:keepLines w:val="0"/>
        <w:widowControl/>
        <w:suppressLineNumbers w:val="0"/>
        <w:jc w:val="left"/>
        <w:rPr>
          <w:rFonts w:hint="eastAsia" w:ascii="仿宋" w:hAnsi="仿宋" w:eastAsia="仿宋" w:cs="仿宋"/>
          <w:b/>
          <w:bCs/>
          <w:color w:val="000000"/>
          <w:kern w:val="0"/>
          <w:sz w:val="84"/>
          <w:szCs w:val="84"/>
          <w:highlight w:val="none"/>
          <w:lang w:val="en-US" w:eastAsia="zh-CN" w:bidi="ar"/>
        </w:rPr>
      </w:pPr>
    </w:p>
    <w:p w14:paraId="5C8D19C1">
      <w:pPr>
        <w:keepNext w:val="0"/>
        <w:keepLines w:val="0"/>
        <w:widowControl/>
        <w:suppressLineNumbers w:val="0"/>
        <w:jc w:val="left"/>
        <w:rPr>
          <w:rFonts w:hint="eastAsia" w:ascii="仿宋" w:hAnsi="仿宋" w:eastAsia="仿宋" w:cs="仿宋"/>
          <w:b/>
          <w:bCs/>
          <w:color w:val="000000"/>
          <w:kern w:val="0"/>
          <w:sz w:val="84"/>
          <w:szCs w:val="84"/>
          <w:highlight w:val="none"/>
          <w:lang w:val="en-US" w:eastAsia="zh-CN" w:bidi="ar"/>
        </w:rPr>
      </w:pPr>
    </w:p>
    <w:p w14:paraId="7F23AE85">
      <w:pPr>
        <w:keepNext w:val="0"/>
        <w:keepLines w:val="0"/>
        <w:widowControl/>
        <w:suppressLineNumbers w:val="0"/>
        <w:jc w:val="center"/>
        <w:rPr>
          <w:rFonts w:hint="eastAsia" w:ascii="仿宋" w:hAnsi="仿宋" w:eastAsia="仿宋" w:cs="仿宋"/>
          <w:highlight w:val="none"/>
        </w:rPr>
      </w:pPr>
      <w:r>
        <w:rPr>
          <w:rFonts w:hint="eastAsia" w:ascii="仿宋" w:hAnsi="仿宋" w:eastAsia="仿宋" w:cs="仿宋"/>
          <w:b/>
          <w:bCs/>
          <w:color w:val="000000"/>
          <w:kern w:val="0"/>
          <w:sz w:val="84"/>
          <w:szCs w:val="84"/>
          <w:highlight w:val="none"/>
          <w:lang w:val="en-US" w:eastAsia="zh-CN" w:bidi="ar"/>
        </w:rPr>
        <w:t>投标文件</w:t>
      </w:r>
    </w:p>
    <w:p w14:paraId="5268B3CD">
      <w:pPr>
        <w:keepNext w:val="0"/>
        <w:keepLines w:val="0"/>
        <w:widowControl/>
        <w:suppressLineNumbers w:val="0"/>
        <w:jc w:val="left"/>
        <w:rPr>
          <w:rFonts w:hint="eastAsia" w:ascii="仿宋" w:hAnsi="仿宋" w:eastAsia="仿宋" w:cs="仿宋"/>
          <w:b/>
          <w:bCs/>
          <w:color w:val="000000"/>
          <w:kern w:val="0"/>
          <w:sz w:val="52"/>
          <w:szCs w:val="52"/>
          <w:highlight w:val="none"/>
          <w:lang w:val="en-US" w:eastAsia="zh-CN" w:bidi="ar"/>
        </w:rPr>
      </w:pPr>
    </w:p>
    <w:p w14:paraId="0D371599">
      <w:pPr>
        <w:keepNext w:val="0"/>
        <w:keepLines w:val="0"/>
        <w:widowControl/>
        <w:suppressLineNumbers w:val="0"/>
        <w:jc w:val="left"/>
        <w:rPr>
          <w:rFonts w:hint="eastAsia" w:ascii="仿宋" w:hAnsi="仿宋" w:eastAsia="仿宋" w:cs="仿宋"/>
          <w:b/>
          <w:bCs/>
          <w:color w:val="000000"/>
          <w:kern w:val="0"/>
          <w:sz w:val="52"/>
          <w:szCs w:val="52"/>
          <w:highlight w:val="none"/>
          <w:lang w:val="en-US" w:eastAsia="zh-CN" w:bidi="ar"/>
        </w:rPr>
      </w:pPr>
    </w:p>
    <w:p w14:paraId="1890A1D2">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b/>
          <w:bCs/>
          <w:color w:val="000000"/>
          <w:kern w:val="0"/>
          <w:sz w:val="52"/>
          <w:szCs w:val="52"/>
          <w:highlight w:val="none"/>
          <w:lang w:val="en-US" w:eastAsia="zh-CN" w:bidi="ar"/>
        </w:rPr>
        <w:t xml:space="preserve"> </w:t>
      </w:r>
    </w:p>
    <w:p w14:paraId="6D6B6DFA">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456CCC08">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42A99CC0">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40CCB0B5">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b/>
          <w:bCs/>
          <w:color w:val="000000"/>
          <w:kern w:val="0"/>
          <w:sz w:val="31"/>
          <w:szCs w:val="31"/>
          <w:highlight w:val="none"/>
          <w:lang w:val="en-US" w:eastAsia="zh-CN" w:bidi="ar"/>
        </w:rPr>
        <w:t xml:space="preserve">项目名称: </w:t>
      </w:r>
    </w:p>
    <w:p w14:paraId="00B5CC60">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b/>
          <w:bCs/>
          <w:color w:val="000000"/>
          <w:kern w:val="0"/>
          <w:sz w:val="31"/>
          <w:szCs w:val="31"/>
          <w:highlight w:val="none"/>
          <w:lang w:val="en-US" w:eastAsia="zh-CN" w:bidi="ar"/>
        </w:rPr>
        <w:t xml:space="preserve">项目编号/包号： </w:t>
      </w:r>
    </w:p>
    <w:p w14:paraId="7FCC6673">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507A901E">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67E2251B">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35444E63">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r>
        <w:rPr>
          <w:rFonts w:hint="eastAsia" w:ascii="仿宋" w:hAnsi="仿宋" w:eastAsia="仿宋" w:cs="仿宋"/>
          <w:b/>
          <w:bCs/>
          <w:color w:val="000000"/>
          <w:kern w:val="0"/>
          <w:sz w:val="31"/>
          <w:szCs w:val="31"/>
          <w:highlight w:val="none"/>
          <w:lang w:val="en-US" w:eastAsia="zh-CN" w:bidi="ar"/>
        </w:rPr>
        <w:t>投标人名称（盖公章）：</w:t>
      </w:r>
    </w:p>
    <w:p w14:paraId="1E925F39">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r>
        <w:rPr>
          <w:rFonts w:hint="eastAsia" w:ascii="仿宋" w:hAnsi="仿宋" w:eastAsia="仿宋" w:cs="仿宋"/>
          <w:b/>
          <w:bCs/>
          <w:color w:val="000000"/>
          <w:kern w:val="0"/>
          <w:sz w:val="31"/>
          <w:szCs w:val="31"/>
          <w:highlight w:val="none"/>
          <w:lang w:val="en-US" w:eastAsia="zh-CN" w:bidi="ar"/>
        </w:rPr>
        <w:t>法定代表人或其授权代表（签字或印鉴）：</w:t>
      </w:r>
    </w:p>
    <w:p w14:paraId="632D6E10">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040497F7">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1B70059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 xml:space="preserve">1   满足《中华人民共和国政府采购法》第二十二条规定及法律法规的其他规定 </w:t>
      </w:r>
    </w:p>
    <w:p w14:paraId="459B835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lang w:val="en-US" w:eastAsia="zh-CN" w:bidi="ar"/>
        </w:rPr>
      </w:pPr>
    </w:p>
    <w:p w14:paraId="1DFAEE10">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附件 1-1 法人或者其他组织的营业执照等证明文件或自然人的身份证明复印件;</w:t>
      </w:r>
    </w:p>
    <w:p w14:paraId="13740A2A">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000000"/>
          <w:kern w:val="0"/>
          <w:sz w:val="24"/>
          <w:szCs w:val="24"/>
          <w:highlight w:val="none"/>
          <w:lang w:val="en-US" w:eastAsia="zh-CN" w:bidi="ar"/>
        </w:rPr>
      </w:pPr>
    </w:p>
    <w:p w14:paraId="40F3167A">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000000"/>
          <w:kern w:val="0"/>
          <w:sz w:val="24"/>
          <w:szCs w:val="24"/>
          <w:highlight w:val="none"/>
          <w:lang w:val="en-US" w:eastAsia="zh-CN" w:bidi="ar"/>
        </w:rPr>
      </w:pPr>
    </w:p>
    <w:p w14:paraId="1CABA533">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48CD563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 xml:space="preserve">附件 </w:t>
      </w:r>
      <w:r>
        <w:rPr>
          <w:rFonts w:hint="eastAsia" w:ascii="仿宋" w:hAnsi="仿宋" w:eastAsia="仿宋" w:cs="仿宋"/>
          <w:color w:val="000000"/>
          <w:kern w:val="0"/>
          <w:sz w:val="24"/>
          <w:highlight w:val="none"/>
          <w:u w:val="none"/>
          <w:lang w:val="en-US" w:eastAsia="zh-CN" w:bidi="ar"/>
        </w:rPr>
        <w:t>1</w:t>
      </w:r>
      <w:r>
        <w:rPr>
          <w:rFonts w:hint="eastAsia" w:ascii="仿宋" w:hAnsi="仿宋" w:eastAsia="仿宋" w:cs="仿宋"/>
          <w:color w:val="000000"/>
          <w:kern w:val="0"/>
          <w:sz w:val="24"/>
          <w:highlight w:val="none"/>
          <w:u w:val="none"/>
          <w:lang w:bidi="ar"/>
        </w:rPr>
        <w:t>-</w:t>
      </w:r>
      <w:r>
        <w:rPr>
          <w:rFonts w:hint="eastAsia" w:ascii="仿宋" w:hAnsi="仿宋" w:eastAsia="仿宋" w:cs="仿宋"/>
          <w:color w:val="000000"/>
          <w:kern w:val="0"/>
          <w:sz w:val="24"/>
          <w:highlight w:val="none"/>
          <w:u w:val="none"/>
          <w:lang w:val="en-US" w:eastAsia="zh-CN" w:bidi="ar"/>
        </w:rPr>
        <w:t>2</w:t>
      </w:r>
      <w:r>
        <w:rPr>
          <w:rFonts w:hint="eastAsia" w:ascii="仿宋" w:hAnsi="仿宋" w:eastAsia="仿宋" w:cs="仿宋"/>
          <w:color w:val="000000"/>
          <w:kern w:val="0"/>
          <w:sz w:val="24"/>
          <w:highlight w:val="none"/>
          <w:u w:val="none"/>
          <w:lang w:bidi="ar"/>
        </w:rPr>
        <w:t xml:space="preserve"> 投标人具有良好的商业信誉和健全的财务会计制度的证明文件</w:t>
      </w:r>
    </w:p>
    <w:p w14:paraId="7FFE511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说明：</w:t>
      </w:r>
    </w:p>
    <w:p w14:paraId="55B1F441">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highlight w:val="none"/>
          <w:u w:val="none"/>
          <w:lang w:bidi="ar"/>
        </w:rPr>
      </w:pPr>
      <w:bookmarkStart w:id="47" w:name="_Toc16703"/>
      <w:r>
        <w:rPr>
          <w:rFonts w:hint="eastAsia" w:ascii="仿宋" w:hAnsi="仿宋" w:eastAsia="仿宋" w:cs="仿宋"/>
          <w:color w:val="000000"/>
          <w:kern w:val="0"/>
          <w:sz w:val="24"/>
          <w:highlight w:val="none"/>
          <w:u w:val="none"/>
          <w:lang w:bidi="ar"/>
        </w:rPr>
        <w:t>1、复印件并加盖本单位公章</w:t>
      </w:r>
      <w:bookmarkEnd w:id="47"/>
    </w:p>
    <w:p w14:paraId="6877855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2、若提供的是复印件，采购人、采购代理机构保留审核原件的权利。</w:t>
      </w:r>
    </w:p>
    <w:p w14:paraId="324ACA1A">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highlight w:val="none"/>
          <w:u w:val="none"/>
          <w:lang w:bidi="ar"/>
        </w:rPr>
      </w:pPr>
      <w:bookmarkStart w:id="48" w:name="_Toc32425"/>
      <w:r>
        <w:rPr>
          <w:rFonts w:hint="eastAsia" w:ascii="仿宋" w:hAnsi="仿宋" w:eastAsia="仿宋" w:cs="仿宋"/>
          <w:color w:val="000000"/>
          <w:kern w:val="0"/>
          <w:sz w:val="24"/>
          <w:highlight w:val="none"/>
          <w:u w:val="none"/>
          <w:lang w:bidi="ar"/>
        </w:rPr>
        <w:t>3、如果是联合体投标，联合体各方均需提供上述证明。</w:t>
      </w:r>
      <w:bookmarkEnd w:id="48"/>
    </w:p>
    <w:p w14:paraId="5E0A0F0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p>
    <w:p w14:paraId="68B837E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br w:type="page"/>
      </w:r>
    </w:p>
    <w:p w14:paraId="29DA94E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附件</w:t>
      </w:r>
      <w:r>
        <w:rPr>
          <w:rFonts w:hint="eastAsia" w:ascii="仿宋" w:hAnsi="仿宋" w:eastAsia="仿宋" w:cs="仿宋"/>
          <w:color w:val="000000"/>
          <w:kern w:val="0"/>
          <w:sz w:val="24"/>
          <w:highlight w:val="none"/>
          <w:u w:val="none"/>
          <w:lang w:val="en-US" w:eastAsia="zh-CN" w:bidi="ar"/>
        </w:rPr>
        <w:t>1</w:t>
      </w:r>
      <w:r>
        <w:rPr>
          <w:rFonts w:hint="eastAsia" w:ascii="仿宋" w:hAnsi="仿宋" w:eastAsia="仿宋" w:cs="仿宋"/>
          <w:color w:val="000000"/>
          <w:kern w:val="0"/>
          <w:sz w:val="24"/>
          <w:highlight w:val="none"/>
          <w:u w:val="none"/>
          <w:lang w:bidi="ar"/>
        </w:rPr>
        <w:t>-</w:t>
      </w:r>
      <w:r>
        <w:rPr>
          <w:rFonts w:hint="eastAsia" w:ascii="仿宋" w:hAnsi="仿宋" w:eastAsia="仿宋" w:cs="仿宋"/>
          <w:color w:val="000000"/>
          <w:kern w:val="0"/>
          <w:sz w:val="24"/>
          <w:highlight w:val="none"/>
          <w:u w:val="none"/>
          <w:lang w:val="en-US" w:eastAsia="zh-CN" w:bidi="ar"/>
        </w:rPr>
        <w:t>3</w:t>
      </w:r>
      <w:r>
        <w:rPr>
          <w:rFonts w:hint="eastAsia" w:ascii="仿宋" w:hAnsi="仿宋" w:eastAsia="仿宋" w:cs="仿宋"/>
          <w:color w:val="000000"/>
          <w:kern w:val="0"/>
          <w:sz w:val="24"/>
          <w:highlight w:val="none"/>
          <w:u w:val="none"/>
          <w:lang w:bidi="ar"/>
        </w:rPr>
        <w:t xml:space="preserve"> </w:t>
      </w:r>
      <w:r>
        <w:rPr>
          <w:rFonts w:hint="eastAsia" w:ascii="仿宋" w:hAnsi="仿宋" w:eastAsia="仿宋" w:cs="仿宋"/>
          <w:color w:val="000000"/>
          <w:kern w:val="0"/>
          <w:sz w:val="24"/>
          <w:highlight w:val="none"/>
          <w:u w:val="none"/>
          <w:lang w:val="en-US" w:eastAsia="zh-CN" w:bidi="ar"/>
        </w:rPr>
        <w:t xml:space="preserve"> </w:t>
      </w:r>
      <w:r>
        <w:rPr>
          <w:rFonts w:hint="eastAsia" w:ascii="仿宋" w:hAnsi="仿宋" w:eastAsia="仿宋" w:cs="仿宋"/>
          <w:color w:val="000000"/>
          <w:kern w:val="0"/>
          <w:sz w:val="24"/>
          <w:highlight w:val="none"/>
          <w:u w:val="none"/>
          <w:lang w:bidi="ar"/>
        </w:rPr>
        <w:t>投标人缴纳税收的证明</w:t>
      </w:r>
    </w:p>
    <w:p w14:paraId="5C770FA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说明：</w:t>
      </w:r>
    </w:p>
    <w:p w14:paraId="3BD994F9">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highlight w:val="none"/>
          <w:u w:val="none"/>
          <w:lang w:bidi="ar"/>
        </w:rPr>
      </w:pPr>
      <w:bookmarkStart w:id="49" w:name="_Toc7512"/>
      <w:r>
        <w:rPr>
          <w:rFonts w:hint="eastAsia" w:ascii="仿宋" w:hAnsi="仿宋" w:eastAsia="仿宋" w:cs="仿宋"/>
          <w:color w:val="000000"/>
          <w:kern w:val="0"/>
          <w:sz w:val="24"/>
          <w:highlight w:val="none"/>
          <w:u w:val="none"/>
          <w:lang w:bidi="ar"/>
        </w:rPr>
        <w:t>1、复印件并加盖本单位公章</w:t>
      </w:r>
      <w:bookmarkEnd w:id="49"/>
    </w:p>
    <w:p w14:paraId="7B81CEF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2、若提供的是复印件，采购人、采购代理机构保留审核原件的权利。</w:t>
      </w:r>
    </w:p>
    <w:p w14:paraId="13EA9DD4">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highlight w:val="none"/>
          <w:u w:val="none"/>
          <w:lang w:bidi="ar"/>
        </w:rPr>
      </w:pPr>
      <w:bookmarkStart w:id="50" w:name="_Toc8376"/>
      <w:r>
        <w:rPr>
          <w:rFonts w:hint="eastAsia" w:ascii="仿宋" w:hAnsi="仿宋" w:eastAsia="仿宋" w:cs="仿宋"/>
          <w:color w:val="000000"/>
          <w:kern w:val="0"/>
          <w:sz w:val="24"/>
          <w:highlight w:val="none"/>
          <w:u w:val="none"/>
          <w:lang w:bidi="ar"/>
        </w:rPr>
        <w:t>3、如果是联合体投标，联合体各方均需提供上述证明。</w:t>
      </w:r>
      <w:r>
        <w:rPr>
          <w:rFonts w:hint="eastAsia" w:ascii="仿宋" w:hAnsi="仿宋" w:eastAsia="仿宋" w:cs="仿宋"/>
          <w:color w:val="000000"/>
          <w:kern w:val="0"/>
          <w:sz w:val="24"/>
          <w:highlight w:val="none"/>
          <w:u w:val="none"/>
          <w:lang w:bidi="ar"/>
        </w:rPr>
        <w:br w:type="page"/>
      </w:r>
      <w:bookmarkEnd w:id="50"/>
    </w:p>
    <w:p w14:paraId="4D31FD7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附件</w:t>
      </w:r>
      <w:r>
        <w:rPr>
          <w:rFonts w:hint="eastAsia" w:ascii="仿宋" w:hAnsi="仿宋" w:eastAsia="仿宋" w:cs="仿宋"/>
          <w:color w:val="000000"/>
          <w:kern w:val="0"/>
          <w:sz w:val="24"/>
          <w:highlight w:val="none"/>
          <w:u w:val="none"/>
          <w:lang w:val="en-US" w:eastAsia="zh-CN" w:bidi="ar"/>
        </w:rPr>
        <w:t>1</w:t>
      </w:r>
      <w:r>
        <w:rPr>
          <w:rFonts w:hint="eastAsia" w:ascii="仿宋" w:hAnsi="仿宋" w:eastAsia="仿宋" w:cs="仿宋"/>
          <w:color w:val="000000"/>
          <w:kern w:val="0"/>
          <w:sz w:val="24"/>
          <w:highlight w:val="none"/>
          <w:u w:val="none"/>
          <w:lang w:bidi="ar"/>
        </w:rPr>
        <w:t>-</w:t>
      </w:r>
      <w:r>
        <w:rPr>
          <w:rFonts w:hint="eastAsia" w:ascii="仿宋" w:hAnsi="仿宋" w:eastAsia="仿宋" w:cs="仿宋"/>
          <w:color w:val="000000"/>
          <w:kern w:val="0"/>
          <w:sz w:val="24"/>
          <w:highlight w:val="none"/>
          <w:u w:val="none"/>
          <w:lang w:val="en-US" w:eastAsia="zh-CN" w:bidi="ar"/>
        </w:rPr>
        <w:t>4</w:t>
      </w:r>
      <w:r>
        <w:rPr>
          <w:rFonts w:hint="eastAsia" w:ascii="仿宋" w:hAnsi="仿宋" w:eastAsia="仿宋" w:cs="仿宋"/>
          <w:color w:val="000000"/>
          <w:kern w:val="0"/>
          <w:sz w:val="24"/>
          <w:highlight w:val="none"/>
          <w:u w:val="none"/>
          <w:lang w:bidi="ar"/>
        </w:rPr>
        <w:t xml:space="preserve"> </w:t>
      </w:r>
      <w:r>
        <w:rPr>
          <w:rFonts w:hint="eastAsia" w:ascii="仿宋" w:hAnsi="仿宋" w:eastAsia="仿宋" w:cs="仿宋"/>
          <w:color w:val="000000"/>
          <w:kern w:val="0"/>
          <w:sz w:val="24"/>
          <w:highlight w:val="none"/>
          <w:u w:val="none"/>
          <w:lang w:val="en-US" w:eastAsia="zh-CN" w:bidi="ar"/>
        </w:rPr>
        <w:t xml:space="preserve"> </w:t>
      </w:r>
      <w:r>
        <w:rPr>
          <w:rFonts w:hint="eastAsia" w:ascii="仿宋" w:hAnsi="仿宋" w:eastAsia="仿宋" w:cs="仿宋"/>
          <w:color w:val="000000"/>
          <w:kern w:val="0"/>
          <w:sz w:val="24"/>
          <w:highlight w:val="none"/>
          <w:u w:val="none"/>
          <w:lang w:bidi="ar"/>
        </w:rPr>
        <w:t>投标人为职工缴纳社会保险的证明</w:t>
      </w:r>
    </w:p>
    <w:p w14:paraId="461CAA4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说明：</w:t>
      </w:r>
    </w:p>
    <w:p w14:paraId="283F96A4">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highlight w:val="none"/>
          <w:u w:val="none"/>
          <w:lang w:bidi="ar"/>
        </w:rPr>
      </w:pPr>
      <w:bookmarkStart w:id="51" w:name="_Toc3006"/>
      <w:r>
        <w:rPr>
          <w:rFonts w:hint="eastAsia" w:ascii="仿宋" w:hAnsi="仿宋" w:eastAsia="仿宋" w:cs="仿宋"/>
          <w:color w:val="000000"/>
          <w:kern w:val="0"/>
          <w:sz w:val="24"/>
          <w:highlight w:val="none"/>
          <w:u w:val="none"/>
          <w:lang w:bidi="ar"/>
        </w:rPr>
        <w:t>1、复印件并加盖本单位公章</w:t>
      </w:r>
      <w:bookmarkEnd w:id="51"/>
    </w:p>
    <w:p w14:paraId="71751B3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2、若提供的是复印件，采购人、采购代理机构保留审核原件的权利。</w:t>
      </w:r>
    </w:p>
    <w:p w14:paraId="53647C03">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highlight w:val="none"/>
          <w:u w:val="none"/>
          <w:lang w:bidi="ar"/>
        </w:rPr>
      </w:pPr>
      <w:bookmarkStart w:id="52" w:name="_Toc28907"/>
      <w:r>
        <w:rPr>
          <w:rFonts w:hint="eastAsia" w:ascii="仿宋" w:hAnsi="仿宋" w:eastAsia="仿宋" w:cs="仿宋"/>
          <w:color w:val="000000"/>
          <w:kern w:val="0"/>
          <w:sz w:val="24"/>
          <w:highlight w:val="none"/>
          <w:u w:val="none"/>
          <w:lang w:bidi="ar"/>
        </w:rPr>
        <w:t>3、如果是联合体投标，联合体各方均需提供上述证明。</w:t>
      </w:r>
      <w:bookmarkEnd w:id="52"/>
    </w:p>
    <w:p w14:paraId="0C300D7B">
      <w:pPr>
        <w:rPr>
          <w:rFonts w:hint="eastAsia" w:ascii="仿宋" w:hAnsi="仿宋" w:eastAsia="仿宋" w:cs="仿宋"/>
          <w:color w:val="000000"/>
          <w:kern w:val="0"/>
          <w:sz w:val="24"/>
          <w:highlight w:val="none"/>
          <w:u w:val="none"/>
          <w:lang w:bidi="ar"/>
        </w:rPr>
      </w:pPr>
    </w:p>
    <w:p w14:paraId="2C286A64">
      <w:pPr>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br w:type="page"/>
      </w:r>
    </w:p>
    <w:p w14:paraId="001C9B8C">
      <w:pPr>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 xml:space="preserve">附件 </w:t>
      </w:r>
      <w:r>
        <w:rPr>
          <w:rFonts w:hint="eastAsia" w:ascii="仿宋" w:hAnsi="仿宋" w:eastAsia="仿宋" w:cs="仿宋"/>
          <w:color w:val="000000"/>
          <w:kern w:val="0"/>
          <w:sz w:val="24"/>
          <w:highlight w:val="none"/>
          <w:u w:val="none"/>
          <w:lang w:val="en-US" w:eastAsia="zh-CN" w:bidi="ar"/>
        </w:rPr>
        <w:t>1</w:t>
      </w:r>
      <w:r>
        <w:rPr>
          <w:rFonts w:hint="eastAsia" w:ascii="仿宋" w:hAnsi="仿宋" w:eastAsia="仿宋" w:cs="仿宋"/>
          <w:color w:val="000000"/>
          <w:kern w:val="0"/>
          <w:sz w:val="24"/>
          <w:highlight w:val="none"/>
          <w:u w:val="none"/>
          <w:lang w:bidi="ar"/>
        </w:rPr>
        <w:t>-</w:t>
      </w:r>
      <w:r>
        <w:rPr>
          <w:rFonts w:hint="eastAsia" w:ascii="仿宋" w:hAnsi="仿宋" w:eastAsia="仿宋" w:cs="仿宋"/>
          <w:color w:val="000000"/>
          <w:kern w:val="0"/>
          <w:sz w:val="24"/>
          <w:highlight w:val="none"/>
          <w:u w:val="none"/>
          <w:lang w:val="en-US" w:eastAsia="zh-CN" w:bidi="ar"/>
        </w:rPr>
        <w:t>5</w:t>
      </w:r>
      <w:r>
        <w:rPr>
          <w:rFonts w:hint="eastAsia" w:ascii="仿宋" w:hAnsi="仿宋" w:eastAsia="仿宋" w:cs="仿宋"/>
          <w:color w:val="000000"/>
          <w:kern w:val="0"/>
          <w:sz w:val="24"/>
          <w:highlight w:val="none"/>
          <w:u w:val="none"/>
          <w:lang w:bidi="ar"/>
        </w:rPr>
        <w:t xml:space="preserve"> 投标人资格声明书</w:t>
      </w:r>
    </w:p>
    <w:p w14:paraId="4C17AABF">
      <w:pPr>
        <w:rPr>
          <w:rFonts w:hint="eastAsia" w:ascii="仿宋" w:hAnsi="仿宋" w:eastAsia="仿宋" w:cs="仿宋"/>
          <w:color w:val="000000"/>
          <w:kern w:val="0"/>
          <w:sz w:val="24"/>
          <w:highlight w:val="none"/>
          <w:u w:val="none"/>
          <w:lang w:bidi="ar"/>
        </w:rPr>
      </w:pPr>
    </w:p>
    <w:p w14:paraId="2FB700E4">
      <w:pPr>
        <w:keepNext w:val="0"/>
        <w:keepLines w:val="0"/>
        <w:widowControl/>
        <w:suppressLineNumbers w:val="0"/>
        <w:jc w:val="center"/>
        <w:rPr>
          <w:rFonts w:hint="eastAsia" w:ascii="仿宋" w:hAnsi="仿宋" w:eastAsia="仿宋" w:cs="仿宋"/>
          <w:b w:val="0"/>
          <w:bCs w:val="0"/>
          <w:sz w:val="32"/>
          <w:szCs w:val="32"/>
          <w:highlight w:val="none"/>
        </w:rPr>
      </w:pPr>
      <w:r>
        <w:rPr>
          <w:rFonts w:hint="eastAsia" w:ascii="仿宋" w:hAnsi="仿宋" w:eastAsia="仿宋" w:cs="仿宋"/>
          <w:b w:val="0"/>
          <w:bCs w:val="0"/>
          <w:color w:val="000000"/>
          <w:kern w:val="0"/>
          <w:sz w:val="32"/>
          <w:szCs w:val="32"/>
          <w:highlight w:val="none"/>
          <w:lang w:val="en-US" w:eastAsia="zh-CN" w:bidi="ar"/>
        </w:rPr>
        <w:t>投标人资格声明书</w:t>
      </w:r>
    </w:p>
    <w:p w14:paraId="7A484BB4">
      <w:pPr>
        <w:keepNext w:val="0"/>
        <w:keepLines w:val="0"/>
        <w:widowControl/>
        <w:suppressLineNumbers w:val="0"/>
        <w:jc w:val="left"/>
        <w:rPr>
          <w:rFonts w:hint="eastAsia" w:ascii="仿宋" w:hAnsi="仿宋" w:eastAsia="仿宋" w:cs="仿宋"/>
          <w:color w:val="000000"/>
          <w:kern w:val="0"/>
          <w:sz w:val="24"/>
          <w:szCs w:val="24"/>
          <w:highlight w:val="none"/>
          <w:lang w:val="en-US" w:eastAsia="zh-CN" w:bidi="ar"/>
        </w:rPr>
      </w:pPr>
    </w:p>
    <w:p w14:paraId="7A81991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致：</w:t>
      </w:r>
      <w:r>
        <w:rPr>
          <w:rFonts w:hint="eastAsia" w:ascii="仿宋" w:hAnsi="仿宋" w:eastAsia="仿宋" w:cs="仿宋"/>
          <w:color w:val="000000"/>
          <w:kern w:val="0"/>
          <w:sz w:val="24"/>
          <w:szCs w:val="24"/>
          <w:highlight w:val="none"/>
          <w:u w:val="single"/>
          <w:lang w:val="en-US" w:eastAsia="zh-CN" w:bidi="ar"/>
        </w:rPr>
        <w:t xml:space="preserve">采购人或采购代理机构 </w:t>
      </w:r>
    </w:p>
    <w:p w14:paraId="6176C73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在参与本次项目投标中，我单位承诺： </w:t>
      </w:r>
    </w:p>
    <w:p w14:paraId="0A851ED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（一）具有良好的商业信誉和健全的财务会计制度； </w:t>
      </w:r>
    </w:p>
    <w:p w14:paraId="630D7FF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（二）具有履行合同所必需的设备和专业技术能力； </w:t>
      </w:r>
    </w:p>
    <w:p w14:paraId="424DC30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（三）有依法缴纳税收和社会保障资金的良好记录； </w:t>
      </w:r>
    </w:p>
    <w:p w14:paraId="2B1ACA1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 </w:t>
      </w:r>
    </w:p>
    <w:p w14:paraId="0422AA3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（五）我单位不属于政府采购法律、行政法规规定的公益一类事业单位、或使用事业编制且由财政拨款保障的群团组织（仅适用于政府购买服务项目）； </w:t>
      </w:r>
    </w:p>
    <w:p w14:paraId="5A31434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（六）我单位不存在为采购项目提供整体设计、规范编制或者项目管理、监理、检测等服务后，再参加该采购项目的其他采购活动的情形（单一来源采购项目除外）； </w:t>
      </w:r>
    </w:p>
    <w:p w14:paraId="614C84F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（七）与我单位存在“单位负责人为同一人或者存在直接控股、管理关系”的其他法人单位信息如下（如有，不论其是否参加同一合同项下的政府采购活动均须填写）：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798"/>
        <w:gridCol w:w="3406"/>
      </w:tblGrid>
      <w:tr w14:paraId="3C37D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6571BA67">
            <w:pPr>
              <w:keepNext w:val="0"/>
              <w:keepLines w:val="0"/>
              <w:widowControl/>
              <w:suppressLineNumbers w:val="0"/>
              <w:jc w:val="center"/>
              <w:rPr>
                <w:rFonts w:hint="eastAsia"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序号</w:t>
            </w:r>
          </w:p>
        </w:tc>
        <w:tc>
          <w:tcPr>
            <w:tcW w:w="3798" w:type="dxa"/>
            <w:vAlign w:val="center"/>
          </w:tcPr>
          <w:p w14:paraId="5836A0B6">
            <w:pPr>
              <w:keepNext w:val="0"/>
              <w:keepLines w:val="0"/>
              <w:widowControl/>
              <w:suppressLineNumbers w:val="0"/>
              <w:jc w:val="center"/>
              <w:rPr>
                <w:rFonts w:hint="eastAsia"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单位名称</w:t>
            </w:r>
          </w:p>
        </w:tc>
        <w:tc>
          <w:tcPr>
            <w:tcW w:w="3406" w:type="dxa"/>
            <w:vAlign w:val="center"/>
          </w:tcPr>
          <w:p w14:paraId="65B2FFDB">
            <w:pPr>
              <w:keepNext w:val="0"/>
              <w:keepLines w:val="0"/>
              <w:widowControl/>
              <w:suppressLineNumbers w:val="0"/>
              <w:jc w:val="center"/>
              <w:rPr>
                <w:rFonts w:hint="eastAsia"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相互关系</w:t>
            </w:r>
          </w:p>
        </w:tc>
      </w:tr>
      <w:tr w14:paraId="6BD2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00C4E298">
            <w:pPr>
              <w:keepNext w:val="0"/>
              <w:keepLines w:val="0"/>
              <w:widowControl/>
              <w:suppressLineNumbers w:val="0"/>
              <w:jc w:val="center"/>
              <w:rPr>
                <w:rFonts w:hint="eastAsia"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1</w:t>
            </w:r>
          </w:p>
        </w:tc>
        <w:tc>
          <w:tcPr>
            <w:tcW w:w="3798" w:type="dxa"/>
          </w:tcPr>
          <w:p w14:paraId="2F8447BE">
            <w:pPr>
              <w:keepNext w:val="0"/>
              <w:keepLines w:val="0"/>
              <w:widowControl/>
              <w:suppressLineNumbers w:val="0"/>
              <w:jc w:val="left"/>
              <w:rPr>
                <w:rFonts w:hint="eastAsia" w:ascii="仿宋" w:hAnsi="仿宋" w:eastAsia="仿宋" w:cs="仿宋"/>
                <w:color w:val="000000"/>
                <w:kern w:val="0"/>
                <w:sz w:val="24"/>
                <w:szCs w:val="24"/>
                <w:highlight w:val="none"/>
                <w:vertAlign w:val="baseline"/>
                <w:lang w:val="en-US" w:eastAsia="zh-CN" w:bidi="ar"/>
              </w:rPr>
            </w:pPr>
          </w:p>
        </w:tc>
        <w:tc>
          <w:tcPr>
            <w:tcW w:w="3406" w:type="dxa"/>
          </w:tcPr>
          <w:p w14:paraId="4A161CEF">
            <w:pPr>
              <w:keepNext w:val="0"/>
              <w:keepLines w:val="0"/>
              <w:widowControl/>
              <w:suppressLineNumbers w:val="0"/>
              <w:jc w:val="left"/>
              <w:rPr>
                <w:rFonts w:hint="eastAsia" w:ascii="仿宋" w:hAnsi="仿宋" w:eastAsia="仿宋" w:cs="仿宋"/>
                <w:color w:val="000000"/>
                <w:kern w:val="0"/>
                <w:sz w:val="24"/>
                <w:szCs w:val="24"/>
                <w:highlight w:val="none"/>
                <w:vertAlign w:val="baseline"/>
                <w:lang w:val="en-US" w:eastAsia="zh-CN" w:bidi="ar"/>
              </w:rPr>
            </w:pPr>
          </w:p>
        </w:tc>
      </w:tr>
      <w:tr w14:paraId="556CD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4C3635A9">
            <w:pPr>
              <w:keepNext w:val="0"/>
              <w:keepLines w:val="0"/>
              <w:widowControl/>
              <w:suppressLineNumbers w:val="0"/>
              <w:jc w:val="center"/>
              <w:rPr>
                <w:rFonts w:hint="eastAsia"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2</w:t>
            </w:r>
          </w:p>
        </w:tc>
        <w:tc>
          <w:tcPr>
            <w:tcW w:w="3798" w:type="dxa"/>
          </w:tcPr>
          <w:p w14:paraId="3BE7B09A">
            <w:pPr>
              <w:keepNext w:val="0"/>
              <w:keepLines w:val="0"/>
              <w:widowControl/>
              <w:suppressLineNumbers w:val="0"/>
              <w:jc w:val="left"/>
              <w:rPr>
                <w:rFonts w:hint="eastAsia" w:ascii="仿宋" w:hAnsi="仿宋" w:eastAsia="仿宋" w:cs="仿宋"/>
                <w:color w:val="000000"/>
                <w:kern w:val="0"/>
                <w:sz w:val="24"/>
                <w:szCs w:val="24"/>
                <w:highlight w:val="none"/>
                <w:vertAlign w:val="baseline"/>
                <w:lang w:val="en-US" w:eastAsia="zh-CN" w:bidi="ar"/>
              </w:rPr>
            </w:pPr>
          </w:p>
        </w:tc>
        <w:tc>
          <w:tcPr>
            <w:tcW w:w="3406" w:type="dxa"/>
          </w:tcPr>
          <w:p w14:paraId="7A9C83F0">
            <w:pPr>
              <w:keepNext w:val="0"/>
              <w:keepLines w:val="0"/>
              <w:widowControl/>
              <w:suppressLineNumbers w:val="0"/>
              <w:jc w:val="left"/>
              <w:rPr>
                <w:rFonts w:hint="eastAsia" w:ascii="仿宋" w:hAnsi="仿宋" w:eastAsia="仿宋" w:cs="仿宋"/>
                <w:color w:val="000000"/>
                <w:kern w:val="0"/>
                <w:sz w:val="24"/>
                <w:szCs w:val="24"/>
                <w:highlight w:val="none"/>
                <w:vertAlign w:val="baseline"/>
                <w:lang w:val="en-US" w:eastAsia="zh-CN" w:bidi="ar"/>
              </w:rPr>
            </w:pPr>
          </w:p>
        </w:tc>
      </w:tr>
      <w:tr w14:paraId="7EEF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15" w:type="dxa"/>
            <w:vAlign w:val="center"/>
          </w:tcPr>
          <w:p w14:paraId="62F8AF23">
            <w:pPr>
              <w:keepNext w:val="0"/>
              <w:keepLines w:val="0"/>
              <w:widowControl/>
              <w:suppressLineNumbers w:val="0"/>
              <w:jc w:val="center"/>
              <w:rPr>
                <w:rFonts w:hint="eastAsia"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w:t>
            </w:r>
          </w:p>
        </w:tc>
        <w:tc>
          <w:tcPr>
            <w:tcW w:w="3798" w:type="dxa"/>
          </w:tcPr>
          <w:p w14:paraId="49048839">
            <w:pPr>
              <w:keepNext w:val="0"/>
              <w:keepLines w:val="0"/>
              <w:widowControl/>
              <w:suppressLineNumbers w:val="0"/>
              <w:jc w:val="left"/>
              <w:rPr>
                <w:rFonts w:hint="eastAsia" w:ascii="仿宋" w:hAnsi="仿宋" w:eastAsia="仿宋" w:cs="仿宋"/>
                <w:color w:val="000000"/>
                <w:kern w:val="0"/>
                <w:sz w:val="24"/>
                <w:szCs w:val="24"/>
                <w:highlight w:val="none"/>
                <w:vertAlign w:val="baseline"/>
                <w:lang w:val="en-US" w:eastAsia="zh-CN" w:bidi="ar"/>
              </w:rPr>
            </w:pPr>
          </w:p>
        </w:tc>
        <w:tc>
          <w:tcPr>
            <w:tcW w:w="3406" w:type="dxa"/>
          </w:tcPr>
          <w:p w14:paraId="56F78153">
            <w:pPr>
              <w:keepNext w:val="0"/>
              <w:keepLines w:val="0"/>
              <w:widowControl/>
              <w:suppressLineNumbers w:val="0"/>
              <w:jc w:val="left"/>
              <w:rPr>
                <w:rFonts w:hint="eastAsia" w:ascii="仿宋" w:hAnsi="仿宋" w:eastAsia="仿宋" w:cs="仿宋"/>
                <w:color w:val="000000"/>
                <w:kern w:val="0"/>
                <w:sz w:val="24"/>
                <w:szCs w:val="24"/>
                <w:highlight w:val="none"/>
                <w:vertAlign w:val="baseline"/>
                <w:lang w:val="en-US" w:eastAsia="zh-CN" w:bidi="ar"/>
              </w:rPr>
            </w:pPr>
          </w:p>
        </w:tc>
      </w:tr>
    </w:tbl>
    <w:p w14:paraId="056279D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上述声明真实有效，否则我方负全部责任。 </w:t>
      </w:r>
    </w:p>
    <w:p w14:paraId="050AC99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33BABDC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62986A5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投标人名称：  </w:t>
      </w:r>
      <w:r>
        <w:rPr>
          <w:rFonts w:hint="eastAsia" w:ascii="仿宋" w:hAnsi="仿宋" w:eastAsia="仿宋" w:cs="仿宋"/>
          <w:i w:val="0"/>
          <w:iCs w:val="0"/>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u w:val="single"/>
          <w:lang w:val="en-US" w:eastAsia="zh-CN" w:bidi="ar"/>
        </w:rPr>
        <w:t>（加盖公章）</w:t>
      </w:r>
    </w:p>
    <w:p w14:paraId="00429BD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法定代表人或其授权代理人：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u w:val="single"/>
          <w:lang w:val="en-US" w:eastAsia="zh-CN" w:bidi="ar"/>
        </w:rPr>
        <w:tab/>
      </w:r>
      <w:r>
        <w:rPr>
          <w:rFonts w:hint="eastAsia" w:ascii="仿宋" w:hAnsi="仿宋" w:eastAsia="仿宋" w:cs="仿宋"/>
          <w:color w:val="000000"/>
          <w:kern w:val="0"/>
          <w:sz w:val="24"/>
          <w:szCs w:val="24"/>
          <w:highlight w:val="none"/>
          <w:u w:val="single"/>
          <w:lang w:val="en-US" w:eastAsia="zh-CN" w:bidi="ar"/>
        </w:rPr>
        <w:t>（签字或印鉴）</w:t>
      </w:r>
      <w:r>
        <w:rPr>
          <w:rFonts w:hint="eastAsia" w:ascii="仿宋" w:hAnsi="仿宋" w:eastAsia="仿宋" w:cs="仿宋"/>
          <w:color w:val="000000"/>
          <w:kern w:val="0"/>
          <w:sz w:val="24"/>
          <w:szCs w:val="24"/>
          <w:highlight w:val="none"/>
          <w:lang w:val="en-US" w:eastAsia="zh-CN" w:bidi="ar"/>
        </w:rPr>
        <w:tab/>
      </w:r>
    </w:p>
    <w:p w14:paraId="619F672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日期：</w:t>
      </w:r>
      <w:r>
        <w:rPr>
          <w:rFonts w:hint="eastAsia" w:ascii="仿宋" w:hAnsi="仿宋" w:eastAsia="仿宋" w:cs="仿宋"/>
          <w:color w:val="000000"/>
          <w:kern w:val="0"/>
          <w:sz w:val="24"/>
          <w:szCs w:val="24"/>
          <w:highlight w:val="none"/>
          <w:u w:val="single"/>
          <w:lang w:val="en-US" w:eastAsia="zh-CN" w:bidi="ar"/>
        </w:rPr>
        <w:t xml:space="preserve">    年    月    日</w:t>
      </w:r>
    </w:p>
    <w:p w14:paraId="03C3AC4D">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p>
    <w:p w14:paraId="0AB8680E">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说明：（1）单位负责人为同一人或者存在直接控股、管理关系的不同供应商，不得参加同一合同项下的政府采购活动。</w:t>
      </w:r>
    </w:p>
    <w:p w14:paraId="5E29A880">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（2）本条所指单位负责人为同一人指单位法定代表人或者法律、行政法规规定代表单位行使职权的主要负责人。</w:t>
      </w:r>
    </w:p>
    <w:p w14:paraId="70AB8093">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（3）本条所指控股关系指单位或股东的控股关系。控股股东指:</w:t>
      </w:r>
    </w:p>
    <w:p w14:paraId="47EB7FA0">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a.出资额占有限责任公司资本总额百分之五十以上或者其持有的股份占股份有限公司股本总额百分之五十以上的股东；</w:t>
      </w:r>
    </w:p>
    <w:p w14:paraId="5F0B21B7">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b.出资额或者持有股份的比例不足百分之五十，但其出资额或者持有的股份所享有的表决权已足以对股东会、股东大会的决议产生重大影响的股东。</w:t>
      </w:r>
    </w:p>
    <w:p w14:paraId="75E37DF8">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（4）本条所指管理关系指不具有出资持股关系的其他单位之间存在的管理与被管理关系。</w:t>
      </w:r>
    </w:p>
    <w:p w14:paraId="41CB4CE4">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（5）本条所指的控股、管理关系仅限于直接控股、直接管理关系，不包括间接控股或管理关系。</w:t>
      </w:r>
    </w:p>
    <w:p w14:paraId="7A27A177">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（6）如无相关情况，请在相应栏填写“无”。</w:t>
      </w:r>
    </w:p>
    <w:p w14:paraId="5D9351BF">
      <w:pPr>
        <w:rPr>
          <w:rFonts w:hint="eastAsia" w:ascii="仿宋" w:hAnsi="仿宋" w:eastAsia="仿宋" w:cs="仿宋"/>
          <w:color w:val="000000"/>
          <w:kern w:val="0"/>
          <w:sz w:val="24"/>
          <w:szCs w:val="24"/>
          <w:highlight w:val="none"/>
          <w:lang w:val="en-US" w:eastAsia="zh-CN" w:bidi="ar"/>
        </w:rPr>
      </w:pPr>
    </w:p>
    <w:p w14:paraId="755A5FC8">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56BAF24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highlight w:val="none"/>
        </w:rPr>
      </w:pPr>
      <w:bookmarkStart w:id="53" w:name="_Toc32152"/>
      <w:r>
        <w:rPr>
          <w:rFonts w:hint="eastAsia" w:ascii="仿宋" w:hAnsi="仿宋" w:eastAsia="仿宋" w:cs="仿宋"/>
          <w:color w:val="000000"/>
          <w:kern w:val="0"/>
          <w:sz w:val="24"/>
          <w:szCs w:val="24"/>
          <w:highlight w:val="none"/>
          <w:lang w:val="en-US" w:eastAsia="zh-CN" w:bidi="ar"/>
        </w:rPr>
        <w:t>2 落实政府采购政策需满足的资格要求（如有）</w:t>
      </w:r>
      <w:bookmarkEnd w:id="53"/>
      <w:r>
        <w:rPr>
          <w:rFonts w:hint="eastAsia" w:ascii="仿宋" w:hAnsi="仿宋" w:eastAsia="仿宋" w:cs="仿宋"/>
          <w:color w:val="000000"/>
          <w:kern w:val="0"/>
          <w:sz w:val="24"/>
          <w:szCs w:val="24"/>
          <w:highlight w:val="none"/>
          <w:lang w:val="en-US" w:eastAsia="zh-CN" w:bidi="ar"/>
        </w:rPr>
        <w:t xml:space="preserve"> </w:t>
      </w:r>
    </w:p>
    <w:p w14:paraId="109E50F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2-1 中小企业声明函 </w:t>
      </w:r>
    </w:p>
    <w:p w14:paraId="1D1A61A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说明： </w:t>
      </w:r>
    </w:p>
    <w:p w14:paraId="17963DA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（1）如本项目（包）不专门面向中小企业预留采购份额，资格证明文件部分无需提供《中小企业声明函》。 </w:t>
      </w:r>
    </w:p>
    <w:p w14:paraId="238AC08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如本项目（包）专门面向中小/小微企业采购，须提供《中小企业声明函》或《残疾人福利性单位声明函》，或提供由省级以上监狱管理局、戒毒管理局（含新疆生产建设兵团）出具的属于监狱企业的证明文件。《中小企业声明函》或《残疾人福利性单位声明函》格式不得修改，否则不得享受相关中小企业扶持政策。供应商根据项目属性选择申明函格式。 </w:t>
      </w:r>
    </w:p>
    <w:p w14:paraId="6D12477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w:t>
      </w:r>
    </w:p>
    <w:p w14:paraId="792894B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级以上监狱管理局、戒毒管理局（含新疆生产建设兵团）出具的属于监狱企业</w:t>
      </w:r>
    </w:p>
    <w:p w14:paraId="07B5175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的证明文件，还须同时提供《拟分包情况说明》及《分包意向协议》，且建议</w:t>
      </w:r>
    </w:p>
    <w:p w14:paraId="08D89EB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 xml:space="preserve">在资格证明文件部分提供。 </w:t>
      </w:r>
    </w:p>
    <w:p w14:paraId="0C89A35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（4）如本项目（包）预留部分采购项目预算专门面向中小企业采购，且要求供应商 以联合体形式参加采购活动，投标文件中除须提供《中小企业声明函》或《残疾人福利性单位声明函》或由省级以上监狱管理局、戒毒管理局（含新疆生产 建设兵团）出具的属于监狱企业的证明文件，还须同时提供《联合协议》。</w:t>
      </w:r>
    </w:p>
    <w:p w14:paraId="2A2CF2B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（5）中小企业声明函填写注意事项 </w:t>
      </w:r>
    </w:p>
    <w:p w14:paraId="578E041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1）中小企业参加政府采购活动，应当出具此格式文件。《中小企业声明函》由参加政府采购活动的投标人出具。联合体投标的，《中小企业声明函》由牵头人出具。 </w:t>
      </w:r>
    </w:p>
    <w:p w14:paraId="748DA6E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2）对于联合体中由中小企业承担的部分，或者分包给中小企业的部分，必须全</w:t>
      </w:r>
    </w:p>
    <w:p w14:paraId="1B094E3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部由中小企业制造、承建或者承接。供应商应当在声明函“标的名称”部分标明</w:t>
      </w:r>
    </w:p>
    <w:p w14:paraId="197041C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联合体中中小企业承担的具体内容或者中小企业的具体分包内容。 </w:t>
      </w:r>
    </w:p>
    <w:p w14:paraId="0A8EDEA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3）对于多标的的采购项目，供应商应充分、准确地了解所投产品制造企业、提供服务的承接企业、工程承接企业信息。对相关情况了解不清楚的，不建议填报本声明函。 </w:t>
      </w:r>
    </w:p>
    <w:p w14:paraId="31F95C9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前附表》，如在该程序中未找到本采购文件规定的中小企业划分标准所属行业，则按照《关于印发中小企业划型标准规定的通知（工信部联企业﹝2011﹞300 号）》及本采购文件规定的中小企业划分标准所属行业执行。</w:t>
      </w:r>
    </w:p>
    <w:p w14:paraId="362797E9">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6F075A3A">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000000"/>
          <w:spacing w:val="0"/>
          <w:sz w:val="32"/>
          <w:szCs w:val="32"/>
          <w:highlight w:val="none"/>
          <w:lang w:val="en-US" w:eastAsia="zh-CN"/>
        </w:rPr>
      </w:pPr>
      <w:r>
        <w:rPr>
          <w:rStyle w:val="26"/>
          <w:rFonts w:hint="eastAsia" w:ascii="仿宋" w:hAnsi="仿宋" w:eastAsia="仿宋" w:cs="仿宋"/>
          <w:i w:val="0"/>
          <w:iCs w:val="0"/>
          <w:caps w:val="0"/>
          <w:color w:val="000000"/>
          <w:spacing w:val="0"/>
          <w:sz w:val="32"/>
          <w:szCs w:val="32"/>
          <w:highlight w:val="none"/>
        </w:rPr>
        <w:t>中小企业声明函</w:t>
      </w:r>
      <w:r>
        <w:rPr>
          <w:rStyle w:val="26"/>
          <w:rFonts w:hint="eastAsia" w:ascii="仿宋" w:hAnsi="仿宋" w:eastAsia="仿宋" w:cs="仿宋"/>
          <w:i w:val="0"/>
          <w:iCs w:val="0"/>
          <w:caps w:val="0"/>
          <w:color w:val="000000"/>
          <w:spacing w:val="0"/>
          <w:sz w:val="32"/>
          <w:szCs w:val="32"/>
          <w:highlight w:val="none"/>
          <w:lang w:eastAsia="zh-CN"/>
        </w:rPr>
        <w:t>（</w:t>
      </w:r>
      <w:r>
        <w:rPr>
          <w:rStyle w:val="26"/>
          <w:rFonts w:hint="eastAsia" w:ascii="仿宋" w:hAnsi="仿宋" w:eastAsia="仿宋" w:cs="仿宋"/>
          <w:i w:val="0"/>
          <w:iCs w:val="0"/>
          <w:caps w:val="0"/>
          <w:color w:val="000000"/>
          <w:spacing w:val="0"/>
          <w:sz w:val="32"/>
          <w:szCs w:val="32"/>
          <w:highlight w:val="none"/>
        </w:rPr>
        <w:t>货物</w:t>
      </w:r>
      <w:r>
        <w:rPr>
          <w:rStyle w:val="26"/>
          <w:rFonts w:hint="eastAsia" w:ascii="仿宋" w:hAnsi="仿宋" w:eastAsia="仿宋" w:cs="仿宋"/>
          <w:i w:val="0"/>
          <w:iCs w:val="0"/>
          <w:caps w:val="0"/>
          <w:color w:val="000000"/>
          <w:spacing w:val="0"/>
          <w:sz w:val="32"/>
          <w:szCs w:val="32"/>
          <w:highlight w:val="none"/>
          <w:lang w:eastAsia="zh-CN"/>
        </w:rPr>
        <w:t>）</w:t>
      </w:r>
    </w:p>
    <w:p w14:paraId="441DAA12">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7"/>
          <w:szCs w:val="27"/>
          <w:highlight w:val="none"/>
        </w:rPr>
      </w:pPr>
      <w:r>
        <w:rPr>
          <w:rFonts w:hint="eastAsia" w:ascii="仿宋" w:hAnsi="仿宋" w:eastAsia="仿宋" w:cs="仿宋"/>
          <w:i w:val="0"/>
          <w:iCs w:val="0"/>
          <w:caps w:val="0"/>
          <w:color w:val="000000"/>
          <w:spacing w:val="0"/>
          <w:sz w:val="27"/>
          <w:szCs w:val="27"/>
          <w:highlight w:val="none"/>
        </w:rPr>
        <w:t> </w:t>
      </w:r>
    </w:p>
    <w:p w14:paraId="7D16E0CD">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720" w:firstLineChars="30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本公司（联合体）郑重声明，根据《政府采购促进中小企业发展管理办法》（财库〔2020〕[2020]46号）的规定，本公司（联合体）参加</w:t>
      </w:r>
      <w:r>
        <w:rPr>
          <w:rFonts w:hint="eastAsia" w:ascii="仿宋" w:hAnsi="仿宋" w:eastAsia="仿宋" w:cs="仿宋"/>
          <w:i/>
          <w:iCs/>
          <w:caps w:val="0"/>
          <w:color w:val="000000"/>
          <w:spacing w:val="0"/>
          <w:sz w:val="24"/>
          <w:szCs w:val="24"/>
          <w:highlight w:val="none"/>
          <w:u w:val="single"/>
        </w:rPr>
        <w:t>（单位名称）</w:t>
      </w:r>
      <w:r>
        <w:rPr>
          <w:rFonts w:hint="eastAsia" w:ascii="仿宋" w:hAnsi="仿宋" w:eastAsia="仿宋" w:cs="仿宋"/>
          <w:i w:val="0"/>
          <w:iCs w:val="0"/>
          <w:caps w:val="0"/>
          <w:color w:val="000000"/>
          <w:spacing w:val="0"/>
          <w:sz w:val="24"/>
          <w:szCs w:val="24"/>
          <w:highlight w:val="none"/>
        </w:rPr>
        <w:t>的</w:t>
      </w:r>
      <w:r>
        <w:rPr>
          <w:rFonts w:hint="eastAsia" w:ascii="仿宋" w:hAnsi="仿宋" w:eastAsia="仿宋" w:cs="仿宋"/>
          <w:i/>
          <w:iCs/>
          <w:caps w:val="0"/>
          <w:color w:val="000000"/>
          <w:spacing w:val="0"/>
          <w:sz w:val="24"/>
          <w:szCs w:val="24"/>
          <w:highlight w:val="none"/>
          <w:u w:val="single"/>
        </w:rPr>
        <w:t>（项目名称）</w:t>
      </w:r>
      <w:r>
        <w:rPr>
          <w:rFonts w:hint="eastAsia" w:ascii="仿宋" w:hAnsi="仿宋" w:eastAsia="仿宋" w:cs="仿宋"/>
          <w:i w:val="0"/>
          <w:iCs w:val="0"/>
          <w:caps w:val="0"/>
          <w:color w:val="000000"/>
          <w:spacing w:val="0"/>
          <w:sz w:val="24"/>
          <w:szCs w:val="24"/>
          <w:highlight w:val="none"/>
        </w:rPr>
        <w:t>采购活动，提供的货物全部由符合政策要求的中小企业制造。相关企业（含联合体中的中小企业、签订分包意向协议的中小企业）的具体情况如下：</w:t>
      </w:r>
    </w:p>
    <w:p w14:paraId="760CD20C">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1.</w:t>
      </w:r>
      <w:r>
        <w:rPr>
          <w:rFonts w:hint="eastAsia" w:ascii="仿宋" w:hAnsi="仿宋" w:eastAsia="仿宋" w:cs="仿宋"/>
          <w:i/>
          <w:iCs/>
          <w:caps w:val="0"/>
          <w:color w:val="000000"/>
          <w:spacing w:val="0"/>
          <w:sz w:val="24"/>
          <w:szCs w:val="24"/>
          <w:highlight w:val="none"/>
          <w:u w:val="single"/>
        </w:rPr>
        <w:t>（标的名称）</w:t>
      </w:r>
      <w:r>
        <w:rPr>
          <w:rFonts w:hint="eastAsia" w:ascii="仿宋" w:hAnsi="仿宋" w:eastAsia="仿宋" w:cs="仿宋"/>
          <w:i w:val="0"/>
          <w:iCs w:val="0"/>
          <w:caps w:val="0"/>
          <w:color w:val="000000"/>
          <w:spacing w:val="0"/>
          <w:sz w:val="24"/>
          <w:szCs w:val="24"/>
          <w:highlight w:val="none"/>
        </w:rPr>
        <w:t>，属于</w:t>
      </w:r>
      <w:r>
        <w:rPr>
          <w:rFonts w:hint="eastAsia" w:ascii="仿宋" w:hAnsi="仿宋" w:eastAsia="仿宋" w:cs="仿宋"/>
          <w:i/>
          <w:iCs/>
          <w:caps w:val="0"/>
          <w:color w:val="000000"/>
          <w:spacing w:val="0"/>
          <w:sz w:val="24"/>
          <w:szCs w:val="24"/>
          <w:highlight w:val="none"/>
          <w:u w:val="single"/>
        </w:rPr>
        <w:t>（采购文件中明确的所属行业）</w:t>
      </w:r>
      <w:r>
        <w:rPr>
          <w:rFonts w:hint="eastAsia" w:ascii="仿宋" w:hAnsi="仿宋" w:eastAsia="仿宋" w:cs="仿宋"/>
          <w:i w:val="0"/>
          <w:iCs w:val="0"/>
          <w:caps w:val="0"/>
          <w:color w:val="000000"/>
          <w:spacing w:val="0"/>
          <w:sz w:val="24"/>
          <w:szCs w:val="24"/>
          <w:highlight w:val="none"/>
        </w:rPr>
        <w:t>；制造商为</w:t>
      </w:r>
      <w:r>
        <w:rPr>
          <w:rFonts w:hint="eastAsia" w:ascii="仿宋" w:hAnsi="仿宋" w:eastAsia="仿宋" w:cs="仿宋"/>
          <w:i/>
          <w:iCs/>
          <w:caps w:val="0"/>
          <w:color w:val="000000"/>
          <w:spacing w:val="0"/>
          <w:sz w:val="24"/>
          <w:szCs w:val="24"/>
          <w:highlight w:val="none"/>
          <w:u w:val="single"/>
        </w:rPr>
        <w:t>（企业名称）</w:t>
      </w:r>
      <w:r>
        <w:rPr>
          <w:rFonts w:hint="eastAsia" w:ascii="仿宋" w:hAnsi="仿宋" w:eastAsia="仿宋" w:cs="仿宋"/>
          <w:i w:val="0"/>
          <w:iCs w:val="0"/>
          <w:caps w:val="0"/>
          <w:color w:val="000000"/>
          <w:spacing w:val="0"/>
          <w:sz w:val="24"/>
          <w:szCs w:val="24"/>
          <w:highlight w:val="none"/>
        </w:rPr>
        <w:t>，从业人员</w:t>
      </w:r>
      <w:r>
        <w:rPr>
          <w:rFonts w:hint="eastAsia" w:ascii="仿宋" w:hAnsi="仿宋" w:eastAsia="仿宋" w:cs="仿宋"/>
          <w:i w:val="0"/>
          <w:iCs w:val="0"/>
          <w:caps w:val="0"/>
          <w:color w:val="000000"/>
          <w:spacing w:val="0"/>
          <w:sz w:val="24"/>
          <w:szCs w:val="24"/>
          <w:highlight w:val="none"/>
          <w:u w:val="single"/>
          <w:lang w:val="en-US" w:eastAsia="zh-CN"/>
        </w:rPr>
        <w:t xml:space="preserve">      </w:t>
      </w:r>
      <w:r>
        <w:rPr>
          <w:rFonts w:hint="eastAsia" w:ascii="仿宋" w:hAnsi="仿宋" w:eastAsia="仿宋" w:cs="仿宋"/>
          <w:i w:val="0"/>
          <w:iCs w:val="0"/>
          <w:caps w:val="0"/>
          <w:color w:val="000000"/>
          <w:spacing w:val="0"/>
          <w:sz w:val="24"/>
          <w:szCs w:val="24"/>
          <w:highlight w:val="none"/>
        </w:rPr>
        <w:t>人，营业收入为</w:t>
      </w:r>
      <w:r>
        <w:rPr>
          <w:rFonts w:hint="eastAsia" w:ascii="仿宋" w:hAnsi="仿宋" w:eastAsia="仿宋" w:cs="仿宋"/>
          <w:i w:val="0"/>
          <w:iCs w:val="0"/>
          <w:caps w:val="0"/>
          <w:color w:val="000000"/>
          <w:spacing w:val="0"/>
          <w:sz w:val="24"/>
          <w:szCs w:val="24"/>
          <w:highlight w:val="none"/>
          <w:u w:val="single"/>
          <w:lang w:val="en-US" w:eastAsia="zh-CN"/>
        </w:rPr>
        <w:t xml:space="preserve">       </w:t>
      </w:r>
      <w:r>
        <w:rPr>
          <w:rFonts w:hint="eastAsia" w:ascii="仿宋" w:hAnsi="仿宋" w:eastAsia="仿宋" w:cs="仿宋"/>
          <w:i w:val="0"/>
          <w:iCs w:val="0"/>
          <w:caps w:val="0"/>
          <w:color w:val="000000"/>
          <w:spacing w:val="0"/>
          <w:sz w:val="24"/>
          <w:szCs w:val="24"/>
          <w:highlight w:val="none"/>
        </w:rPr>
        <w:t> 万元，资产总额为</w:t>
      </w:r>
      <w:r>
        <w:rPr>
          <w:rFonts w:hint="eastAsia" w:ascii="仿宋" w:hAnsi="仿宋" w:eastAsia="仿宋" w:cs="仿宋"/>
          <w:i w:val="0"/>
          <w:iCs w:val="0"/>
          <w:caps w:val="0"/>
          <w:color w:val="000000"/>
          <w:spacing w:val="0"/>
          <w:sz w:val="24"/>
          <w:szCs w:val="24"/>
          <w:highlight w:val="none"/>
          <w:u w:val="single"/>
          <w:lang w:val="en-US" w:eastAsia="zh-CN"/>
        </w:rPr>
        <w:t xml:space="preserve">       </w:t>
      </w:r>
      <w:r>
        <w:rPr>
          <w:rFonts w:hint="eastAsia" w:ascii="仿宋" w:hAnsi="仿宋" w:eastAsia="仿宋" w:cs="仿宋"/>
          <w:i w:val="0"/>
          <w:iCs w:val="0"/>
          <w:caps w:val="0"/>
          <w:color w:val="000000"/>
          <w:spacing w:val="0"/>
          <w:sz w:val="24"/>
          <w:szCs w:val="24"/>
          <w:highlight w:val="none"/>
        </w:rPr>
        <w:t> 万元，属于</w:t>
      </w:r>
      <w:r>
        <w:rPr>
          <w:rFonts w:hint="eastAsia" w:ascii="仿宋" w:hAnsi="仿宋" w:eastAsia="仿宋" w:cs="仿宋"/>
          <w:i/>
          <w:iCs/>
          <w:caps w:val="0"/>
          <w:color w:val="000000"/>
          <w:spacing w:val="0"/>
          <w:sz w:val="24"/>
          <w:szCs w:val="24"/>
          <w:highlight w:val="none"/>
          <w:u w:val="single"/>
        </w:rPr>
        <w:t>（中型企业、小型企业、微型企业）</w:t>
      </w:r>
      <w:r>
        <w:rPr>
          <w:rFonts w:hint="eastAsia" w:ascii="仿宋" w:hAnsi="仿宋" w:eastAsia="仿宋" w:cs="仿宋"/>
          <w:i w:val="0"/>
          <w:iCs w:val="0"/>
          <w:caps w:val="0"/>
          <w:color w:val="000000"/>
          <w:spacing w:val="0"/>
          <w:sz w:val="24"/>
          <w:szCs w:val="24"/>
          <w:highlight w:val="none"/>
        </w:rPr>
        <w:t>；</w:t>
      </w:r>
    </w:p>
    <w:p w14:paraId="645D9AA1">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2.</w:t>
      </w:r>
      <w:r>
        <w:rPr>
          <w:rFonts w:hint="eastAsia" w:ascii="仿宋" w:hAnsi="仿宋" w:eastAsia="仿宋" w:cs="仿宋"/>
          <w:i/>
          <w:iCs/>
          <w:caps w:val="0"/>
          <w:color w:val="000000"/>
          <w:spacing w:val="0"/>
          <w:sz w:val="24"/>
          <w:szCs w:val="24"/>
          <w:highlight w:val="none"/>
          <w:u w:val="single"/>
        </w:rPr>
        <w:t>（标的名称）</w:t>
      </w:r>
      <w:r>
        <w:rPr>
          <w:rFonts w:hint="eastAsia" w:ascii="仿宋" w:hAnsi="仿宋" w:eastAsia="仿宋" w:cs="仿宋"/>
          <w:i w:val="0"/>
          <w:iCs w:val="0"/>
          <w:caps w:val="0"/>
          <w:color w:val="000000"/>
          <w:spacing w:val="0"/>
          <w:sz w:val="24"/>
          <w:szCs w:val="24"/>
          <w:highlight w:val="none"/>
        </w:rPr>
        <w:t>，属于</w:t>
      </w:r>
      <w:r>
        <w:rPr>
          <w:rFonts w:hint="eastAsia" w:ascii="仿宋" w:hAnsi="仿宋" w:eastAsia="仿宋" w:cs="仿宋"/>
          <w:i/>
          <w:iCs/>
          <w:caps w:val="0"/>
          <w:color w:val="000000"/>
          <w:spacing w:val="0"/>
          <w:sz w:val="24"/>
          <w:szCs w:val="24"/>
          <w:highlight w:val="none"/>
          <w:u w:val="single"/>
        </w:rPr>
        <w:t>（采购文件中明确的所属行业）</w:t>
      </w:r>
      <w:r>
        <w:rPr>
          <w:rFonts w:hint="eastAsia" w:ascii="仿宋" w:hAnsi="仿宋" w:eastAsia="仿宋" w:cs="仿宋"/>
          <w:i w:val="0"/>
          <w:iCs w:val="0"/>
          <w:caps w:val="0"/>
          <w:color w:val="000000"/>
          <w:spacing w:val="0"/>
          <w:sz w:val="24"/>
          <w:szCs w:val="24"/>
          <w:highlight w:val="none"/>
        </w:rPr>
        <w:t>；制造商为</w:t>
      </w:r>
      <w:r>
        <w:rPr>
          <w:rFonts w:hint="eastAsia" w:ascii="仿宋" w:hAnsi="仿宋" w:eastAsia="仿宋" w:cs="仿宋"/>
          <w:i/>
          <w:iCs/>
          <w:caps w:val="0"/>
          <w:color w:val="000000"/>
          <w:spacing w:val="0"/>
          <w:sz w:val="24"/>
          <w:szCs w:val="24"/>
          <w:highlight w:val="none"/>
          <w:u w:val="single"/>
        </w:rPr>
        <w:t>（企业名称）</w:t>
      </w:r>
      <w:r>
        <w:rPr>
          <w:rFonts w:hint="eastAsia" w:ascii="仿宋" w:hAnsi="仿宋" w:eastAsia="仿宋" w:cs="仿宋"/>
          <w:i w:val="0"/>
          <w:iCs w:val="0"/>
          <w:caps w:val="0"/>
          <w:color w:val="000000"/>
          <w:spacing w:val="0"/>
          <w:sz w:val="24"/>
          <w:szCs w:val="24"/>
          <w:highlight w:val="none"/>
        </w:rPr>
        <w:t>，从业人员</w:t>
      </w:r>
      <w:r>
        <w:rPr>
          <w:rFonts w:hint="eastAsia" w:ascii="仿宋" w:hAnsi="仿宋" w:eastAsia="仿宋" w:cs="仿宋"/>
          <w:i w:val="0"/>
          <w:iCs w:val="0"/>
          <w:caps w:val="0"/>
          <w:color w:val="000000"/>
          <w:spacing w:val="0"/>
          <w:sz w:val="24"/>
          <w:szCs w:val="24"/>
          <w:highlight w:val="none"/>
          <w:u w:val="single"/>
          <w:lang w:val="en-US" w:eastAsia="zh-CN"/>
        </w:rPr>
        <w:t xml:space="preserve">      </w:t>
      </w:r>
      <w:r>
        <w:rPr>
          <w:rFonts w:hint="eastAsia" w:ascii="仿宋" w:hAnsi="仿宋" w:eastAsia="仿宋" w:cs="仿宋"/>
          <w:i w:val="0"/>
          <w:iCs w:val="0"/>
          <w:caps w:val="0"/>
          <w:color w:val="000000"/>
          <w:spacing w:val="0"/>
          <w:sz w:val="24"/>
          <w:szCs w:val="24"/>
          <w:highlight w:val="none"/>
        </w:rPr>
        <w:t>人，营业收入为</w:t>
      </w:r>
      <w:r>
        <w:rPr>
          <w:rFonts w:hint="eastAsia" w:ascii="仿宋" w:hAnsi="仿宋" w:eastAsia="仿宋" w:cs="仿宋"/>
          <w:i w:val="0"/>
          <w:iCs w:val="0"/>
          <w:caps w:val="0"/>
          <w:color w:val="000000"/>
          <w:spacing w:val="0"/>
          <w:sz w:val="24"/>
          <w:szCs w:val="24"/>
          <w:highlight w:val="none"/>
          <w:u w:val="single"/>
          <w:lang w:val="en-US" w:eastAsia="zh-CN"/>
        </w:rPr>
        <w:t xml:space="preserve">       </w:t>
      </w:r>
      <w:r>
        <w:rPr>
          <w:rFonts w:hint="eastAsia" w:ascii="仿宋" w:hAnsi="仿宋" w:eastAsia="仿宋" w:cs="仿宋"/>
          <w:i w:val="0"/>
          <w:iCs w:val="0"/>
          <w:caps w:val="0"/>
          <w:color w:val="000000"/>
          <w:spacing w:val="0"/>
          <w:sz w:val="24"/>
          <w:szCs w:val="24"/>
          <w:highlight w:val="none"/>
        </w:rPr>
        <w:t> 万元，资产总额为</w:t>
      </w:r>
      <w:r>
        <w:rPr>
          <w:rFonts w:hint="eastAsia" w:ascii="仿宋" w:hAnsi="仿宋" w:eastAsia="仿宋" w:cs="仿宋"/>
          <w:i w:val="0"/>
          <w:iCs w:val="0"/>
          <w:caps w:val="0"/>
          <w:color w:val="000000"/>
          <w:spacing w:val="0"/>
          <w:sz w:val="24"/>
          <w:szCs w:val="24"/>
          <w:highlight w:val="none"/>
          <w:u w:val="single"/>
          <w:lang w:val="en-US" w:eastAsia="zh-CN"/>
        </w:rPr>
        <w:t xml:space="preserve">       </w:t>
      </w:r>
      <w:r>
        <w:rPr>
          <w:rFonts w:hint="eastAsia" w:ascii="仿宋" w:hAnsi="仿宋" w:eastAsia="仿宋" w:cs="仿宋"/>
          <w:i w:val="0"/>
          <w:iCs w:val="0"/>
          <w:caps w:val="0"/>
          <w:color w:val="000000"/>
          <w:spacing w:val="0"/>
          <w:sz w:val="24"/>
          <w:szCs w:val="24"/>
          <w:highlight w:val="none"/>
        </w:rPr>
        <w:t> 万元，属于</w:t>
      </w:r>
      <w:r>
        <w:rPr>
          <w:rFonts w:hint="eastAsia" w:ascii="仿宋" w:hAnsi="仿宋" w:eastAsia="仿宋" w:cs="仿宋"/>
          <w:i/>
          <w:iCs/>
          <w:caps w:val="0"/>
          <w:color w:val="000000"/>
          <w:spacing w:val="0"/>
          <w:sz w:val="24"/>
          <w:szCs w:val="24"/>
          <w:highlight w:val="none"/>
          <w:u w:val="single"/>
        </w:rPr>
        <w:t>（中型企业、小型企业、微型企业）</w:t>
      </w:r>
      <w:r>
        <w:rPr>
          <w:rFonts w:hint="eastAsia" w:ascii="仿宋" w:hAnsi="仿宋" w:eastAsia="仿宋" w:cs="仿宋"/>
          <w:i w:val="0"/>
          <w:iCs w:val="0"/>
          <w:caps w:val="0"/>
          <w:color w:val="000000"/>
          <w:spacing w:val="0"/>
          <w:sz w:val="24"/>
          <w:szCs w:val="24"/>
          <w:highlight w:val="none"/>
        </w:rPr>
        <w:t>；</w:t>
      </w:r>
    </w:p>
    <w:p w14:paraId="7E3CD967">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w:t>
      </w:r>
    </w:p>
    <w:p w14:paraId="1E9C5B2D">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以上企业，不属于大企业的分支机构，不存在控股股东为大企业的情形，也不存在与大企业的负责人为同一人的情形。</w:t>
      </w:r>
    </w:p>
    <w:p w14:paraId="07A34AFE">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本企业对上述声明内容的真实性负责。如有虚假，将依法承担相应责任。</w:t>
      </w:r>
    </w:p>
    <w:p w14:paraId="4C6775B6">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 </w:t>
      </w:r>
    </w:p>
    <w:p w14:paraId="3557DBB9">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000000"/>
          <w:spacing w:val="0"/>
          <w:sz w:val="24"/>
          <w:szCs w:val="24"/>
          <w:highlight w:val="none"/>
          <w:u w:val="singl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           </w:t>
      </w:r>
      <w:r>
        <w:rPr>
          <w:rFonts w:hint="eastAsia" w:ascii="仿宋" w:hAnsi="仿宋" w:eastAsia="仿宋" w:cs="仿宋"/>
          <w:i w:val="0"/>
          <w:iCs w:val="0"/>
          <w:caps w:val="0"/>
          <w:color w:val="000000"/>
          <w:spacing w:val="0"/>
          <w:sz w:val="24"/>
          <w:szCs w:val="24"/>
          <w:highlight w:val="none"/>
        </w:rPr>
        <w:t>企业名称（盖章）：</w:t>
      </w:r>
      <w:r>
        <w:rPr>
          <w:rFonts w:hint="eastAsia" w:ascii="仿宋" w:hAnsi="仿宋" w:eastAsia="仿宋" w:cs="仿宋"/>
          <w:i w:val="0"/>
          <w:iCs w:val="0"/>
          <w:caps w:val="0"/>
          <w:color w:val="000000"/>
          <w:spacing w:val="0"/>
          <w:sz w:val="24"/>
          <w:szCs w:val="24"/>
          <w:highlight w:val="none"/>
          <w:u w:val="single"/>
          <w:lang w:val="en-US" w:eastAsia="zh-CN"/>
        </w:rPr>
        <w:t xml:space="preserve">          </w:t>
      </w:r>
    </w:p>
    <w:p w14:paraId="4E4CE7C0">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520" w:firstLineChars="2300"/>
        <w:jc w:val="both"/>
        <w:textAlignment w:val="auto"/>
        <w:rPr>
          <w:rFonts w:hint="eastAsia" w:ascii="仿宋" w:hAnsi="仿宋" w:eastAsia="仿宋" w:cs="仿宋"/>
          <w:i w:val="0"/>
          <w:iCs w:val="0"/>
          <w:caps w:val="0"/>
          <w:color w:val="000000"/>
          <w:spacing w:val="0"/>
          <w:sz w:val="27"/>
          <w:szCs w:val="27"/>
          <w:highlight w:val="none"/>
          <w:u w:val="single"/>
          <w:lang w:val="en-US" w:eastAsia="zh-CN"/>
        </w:rPr>
      </w:pPr>
      <w:r>
        <w:rPr>
          <w:rFonts w:hint="eastAsia" w:ascii="仿宋" w:hAnsi="仿宋" w:eastAsia="仿宋" w:cs="仿宋"/>
          <w:i w:val="0"/>
          <w:iCs w:val="0"/>
          <w:caps w:val="0"/>
          <w:color w:val="000000"/>
          <w:spacing w:val="0"/>
          <w:sz w:val="24"/>
          <w:szCs w:val="24"/>
          <w:highlight w:val="none"/>
        </w:rPr>
        <w:t>日期：</w:t>
      </w:r>
      <w:r>
        <w:rPr>
          <w:rFonts w:hint="eastAsia" w:ascii="仿宋" w:hAnsi="仿宋" w:eastAsia="仿宋" w:cs="仿宋"/>
          <w:i w:val="0"/>
          <w:iCs w:val="0"/>
          <w:caps w:val="0"/>
          <w:color w:val="000000"/>
          <w:spacing w:val="0"/>
          <w:sz w:val="24"/>
          <w:szCs w:val="24"/>
          <w:highlight w:val="none"/>
          <w:u w:val="single"/>
          <w:lang w:val="en-US" w:eastAsia="zh-CN"/>
        </w:rPr>
        <w:t xml:space="preserve">         </w:t>
      </w:r>
    </w:p>
    <w:p w14:paraId="43941AD9">
      <w:pPr>
        <w:rPr>
          <w:rFonts w:hint="eastAsia" w:ascii="仿宋" w:hAnsi="仿宋" w:eastAsia="仿宋" w:cs="仿宋"/>
          <w:b w:val="0"/>
          <w:bCs w:val="0"/>
          <w:color w:val="000000"/>
          <w:kern w:val="0"/>
          <w:sz w:val="21"/>
          <w:szCs w:val="21"/>
          <w:highlight w:val="none"/>
          <w:lang w:val="en-US" w:eastAsia="zh-CN" w:bidi="ar"/>
        </w:rPr>
      </w:pPr>
    </w:p>
    <w:p w14:paraId="671D4511">
      <w:pPr>
        <w:rPr>
          <w:rFonts w:hint="eastAsia" w:ascii="仿宋" w:hAnsi="仿宋" w:eastAsia="仿宋" w:cs="仿宋"/>
          <w:b w:val="0"/>
          <w:bCs w:val="0"/>
          <w:color w:val="000000"/>
          <w:kern w:val="0"/>
          <w:sz w:val="21"/>
          <w:szCs w:val="21"/>
          <w:highlight w:val="none"/>
          <w:lang w:val="en-US" w:eastAsia="zh-CN" w:bidi="ar"/>
        </w:rPr>
      </w:pPr>
    </w:p>
    <w:p w14:paraId="7134AC88">
      <w:pPr>
        <w:rPr>
          <w:rFonts w:hint="eastAsia" w:ascii="仿宋" w:hAnsi="仿宋" w:eastAsia="仿宋" w:cs="仿宋"/>
          <w:b w:val="0"/>
          <w:bCs w:val="0"/>
          <w:color w:val="000000"/>
          <w:kern w:val="0"/>
          <w:sz w:val="21"/>
          <w:szCs w:val="21"/>
          <w:highlight w:val="none"/>
          <w:lang w:val="en-US" w:eastAsia="zh-CN" w:bidi="ar"/>
        </w:rPr>
      </w:pPr>
    </w:p>
    <w:p w14:paraId="4AF3811B">
      <w:pPr>
        <w:rPr>
          <w:rFonts w:hint="eastAsia" w:ascii="仿宋" w:hAnsi="仿宋" w:eastAsia="仿宋" w:cs="仿宋"/>
          <w:b w:val="0"/>
          <w:bCs w:val="0"/>
          <w:color w:val="000000"/>
          <w:kern w:val="0"/>
          <w:sz w:val="21"/>
          <w:szCs w:val="21"/>
          <w:highlight w:val="none"/>
          <w:lang w:val="en-US" w:eastAsia="zh-CN" w:bidi="ar"/>
        </w:rPr>
      </w:pPr>
    </w:p>
    <w:p w14:paraId="79861381">
      <w:pPr>
        <w:rPr>
          <w:rFonts w:hint="eastAsia" w:ascii="仿宋" w:hAnsi="仿宋" w:eastAsia="仿宋" w:cs="仿宋"/>
          <w:b w:val="0"/>
          <w:bCs w:val="0"/>
          <w:color w:val="000000"/>
          <w:kern w:val="0"/>
          <w:sz w:val="21"/>
          <w:szCs w:val="21"/>
          <w:highlight w:val="none"/>
          <w:lang w:val="en-US" w:eastAsia="zh-CN" w:bidi="ar"/>
        </w:rPr>
      </w:pPr>
    </w:p>
    <w:p w14:paraId="6F3084EF">
      <w:pPr>
        <w:rPr>
          <w:rFonts w:hint="eastAsia" w:ascii="仿宋" w:hAnsi="仿宋" w:eastAsia="仿宋" w:cs="仿宋"/>
          <w:b w:val="0"/>
          <w:bCs w:val="0"/>
          <w:color w:val="000000"/>
          <w:kern w:val="0"/>
          <w:sz w:val="21"/>
          <w:szCs w:val="21"/>
          <w:highlight w:val="none"/>
          <w:lang w:val="en-US" w:eastAsia="zh-CN" w:bidi="ar"/>
        </w:rPr>
      </w:pPr>
    </w:p>
    <w:p w14:paraId="57537CA1">
      <w:pPr>
        <w:rPr>
          <w:rFonts w:hint="eastAsia" w:ascii="仿宋" w:hAnsi="仿宋" w:eastAsia="仿宋" w:cs="仿宋"/>
          <w:b w:val="0"/>
          <w:bCs w:val="0"/>
          <w:color w:val="000000"/>
          <w:kern w:val="0"/>
          <w:sz w:val="21"/>
          <w:szCs w:val="21"/>
          <w:highlight w:val="none"/>
          <w:lang w:val="en-US" w:eastAsia="zh-CN" w:bidi="ar"/>
        </w:rPr>
      </w:pPr>
    </w:p>
    <w:p w14:paraId="0511C775">
      <w:pPr>
        <w:rPr>
          <w:rFonts w:hint="eastAsia" w:ascii="仿宋" w:hAnsi="仿宋" w:eastAsia="仿宋" w:cs="仿宋"/>
          <w:b w:val="0"/>
          <w:bCs w:val="0"/>
          <w:color w:val="000000"/>
          <w:kern w:val="0"/>
          <w:sz w:val="21"/>
          <w:szCs w:val="21"/>
          <w:highlight w:val="none"/>
          <w:lang w:val="en-US" w:eastAsia="zh-CN" w:bidi="ar"/>
        </w:rPr>
      </w:pPr>
      <w:r>
        <w:rPr>
          <w:rFonts w:hint="eastAsia" w:ascii="仿宋" w:hAnsi="仿宋" w:eastAsia="仿宋" w:cs="仿宋"/>
          <w:b w:val="0"/>
          <w:bCs w:val="0"/>
          <w:color w:val="000000"/>
          <w:kern w:val="0"/>
          <w:sz w:val="21"/>
          <w:szCs w:val="21"/>
          <w:highlight w:val="none"/>
          <w:lang w:val="en-US" w:eastAsia="zh-CN" w:bidi="ar"/>
        </w:rPr>
        <w:t>从业人员、营业收入、资产总额填报上一年度数据，无上一年度数据的新成立企业可不填报。</w:t>
      </w:r>
    </w:p>
    <w:p w14:paraId="4E197130">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5F6C76B4">
      <w:pPr>
        <w:keepNext w:val="0"/>
        <w:keepLines w:val="0"/>
        <w:widowControl/>
        <w:suppressLineNumbers w:val="0"/>
        <w:jc w:val="center"/>
        <w:rPr>
          <w:rFonts w:hint="eastAsia" w:ascii="仿宋" w:hAnsi="仿宋" w:eastAsia="仿宋" w:cs="仿宋"/>
          <w:b/>
          <w:bCs/>
          <w:color w:val="000000"/>
          <w:kern w:val="0"/>
          <w:sz w:val="32"/>
          <w:szCs w:val="32"/>
          <w:highlight w:val="none"/>
          <w:lang w:val="en-US" w:eastAsia="zh-CN" w:bidi="ar"/>
        </w:rPr>
      </w:pPr>
      <w:r>
        <w:rPr>
          <w:rFonts w:hint="eastAsia" w:ascii="仿宋" w:hAnsi="仿宋" w:eastAsia="仿宋" w:cs="仿宋"/>
          <w:b/>
          <w:bCs/>
          <w:color w:val="000000"/>
          <w:kern w:val="0"/>
          <w:sz w:val="32"/>
          <w:szCs w:val="32"/>
          <w:highlight w:val="none"/>
          <w:lang w:val="en-US" w:eastAsia="zh-CN" w:bidi="ar"/>
        </w:rPr>
        <w:t>残疾人福利性单位声明函格式</w:t>
      </w:r>
    </w:p>
    <w:p w14:paraId="72BD7C13">
      <w:pPr>
        <w:keepNext w:val="0"/>
        <w:keepLines w:val="0"/>
        <w:widowControl/>
        <w:suppressLineNumbers w:val="0"/>
        <w:jc w:val="center"/>
        <w:rPr>
          <w:rFonts w:hint="eastAsia" w:ascii="仿宋" w:hAnsi="仿宋" w:eastAsia="仿宋" w:cs="仿宋"/>
          <w:b/>
          <w:bCs/>
          <w:color w:val="000000"/>
          <w:kern w:val="0"/>
          <w:sz w:val="32"/>
          <w:szCs w:val="32"/>
          <w:highlight w:val="none"/>
          <w:lang w:val="en-US" w:eastAsia="zh-CN" w:bidi="ar"/>
        </w:rPr>
      </w:pPr>
    </w:p>
    <w:p w14:paraId="2B4B4363">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本单位郑重声明，根据《财政部民政部中国残疾人联合会关于促进残疾人就业政府采购政策的通知》（财库〔2017〕 141 号）的规定，本单位</w:t>
      </w:r>
      <w:r>
        <w:rPr>
          <w:rFonts w:hint="eastAsia" w:ascii="仿宋" w:hAnsi="仿宋" w:eastAsia="仿宋" w:cs="仿宋"/>
          <w:b/>
          <w:bCs/>
          <w:color w:val="000000"/>
          <w:kern w:val="0"/>
          <w:sz w:val="24"/>
          <w:szCs w:val="24"/>
          <w:highlight w:val="none"/>
          <w:lang w:val="en-US" w:eastAsia="zh-CN" w:bidi="ar"/>
        </w:rPr>
        <w:t>（请进行勾选）</w:t>
      </w:r>
      <w:r>
        <w:rPr>
          <w:rFonts w:hint="eastAsia" w:ascii="仿宋" w:hAnsi="仿宋" w:eastAsia="仿宋" w:cs="仿宋"/>
          <w:color w:val="000000"/>
          <w:kern w:val="0"/>
          <w:sz w:val="24"/>
          <w:szCs w:val="24"/>
          <w:highlight w:val="none"/>
          <w:lang w:val="en-US" w:eastAsia="zh-CN" w:bidi="ar"/>
        </w:rPr>
        <w:t xml:space="preserve">： </w:t>
      </w:r>
    </w:p>
    <w:p w14:paraId="71B37ADC">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 xml:space="preserve">□不属于符合条件的残疾人福利性单位。 </w:t>
      </w:r>
    </w:p>
    <w:p w14:paraId="56C70A65">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□属于符合条件的残疾人福利性单位，</w:t>
      </w:r>
      <w:r>
        <w:rPr>
          <w:rFonts w:hint="eastAsia" w:ascii="仿宋" w:hAnsi="仿宋" w:eastAsia="仿宋" w:cs="仿宋"/>
          <w:color w:val="000000"/>
          <w:kern w:val="0"/>
          <w:sz w:val="24"/>
          <w:szCs w:val="24"/>
          <w:highlight w:val="none"/>
          <w:lang w:val="en-US" w:eastAsia="zh-CN" w:bidi="ar"/>
        </w:rPr>
        <w:t>且本单位参加</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单位的</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项目采购活动提供本单位制造的货物（由本单位承担工程/提供服务），或者提供其他残疾人福利性单位制造的货物（不包括使用非残疾人福利性单位注册商标的货物）。 </w:t>
      </w:r>
    </w:p>
    <w:p w14:paraId="11171AB4">
      <w:pPr>
        <w:keepNext w:val="0"/>
        <w:keepLines w:val="0"/>
        <w:pageBreakBefore w:val="0"/>
        <w:widowControl/>
        <w:suppressLineNumbers w:val="0"/>
        <w:kinsoku/>
        <w:wordWrap/>
        <w:overflowPunct/>
        <w:topLinePunct w:val="0"/>
        <w:autoSpaceDE/>
        <w:autoSpaceDN/>
        <w:bidi w:val="0"/>
        <w:adjustRightInd/>
        <w:snapToGrid/>
        <w:spacing w:line="500" w:lineRule="exact"/>
        <w:ind w:firstLine="723" w:firstLineChars="300"/>
        <w:jc w:val="left"/>
        <w:textAlignment w:val="auto"/>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 xml:space="preserve">本单位对上述声明的真实性负责。如有虚假，将依法承担相应责任。 </w:t>
      </w:r>
    </w:p>
    <w:p w14:paraId="1520935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5A6D4B1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2B58112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             单位名称（盖章）：</w:t>
      </w:r>
    </w:p>
    <w:p w14:paraId="50E0DFE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                         日期：</w:t>
      </w:r>
    </w:p>
    <w:p w14:paraId="0B5FECA8">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6C009E9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2-2 拟分包情况说明及分包意向协议 （本项目不适用）</w:t>
      </w:r>
    </w:p>
    <w:p w14:paraId="1B97E58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p>
    <w:p w14:paraId="2B4A577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highlight w:val="none"/>
          <w:lang w:val="en-US" w:eastAsia="zh-CN" w:bidi="ar"/>
        </w:rPr>
      </w:pPr>
    </w:p>
    <w:p w14:paraId="4D7B5B0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highlight w:val="none"/>
          <w:lang w:val="en-US" w:eastAsia="zh-CN" w:bidi="ar"/>
        </w:rPr>
      </w:pPr>
      <w:r>
        <w:rPr>
          <w:rFonts w:hint="eastAsia" w:ascii="仿宋" w:hAnsi="仿宋" w:eastAsia="仿宋" w:cs="仿宋"/>
          <w:b/>
          <w:bCs/>
          <w:color w:val="000000"/>
          <w:kern w:val="0"/>
          <w:sz w:val="32"/>
          <w:szCs w:val="32"/>
          <w:highlight w:val="none"/>
          <w:lang w:val="en-US" w:eastAsia="zh-CN" w:bidi="ar"/>
        </w:rPr>
        <w:t>拟分包情况说明</w:t>
      </w:r>
    </w:p>
    <w:p w14:paraId="49D4AC3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highlight w:val="none"/>
          <w:lang w:val="en-US" w:eastAsia="zh-CN" w:bidi="ar"/>
        </w:rPr>
      </w:pPr>
    </w:p>
    <w:p w14:paraId="595BF1B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致：</w:t>
      </w:r>
      <w:r>
        <w:rPr>
          <w:rFonts w:hint="eastAsia" w:ascii="仿宋" w:hAnsi="仿宋" w:eastAsia="仿宋" w:cs="仿宋"/>
          <w:color w:val="000000"/>
          <w:kern w:val="0"/>
          <w:sz w:val="24"/>
          <w:szCs w:val="24"/>
          <w:highlight w:val="none"/>
          <w:u w:val="single"/>
          <w:lang w:val="en-US" w:eastAsia="zh-CN" w:bidi="ar"/>
        </w:rPr>
        <w:t>（采购人或采购代理机构）</w:t>
      </w:r>
      <w:r>
        <w:rPr>
          <w:rFonts w:hint="eastAsia" w:ascii="仿宋" w:hAnsi="仿宋" w:eastAsia="仿宋" w:cs="仿宋"/>
          <w:color w:val="000000"/>
          <w:kern w:val="0"/>
          <w:sz w:val="24"/>
          <w:szCs w:val="24"/>
          <w:highlight w:val="none"/>
          <w:lang w:val="en-US" w:eastAsia="zh-CN" w:bidi="ar"/>
        </w:rPr>
        <w:t xml:space="preserve"> </w:t>
      </w:r>
    </w:p>
    <w:p w14:paraId="6745CFA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我单位参加贵单位组织采购的项目编号为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的</w:t>
      </w:r>
      <w:r>
        <w:rPr>
          <w:rFonts w:hint="eastAsia" w:ascii="仿宋" w:hAnsi="仿宋" w:eastAsia="仿宋" w:cs="仿宋"/>
          <w:color w:val="000000"/>
          <w:kern w:val="0"/>
          <w:sz w:val="24"/>
          <w:szCs w:val="24"/>
          <w:highlight w:val="none"/>
          <w:u w:val="single"/>
          <w:lang w:val="en-US" w:eastAsia="zh-CN" w:bidi="ar"/>
        </w:rPr>
        <w:t xml:space="preserve"> （填写采购项目名称）  </w:t>
      </w:r>
      <w:r>
        <w:rPr>
          <w:rFonts w:hint="eastAsia" w:ascii="仿宋" w:hAnsi="仿宋" w:eastAsia="仿宋" w:cs="仿宋"/>
          <w:color w:val="000000"/>
          <w:kern w:val="0"/>
          <w:sz w:val="24"/>
          <w:szCs w:val="24"/>
          <w:highlight w:val="none"/>
          <w:lang w:val="en-US" w:eastAsia="zh-CN" w:bidi="ar"/>
        </w:rPr>
        <w:t>项目中</w:t>
      </w:r>
      <w:r>
        <w:rPr>
          <w:rFonts w:hint="eastAsia" w:ascii="仿宋" w:hAnsi="仿宋" w:eastAsia="仿宋" w:cs="仿宋"/>
          <w:color w:val="000000"/>
          <w:kern w:val="0"/>
          <w:sz w:val="24"/>
          <w:szCs w:val="24"/>
          <w:highlight w:val="none"/>
          <w:u w:val="single"/>
          <w:lang w:val="en-US" w:eastAsia="zh-CN" w:bidi="ar"/>
        </w:rPr>
        <w:t xml:space="preserve"> （填写包号） </w:t>
      </w:r>
      <w:r>
        <w:rPr>
          <w:rFonts w:hint="eastAsia" w:ascii="仿宋" w:hAnsi="仿宋" w:eastAsia="仿宋" w:cs="仿宋"/>
          <w:color w:val="000000"/>
          <w:kern w:val="0"/>
          <w:sz w:val="24"/>
          <w:szCs w:val="24"/>
          <w:highlight w:val="none"/>
          <w:lang w:val="en-US" w:eastAsia="zh-CN" w:bidi="ar"/>
        </w:rPr>
        <w:t xml:space="preserve">包的投标。拟签订分包合同的单位情况如下表所示，我单 </w:t>
      </w:r>
    </w:p>
    <w:p w14:paraId="24ACBEB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位承诺一旦在该项目中获得采购合同将按下表所列情况进行分包，同时承诺分包承担主体不再次分包。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323"/>
        <w:gridCol w:w="1338"/>
        <w:gridCol w:w="1123"/>
        <w:gridCol w:w="1154"/>
        <w:gridCol w:w="1439"/>
        <w:gridCol w:w="1422"/>
      </w:tblGrid>
      <w:tr w14:paraId="20662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74A218F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b w:val="0"/>
                <w:bCs w:val="0"/>
                <w:color w:val="000000"/>
                <w:kern w:val="0"/>
                <w:sz w:val="21"/>
                <w:szCs w:val="21"/>
                <w:highlight w:val="none"/>
                <w:vertAlign w:val="baseline"/>
                <w:lang w:val="en-US" w:eastAsia="zh-CN" w:bidi="ar"/>
              </w:rPr>
              <w:t>序号</w:t>
            </w:r>
          </w:p>
        </w:tc>
        <w:tc>
          <w:tcPr>
            <w:tcW w:w="1323" w:type="dxa"/>
            <w:vAlign w:val="center"/>
          </w:tcPr>
          <w:p w14:paraId="7011DCB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b w:val="0"/>
                <w:bCs w:val="0"/>
                <w:color w:val="000000"/>
                <w:kern w:val="0"/>
                <w:sz w:val="21"/>
                <w:szCs w:val="21"/>
                <w:highlight w:val="none"/>
                <w:vertAlign w:val="baseline"/>
                <w:lang w:val="en-US" w:eastAsia="zh-CN" w:bidi="ar"/>
              </w:rPr>
              <w:t>分包承担</w:t>
            </w:r>
          </w:p>
          <w:p w14:paraId="10976B4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b w:val="0"/>
                <w:bCs w:val="0"/>
                <w:color w:val="000000"/>
                <w:kern w:val="0"/>
                <w:sz w:val="21"/>
                <w:szCs w:val="21"/>
                <w:highlight w:val="none"/>
                <w:vertAlign w:val="baseline"/>
                <w:lang w:val="en-US" w:eastAsia="zh-CN" w:bidi="ar"/>
              </w:rPr>
              <w:t>主体名称</w:t>
            </w:r>
          </w:p>
        </w:tc>
        <w:tc>
          <w:tcPr>
            <w:tcW w:w="1338" w:type="dxa"/>
            <w:vAlign w:val="center"/>
          </w:tcPr>
          <w:p w14:paraId="053AE4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分包承担</w:t>
            </w:r>
          </w:p>
          <w:p w14:paraId="0C2A35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主体类型</w:t>
            </w:r>
          </w:p>
          <w:p w14:paraId="5486E9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color w:val="000000"/>
                <w:kern w:val="0"/>
                <w:sz w:val="21"/>
                <w:szCs w:val="21"/>
                <w:highlight w:val="none"/>
                <w:lang w:val="en-US" w:eastAsia="zh-CN" w:bidi="ar"/>
              </w:rPr>
              <w:t>（勾选）</w:t>
            </w:r>
          </w:p>
        </w:tc>
        <w:tc>
          <w:tcPr>
            <w:tcW w:w="1123" w:type="dxa"/>
            <w:vAlign w:val="center"/>
          </w:tcPr>
          <w:p w14:paraId="556BDF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b w:val="0"/>
                <w:bCs w:val="0"/>
                <w:color w:val="000000"/>
                <w:kern w:val="0"/>
                <w:sz w:val="21"/>
                <w:szCs w:val="21"/>
                <w:highlight w:val="none"/>
                <w:vertAlign w:val="baseline"/>
                <w:lang w:val="en-US" w:eastAsia="zh-CN" w:bidi="ar"/>
              </w:rPr>
              <w:t>资质等级</w:t>
            </w:r>
          </w:p>
        </w:tc>
        <w:tc>
          <w:tcPr>
            <w:tcW w:w="1154" w:type="dxa"/>
            <w:vAlign w:val="center"/>
          </w:tcPr>
          <w:p w14:paraId="7E50D9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拟分包</w:t>
            </w:r>
          </w:p>
          <w:p w14:paraId="2D8ACE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color w:val="000000"/>
                <w:kern w:val="0"/>
                <w:sz w:val="21"/>
                <w:szCs w:val="21"/>
                <w:highlight w:val="none"/>
                <w:lang w:val="en-US" w:eastAsia="zh-CN" w:bidi="ar"/>
              </w:rPr>
              <w:t>合同内容</w:t>
            </w:r>
          </w:p>
        </w:tc>
        <w:tc>
          <w:tcPr>
            <w:tcW w:w="1439" w:type="dxa"/>
            <w:vAlign w:val="center"/>
          </w:tcPr>
          <w:p w14:paraId="60764F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拟分包</w:t>
            </w:r>
          </w:p>
          <w:p w14:paraId="695A4C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合同金额</w:t>
            </w:r>
          </w:p>
          <w:p w14:paraId="25B0EB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color w:val="000000"/>
                <w:kern w:val="0"/>
                <w:sz w:val="21"/>
                <w:szCs w:val="21"/>
                <w:highlight w:val="none"/>
                <w:lang w:val="en-US" w:eastAsia="zh-CN" w:bidi="ar"/>
              </w:rPr>
              <w:t>（人民币元）</w:t>
            </w:r>
          </w:p>
        </w:tc>
        <w:tc>
          <w:tcPr>
            <w:tcW w:w="1422" w:type="dxa"/>
            <w:vAlign w:val="center"/>
          </w:tcPr>
          <w:p w14:paraId="689A3DD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color w:val="000000"/>
                <w:kern w:val="0"/>
                <w:sz w:val="21"/>
                <w:szCs w:val="21"/>
                <w:highlight w:val="none"/>
                <w:lang w:val="en-US" w:eastAsia="zh-CN" w:bidi="ar"/>
              </w:rPr>
              <w:t>占该采购包</w:t>
            </w:r>
            <w:r>
              <w:rPr>
                <w:rFonts w:hint="eastAsia" w:ascii="仿宋" w:hAnsi="仿宋" w:eastAsia="仿宋" w:cs="仿宋"/>
                <w:b/>
                <w:bCs/>
                <w:color w:val="000000"/>
                <w:kern w:val="0"/>
                <w:sz w:val="21"/>
                <w:szCs w:val="21"/>
                <w:highlight w:val="none"/>
                <w:lang w:val="en-US" w:eastAsia="zh-CN" w:bidi="ar"/>
              </w:rPr>
              <w:t>预算金额的</w:t>
            </w:r>
            <w:r>
              <w:rPr>
                <w:rFonts w:hint="eastAsia" w:ascii="仿宋" w:hAnsi="仿宋" w:eastAsia="仿宋" w:cs="仿宋"/>
                <w:color w:val="000000"/>
                <w:kern w:val="0"/>
                <w:sz w:val="21"/>
                <w:szCs w:val="21"/>
                <w:highlight w:val="none"/>
                <w:lang w:val="en-US" w:eastAsia="zh-CN" w:bidi="ar"/>
              </w:rPr>
              <w:t>比例（%）</w:t>
            </w:r>
          </w:p>
        </w:tc>
      </w:tr>
      <w:tr w14:paraId="3366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478E66A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r>
              <w:rPr>
                <w:rFonts w:hint="eastAsia" w:ascii="仿宋" w:hAnsi="仿宋" w:eastAsia="仿宋" w:cs="仿宋"/>
                <w:b w:val="0"/>
                <w:bCs w:val="0"/>
                <w:color w:val="000000"/>
                <w:kern w:val="0"/>
                <w:sz w:val="24"/>
                <w:szCs w:val="24"/>
                <w:highlight w:val="none"/>
                <w:vertAlign w:val="baseline"/>
                <w:lang w:val="en-US" w:eastAsia="zh-CN" w:bidi="ar"/>
              </w:rPr>
              <w:t>1</w:t>
            </w:r>
          </w:p>
        </w:tc>
        <w:tc>
          <w:tcPr>
            <w:tcW w:w="1323" w:type="dxa"/>
            <w:vAlign w:val="center"/>
          </w:tcPr>
          <w:p w14:paraId="4D05642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338" w:type="dxa"/>
            <w:vAlign w:val="center"/>
          </w:tcPr>
          <w:p w14:paraId="7EE0728A">
            <w:pPr>
              <w:keepNext w:val="0"/>
              <w:keepLines w:val="0"/>
              <w:widowControl/>
              <w:suppressLineNumbers w:val="0"/>
              <w:jc w:val="center"/>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□中型企业</w:t>
            </w:r>
          </w:p>
          <w:p w14:paraId="2859B761">
            <w:pPr>
              <w:keepNext w:val="0"/>
              <w:keepLines w:val="0"/>
              <w:widowControl/>
              <w:suppressLineNumbers w:val="0"/>
              <w:jc w:val="center"/>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color w:val="000000"/>
                <w:kern w:val="0"/>
                <w:sz w:val="21"/>
                <w:szCs w:val="21"/>
                <w:highlight w:val="none"/>
                <w:lang w:val="en-US" w:eastAsia="zh-CN" w:bidi="ar"/>
              </w:rPr>
              <w:t>□小微企业</w:t>
            </w:r>
          </w:p>
        </w:tc>
        <w:tc>
          <w:tcPr>
            <w:tcW w:w="1123" w:type="dxa"/>
            <w:vAlign w:val="center"/>
          </w:tcPr>
          <w:p w14:paraId="548A10B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154" w:type="dxa"/>
            <w:vAlign w:val="center"/>
          </w:tcPr>
          <w:p w14:paraId="635BC19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439" w:type="dxa"/>
            <w:vAlign w:val="center"/>
          </w:tcPr>
          <w:p w14:paraId="732D0D1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422" w:type="dxa"/>
            <w:vAlign w:val="center"/>
          </w:tcPr>
          <w:p w14:paraId="6DC27C4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r>
      <w:tr w14:paraId="17E3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0E72DFE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r>
              <w:rPr>
                <w:rFonts w:hint="eastAsia" w:ascii="仿宋" w:hAnsi="仿宋" w:eastAsia="仿宋" w:cs="仿宋"/>
                <w:b w:val="0"/>
                <w:bCs w:val="0"/>
                <w:color w:val="000000"/>
                <w:kern w:val="0"/>
                <w:sz w:val="24"/>
                <w:szCs w:val="24"/>
                <w:highlight w:val="none"/>
                <w:vertAlign w:val="baseline"/>
                <w:lang w:val="en-US" w:eastAsia="zh-CN" w:bidi="ar"/>
              </w:rPr>
              <w:t>2</w:t>
            </w:r>
          </w:p>
        </w:tc>
        <w:tc>
          <w:tcPr>
            <w:tcW w:w="1323" w:type="dxa"/>
            <w:vAlign w:val="center"/>
          </w:tcPr>
          <w:p w14:paraId="3F64CDE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338" w:type="dxa"/>
            <w:vAlign w:val="center"/>
          </w:tcPr>
          <w:p w14:paraId="1AE21BC3">
            <w:pPr>
              <w:keepNext w:val="0"/>
              <w:keepLines w:val="0"/>
              <w:widowControl/>
              <w:suppressLineNumbers w:val="0"/>
              <w:jc w:val="center"/>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□中型企业</w:t>
            </w:r>
          </w:p>
          <w:p w14:paraId="11886B95">
            <w:pPr>
              <w:keepNext w:val="0"/>
              <w:keepLines w:val="0"/>
              <w:widowControl/>
              <w:suppressLineNumbers w:val="0"/>
              <w:jc w:val="center"/>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color w:val="000000"/>
                <w:kern w:val="0"/>
                <w:sz w:val="21"/>
                <w:szCs w:val="21"/>
                <w:highlight w:val="none"/>
                <w:lang w:val="en-US" w:eastAsia="zh-CN" w:bidi="ar"/>
              </w:rPr>
              <w:t>□小微企业</w:t>
            </w:r>
          </w:p>
        </w:tc>
        <w:tc>
          <w:tcPr>
            <w:tcW w:w="1123" w:type="dxa"/>
            <w:vAlign w:val="center"/>
          </w:tcPr>
          <w:p w14:paraId="4DE736D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154" w:type="dxa"/>
            <w:vAlign w:val="center"/>
          </w:tcPr>
          <w:p w14:paraId="6737C6A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439" w:type="dxa"/>
            <w:vAlign w:val="center"/>
          </w:tcPr>
          <w:p w14:paraId="5706A2A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422" w:type="dxa"/>
            <w:vAlign w:val="center"/>
          </w:tcPr>
          <w:p w14:paraId="2CFBAA3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r>
      <w:tr w14:paraId="3735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58EC373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r>
              <w:rPr>
                <w:rFonts w:hint="eastAsia" w:ascii="仿宋" w:hAnsi="仿宋" w:eastAsia="仿宋" w:cs="仿宋"/>
                <w:b w:val="0"/>
                <w:bCs w:val="0"/>
                <w:color w:val="000000"/>
                <w:kern w:val="0"/>
                <w:sz w:val="24"/>
                <w:szCs w:val="24"/>
                <w:highlight w:val="none"/>
                <w:vertAlign w:val="baseline"/>
                <w:lang w:val="en-US" w:eastAsia="zh-CN" w:bidi="ar"/>
              </w:rPr>
              <w:t>...</w:t>
            </w:r>
          </w:p>
        </w:tc>
        <w:tc>
          <w:tcPr>
            <w:tcW w:w="1323" w:type="dxa"/>
            <w:vAlign w:val="center"/>
          </w:tcPr>
          <w:p w14:paraId="02CC8B3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338" w:type="dxa"/>
            <w:vAlign w:val="center"/>
          </w:tcPr>
          <w:p w14:paraId="24E6946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123" w:type="dxa"/>
            <w:vAlign w:val="center"/>
          </w:tcPr>
          <w:p w14:paraId="23C2D4E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154" w:type="dxa"/>
            <w:vAlign w:val="center"/>
          </w:tcPr>
          <w:p w14:paraId="031EBC4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439" w:type="dxa"/>
            <w:vAlign w:val="center"/>
          </w:tcPr>
          <w:p w14:paraId="63B9FA3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422" w:type="dxa"/>
            <w:vAlign w:val="center"/>
          </w:tcPr>
          <w:p w14:paraId="34FAFFB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r>
      <w:tr w14:paraId="0FDA9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1" w:type="dxa"/>
            <w:gridSpan w:val="5"/>
            <w:vAlign w:val="center"/>
          </w:tcPr>
          <w:p w14:paraId="3A368BD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r>
              <w:rPr>
                <w:rFonts w:hint="eastAsia" w:ascii="仿宋" w:hAnsi="仿宋" w:eastAsia="仿宋" w:cs="仿宋"/>
                <w:b w:val="0"/>
                <w:bCs w:val="0"/>
                <w:color w:val="000000"/>
                <w:kern w:val="0"/>
                <w:sz w:val="24"/>
                <w:szCs w:val="24"/>
                <w:highlight w:val="none"/>
                <w:vertAlign w:val="baseline"/>
                <w:lang w:val="en-US" w:eastAsia="zh-CN" w:bidi="ar"/>
              </w:rPr>
              <w:t>合计</w:t>
            </w:r>
          </w:p>
        </w:tc>
        <w:tc>
          <w:tcPr>
            <w:tcW w:w="1439" w:type="dxa"/>
            <w:vAlign w:val="center"/>
          </w:tcPr>
          <w:p w14:paraId="01CCB35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422" w:type="dxa"/>
            <w:vAlign w:val="center"/>
          </w:tcPr>
          <w:p w14:paraId="3164950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r>
    </w:tbl>
    <w:p w14:paraId="32317D37">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p>
    <w:p w14:paraId="5BC93B1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u w:val="single"/>
          <w:lang w:val="en-US"/>
        </w:rPr>
      </w:pPr>
      <w:r>
        <w:rPr>
          <w:rFonts w:hint="eastAsia" w:ascii="仿宋" w:hAnsi="仿宋" w:eastAsia="仿宋" w:cs="仿宋"/>
          <w:color w:val="000000"/>
          <w:kern w:val="0"/>
          <w:sz w:val="24"/>
          <w:szCs w:val="24"/>
          <w:highlight w:val="none"/>
          <w:lang w:val="en-US" w:eastAsia="zh-CN" w:bidi="ar"/>
        </w:rPr>
        <w:t>投标人名称（加盖公章）：</w:t>
      </w:r>
      <w:r>
        <w:rPr>
          <w:rFonts w:hint="eastAsia" w:ascii="仿宋" w:hAnsi="仿宋" w:eastAsia="仿宋" w:cs="仿宋"/>
          <w:color w:val="000000"/>
          <w:kern w:val="0"/>
          <w:sz w:val="24"/>
          <w:szCs w:val="24"/>
          <w:highlight w:val="none"/>
          <w:u w:val="single"/>
          <w:lang w:val="en-US" w:eastAsia="zh-CN" w:bidi="ar"/>
        </w:rPr>
        <w:t xml:space="preserve">               </w:t>
      </w:r>
    </w:p>
    <w:p w14:paraId="4CBF174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日期：</w:t>
      </w:r>
      <w:r>
        <w:rPr>
          <w:rFonts w:hint="eastAsia" w:ascii="仿宋" w:hAnsi="仿宋" w:eastAsia="仿宋" w:cs="仿宋"/>
          <w:color w:val="000000"/>
          <w:kern w:val="0"/>
          <w:sz w:val="24"/>
          <w:szCs w:val="24"/>
          <w:highlight w:val="none"/>
          <w:u w:val="single"/>
          <w:lang w:val="en-US" w:eastAsia="zh-CN" w:bidi="ar"/>
        </w:rPr>
        <w:t xml:space="preserve">      年     月    日</w:t>
      </w:r>
      <w:r>
        <w:rPr>
          <w:rFonts w:hint="eastAsia" w:ascii="仿宋" w:hAnsi="仿宋" w:eastAsia="仿宋" w:cs="仿宋"/>
          <w:color w:val="000000"/>
          <w:kern w:val="0"/>
          <w:sz w:val="24"/>
          <w:szCs w:val="24"/>
          <w:highlight w:val="none"/>
          <w:lang w:val="en-US" w:eastAsia="zh-CN" w:bidi="ar"/>
        </w:rPr>
        <w:t xml:space="preserve"> </w:t>
      </w:r>
    </w:p>
    <w:p w14:paraId="5209B85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599B754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说明： </w:t>
      </w:r>
    </w:p>
    <w:p w14:paraId="4E659F14">
      <w:pPr>
        <w:keepNext w:val="0"/>
        <w:keepLines w:val="0"/>
        <w:pageBreakBefore w:val="0"/>
        <w:widowControl/>
        <w:numPr>
          <w:ilvl w:val="0"/>
          <w:numId w:val="12"/>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本表仅在投标人“为落实政府采购政策”而向中小企业分包时填写。</w:t>
      </w:r>
    </w:p>
    <w:p w14:paraId="393FCDC4">
      <w:pPr>
        <w:keepNext w:val="0"/>
        <w:keepLines w:val="0"/>
        <w:pageBreakBefore w:val="0"/>
        <w:widowControl/>
        <w:numPr>
          <w:ilvl w:val="0"/>
          <w:numId w:val="12"/>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如本招标文件《投标人须知资料表》载明本项目分包承担主体应具备的相应资质条件，则投标人须在本表中列明分包承担主体的资质等级，并后附资质证书复印件加盖投标人公章，否则</w:t>
      </w:r>
      <w:r>
        <w:rPr>
          <w:rFonts w:hint="eastAsia" w:ascii="仿宋" w:hAnsi="仿宋" w:eastAsia="仿宋" w:cs="仿宋"/>
          <w:b/>
          <w:bCs/>
          <w:color w:val="000000"/>
          <w:kern w:val="0"/>
          <w:sz w:val="24"/>
          <w:szCs w:val="24"/>
          <w:highlight w:val="none"/>
          <w:lang w:val="en-US" w:eastAsia="zh-CN" w:bidi="ar"/>
        </w:rPr>
        <w:t>投标无效</w:t>
      </w:r>
      <w:r>
        <w:rPr>
          <w:rFonts w:hint="eastAsia" w:ascii="仿宋" w:hAnsi="仿宋" w:eastAsia="仿宋" w:cs="仿宋"/>
          <w:color w:val="000000"/>
          <w:kern w:val="0"/>
          <w:sz w:val="24"/>
          <w:szCs w:val="24"/>
          <w:highlight w:val="none"/>
          <w:lang w:val="en-US" w:eastAsia="zh-CN" w:bidi="ar"/>
        </w:rPr>
        <w:t xml:space="preserve">。 </w:t>
      </w:r>
    </w:p>
    <w:p w14:paraId="6D692B2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（3）投标人与上述拟分包承担主体签署的《分包意向协议》后附。</w:t>
      </w:r>
    </w:p>
    <w:p w14:paraId="3B7F2041">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43533DA3">
      <w:pPr>
        <w:keepNext w:val="0"/>
        <w:keepLines w:val="0"/>
        <w:widowControl/>
        <w:suppressLineNumbers w:val="0"/>
        <w:jc w:val="left"/>
        <w:rPr>
          <w:rFonts w:hint="eastAsia" w:ascii="仿宋" w:hAnsi="仿宋" w:eastAsia="仿宋" w:cs="仿宋"/>
          <w:b w:val="0"/>
          <w:bCs w:val="0"/>
          <w:sz w:val="24"/>
          <w:szCs w:val="24"/>
          <w:highlight w:val="none"/>
        </w:rPr>
      </w:pPr>
      <w:r>
        <w:rPr>
          <w:rFonts w:hint="eastAsia" w:ascii="仿宋" w:hAnsi="仿宋" w:eastAsia="仿宋" w:cs="仿宋"/>
          <w:b w:val="0"/>
          <w:bCs w:val="0"/>
          <w:color w:val="000000"/>
          <w:kern w:val="0"/>
          <w:sz w:val="24"/>
          <w:szCs w:val="24"/>
          <w:highlight w:val="none"/>
          <w:lang w:val="en-US" w:eastAsia="zh-CN" w:bidi="ar"/>
        </w:rPr>
        <w:t xml:space="preserve">附：分包意向协议（参考格式） </w:t>
      </w:r>
    </w:p>
    <w:p w14:paraId="21840E94">
      <w:pPr>
        <w:keepNext w:val="0"/>
        <w:keepLines w:val="0"/>
        <w:widowControl/>
        <w:suppressLineNumbers w:val="0"/>
        <w:jc w:val="left"/>
        <w:rPr>
          <w:rFonts w:hint="eastAsia" w:ascii="仿宋" w:hAnsi="仿宋" w:eastAsia="仿宋" w:cs="仿宋"/>
          <w:color w:val="000000"/>
          <w:kern w:val="0"/>
          <w:sz w:val="24"/>
          <w:szCs w:val="24"/>
          <w:highlight w:val="none"/>
          <w:lang w:val="en-US" w:eastAsia="zh-CN" w:bidi="ar"/>
        </w:rPr>
      </w:pPr>
    </w:p>
    <w:p w14:paraId="4C59B41C">
      <w:pPr>
        <w:keepNext w:val="0"/>
        <w:keepLines w:val="0"/>
        <w:widowControl/>
        <w:suppressLineNumbers w:val="0"/>
        <w:jc w:val="left"/>
        <w:rPr>
          <w:rFonts w:hint="eastAsia" w:ascii="仿宋" w:hAnsi="仿宋" w:eastAsia="仿宋" w:cs="仿宋"/>
          <w:color w:val="000000"/>
          <w:kern w:val="0"/>
          <w:sz w:val="24"/>
          <w:szCs w:val="24"/>
          <w:highlight w:val="none"/>
          <w:lang w:val="en-US" w:eastAsia="zh-CN" w:bidi="ar"/>
        </w:rPr>
      </w:pPr>
    </w:p>
    <w:p w14:paraId="39AB648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u w:val="single"/>
          <w:lang w:val="en-US" w:eastAsia="zh-CN" w:bidi="ar"/>
        </w:rPr>
      </w:pPr>
      <w:r>
        <w:rPr>
          <w:rFonts w:hint="eastAsia" w:ascii="仿宋" w:hAnsi="仿宋" w:eastAsia="仿宋" w:cs="仿宋"/>
          <w:color w:val="000000"/>
          <w:kern w:val="0"/>
          <w:sz w:val="24"/>
          <w:szCs w:val="24"/>
          <w:highlight w:val="none"/>
          <w:lang w:val="en-US" w:eastAsia="zh-CN" w:bidi="ar"/>
        </w:rPr>
        <w:t>甲方（投标人）：</w:t>
      </w:r>
      <w:r>
        <w:rPr>
          <w:rFonts w:hint="eastAsia" w:ascii="仿宋" w:hAnsi="仿宋" w:eastAsia="仿宋" w:cs="仿宋"/>
          <w:color w:val="000000"/>
          <w:kern w:val="0"/>
          <w:sz w:val="24"/>
          <w:szCs w:val="24"/>
          <w:highlight w:val="none"/>
          <w:u w:val="single"/>
          <w:lang w:val="en-US" w:eastAsia="zh-CN" w:bidi="ar"/>
        </w:rPr>
        <w:t xml:space="preserve">                 </w:t>
      </w:r>
    </w:p>
    <w:p w14:paraId="630D7C5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乙方（拟分包单位）：</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0199C69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甲方承诺，一旦在</w:t>
      </w:r>
      <w:r>
        <w:rPr>
          <w:rFonts w:hint="eastAsia" w:ascii="仿宋" w:hAnsi="仿宋" w:eastAsia="仿宋" w:cs="仿宋"/>
          <w:color w:val="000000"/>
          <w:kern w:val="0"/>
          <w:sz w:val="24"/>
          <w:szCs w:val="24"/>
          <w:highlight w:val="none"/>
          <w:u w:val="single"/>
          <w:lang w:val="en-US" w:eastAsia="zh-CN" w:bidi="ar"/>
        </w:rPr>
        <w:t xml:space="preserve">（采购项目名称）（项目编号/包号为：     </w:t>
      </w:r>
      <w:r>
        <w:rPr>
          <w:rFonts w:hint="eastAsia" w:ascii="仿宋" w:hAnsi="仿宋" w:eastAsia="仿宋" w:cs="仿宋"/>
          <w:color w:val="000000"/>
          <w:kern w:val="0"/>
          <w:sz w:val="24"/>
          <w:szCs w:val="24"/>
          <w:highlight w:val="none"/>
          <w:lang w:val="en-US" w:eastAsia="zh-CN" w:bidi="ar"/>
        </w:rPr>
        <w:t xml:space="preserve">）招标采购项目中获得采购合同，将按照下述约定将合同项下部分内容分包给乙方： </w:t>
      </w:r>
    </w:p>
    <w:p w14:paraId="41CDB40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highlight w:val="none"/>
        </w:rPr>
      </w:pPr>
      <w:bookmarkStart w:id="54" w:name="_Toc22054"/>
      <w:r>
        <w:rPr>
          <w:rFonts w:hint="eastAsia" w:ascii="仿宋" w:hAnsi="仿宋" w:eastAsia="仿宋" w:cs="仿宋"/>
          <w:color w:val="000000"/>
          <w:kern w:val="0"/>
          <w:sz w:val="24"/>
          <w:szCs w:val="24"/>
          <w:highlight w:val="none"/>
          <w:lang w:val="en-US" w:eastAsia="zh-CN" w:bidi="ar"/>
        </w:rPr>
        <w:t>1.分包内容：</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w:t>
      </w:r>
      <w:bookmarkEnd w:id="54"/>
      <w:r>
        <w:rPr>
          <w:rFonts w:hint="eastAsia" w:ascii="仿宋" w:hAnsi="仿宋" w:eastAsia="仿宋" w:cs="仿宋"/>
          <w:color w:val="000000"/>
          <w:kern w:val="0"/>
          <w:sz w:val="24"/>
          <w:szCs w:val="24"/>
          <w:highlight w:val="none"/>
          <w:lang w:val="en-US" w:eastAsia="zh-CN" w:bidi="ar"/>
        </w:rPr>
        <w:t xml:space="preserve"> </w:t>
      </w:r>
    </w:p>
    <w:p w14:paraId="5F3735A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2.分包金额：</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，该金额占该采购包预算总金额的比例为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2A64D33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乙方承诺将在上述情况下与甲方签订分包合同。 </w:t>
      </w:r>
    </w:p>
    <w:p w14:paraId="02B78CB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本协议自各方盖章之日起生效，如甲方未在该项目（采购包）中标，本协议自动终止。 </w:t>
      </w:r>
    </w:p>
    <w:p w14:paraId="1992507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1AF5F9D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甲方（盖章）：</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乙方（盖章）：</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779B76D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日期： </w:t>
      </w:r>
      <w:r>
        <w:rPr>
          <w:rFonts w:hint="eastAsia" w:ascii="仿宋" w:hAnsi="仿宋" w:eastAsia="仿宋" w:cs="仿宋"/>
          <w:color w:val="000000"/>
          <w:kern w:val="0"/>
          <w:sz w:val="24"/>
          <w:szCs w:val="24"/>
          <w:highlight w:val="none"/>
          <w:u w:val="single"/>
          <w:lang w:val="en-US" w:eastAsia="zh-CN" w:bidi="ar"/>
        </w:rPr>
        <w:t xml:space="preserve">    年    月    日</w:t>
      </w:r>
      <w:r>
        <w:rPr>
          <w:rFonts w:hint="eastAsia" w:ascii="仿宋" w:hAnsi="仿宋" w:eastAsia="仿宋" w:cs="仿宋"/>
          <w:color w:val="000000"/>
          <w:kern w:val="0"/>
          <w:sz w:val="24"/>
          <w:szCs w:val="24"/>
          <w:highlight w:val="none"/>
          <w:lang w:val="en-US" w:eastAsia="zh-CN" w:bidi="ar"/>
        </w:rPr>
        <w:t xml:space="preserve"> </w:t>
      </w:r>
    </w:p>
    <w:p w14:paraId="74C89FB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1DC439D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说明：本协议仅在投标人“为落实政府采购政策”而向中小企业分包时必须提供，否则投标无效；且投标人须与所有拟分包单位分别签订《分包意向协议》，每单位签订一份，并在投标文件中提交全部协议原件的电子件，否则投标无效。</w:t>
      </w:r>
    </w:p>
    <w:p w14:paraId="3063A2A9">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2A637C91">
      <w:pPr>
        <w:keepNext w:val="0"/>
        <w:keepLines w:val="0"/>
        <w:widowControl/>
        <w:suppressLineNumbers w:val="0"/>
        <w:jc w:val="left"/>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2-3 其它落实政府采购政策的资格要求</w:t>
      </w:r>
    </w:p>
    <w:p w14:paraId="48B32D2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投标产品属于医疗器械的，投标人应具有合法的医疗器械经营资格，投标人须提供书面声明和证明材料： </w:t>
      </w:r>
    </w:p>
    <w:p w14:paraId="2507351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p w14:paraId="5685E60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投标人具有合法的医疗器械经营资格书面声明（格式）</w:t>
      </w:r>
    </w:p>
    <w:p w14:paraId="7CB26C3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p>
    <w:p w14:paraId="4AF6E0D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新疆世纪星工程咨询有限公司</w:t>
      </w:r>
      <w:r>
        <w:rPr>
          <w:rFonts w:hint="eastAsia" w:ascii="仿宋" w:hAnsi="仿宋" w:eastAsia="仿宋" w:cs="仿宋"/>
          <w:sz w:val="24"/>
          <w:szCs w:val="24"/>
        </w:rPr>
        <w:t xml:space="preserve">： </w:t>
      </w:r>
    </w:p>
    <w:p w14:paraId="53BBA87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我单位参与</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项目（招标编号</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）第</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包投标的</w:t>
      </w:r>
      <w:r>
        <w:rPr>
          <w:rFonts w:hint="eastAsia" w:ascii="仿宋" w:hAnsi="仿宋" w:eastAsia="仿宋" w:cs="仿宋"/>
          <w:sz w:val="24"/>
          <w:szCs w:val="24"/>
          <w:lang w:val="en-US" w:eastAsia="zh-CN"/>
        </w:rPr>
        <w:t>下列产品：</w:t>
      </w:r>
    </w:p>
    <w:p w14:paraId="252C61D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u w:val="single"/>
        </w:rPr>
        <w:t xml:space="preserve"> （投标产品名称）</w:t>
      </w:r>
      <w:r>
        <w:rPr>
          <w:rFonts w:hint="eastAsia" w:ascii="仿宋" w:hAnsi="仿宋" w:eastAsia="仿宋" w:cs="仿宋"/>
          <w:sz w:val="24"/>
          <w:szCs w:val="24"/>
        </w:rPr>
        <w:t>属于医疗器械分类管理中的第</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类医疗器械，对应的医疗器械经营范围为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（医疗器械管理类别、分类编码及名称）</w:t>
      </w:r>
      <w:r>
        <w:rPr>
          <w:rFonts w:hint="eastAsia" w:ascii="仿宋" w:hAnsi="仿宋" w:eastAsia="仿宋" w:cs="仿宋"/>
          <w:sz w:val="24"/>
          <w:szCs w:val="24"/>
          <w:lang w:eastAsia="zh-CN"/>
        </w:rPr>
        <w:t>；</w:t>
      </w:r>
    </w:p>
    <w:p w14:paraId="2CC37C7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u w:val="single"/>
        </w:rPr>
        <w:t xml:space="preserve"> （投标产品名称）</w:t>
      </w:r>
      <w:r>
        <w:rPr>
          <w:rFonts w:hint="eastAsia" w:ascii="仿宋" w:hAnsi="仿宋" w:eastAsia="仿宋" w:cs="仿宋"/>
          <w:sz w:val="24"/>
          <w:szCs w:val="24"/>
        </w:rPr>
        <w:t>属于医疗器械分类管理中的第</w:t>
      </w:r>
      <w:r>
        <w:rPr>
          <w:rFonts w:hint="eastAsia" w:ascii="仿宋" w:hAnsi="仿宋" w:eastAsia="仿宋" w:cs="仿宋"/>
          <w:sz w:val="24"/>
          <w:szCs w:val="24"/>
          <w:u w:val="single"/>
        </w:rPr>
        <w:t xml:space="preserve">   </w:t>
      </w:r>
      <w:r>
        <w:rPr>
          <w:rFonts w:hint="eastAsia" w:ascii="仿宋" w:hAnsi="仿宋" w:eastAsia="仿宋" w:cs="仿宋"/>
          <w:sz w:val="24"/>
          <w:szCs w:val="24"/>
        </w:rPr>
        <w:t>类医疗器械，对应的医</w:t>
      </w:r>
      <w:r>
        <w:rPr>
          <w:rFonts w:hint="eastAsia" w:ascii="仿宋" w:hAnsi="仿宋" w:eastAsia="仿宋" w:cs="仿宋"/>
          <w:sz w:val="24"/>
          <w:szCs w:val="24"/>
          <w:u w:val="none"/>
        </w:rPr>
        <w:t>疗器械经营范围为</w:t>
      </w:r>
      <w:r>
        <w:rPr>
          <w:rFonts w:hint="eastAsia" w:ascii="仿宋" w:hAnsi="仿宋" w:eastAsia="仿宋" w:cs="仿宋"/>
          <w:sz w:val="24"/>
          <w:szCs w:val="24"/>
          <w:u w:val="single"/>
        </w:rPr>
        <w:t xml:space="preserve">    （医疗器械管理类别、分类编码及名称）；</w:t>
      </w:r>
    </w:p>
    <w:p w14:paraId="328C587C">
      <w:pPr>
        <w:pStyle w:val="22"/>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 xml:space="preserve">   </w:t>
      </w:r>
      <w:r>
        <w:rPr>
          <w:rFonts w:hint="eastAsia" w:ascii="仿宋" w:hAnsi="仿宋" w:eastAsia="仿宋" w:cs="仿宋"/>
          <w:kern w:val="2"/>
          <w:sz w:val="24"/>
          <w:szCs w:val="24"/>
          <w:u w:val="none"/>
          <w:lang w:val="en-US" w:eastAsia="zh-CN" w:bidi="ar-SA"/>
        </w:rPr>
        <w:t xml:space="preserve">  ...</w:t>
      </w:r>
    </w:p>
    <w:p w14:paraId="1B1C0DD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我单位具有该产品合法的医疗器械经营资格。我单位对上述说明和提供文件的真实性负责，并随声明附上相关证明材料。如有虚假，将依法承担相应责任。</w:t>
      </w:r>
    </w:p>
    <w:p w14:paraId="2276C1E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p>
    <w:p w14:paraId="4355471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p>
    <w:p w14:paraId="1ED5666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投标人名称：</w:t>
      </w:r>
      <w:r>
        <w:rPr>
          <w:rFonts w:hint="eastAsia" w:ascii="仿宋" w:hAnsi="仿宋" w:eastAsia="仿宋" w:cs="仿宋"/>
          <w:sz w:val="24"/>
          <w:szCs w:val="24"/>
          <w:u w:val="single"/>
          <w:lang w:val="en-US" w:eastAsia="zh-CN"/>
        </w:rPr>
        <w:t xml:space="preserve">               （加盖单位公章）</w:t>
      </w:r>
    </w:p>
    <w:p w14:paraId="2D35868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法定代表人或授权代表：</w:t>
      </w:r>
      <w:r>
        <w:rPr>
          <w:rFonts w:hint="eastAsia" w:ascii="仿宋" w:hAnsi="仿宋" w:eastAsia="仿宋" w:cs="仿宋"/>
          <w:sz w:val="24"/>
          <w:szCs w:val="24"/>
          <w:u w:val="single"/>
          <w:lang w:val="en-US" w:eastAsia="zh-CN"/>
        </w:rPr>
        <w:t xml:space="preserve">             （签字）</w:t>
      </w:r>
    </w:p>
    <w:p w14:paraId="1C1C6C5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日期：</w:t>
      </w:r>
    </w:p>
    <w:p w14:paraId="27C22B6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000000"/>
          <w:kern w:val="0"/>
          <w:sz w:val="24"/>
          <w:szCs w:val="24"/>
          <w:lang w:val="en-US" w:eastAsia="zh-CN" w:bidi="ar"/>
        </w:rPr>
      </w:pPr>
    </w:p>
    <w:p w14:paraId="4F98147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000000"/>
          <w:kern w:val="0"/>
          <w:sz w:val="24"/>
          <w:szCs w:val="24"/>
          <w:lang w:val="en-US" w:eastAsia="zh-CN" w:bidi="ar"/>
        </w:rPr>
      </w:pPr>
    </w:p>
    <w:p w14:paraId="2B4B00F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注：投标人如为代理商，所投产品属第二类医疗器械的应具有医疗器械经营备案凭证，属第三类医疗器械的应具有医疗器械经营许可证，须提供相关证明文件复印件；投标人如为制造商，使用自身生产的产品投标时，所投产品属第一类医疗器械的应具有医疗器械生产备案凭证，属第二类、第三类医疗器械的应具有医疗器械生产许可证，须提供相关证明文件复印件。</w:t>
      </w:r>
      <w:r>
        <w:rPr>
          <w:rFonts w:hint="eastAsia" w:ascii="仿宋_GB2312" w:hAnsi="仿宋_GB2312" w:eastAsia="仿宋_GB2312" w:cs="仿宋_GB2312"/>
          <w:b w:val="0"/>
          <w:bCs w:val="0"/>
          <w:color w:val="000000"/>
          <w:kern w:val="0"/>
          <w:sz w:val="24"/>
          <w:szCs w:val="24"/>
          <w:lang w:val="en-US" w:eastAsia="zh-CN" w:bidi="ar"/>
        </w:rPr>
        <w:br w:type="page"/>
      </w:r>
    </w:p>
    <w:p w14:paraId="684F3A39">
      <w:pPr>
        <w:keepNext w:val="0"/>
        <w:keepLines w:val="0"/>
        <w:widowControl/>
        <w:suppressLineNumbers w:val="0"/>
        <w:jc w:val="left"/>
        <w:rPr>
          <w:rFonts w:hint="eastAsia" w:ascii="仿宋" w:hAnsi="仿宋" w:eastAsia="仿宋" w:cs="仿宋"/>
          <w:color w:val="000000"/>
          <w:kern w:val="0"/>
          <w:sz w:val="24"/>
          <w:szCs w:val="24"/>
          <w:highlight w:val="none"/>
          <w:lang w:val="en-US" w:eastAsia="zh-CN" w:bidi="ar"/>
        </w:rPr>
      </w:pPr>
    </w:p>
    <w:p w14:paraId="3968C9D5">
      <w:pPr>
        <w:keepNext w:val="0"/>
        <w:keepLines w:val="0"/>
        <w:widowControl/>
        <w:suppressLineNumbers w:val="0"/>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3  本项目的特定资格要求（如有） </w:t>
      </w:r>
    </w:p>
    <w:p w14:paraId="7E2C409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06E46C88">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63130F7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69854AF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138C314B">
      <w:pPr>
        <w:keepNext w:val="0"/>
        <w:keepLines w:val="0"/>
        <w:widowControl/>
        <w:suppressLineNumbers w:val="0"/>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4  投标保证金凭证/交款单据电子件</w:t>
      </w:r>
    </w:p>
    <w:p w14:paraId="3EDA1C6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70DFECC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4E28FB6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52AE77CB">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31584BC1">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5  投标书 </w:t>
      </w:r>
    </w:p>
    <w:p w14:paraId="5CCD85C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highlight w:val="none"/>
          <w:lang w:val="en-US" w:eastAsia="zh-CN" w:bidi="ar"/>
        </w:rPr>
      </w:pPr>
    </w:p>
    <w:p w14:paraId="483C9A0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highlight w:val="none"/>
        </w:rPr>
      </w:pPr>
      <w:r>
        <w:rPr>
          <w:rFonts w:hint="eastAsia" w:ascii="仿宋" w:hAnsi="仿宋" w:eastAsia="仿宋" w:cs="仿宋"/>
          <w:b/>
          <w:bCs/>
          <w:color w:val="000000"/>
          <w:kern w:val="0"/>
          <w:sz w:val="32"/>
          <w:szCs w:val="32"/>
          <w:highlight w:val="none"/>
          <w:lang w:val="en-US" w:eastAsia="zh-CN" w:bidi="ar"/>
        </w:rPr>
        <w:t>投标书</w:t>
      </w:r>
    </w:p>
    <w:p w14:paraId="5F65C9F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1079451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致：</w:t>
      </w:r>
      <w:r>
        <w:rPr>
          <w:rFonts w:hint="eastAsia" w:ascii="仿宋" w:hAnsi="仿宋" w:eastAsia="仿宋" w:cs="仿宋"/>
          <w:color w:val="000000"/>
          <w:kern w:val="0"/>
          <w:sz w:val="24"/>
          <w:szCs w:val="24"/>
          <w:highlight w:val="none"/>
          <w:u w:val="single"/>
          <w:lang w:val="en-US" w:eastAsia="zh-CN" w:bidi="ar"/>
        </w:rPr>
        <w:t>（采购人或采购代理机构）</w:t>
      </w:r>
      <w:r>
        <w:rPr>
          <w:rFonts w:hint="eastAsia" w:ascii="仿宋" w:hAnsi="仿宋" w:eastAsia="仿宋" w:cs="仿宋"/>
          <w:color w:val="000000"/>
          <w:kern w:val="0"/>
          <w:sz w:val="24"/>
          <w:szCs w:val="24"/>
          <w:highlight w:val="none"/>
          <w:lang w:val="en-US" w:eastAsia="zh-CN" w:bidi="ar"/>
        </w:rPr>
        <w:t xml:space="preserve"> </w:t>
      </w:r>
    </w:p>
    <w:p w14:paraId="12E1642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我方参加你方就</w:t>
      </w:r>
      <w:r>
        <w:rPr>
          <w:rFonts w:hint="eastAsia" w:ascii="仿宋" w:hAnsi="仿宋" w:eastAsia="仿宋" w:cs="仿宋"/>
          <w:color w:val="000000"/>
          <w:kern w:val="0"/>
          <w:sz w:val="24"/>
          <w:szCs w:val="24"/>
          <w:highlight w:val="none"/>
          <w:u w:val="single"/>
          <w:lang w:val="en-US" w:eastAsia="zh-CN" w:bidi="ar"/>
        </w:rPr>
        <w:t>（项目名称，项目编号/包号）</w:t>
      </w:r>
      <w:r>
        <w:rPr>
          <w:rFonts w:hint="eastAsia" w:ascii="仿宋" w:hAnsi="仿宋" w:eastAsia="仿宋" w:cs="仿宋"/>
          <w:color w:val="000000"/>
          <w:kern w:val="0"/>
          <w:sz w:val="24"/>
          <w:szCs w:val="24"/>
          <w:highlight w:val="none"/>
          <w:lang w:val="en-US" w:eastAsia="zh-CN" w:bidi="ar"/>
        </w:rPr>
        <w:t xml:space="preserve">组织的招标活动，并对 </w:t>
      </w:r>
    </w:p>
    <w:p w14:paraId="79AC162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此项目进行投标。 </w:t>
      </w:r>
    </w:p>
    <w:p w14:paraId="71AA7AC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highlight w:val="none"/>
        </w:rPr>
      </w:pPr>
      <w:bookmarkStart w:id="55" w:name="_Toc30504"/>
      <w:r>
        <w:rPr>
          <w:rFonts w:hint="eastAsia" w:ascii="仿宋" w:hAnsi="仿宋" w:eastAsia="仿宋" w:cs="仿宋"/>
          <w:color w:val="000000"/>
          <w:kern w:val="0"/>
          <w:sz w:val="24"/>
          <w:szCs w:val="24"/>
          <w:highlight w:val="none"/>
          <w:lang w:val="en-US" w:eastAsia="zh-CN" w:bidi="ar"/>
        </w:rPr>
        <w:t>1. 我方已详细审查全部招标文件，自愿参与投标并承诺如下：</w:t>
      </w:r>
      <w:bookmarkEnd w:id="55"/>
      <w:r>
        <w:rPr>
          <w:rFonts w:hint="eastAsia" w:ascii="仿宋" w:hAnsi="仿宋" w:eastAsia="仿宋" w:cs="仿宋"/>
          <w:color w:val="000000"/>
          <w:kern w:val="0"/>
          <w:sz w:val="24"/>
          <w:szCs w:val="24"/>
          <w:highlight w:val="none"/>
          <w:lang w:val="en-US" w:eastAsia="zh-CN" w:bidi="ar"/>
        </w:rPr>
        <w:t xml:space="preserve"> </w:t>
      </w:r>
    </w:p>
    <w:p w14:paraId="7A416EF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（1）本投标有效期为自提交投标文件的截止之日起</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个日历日。 </w:t>
      </w:r>
    </w:p>
    <w:p w14:paraId="7379C8F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（2）除合同条款及采购需求偏离表列出的偏离外，我方响应招标文件的全部要求。 </w:t>
      </w:r>
    </w:p>
    <w:p w14:paraId="7B31265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（3）我方已提供的全部文件资料是真实、准确的，并对此承担一切法律后果。 </w:t>
      </w:r>
    </w:p>
    <w:p w14:paraId="6B8ABCF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（4）如我方中标，我方将在法律规定的期限内与你方签订合同，按照招标文件要求提交履约保证金，并在合同约定的期限内完成合同规定的全部义务。 </w:t>
      </w:r>
    </w:p>
    <w:p w14:paraId="0C0DBA9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highlight w:val="none"/>
        </w:rPr>
      </w:pPr>
      <w:bookmarkStart w:id="56" w:name="_Toc24785"/>
      <w:r>
        <w:rPr>
          <w:rFonts w:hint="eastAsia" w:ascii="仿宋" w:hAnsi="仿宋" w:eastAsia="仿宋" w:cs="仿宋"/>
          <w:color w:val="000000"/>
          <w:kern w:val="0"/>
          <w:sz w:val="24"/>
          <w:szCs w:val="24"/>
          <w:highlight w:val="none"/>
          <w:lang w:val="en-US" w:eastAsia="zh-CN" w:bidi="ar"/>
        </w:rPr>
        <w:t>2. 其他补充条款（如有）：</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w:t>
      </w:r>
      <w:bookmarkEnd w:id="56"/>
      <w:r>
        <w:rPr>
          <w:rFonts w:hint="eastAsia" w:ascii="仿宋" w:hAnsi="仿宋" w:eastAsia="仿宋" w:cs="仿宋"/>
          <w:color w:val="000000"/>
          <w:kern w:val="0"/>
          <w:sz w:val="24"/>
          <w:szCs w:val="24"/>
          <w:highlight w:val="none"/>
          <w:lang w:val="en-US" w:eastAsia="zh-CN" w:bidi="ar"/>
        </w:rPr>
        <w:t xml:space="preserve"> </w:t>
      </w:r>
    </w:p>
    <w:p w14:paraId="0897A9E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与本投标有关的一切正式往来信函请寄： </w:t>
      </w:r>
    </w:p>
    <w:p w14:paraId="58D50B0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地址</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传真</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353055E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电话</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电子函件</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3F6552C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投标人名称（加盖公章） </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72F33F7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日期：</w:t>
      </w:r>
      <w:r>
        <w:rPr>
          <w:rFonts w:hint="eastAsia" w:ascii="仿宋" w:hAnsi="仿宋" w:eastAsia="仿宋" w:cs="仿宋"/>
          <w:color w:val="000000"/>
          <w:kern w:val="0"/>
          <w:sz w:val="24"/>
          <w:szCs w:val="24"/>
          <w:highlight w:val="none"/>
          <w:u w:val="single"/>
          <w:lang w:val="en-US" w:eastAsia="zh-CN" w:bidi="ar"/>
        </w:rPr>
        <w:t xml:space="preserve">     年     月    日</w:t>
      </w:r>
    </w:p>
    <w:p w14:paraId="7DBAE593">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5E178D9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highlight w:val="none"/>
        </w:rPr>
      </w:pPr>
      <w:bookmarkStart w:id="57" w:name="_Toc6076"/>
      <w:r>
        <w:rPr>
          <w:rFonts w:hint="eastAsia" w:ascii="仿宋" w:hAnsi="仿宋" w:eastAsia="仿宋" w:cs="仿宋"/>
          <w:color w:val="000000"/>
          <w:kern w:val="0"/>
          <w:sz w:val="24"/>
          <w:szCs w:val="24"/>
          <w:highlight w:val="none"/>
          <w:lang w:val="en-US" w:eastAsia="zh-CN" w:bidi="ar"/>
        </w:rPr>
        <w:t>6  授权委托书</w:t>
      </w:r>
      <w:bookmarkEnd w:id="57"/>
      <w:r>
        <w:rPr>
          <w:rFonts w:hint="eastAsia" w:ascii="仿宋" w:hAnsi="仿宋" w:eastAsia="仿宋" w:cs="仿宋"/>
          <w:color w:val="000000"/>
          <w:kern w:val="0"/>
          <w:sz w:val="24"/>
          <w:szCs w:val="24"/>
          <w:highlight w:val="none"/>
          <w:lang w:val="en-US" w:eastAsia="zh-CN" w:bidi="ar"/>
        </w:rPr>
        <w:t xml:space="preserve"> </w:t>
      </w:r>
    </w:p>
    <w:p w14:paraId="0DE89219">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000000"/>
          <w:kern w:val="0"/>
          <w:sz w:val="32"/>
          <w:szCs w:val="32"/>
          <w:highlight w:val="none"/>
          <w:lang w:val="en-US" w:eastAsia="zh-CN" w:bidi="ar"/>
        </w:rPr>
      </w:pPr>
    </w:p>
    <w:p w14:paraId="1C8339C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highlight w:val="none"/>
          <w:lang w:val="en-US" w:eastAsia="zh-CN" w:bidi="ar"/>
        </w:rPr>
      </w:pPr>
      <w:r>
        <w:rPr>
          <w:rFonts w:hint="eastAsia" w:ascii="仿宋" w:hAnsi="仿宋" w:eastAsia="仿宋" w:cs="仿宋"/>
          <w:b/>
          <w:bCs/>
          <w:color w:val="000000"/>
          <w:kern w:val="0"/>
          <w:sz w:val="32"/>
          <w:szCs w:val="32"/>
          <w:highlight w:val="none"/>
          <w:lang w:val="en-US" w:eastAsia="zh-CN" w:bidi="ar"/>
        </w:rPr>
        <w:t>授权委托书</w:t>
      </w:r>
    </w:p>
    <w:p w14:paraId="4944D88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highlight w:val="none"/>
          <w:lang w:val="en-US" w:eastAsia="zh-CN" w:bidi="ar"/>
        </w:rPr>
      </w:pPr>
    </w:p>
    <w:p w14:paraId="4E9C8385">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本人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（姓名）系</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（投标人名称）的法定代表人（单位负责人），现委托</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（姓名）为我方代理人。代理人根据授权，以我方名义签署、澄清确认、递交、撤回、修改</w:t>
      </w:r>
      <w:r>
        <w:rPr>
          <w:rFonts w:hint="eastAsia" w:ascii="仿宋" w:hAnsi="仿宋" w:eastAsia="仿宋" w:cs="仿宋"/>
          <w:color w:val="000000"/>
          <w:kern w:val="0"/>
          <w:sz w:val="24"/>
          <w:szCs w:val="24"/>
          <w:highlight w:val="none"/>
          <w:u w:val="single"/>
          <w:lang w:val="en-US" w:eastAsia="zh-CN" w:bidi="ar"/>
        </w:rPr>
        <w:t xml:space="preserve">           （项目名称）</w:t>
      </w:r>
      <w:r>
        <w:rPr>
          <w:rFonts w:hint="eastAsia" w:ascii="仿宋" w:hAnsi="仿宋" w:eastAsia="仿宋" w:cs="仿宋"/>
          <w:color w:val="000000"/>
          <w:kern w:val="0"/>
          <w:sz w:val="24"/>
          <w:szCs w:val="24"/>
          <w:highlight w:val="none"/>
          <w:lang w:val="en-US" w:eastAsia="zh-CN" w:bidi="ar"/>
        </w:rPr>
        <w:t xml:space="preserve">投标文件和处理有关事宜，其法律后果由我方承担。 </w:t>
      </w:r>
    </w:p>
    <w:p w14:paraId="7431F31B">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委托期限：自本授权委托书签署之日起至响应有效期届满之日止。 </w:t>
      </w:r>
    </w:p>
    <w:p w14:paraId="3137769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代理人无转委托权。 </w:t>
      </w:r>
    </w:p>
    <w:p w14:paraId="78EA1BA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4616804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投标人名称（加盖公章）：</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0B0416B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法定代表人（单位负责人）（签字或印鉴）：</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65689A6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委托代理人（签字或印鉴）：</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241B5A3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日期：</w:t>
      </w:r>
      <w:r>
        <w:rPr>
          <w:rFonts w:hint="eastAsia" w:ascii="仿宋" w:hAnsi="仿宋" w:eastAsia="仿宋" w:cs="仿宋"/>
          <w:color w:val="000000"/>
          <w:kern w:val="0"/>
          <w:sz w:val="24"/>
          <w:szCs w:val="24"/>
          <w:highlight w:val="none"/>
          <w:u w:val="single"/>
          <w:lang w:val="en-US" w:eastAsia="zh-CN" w:bidi="ar"/>
        </w:rPr>
        <w:t xml:space="preserve">   年    月    日</w:t>
      </w:r>
      <w:r>
        <w:rPr>
          <w:rFonts w:hint="eastAsia" w:ascii="仿宋" w:hAnsi="仿宋" w:eastAsia="仿宋" w:cs="仿宋"/>
          <w:color w:val="000000"/>
          <w:kern w:val="0"/>
          <w:sz w:val="24"/>
          <w:szCs w:val="24"/>
          <w:highlight w:val="none"/>
          <w:lang w:val="en-US" w:eastAsia="zh-CN" w:bidi="ar"/>
        </w:rPr>
        <w:t xml:space="preserve"> </w:t>
      </w:r>
    </w:p>
    <w:p w14:paraId="58E4E32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2D7EB78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法定代表人（单位负责人）有效期内的身份证</w:t>
      </w:r>
      <w:r>
        <w:rPr>
          <w:rFonts w:hint="eastAsia" w:ascii="仿宋" w:hAnsi="仿宋" w:eastAsia="仿宋" w:cs="仿宋"/>
          <w:b/>
          <w:bCs/>
          <w:color w:val="000000"/>
          <w:kern w:val="0"/>
          <w:sz w:val="24"/>
          <w:szCs w:val="24"/>
          <w:highlight w:val="none"/>
          <w:lang w:val="en-US" w:eastAsia="zh-CN" w:bidi="ar"/>
        </w:rPr>
        <w:t>正反面</w:t>
      </w:r>
      <w:r>
        <w:rPr>
          <w:rFonts w:hint="eastAsia" w:ascii="仿宋" w:hAnsi="仿宋" w:eastAsia="仿宋" w:cs="仿宋"/>
          <w:color w:val="000000"/>
          <w:kern w:val="0"/>
          <w:sz w:val="24"/>
          <w:szCs w:val="24"/>
          <w:highlight w:val="none"/>
          <w:lang w:val="en-US" w:eastAsia="zh-CN" w:bidi="ar"/>
        </w:rPr>
        <w:t xml:space="preserve">复印件：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0AF7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261" w:type="dxa"/>
          </w:tcPr>
          <w:p w14:paraId="585B6C9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vertAlign w:val="baseline"/>
                <w:lang w:val="en-US" w:eastAsia="zh-CN" w:bidi="ar"/>
              </w:rPr>
            </w:pPr>
          </w:p>
        </w:tc>
        <w:tc>
          <w:tcPr>
            <w:tcW w:w="4261" w:type="dxa"/>
          </w:tcPr>
          <w:p w14:paraId="7682033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vertAlign w:val="baseline"/>
                <w:lang w:val="en-US" w:eastAsia="zh-CN" w:bidi="ar"/>
              </w:rPr>
            </w:pPr>
          </w:p>
        </w:tc>
      </w:tr>
    </w:tbl>
    <w:p w14:paraId="2B2D55B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委托代理人有效期内的身份证</w:t>
      </w:r>
      <w:r>
        <w:rPr>
          <w:rFonts w:hint="eastAsia" w:ascii="仿宋" w:hAnsi="仿宋" w:eastAsia="仿宋" w:cs="仿宋"/>
          <w:b/>
          <w:bCs/>
          <w:color w:val="000000"/>
          <w:kern w:val="0"/>
          <w:sz w:val="24"/>
          <w:szCs w:val="24"/>
          <w:highlight w:val="none"/>
          <w:lang w:val="en-US" w:eastAsia="zh-CN" w:bidi="ar"/>
        </w:rPr>
        <w:t>正反面</w:t>
      </w:r>
      <w:r>
        <w:rPr>
          <w:rFonts w:hint="eastAsia" w:ascii="仿宋" w:hAnsi="仿宋" w:eastAsia="仿宋" w:cs="仿宋"/>
          <w:color w:val="000000"/>
          <w:kern w:val="0"/>
          <w:sz w:val="24"/>
          <w:szCs w:val="24"/>
          <w:highlight w:val="none"/>
          <w:lang w:val="en-US" w:eastAsia="zh-CN" w:bidi="ar"/>
        </w:rPr>
        <w:t xml:space="preserve">复印件：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F706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4261" w:type="dxa"/>
          </w:tcPr>
          <w:p w14:paraId="0250571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vertAlign w:val="baseline"/>
                <w:lang w:val="en-US" w:eastAsia="zh-CN" w:bidi="ar"/>
              </w:rPr>
            </w:pPr>
          </w:p>
        </w:tc>
        <w:tc>
          <w:tcPr>
            <w:tcW w:w="4261" w:type="dxa"/>
          </w:tcPr>
          <w:p w14:paraId="1C24CFF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vertAlign w:val="baseline"/>
                <w:lang w:val="en-US" w:eastAsia="zh-CN" w:bidi="ar"/>
              </w:rPr>
            </w:pPr>
          </w:p>
        </w:tc>
      </w:tr>
    </w:tbl>
    <w:p w14:paraId="3D3604A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说明：1.若供应商为事业单位或其他组织或分支机构（仅当招标文件注明允许分支机构投标的），则法定代表人（单位负责人）处的签署人可为单位负责人。 </w:t>
      </w:r>
    </w:p>
    <w:p w14:paraId="1A19126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2.若投标文件中签字之处均为法定代表人（单位负责人）本人签署，则可不提供本《授权委托书》，但须提供《法定代表人（单位负责人）身份证明》。 </w:t>
      </w:r>
    </w:p>
    <w:p w14:paraId="2C2FFF0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highlight w:val="none"/>
        </w:rPr>
      </w:pPr>
      <w:bookmarkStart w:id="58" w:name="_Toc18807"/>
      <w:r>
        <w:rPr>
          <w:rFonts w:hint="eastAsia" w:ascii="仿宋" w:hAnsi="仿宋" w:eastAsia="仿宋" w:cs="仿宋"/>
          <w:color w:val="000000"/>
          <w:kern w:val="0"/>
          <w:sz w:val="24"/>
          <w:szCs w:val="24"/>
          <w:highlight w:val="none"/>
          <w:lang w:val="en-US" w:eastAsia="zh-CN" w:bidi="ar"/>
        </w:rPr>
        <w:t>3.供应商为自然人的情形，可不提供本《授权委托书》。</w:t>
      </w:r>
      <w:bookmarkEnd w:id="58"/>
    </w:p>
    <w:p w14:paraId="0F0B444A">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01A545D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highlight w:val="none"/>
        </w:rPr>
      </w:pPr>
      <w:r>
        <w:rPr>
          <w:rFonts w:hint="eastAsia" w:ascii="仿宋" w:hAnsi="仿宋" w:eastAsia="仿宋" w:cs="仿宋"/>
          <w:b/>
          <w:bCs/>
          <w:color w:val="000000"/>
          <w:kern w:val="0"/>
          <w:sz w:val="32"/>
          <w:szCs w:val="32"/>
          <w:highlight w:val="none"/>
          <w:lang w:val="en-US" w:eastAsia="zh-CN" w:bidi="ar"/>
        </w:rPr>
        <w:t>附：法定代表人（单位负责人）身份证明</w:t>
      </w:r>
    </w:p>
    <w:p w14:paraId="0FA36F2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62E88B6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致：</w:t>
      </w:r>
      <w:r>
        <w:rPr>
          <w:rFonts w:hint="eastAsia" w:ascii="仿宋" w:hAnsi="仿宋" w:eastAsia="仿宋" w:cs="仿宋"/>
          <w:color w:val="000000"/>
          <w:kern w:val="0"/>
          <w:sz w:val="24"/>
          <w:szCs w:val="24"/>
          <w:highlight w:val="none"/>
          <w:u w:val="single"/>
          <w:lang w:val="en-US" w:eastAsia="zh-CN" w:bidi="ar"/>
        </w:rPr>
        <w:t xml:space="preserve">（采购人或采购代理机构） </w:t>
      </w:r>
    </w:p>
    <w:p w14:paraId="33CC3D9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兹证明， </w:t>
      </w:r>
    </w:p>
    <w:p w14:paraId="0A0A1055">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000000"/>
          <w:kern w:val="0"/>
          <w:sz w:val="24"/>
          <w:szCs w:val="24"/>
          <w:highlight w:val="none"/>
          <w:u w:val="single"/>
          <w:lang w:val="en-US" w:eastAsia="zh-CN" w:bidi="ar"/>
        </w:rPr>
      </w:pPr>
      <w:r>
        <w:rPr>
          <w:rFonts w:hint="eastAsia" w:ascii="仿宋" w:hAnsi="仿宋" w:eastAsia="仿宋" w:cs="仿宋"/>
          <w:color w:val="000000"/>
          <w:kern w:val="0"/>
          <w:sz w:val="24"/>
          <w:szCs w:val="24"/>
          <w:highlight w:val="none"/>
          <w:lang w:val="en-US" w:eastAsia="zh-CN" w:bidi="ar"/>
        </w:rPr>
        <w:t>姓名：</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性别：</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年龄：</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职务：</w:t>
      </w:r>
      <w:r>
        <w:rPr>
          <w:rFonts w:hint="eastAsia" w:ascii="仿宋" w:hAnsi="仿宋" w:eastAsia="仿宋" w:cs="仿宋"/>
          <w:color w:val="000000"/>
          <w:kern w:val="0"/>
          <w:sz w:val="24"/>
          <w:szCs w:val="24"/>
          <w:highlight w:val="none"/>
          <w:u w:val="single"/>
          <w:lang w:val="en-US" w:eastAsia="zh-CN" w:bidi="ar"/>
        </w:rPr>
        <w:t xml:space="preserve">     </w:t>
      </w:r>
    </w:p>
    <w:p w14:paraId="31923F8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系</w:t>
      </w:r>
      <w:r>
        <w:rPr>
          <w:rFonts w:hint="eastAsia" w:ascii="仿宋" w:hAnsi="仿宋" w:eastAsia="仿宋" w:cs="仿宋"/>
          <w:color w:val="000000"/>
          <w:kern w:val="0"/>
          <w:sz w:val="24"/>
          <w:szCs w:val="24"/>
          <w:highlight w:val="none"/>
          <w:u w:val="single"/>
          <w:lang w:val="en-US" w:eastAsia="zh-CN" w:bidi="ar"/>
        </w:rPr>
        <w:t xml:space="preserve">       （投标人名称）</w:t>
      </w:r>
      <w:r>
        <w:rPr>
          <w:rFonts w:hint="eastAsia" w:ascii="仿宋" w:hAnsi="仿宋" w:eastAsia="仿宋" w:cs="仿宋"/>
          <w:color w:val="000000"/>
          <w:kern w:val="0"/>
          <w:sz w:val="24"/>
          <w:szCs w:val="24"/>
          <w:highlight w:val="none"/>
          <w:lang w:val="en-US" w:eastAsia="zh-CN" w:bidi="ar"/>
        </w:rPr>
        <w:t xml:space="preserve">的法定代表人（单位负责人）。 </w:t>
      </w:r>
    </w:p>
    <w:p w14:paraId="56B3462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45FAB6A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392E80D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附：法定代表人（单位负责人）有效期内的身份证</w:t>
      </w:r>
      <w:r>
        <w:rPr>
          <w:rFonts w:hint="eastAsia" w:ascii="仿宋" w:hAnsi="仿宋" w:eastAsia="仿宋" w:cs="仿宋"/>
          <w:b/>
          <w:bCs/>
          <w:color w:val="000000"/>
          <w:kern w:val="0"/>
          <w:sz w:val="24"/>
          <w:szCs w:val="24"/>
          <w:highlight w:val="none"/>
          <w:lang w:val="en-US" w:eastAsia="zh-CN" w:bidi="ar"/>
        </w:rPr>
        <w:t>正反面</w:t>
      </w:r>
      <w:r>
        <w:rPr>
          <w:rFonts w:hint="eastAsia" w:ascii="仿宋" w:hAnsi="仿宋" w:eastAsia="仿宋" w:cs="仿宋"/>
          <w:color w:val="000000"/>
          <w:kern w:val="0"/>
          <w:sz w:val="24"/>
          <w:szCs w:val="24"/>
          <w:highlight w:val="none"/>
          <w:lang w:val="en-US" w:eastAsia="zh-CN" w:bidi="ar"/>
        </w:rPr>
        <w:t xml:space="preserve">复印件。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490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261" w:type="dxa"/>
          </w:tcPr>
          <w:p w14:paraId="51C1DB58">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4261" w:type="dxa"/>
          </w:tcPr>
          <w:p w14:paraId="6CA4A27B">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vertAlign w:val="baseline"/>
                <w:lang w:val="en-US" w:eastAsia="zh-CN" w:bidi="ar"/>
              </w:rPr>
            </w:pPr>
          </w:p>
        </w:tc>
      </w:tr>
    </w:tbl>
    <w:p w14:paraId="408E0E3B">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p>
    <w:p w14:paraId="0E569E3C">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p>
    <w:p w14:paraId="7037646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投标人名称（加盖公章）：</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6CD20EC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法定代表人（单位负责人）（签字或印鉴）：</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76C3C35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日期：</w:t>
      </w:r>
      <w:r>
        <w:rPr>
          <w:rFonts w:hint="eastAsia" w:ascii="仿宋" w:hAnsi="仿宋" w:eastAsia="仿宋" w:cs="仿宋"/>
          <w:color w:val="000000"/>
          <w:kern w:val="0"/>
          <w:sz w:val="24"/>
          <w:szCs w:val="24"/>
          <w:highlight w:val="none"/>
          <w:u w:val="single"/>
          <w:lang w:val="en-US" w:eastAsia="zh-CN" w:bidi="ar"/>
        </w:rPr>
        <w:t xml:space="preserve">    年    月    日</w:t>
      </w:r>
    </w:p>
    <w:p w14:paraId="2545E287">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p>
    <w:p w14:paraId="3AC8E118">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435077B4">
      <w:pPr>
        <w:outlineLvl w:val="1"/>
        <w:rPr>
          <w:rFonts w:hint="eastAsia" w:ascii="仿宋" w:hAnsi="仿宋" w:eastAsia="仿宋" w:cs="仿宋"/>
          <w:sz w:val="24"/>
          <w:szCs w:val="24"/>
          <w:highlight w:val="none"/>
          <w:lang w:val="en-US" w:eastAsia="zh-CN"/>
        </w:rPr>
      </w:pPr>
      <w:bookmarkStart w:id="59" w:name="_Toc23107"/>
      <w:r>
        <w:rPr>
          <w:rFonts w:hint="eastAsia" w:ascii="仿宋" w:hAnsi="仿宋" w:eastAsia="仿宋" w:cs="仿宋"/>
          <w:sz w:val="24"/>
          <w:szCs w:val="24"/>
          <w:highlight w:val="none"/>
          <w:lang w:val="en-US" w:eastAsia="zh-CN"/>
        </w:rPr>
        <w:t>7-1  开标一览表</w:t>
      </w:r>
      <w:bookmarkEnd w:id="59"/>
    </w:p>
    <w:p w14:paraId="3E061FB7">
      <w:pPr>
        <w:rPr>
          <w:rFonts w:hint="eastAsia" w:ascii="仿宋" w:hAnsi="仿宋" w:eastAsia="仿宋" w:cs="仿宋"/>
          <w:highlight w:val="none"/>
          <w:lang w:val="en-US" w:eastAsia="zh-CN"/>
        </w:rPr>
      </w:pPr>
    </w:p>
    <w:p w14:paraId="584437F4">
      <w:pPr>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开标一览表</w:t>
      </w:r>
    </w:p>
    <w:p w14:paraId="50813E2C">
      <w:pPr>
        <w:rPr>
          <w:rFonts w:hint="eastAsia" w:ascii="仿宋" w:hAnsi="仿宋" w:eastAsia="仿宋" w:cs="仿宋"/>
          <w:highlight w:val="none"/>
          <w:lang w:val="en-US" w:eastAsia="zh-CN"/>
        </w:rPr>
      </w:pPr>
    </w:p>
    <w:p w14:paraId="12022A69">
      <w:pPr>
        <w:rPr>
          <w:rFonts w:hint="eastAsia" w:ascii="仿宋" w:hAnsi="仿宋" w:eastAsia="仿宋" w:cs="仿宋"/>
          <w:highlight w:val="none"/>
          <w:lang w:val="en-US" w:eastAsia="zh-CN"/>
        </w:rPr>
      </w:pPr>
    </w:p>
    <w:p w14:paraId="45951B8E">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项目编号/包号：</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lang w:val="en-US" w:eastAsia="zh-CN"/>
        </w:rPr>
        <w:t xml:space="preserve"> 项目名称：</w:t>
      </w:r>
      <w:r>
        <w:rPr>
          <w:rFonts w:hint="eastAsia" w:ascii="仿宋" w:hAnsi="仿宋" w:eastAsia="仿宋" w:cs="仿宋"/>
          <w:highlight w:val="none"/>
          <w:u w:val="single"/>
          <w:lang w:val="en-US" w:eastAsia="zh-CN"/>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7E5E8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197DD0C7">
            <w:pPr>
              <w:pStyle w:val="22"/>
              <w:ind w:left="0" w:leftChars="0" w:firstLine="0" w:firstLineChars="0"/>
              <w:jc w:val="center"/>
              <w:rPr>
                <w:rFonts w:hint="eastAsia" w:ascii="仿宋" w:hAnsi="仿宋" w:eastAsia="仿宋" w:cs="仿宋"/>
                <w:b/>
                <w:bCs/>
                <w:highlight w:val="none"/>
                <w:vertAlign w:val="baseline"/>
                <w:lang w:val="en-US" w:eastAsia="zh-CN"/>
              </w:rPr>
            </w:pPr>
            <w:r>
              <w:rPr>
                <w:rFonts w:hint="eastAsia" w:ascii="仿宋" w:hAnsi="仿宋" w:eastAsia="仿宋" w:cs="仿宋"/>
                <w:b/>
                <w:bCs/>
                <w:highlight w:val="none"/>
                <w:vertAlign w:val="baseline"/>
                <w:lang w:val="en-US" w:eastAsia="zh-CN"/>
              </w:rPr>
              <w:t>序号</w:t>
            </w:r>
          </w:p>
        </w:tc>
        <w:tc>
          <w:tcPr>
            <w:tcW w:w="2130" w:type="dxa"/>
            <w:vMerge w:val="restart"/>
            <w:vAlign w:val="center"/>
          </w:tcPr>
          <w:p w14:paraId="5F01C57F">
            <w:pPr>
              <w:pStyle w:val="22"/>
              <w:ind w:left="0" w:leftChars="0" w:firstLine="0" w:firstLineChars="0"/>
              <w:jc w:val="center"/>
              <w:rPr>
                <w:rFonts w:hint="eastAsia" w:ascii="仿宋" w:hAnsi="仿宋" w:eastAsia="仿宋" w:cs="仿宋"/>
                <w:b/>
                <w:bCs/>
                <w:highlight w:val="none"/>
                <w:vertAlign w:val="baseline"/>
                <w:lang w:val="en-US" w:eastAsia="zh-CN"/>
              </w:rPr>
            </w:pPr>
            <w:r>
              <w:rPr>
                <w:rFonts w:hint="eastAsia" w:ascii="仿宋" w:hAnsi="仿宋" w:eastAsia="仿宋" w:cs="仿宋"/>
                <w:b/>
                <w:bCs/>
                <w:highlight w:val="none"/>
                <w:vertAlign w:val="baseline"/>
                <w:lang w:val="en-US" w:eastAsia="zh-CN"/>
              </w:rPr>
              <w:t>投标人名称</w:t>
            </w:r>
          </w:p>
        </w:tc>
        <w:tc>
          <w:tcPr>
            <w:tcW w:w="4262" w:type="dxa"/>
            <w:gridSpan w:val="2"/>
            <w:vAlign w:val="center"/>
          </w:tcPr>
          <w:p w14:paraId="359C5DD1">
            <w:pPr>
              <w:pStyle w:val="22"/>
              <w:ind w:left="0" w:leftChars="0" w:firstLine="0" w:firstLineChars="0"/>
              <w:jc w:val="center"/>
              <w:rPr>
                <w:rFonts w:hint="eastAsia" w:ascii="仿宋" w:hAnsi="仿宋" w:eastAsia="仿宋" w:cs="仿宋"/>
                <w:b/>
                <w:bCs/>
                <w:highlight w:val="none"/>
                <w:vertAlign w:val="baseline"/>
                <w:lang w:val="en-US" w:eastAsia="zh-CN"/>
              </w:rPr>
            </w:pPr>
            <w:r>
              <w:rPr>
                <w:rFonts w:hint="eastAsia" w:ascii="仿宋" w:hAnsi="仿宋" w:eastAsia="仿宋" w:cs="仿宋"/>
                <w:b/>
                <w:bCs/>
                <w:highlight w:val="none"/>
                <w:vertAlign w:val="baseline"/>
                <w:lang w:val="en-US" w:eastAsia="zh-CN"/>
              </w:rPr>
              <w:t>投标报价（元）</w:t>
            </w:r>
          </w:p>
        </w:tc>
      </w:tr>
      <w:tr w14:paraId="6FD30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0E7A0429">
            <w:pPr>
              <w:pStyle w:val="22"/>
              <w:jc w:val="center"/>
              <w:rPr>
                <w:rFonts w:hint="eastAsia" w:ascii="仿宋" w:hAnsi="仿宋" w:eastAsia="仿宋" w:cs="仿宋"/>
                <w:b/>
                <w:bCs/>
                <w:highlight w:val="none"/>
                <w:vertAlign w:val="baseline"/>
                <w:lang w:val="en-US" w:eastAsia="zh-CN"/>
              </w:rPr>
            </w:pPr>
          </w:p>
        </w:tc>
        <w:tc>
          <w:tcPr>
            <w:tcW w:w="2130" w:type="dxa"/>
            <w:vMerge w:val="continue"/>
            <w:vAlign w:val="center"/>
          </w:tcPr>
          <w:p w14:paraId="77A4E2E7">
            <w:pPr>
              <w:pStyle w:val="22"/>
              <w:jc w:val="center"/>
              <w:rPr>
                <w:rFonts w:hint="eastAsia" w:ascii="仿宋" w:hAnsi="仿宋" w:eastAsia="仿宋" w:cs="仿宋"/>
                <w:b/>
                <w:bCs/>
                <w:highlight w:val="none"/>
                <w:vertAlign w:val="baseline"/>
                <w:lang w:val="en-US" w:eastAsia="zh-CN"/>
              </w:rPr>
            </w:pPr>
          </w:p>
        </w:tc>
        <w:tc>
          <w:tcPr>
            <w:tcW w:w="2131" w:type="dxa"/>
            <w:vAlign w:val="center"/>
          </w:tcPr>
          <w:p w14:paraId="00C10C32">
            <w:pPr>
              <w:pStyle w:val="22"/>
              <w:ind w:left="0" w:leftChars="0" w:firstLine="0" w:firstLineChars="0"/>
              <w:jc w:val="center"/>
              <w:rPr>
                <w:rFonts w:hint="eastAsia" w:ascii="仿宋" w:hAnsi="仿宋" w:eastAsia="仿宋" w:cs="仿宋"/>
                <w:b/>
                <w:bCs/>
                <w:highlight w:val="none"/>
                <w:vertAlign w:val="baseline"/>
                <w:lang w:val="en-US" w:eastAsia="zh-CN"/>
              </w:rPr>
            </w:pPr>
            <w:r>
              <w:rPr>
                <w:rFonts w:hint="eastAsia" w:ascii="仿宋" w:hAnsi="仿宋" w:eastAsia="仿宋" w:cs="仿宋"/>
                <w:b/>
                <w:bCs/>
                <w:highlight w:val="none"/>
                <w:vertAlign w:val="baseline"/>
                <w:lang w:val="en-US" w:eastAsia="zh-CN"/>
              </w:rPr>
              <w:t>大写</w:t>
            </w:r>
          </w:p>
        </w:tc>
        <w:tc>
          <w:tcPr>
            <w:tcW w:w="2131" w:type="dxa"/>
            <w:vAlign w:val="center"/>
          </w:tcPr>
          <w:p w14:paraId="561DDFB6">
            <w:pPr>
              <w:pStyle w:val="22"/>
              <w:ind w:left="0" w:leftChars="0" w:firstLine="0" w:firstLineChars="0"/>
              <w:jc w:val="center"/>
              <w:rPr>
                <w:rFonts w:hint="eastAsia" w:ascii="仿宋" w:hAnsi="仿宋" w:eastAsia="仿宋" w:cs="仿宋"/>
                <w:b/>
                <w:bCs/>
                <w:highlight w:val="none"/>
                <w:vertAlign w:val="baseline"/>
                <w:lang w:val="en-US" w:eastAsia="zh-CN"/>
              </w:rPr>
            </w:pPr>
            <w:r>
              <w:rPr>
                <w:rFonts w:hint="eastAsia" w:ascii="仿宋" w:hAnsi="仿宋" w:eastAsia="仿宋" w:cs="仿宋"/>
                <w:b/>
                <w:bCs/>
                <w:highlight w:val="none"/>
                <w:vertAlign w:val="baseline"/>
                <w:lang w:val="en-US" w:eastAsia="zh-CN"/>
              </w:rPr>
              <w:t>小写</w:t>
            </w:r>
          </w:p>
        </w:tc>
      </w:tr>
      <w:tr w14:paraId="2EBF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130" w:type="dxa"/>
            <w:vAlign w:val="center"/>
          </w:tcPr>
          <w:p w14:paraId="3EED087E">
            <w:pPr>
              <w:pStyle w:val="22"/>
              <w:jc w:val="center"/>
              <w:rPr>
                <w:rFonts w:hint="eastAsia" w:ascii="仿宋" w:hAnsi="仿宋" w:eastAsia="仿宋" w:cs="仿宋"/>
                <w:highlight w:val="none"/>
                <w:vertAlign w:val="baseline"/>
                <w:lang w:val="en-US" w:eastAsia="zh-CN"/>
              </w:rPr>
            </w:pPr>
          </w:p>
        </w:tc>
        <w:tc>
          <w:tcPr>
            <w:tcW w:w="2130" w:type="dxa"/>
            <w:vAlign w:val="center"/>
          </w:tcPr>
          <w:p w14:paraId="1D480268">
            <w:pPr>
              <w:pStyle w:val="22"/>
              <w:jc w:val="center"/>
              <w:rPr>
                <w:rFonts w:hint="eastAsia" w:ascii="仿宋" w:hAnsi="仿宋" w:eastAsia="仿宋" w:cs="仿宋"/>
                <w:highlight w:val="none"/>
                <w:vertAlign w:val="baseline"/>
                <w:lang w:val="en-US" w:eastAsia="zh-CN"/>
              </w:rPr>
            </w:pPr>
          </w:p>
        </w:tc>
        <w:tc>
          <w:tcPr>
            <w:tcW w:w="2131" w:type="dxa"/>
            <w:vAlign w:val="center"/>
          </w:tcPr>
          <w:p w14:paraId="4E7ED1FF">
            <w:pPr>
              <w:pStyle w:val="22"/>
              <w:jc w:val="center"/>
              <w:rPr>
                <w:rFonts w:hint="eastAsia" w:ascii="仿宋" w:hAnsi="仿宋" w:eastAsia="仿宋" w:cs="仿宋"/>
                <w:highlight w:val="none"/>
                <w:vertAlign w:val="baseline"/>
                <w:lang w:val="en-US" w:eastAsia="zh-CN"/>
              </w:rPr>
            </w:pPr>
          </w:p>
        </w:tc>
        <w:tc>
          <w:tcPr>
            <w:tcW w:w="2131" w:type="dxa"/>
            <w:vAlign w:val="center"/>
          </w:tcPr>
          <w:p w14:paraId="0712A635">
            <w:pPr>
              <w:pStyle w:val="22"/>
              <w:jc w:val="center"/>
              <w:rPr>
                <w:rFonts w:hint="eastAsia" w:ascii="仿宋" w:hAnsi="仿宋" w:eastAsia="仿宋" w:cs="仿宋"/>
                <w:highlight w:val="none"/>
                <w:vertAlign w:val="baseline"/>
                <w:lang w:val="en-US" w:eastAsia="zh-CN"/>
              </w:rPr>
            </w:pPr>
          </w:p>
        </w:tc>
      </w:tr>
    </w:tbl>
    <w:p w14:paraId="6F8680CE">
      <w:pPr>
        <w:pStyle w:val="22"/>
        <w:ind w:left="0" w:leftChars="0" w:firstLine="0" w:firstLineChars="0"/>
        <w:rPr>
          <w:rFonts w:hint="eastAsia" w:ascii="仿宋" w:hAnsi="仿宋" w:eastAsia="仿宋" w:cs="仿宋"/>
          <w:highlight w:val="none"/>
          <w:lang w:val="en-US" w:eastAsia="zh-CN"/>
        </w:rPr>
      </w:pPr>
    </w:p>
    <w:p w14:paraId="52BEBCA6">
      <w:pPr>
        <w:pStyle w:val="21"/>
        <w:rPr>
          <w:rFonts w:hint="eastAsia" w:ascii="仿宋" w:hAnsi="仿宋" w:eastAsia="仿宋" w:cs="仿宋"/>
          <w:highlight w:val="none"/>
          <w:lang w:val="en-US" w:eastAsia="zh-CN"/>
        </w:rPr>
      </w:pPr>
      <w:r>
        <w:rPr>
          <w:rFonts w:hint="eastAsia" w:ascii="仿宋" w:hAnsi="仿宋" w:eastAsia="仿宋" w:cs="仿宋"/>
          <w:highlight w:val="none"/>
          <w:lang w:val="en-US" w:eastAsia="zh-CN"/>
        </w:rPr>
        <w:t>注：1.此表中，每包的投标报价应和《投标分项报价表》中的总价相一致。</w:t>
      </w:r>
    </w:p>
    <w:p w14:paraId="40F35F41">
      <w:pPr>
        <w:pStyle w:val="21"/>
        <w:rPr>
          <w:rFonts w:hint="eastAsia" w:ascii="仿宋" w:hAnsi="仿宋" w:eastAsia="仿宋" w:cs="仿宋"/>
          <w:highlight w:val="none"/>
          <w:lang w:val="en-US" w:eastAsia="zh-CN"/>
        </w:rPr>
      </w:pPr>
      <w:r>
        <w:rPr>
          <w:rFonts w:hint="eastAsia" w:ascii="仿宋" w:hAnsi="仿宋" w:eastAsia="仿宋" w:cs="仿宋"/>
          <w:highlight w:val="none"/>
          <w:lang w:val="en-US" w:eastAsia="zh-CN"/>
        </w:rPr>
        <w:t>2.本表中投标报价为总价，合计金额与投标分项报价表中的合计金额一致</w:t>
      </w:r>
    </w:p>
    <w:p w14:paraId="6988FA77">
      <w:pPr>
        <w:pStyle w:val="21"/>
        <w:rPr>
          <w:rFonts w:hint="eastAsia" w:ascii="仿宋" w:hAnsi="仿宋" w:eastAsia="仿宋" w:cs="仿宋"/>
          <w:highlight w:val="none"/>
          <w:lang w:val="en-US" w:eastAsia="zh-CN"/>
        </w:rPr>
      </w:pPr>
    </w:p>
    <w:p w14:paraId="51681A64">
      <w:pPr>
        <w:pStyle w:val="21"/>
        <w:rPr>
          <w:rFonts w:hint="eastAsia" w:ascii="仿宋" w:hAnsi="仿宋" w:eastAsia="仿宋" w:cs="仿宋"/>
          <w:highlight w:val="none"/>
          <w:lang w:val="en-US" w:eastAsia="zh-CN"/>
        </w:rPr>
      </w:pPr>
    </w:p>
    <w:p w14:paraId="0D007DC4">
      <w:pPr>
        <w:pStyle w:val="2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投标人名称（加盖公章）：</w:t>
      </w:r>
      <w:r>
        <w:rPr>
          <w:rFonts w:hint="eastAsia" w:ascii="仿宋" w:hAnsi="仿宋" w:eastAsia="仿宋" w:cs="仿宋"/>
          <w:sz w:val="24"/>
          <w:szCs w:val="24"/>
          <w:highlight w:val="none"/>
          <w:u w:val="single"/>
          <w:lang w:val="en-US" w:eastAsia="zh-CN"/>
        </w:rPr>
        <w:t xml:space="preserve">             </w:t>
      </w:r>
    </w:p>
    <w:p w14:paraId="38624AB4">
      <w:pPr>
        <w:pStyle w:val="2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日期：</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年</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月</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日</w:t>
      </w:r>
    </w:p>
    <w:p w14:paraId="3A1CE460">
      <w:pPr>
        <w:pStyle w:val="18"/>
        <w:rPr>
          <w:rFonts w:hint="eastAsia" w:ascii="仿宋" w:hAnsi="仿宋" w:eastAsia="仿宋" w:cs="仿宋"/>
          <w:highlight w:val="none"/>
          <w:lang w:val="en-US" w:eastAsia="zh-CN"/>
        </w:rPr>
      </w:pPr>
    </w:p>
    <w:p w14:paraId="130EC8AE">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094AA827">
      <w:pPr>
        <w:pStyle w:val="22"/>
        <w:ind w:left="0" w:leftChars="0" w:firstLine="0" w:firstLineChars="0"/>
        <w:outlineLvl w:val="1"/>
        <w:rPr>
          <w:rFonts w:hint="eastAsia" w:ascii="仿宋" w:hAnsi="仿宋" w:eastAsia="仿宋" w:cs="仿宋"/>
          <w:sz w:val="24"/>
          <w:szCs w:val="24"/>
          <w:highlight w:val="none"/>
          <w:lang w:val="en-US" w:eastAsia="zh-CN"/>
        </w:rPr>
      </w:pPr>
      <w:bookmarkStart w:id="60" w:name="_Toc7007"/>
      <w:r>
        <w:rPr>
          <w:rFonts w:hint="eastAsia" w:ascii="仿宋" w:hAnsi="仿宋" w:eastAsia="仿宋" w:cs="仿宋"/>
          <w:sz w:val="24"/>
          <w:szCs w:val="24"/>
          <w:highlight w:val="none"/>
          <w:lang w:val="en-US" w:eastAsia="zh-CN"/>
        </w:rPr>
        <w:t>7-2  投标分项报价表</w:t>
      </w:r>
      <w:bookmarkEnd w:id="60"/>
    </w:p>
    <w:p w14:paraId="4C4FC36C">
      <w:pPr>
        <w:pStyle w:val="22"/>
        <w:ind w:left="0" w:leftChars="0" w:firstLine="0" w:firstLineChars="0"/>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投标分项报价表</w:t>
      </w:r>
    </w:p>
    <w:p w14:paraId="2A5DA7D5">
      <w:pPr>
        <w:pStyle w:val="22"/>
        <w:ind w:left="0" w:leftChars="0" w:firstLine="0" w:firstLineChars="0"/>
        <w:jc w:val="center"/>
        <w:rPr>
          <w:rFonts w:hint="eastAsia" w:ascii="仿宋" w:hAnsi="仿宋" w:eastAsia="仿宋" w:cs="仿宋"/>
          <w:highlight w:val="none"/>
          <w:lang w:val="en-US" w:eastAsia="zh-CN"/>
        </w:rPr>
      </w:pPr>
    </w:p>
    <w:p w14:paraId="20B6D176">
      <w:pPr>
        <w:pStyle w:val="22"/>
        <w:ind w:left="0" w:leftChars="0" w:firstLine="0" w:firstLineChars="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项目编号：</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lang w:val="en-US" w:eastAsia="zh-CN"/>
        </w:rPr>
        <w:t xml:space="preserve"> 项目名称：</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lang w:val="en-US" w:eastAsia="zh-CN"/>
        </w:rPr>
        <w:t xml:space="preserve">      报价单位：人民币元</w:t>
      </w:r>
    </w:p>
    <w:tbl>
      <w:tblPr>
        <w:tblStyle w:val="24"/>
        <w:tblW w:w="9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303"/>
        <w:gridCol w:w="884"/>
        <w:gridCol w:w="775"/>
        <w:gridCol w:w="1262"/>
        <w:gridCol w:w="1225"/>
        <w:gridCol w:w="1141"/>
        <w:gridCol w:w="1141"/>
        <w:gridCol w:w="1172"/>
      </w:tblGrid>
      <w:tr w14:paraId="743A1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683" w:type="dxa"/>
            <w:vAlign w:val="center"/>
          </w:tcPr>
          <w:p w14:paraId="173DF411">
            <w:pPr>
              <w:pStyle w:val="2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序号</w:t>
            </w:r>
          </w:p>
        </w:tc>
        <w:tc>
          <w:tcPr>
            <w:tcW w:w="1303" w:type="dxa"/>
            <w:vAlign w:val="center"/>
          </w:tcPr>
          <w:p w14:paraId="17511363">
            <w:pPr>
              <w:pStyle w:val="2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品目名称</w:t>
            </w:r>
          </w:p>
        </w:tc>
        <w:tc>
          <w:tcPr>
            <w:tcW w:w="884" w:type="dxa"/>
            <w:vAlign w:val="center"/>
          </w:tcPr>
          <w:p w14:paraId="6EC2913B">
            <w:pPr>
              <w:pStyle w:val="2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制造商</w:t>
            </w:r>
          </w:p>
        </w:tc>
        <w:tc>
          <w:tcPr>
            <w:tcW w:w="775" w:type="dxa"/>
            <w:vAlign w:val="center"/>
          </w:tcPr>
          <w:p w14:paraId="23B851FC">
            <w:pPr>
              <w:pStyle w:val="2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品牌</w:t>
            </w:r>
          </w:p>
        </w:tc>
        <w:tc>
          <w:tcPr>
            <w:tcW w:w="1262" w:type="dxa"/>
            <w:vAlign w:val="center"/>
          </w:tcPr>
          <w:p w14:paraId="465ADA9B">
            <w:pPr>
              <w:pStyle w:val="2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产地/国别</w:t>
            </w:r>
          </w:p>
        </w:tc>
        <w:tc>
          <w:tcPr>
            <w:tcW w:w="1225" w:type="dxa"/>
            <w:vAlign w:val="center"/>
          </w:tcPr>
          <w:p w14:paraId="13B9E36E">
            <w:pPr>
              <w:pStyle w:val="2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规格、型号</w:t>
            </w:r>
          </w:p>
        </w:tc>
        <w:tc>
          <w:tcPr>
            <w:tcW w:w="1141" w:type="dxa"/>
            <w:vAlign w:val="center"/>
          </w:tcPr>
          <w:p w14:paraId="76E04210">
            <w:pPr>
              <w:pStyle w:val="21"/>
              <w:ind w:left="0" w:leftChars="0" w:firstLine="0" w:firstLine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数量</w:t>
            </w:r>
          </w:p>
        </w:tc>
        <w:tc>
          <w:tcPr>
            <w:tcW w:w="1141" w:type="dxa"/>
            <w:vAlign w:val="center"/>
          </w:tcPr>
          <w:p w14:paraId="08E9C316">
            <w:pPr>
              <w:pStyle w:val="2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单价（元）</w:t>
            </w:r>
          </w:p>
        </w:tc>
        <w:tc>
          <w:tcPr>
            <w:tcW w:w="1172" w:type="dxa"/>
            <w:vAlign w:val="center"/>
          </w:tcPr>
          <w:p w14:paraId="20D415B4">
            <w:pPr>
              <w:pStyle w:val="2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备注/说明</w:t>
            </w:r>
          </w:p>
        </w:tc>
      </w:tr>
      <w:tr w14:paraId="1DE5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83" w:type="dxa"/>
            <w:vAlign w:val="center"/>
          </w:tcPr>
          <w:p w14:paraId="2551764C">
            <w:pPr>
              <w:pStyle w:val="21"/>
              <w:jc w:val="center"/>
              <w:rPr>
                <w:rFonts w:hint="eastAsia" w:ascii="仿宋" w:hAnsi="仿宋" w:eastAsia="仿宋" w:cs="仿宋"/>
                <w:color w:val="auto"/>
                <w:sz w:val="21"/>
                <w:szCs w:val="21"/>
                <w:highlight w:val="none"/>
                <w:vertAlign w:val="baseline"/>
                <w:lang w:val="en-US" w:eastAsia="zh-CN"/>
              </w:rPr>
            </w:pPr>
          </w:p>
        </w:tc>
        <w:tc>
          <w:tcPr>
            <w:tcW w:w="1303" w:type="dxa"/>
            <w:vAlign w:val="center"/>
          </w:tcPr>
          <w:p w14:paraId="3D7EB90B">
            <w:pPr>
              <w:pStyle w:val="21"/>
              <w:jc w:val="center"/>
              <w:rPr>
                <w:rFonts w:hint="eastAsia" w:ascii="仿宋" w:hAnsi="仿宋" w:eastAsia="仿宋" w:cs="仿宋"/>
                <w:color w:val="auto"/>
                <w:sz w:val="21"/>
                <w:szCs w:val="21"/>
                <w:highlight w:val="none"/>
                <w:vertAlign w:val="baseline"/>
                <w:lang w:val="en-US" w:eastAsia="zh-CN"/>
              </w:rPr>
            </w:pPr>
          </w:p>
        </w:tc>
        <w:tc>
          <w:tcPr>
            <w:tcW w:w="884" w:type="dxa"/>
            <w:vAlign w:val="center"/>
          </w:tcPr>
          <w:p w14:paraId="5643A9A1">
            <w:pPr>
              <w:pStyle w:val="21"/>
              <w:jc w:val="center"/>
              <w:rPr>
                <w:rFonts w:hint="eastAsia" w:ascii="仿宋" w:hAnsi="仿宋" w:eastAsia="仿宋" w:cs="仿宋"/>
                <w:color w:val="auto"/>
                <w:sz w:val="21"/>
                <w:szCs w:val="21"/>
                <w:highlight w:val="none"/>
                <w:vertAlign w:val="baseline"/>
                <w:lang w:val="en-US" w:eastAsia="zh-CN"/>
              </w:rPr>
            </w:pPr>
          </w:p>
        </w:tc>
        <w:tc>
          <w:tcPr>
            <w:tcW w:w="775" w:type="dxa"/>
            <w:vAlign w:val="center"/>
          </w:tcPr>
          <w:p w14:paraId="5DBAFBCE">
            <w:pPr>
              <w:pStyle w:val="21"/>
              <w:jc w:val="center"/>
              <w:rPr>
                <w:rFonts w:hint="eastAsia" w:ascii="仿宋" w:hAnsi="仿宋" w:eastAsia="仿宋" w:cs="仿宋"/>
                <w:color w:val="auto"/>
                <w:sz w:val="21"/>
                <w:szCs w:val="21"/>
                <w:highlight w:val="none"/>
                <w:vertAlign w:val="baseline"/>
                <w:lang w:val="en-US" w:eastAsia="zh-CN"/>
              </w:rPr>
            </w:pPr>
          </w:p>
        </w:tc>
        <w:tc>
          <w:tcPr>
            <w:tcW w:w="1262" w:type="dxa"/>
            <w:vAlign w:val="center"/>
          </w:tcPr>
          <w:p w14:paraId="67916430">
            <w:pPr>
              <w:pStyle w:val="21"/>
              <w:jc w:val="center"/>
              <w:rPr>
                <w:rFonts w:hint="eastAsia" w:ascii="仿宋" w:hAnsi="仿宋" w:eastAsia="仿宋" w:cs="仿宋"/>
                <w:color w:val="auto"/>
                <w:sz w:val="21"/>
                <w:szCs w:val="21"/>
                <w:highlight w:val="none"/>
                <w:vertAlign w:val="baseline"/>
                <w:lang w:val="en-US" w:eastAsia="zh-CN"/>
              </w:rPr>
            </w:pPr>
          </w:p>
        </w:tc>
        <w:tc>
          <w:tcPr>
            <w:tcW w:w="1225" w:type="dxa"/>
            <w:vAlign w:val="center"/>
          </w:tcPr>
          <w:p w14:paraId="5D767984">
            <w:pPr>
              <w:pStyle w:val="21"/>
              <w:jc w:val="center"/>
              <w:rPr>
                <w:rFonts w:hint="eastAsia" w:ascii="仿宋" w:hAnsi="仿宋" w:eastAsia="仿宋" w:cs="仿宋"/>
                <w:color w:val="auto"/>
                <w:sz w:val="21"/>
                <w:szCs w:val="21"/>
                <w:highlight w:val="none"/>
                <w:vertAlign w:val="baseline"/>
                <w:lang w:val="en-US" w:eastAsia="zh-CN"/>
              </w:rPr>
            </w:pPr>
          </w:p>
        </w:tc>
        <w:tc>
          <w:tcPr>
            <w:tcW w:w="1141" w:type="dxa"/>
            <w:vAlign w:val="center"/>
          </w:tcPr>
          <w:p w14:paraId="515B888A">
            <w:pPr>
              <w:pStyle w:val="21"/>
              <w:jc w:val="center"/>
              <w:rPr>
                <w:rFonts w:hint="eastAsia" w:ascii="仿宋" w:hAnsi="仿宋" w:eastAsia="仿宋" w:cs="仿宋"/>
                <w:color w:val="auto"/>
                <w:sz w:val="21"/>
                <w:szCs w:val="21"/>
                <w:highlight w:val="none"/>
                <w:vertAlign w:val="baseline"/>
                <w:lang w:val="en-US" w:eastAsia="zh-CN"/>
              </w:rPr>
            </w:pPr>
          </w:p>
        </w:tc>
        <w:tc>
          <w:tcPr>
            <w:tcW w:w="1141" w:type="dxa"/>
            <w:vAlign w:val="center"/>
          </w:tcPr>
          <w:p w14:paraId="19EC5024">
            <w:pPr>
              <w:pStyle w:val="21"/>
              <w:jc w:val="center"/>
              <w:rPr>
                <w:rFonts w:hint="eastAsia" w:ascii="仿宋" w:hAnsi="仿宋" w:eastAsia="仿宋" w:cs="仿宋"/>
                <w:color w:val="auto"/>
                <w:sz w:val="21"/>
                <w:szCs w:val="21"/>
                <w:highlight w:val="none"/>
                <w:vertAlign w:val="baseline"/>
                <w:lang w:val="en-US" w:eastAsia="zh-CN"/>
              </w:rPr>
            </w:pPr>
          </w:p>
        </w:tc>
        <w:tc>
          <w:tcPr>
            <w:tcW w:w="1172" w:type="dxa"/>
            <w:vAlign w:val="center"/>
          </w:tcPr>
          <w:p w14:paraId="7F249F11">
            <w:pPr>
              <w:pStyle w:val="21"/>
              <w:jc w:val="center"/>
              <w:rPr>
                <w:rFonts w:hint="eastAsia" w:ascii="仿宋" w:hAnsi="仿宋" w:eastAsia="仿宋" w:cs="仿宋"/>
                <w:color w:val="auto"/>
                <w:sz w:val="21"/>
                <w:szCs w:val="21"/>
                <w:highlight w:val="none"/>
                <w:vertAlign w:val="baseline"/>
                <w:lang w:val="en-US" w:eastAsia="zh-CN"/>
              </w:rPr>
            </w:pPr>
          </w:p>
        </w:tc>
      </w:tr>
      <w:tr w14:paraId="57A59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83" w:type="dxa"/>
            <w:vAlign w:val="center"/>
          </w:tcPr>
          <w:p w14:paraId="61B10111">
            <w:pPr>
              <w:pStyle w:val="21"/>
              <w:jc w:val="center"/>
              <w:rPr>
                <w:rFonts w:hint="eastAsia" w:ascii="仿宋" w:hAnsi="仿宋" w:eastAsia="仿宋" w:cs="仿宋"/>
                <w:color w:val="auto"/>
                <w:sz w:val="21"/>
                <w:szCs w:val="21"/>
                <w:highlight w:val="none"/>
                <w:vertAlign w:val="baseline"/>
                <w:lang w:val="en-US" w:eastAsia="zh-CN"/>
              </w:rPr>
            </w:pPr>
          </w:p>
        </w:tc>
        <w:tc>
          <w:tcPr>
            <w:tcW w:w="1303" w:type="dxa"/>
            <w:vAlign w:val="center"/>
          </w:tcPr>
          <w:p w14:paraId="17285DB9">
            <w:pPr>
              <w:pStyle w:val="21"/>
              <w:jc w:val="center"/>
              <w:rPr>
                <w:rFonts w:hint="eastAsia" w:ascii="仿宋" w:hAnsi="仿宋" w:eastAsia="仿宋" w:cs="仿宋"/>
                <w:color w:val="auto"/>
                <w:sz w:val="21"/>
                <w:szCs w:val="21"/>
                <w:highlight w:val="none"/>
                <w:vertAlign w:val="baseline"/>
                <w:lang w:val="en-US" w:eastAsia="zh-CN"/>
              </w:rPr>
            </w:pPr>
          </w:p>
        </w:tc>
        <w:tc>
          <w:tcPr>
            <w:tcW w:w="884" w:type="dxa"/>
            <w:vAlign w:val="center"/>
          </w:tcPr>
          <w:p w14:paraId="7BCCDF89">
            <w:pPr>
              <w:pStyle w:val="21"/>
              <w:jc w:val="center"/>
              <w:rPr>
                <w:rFonts w:hint="eastAsia" w:ascii="仿宋" w:hAnsi="仿宋" w:eastAsia="仿宋" w:cs="仿宋"/>
                <w:color w:val="auto"/>
                <w:sz w:val="21"/>
                <w:szCs w:val="21"/>
                <w:highlight w:val="none"/>
                <w:vertAlign w:val="baseline"/>
                <w:lang w:val="en-US" w:eastAsia="zh-CN"/>
              </w:rPr>
            </w:pPr>
          </w:p>
        </w:tc>
        <w:tc>
          <w:tcPr>
            <w:tcW w:w="775" w:type="dxa"/>
            <w:vAlign w:val="center"/>
          </w:tcPr>
          <w:p w14:paraId="3F573D20">
            <w:pPr>
              <w:pStyle w:val="21"/>
              <w:jc w:val="center"/>
              <w:rPr>
                <w:rFonts w:hint="eastAsia" w:ascii="仿宋" w:hAnsi="仿宋" w:eastAsia="仿宋" w:cs="仿宋"/>
                <w:color w:val="auto"/>
                <w:sz w:val="21"/>
                <w:szCs w:val="21"/>
                <w:highlight w:val="none"/>
                <w:vertAlign w:val="baseline"/>
                <w:lang w:val="en-US" w:eastAsia="zh-CN"/>
              </w:rPr>
            </w:pPr>
          </w:p>
        </w:tc>
        <w:tc>
          <w:tcPr>
            <w:tcW w:w="1262" w:type="dxa"/>
            <w:vAlign w:val="center"/>
          </w:tcPr>
          <w:p w14:paraId="4098BCB2">
            <w:pPr>
              <w:pStyle w:val="21"/>
              <w:jc w:val="center"/>
              <w:rPr>
                <w:rFonts w:hint="eastAsia" w:ascii="仿宋" w:hAnsi="仿宋" w:eastAsia="仿宋" w:cs="仿宋"/>
                <w:color w:val="auto"/>
                <w:sz w:val="21"/>
                <w:szCs w:val="21"/>
                <w:highlight w:val="none"/>
                <w:vertAlign w:val="baseline"/>
                <w:lang w:val="en-US" w:eastAsia="zh-CN"/>
              </w:rPr>
            </w:pPr>
          </w:p>
        </w:tc>
        <w:tc>
          <w:tcPr>
            <w:tcW w:w="1225" w:type="dxa"/>
            <w:vAlign w:val="center"/>
          </w:tcPr>
          <w:p w14:paraId="1484F5EB">
            <w:pPr>
              <w:pStyle w:val="21"/>
              <w:jc w:val="center"/>
              <w:rPr>
                <w:rFonts w:hint="eastAsia" w:ascii="仿宋" w:hAnsi="仿宋" w:eastAsia="仿宋" w:cs="仿宋"/>
                <w:color w:val="auto"/>
                <w:sz w:val="21"/>
                <w:szCs w:val="21"/>
                <w:highlight w:val="none"/>
                <w:vertAlign w:val="baseline"/>
                <w:lang w:val="en-US" w:eastAsia="zh-CN"/>
              </w:rPr>
            </w:pPr>
          </w:p>
        </w:tc>
        <w:tc>
          <w:tcPr>
            <w:tcW w:w="1141" w:type="dxa"/>
            <w:vAlign w:val="center"/>
          </w:tcPr>
          <w:p w14:paraId="1E540D49">
            <w:pPr>
              <w:pStyle w:val="21"/>
              <w:jc w:val="center"/>
              <w:rPr>
                <w:rFonts w:hint="eastAsia" w:ascii="仿宋" w:hAnsi="仿宋" w:eastAsia="仿宋" w:cs="仿宋"/>
                <w:color w:val="auto"/>
                <w:sz w:val="21"/>
                <w:szCs w:val="21"/>
                <w:highlight w:val="none"/>
                <w:vertAlign w:val="baseline"/>
                <w:lang w:val="en-US" w:eastAsia="zh-CN"/>
              </w:rPr>
            </w:pPr>
          </w:p>
        </w:tc>
        <w:tc>
          <w:tcPr>
            <w:tcW w:w="1141" w:type="dxa"/>
            <w:vAlign w:val="center"/>
          </w:tcPr>
          <w:p w14:paraId="49CA65B1">
            <w:pPr>
              <w:pStyle w:val="21"/>
              <w:jc w:val="center"/>
              <w:rPr>
                <w:rFonts w:hint="eastAsia" w:ascii="仿宋" w:hAnsi="仿宋" w:eastAsia="仿宋" w:cs="仿宋"/>
                <w:color w:val="auto"/>
                <w:sz w:val="21"/>
                <w:szCs w:val="21"/>
                <w:highlight w:val="none"/>
                <w:vertAlign w:val="baseline"/>
                <w:lang w:val="en-US" w:eastAsia="zh-CN"/>
              </w:rPr>
            </w:pPr>
          </w:p>
        </w:tc>
        <w:tc>
          <w:tcPr>
            <w:tcW w:w="1172" w:type="dxa"/>
            <w:vAlign w:val="center"/>
          </w:tcPr>
          <w:p w14:paraId="5833B14C">
            <w:pPr>
              <w:pStyle w:val="21"/>
              <w:jc w:val="center"/>
              <w:rPr>
                <w:rFonts w:hint="eastAsia" w:ascii="仿宋" w:hAnsi="仿宋" w:eastAsia="仿宋" w:cs="仿宋"/>
                <w:color w:val="auto"/>
                <w:sz w:val="21"/>
                <w:szCs w:val="21"/>
                <w:highlight w:val="none"/>
                <w:vertAlign w:val="baseline"/>
                <w:lang w:val="en-US" w:eastAsia="zh-CN"/>
              </w:rPr>
            </w:pPr>
          </w:p>
        </w:tc>
      </w:tr>
      <w:tr w14:paraId="46CF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83" w:type="dxa"/>
            <w:vAlign w:val="center"/>
          </w:tcPr>
          <w:p w14:paraId="6F8B978E">
            <w:pPr>
              <w:pStyle w:val="21"/>
              <w:jc w:val="center"/>
              <w:rPr>
                <w:rFonts w:hint="eastAsia" w:ascii="仿宋" w:hAnsi="仿宋" w:eastAsia="仿宋" w:cs="仿宋"/>
                <w:color w:val="auto"/>
                <w:sz w:val="21"/>
                <w:szCs w:val="21"/>
                <w:highlight w:val="none"/>
                <w:vertAlign w:val="baseline"/>
                <w:lang w:val="en-US" w:eastAsia="zh-CN"/>
              </w:rPr>
            </w:pPr>
          </w:p>
        </w:tc>
        <w:tc>
          <w:tcPr>
            <w:tcW w:w="1303" w:type="dxa"/>
            <w:vAlign w:val="center"/>
          </w:tcPr>
          <w:p w14:paraId="1EBE9A01">
            <w:pPr>
              <w:pStyle w:val="21"/>
              <w:jc w:val="center"/>
              <w:rPr>
                <w:rFonts w:hint="eastAsia" w:ascii="仿宋" w:hAnsi="仿宋" w:eastAsia="仿宋" w:cs="仿宋"/>
                <w:color w:val="auto"/>
                <w:sz w:val="21"/>
                <w:szCs w:val="21"/>
                <w:highlight w:val="none"/>
                <w:vertAlign w:val="baseline"/>
                <w:lang w:val="en-US" w:eastAsia="zh-CN"/>
              </w:rPr>
            </w:pPr>
          </w:p>
        </w:tc>
        <w:tc>
          <w:tcPr>
            <w:tcW w:w="884" w:type="dxa"/>
            <w:vAlign w:val="center"/>
          </w:tcPr>
          <w:p w14:paraId="0A07E566">
            <w:pPr>
              <w:pStyle w:val="21"/>
              <w:jc w:val="center"/>
              <w:rPr>
                <w:rFonts w:hint="eastAsia" w:ascii="仿宋" w:hAnsi="仿宋" w:eastAsia="仿宋" w:cs="仿宋"/>
                <w:color w:val="auto"/>
                <w:sz w:val="21"/>
                <w:szCs w:val="21"/>
                <w:highlight w:val="none"/>
                <w:vertAlign w:val="baseline"/>
                <w:lang w:val="en-US" w:eastAsia="zh-CN"/>
              </w:rPr>
            </w:pPr>
          </w:p>
        </w:tc>
        <w:tc>
          <w:tcPr>
            <w:tcW w:w="775" w:type="dxa"/>
            <w:vAlign w:val="center"/>
          </w:tcPr>
          <w:p w14:paraId="04375D79">
            <w:pPr>
              <w:pStyle w:val="21"/>
              <w:jc w:val="center"/>
              <w:rPr>
                <w:rFonts w:hint="eastAsia" w:ascii="仿宋" w:hAnsi="仿宋" w:eastAsia="仿宋" w:cs="仿宋"/>
                <w:color w:val="auto"/>
                <w:sz w:val="21"/>
                <w:szCs w:val="21"/>
                <w:highlight w:val="none"/>
                <w:vertAlign w:val="baseline"/>
                <w:lang w:val="en-US" w:eastAsia="zh-CN"/>
              </w:rPr>
            </w:pPr>
          </w:p>
        </w:tc>
        <w:tc>
          <w:tcPr>
            <w:tcW w:w="1262" w:type="dxa"/>
            <w:vAlign w:val="center"/>
          </w:tcPr>
          <w:p w14:paraId="1665BF25">
            <w:pPr>
              <w:pStyle w:val="21"/>
              <w:jc w:val="center"/>
              <w:rPr>
                <w:rFonts w:hint="eastAsia" w:ascii="仿宋" w:hAnsi="仿宋" w:eastAsia="仿宋" w:cs="仿宋"/>
                <w:color w:val="auto"/>
                <w:sz w:val="21"/>
                <w:szCs w:val="21"/>
                <w:highlight w:val="none"/>
                <w:vertAlign w:val="baseline"/>
                <w:lang w:val="en-US" w:eastAsia="zh-CN"/>
              </w:rPr>
            </w:pPr>
          </w:p>
        </w:tc>
        <w:tc>
          <w:tcPr>
            <w:tcW w:w="1225" w:type="dxa"/>
            <w:vAlign w:val="center"/>
          </w:tcPr>
          <w:p w14:paraId="61A0FE83">
            <w:pPr>
              <w:pStyle w:val="21"/>
              <w:jc w:val="center"/>
              <w:rPr>
                <w:rFonts w:hint="eastAsia" w:ascii="仿宋" w:hAnsi="仿宋" w:eastAsia="仿宋" w:cs="仿宋"/>
                <w:color w:val="auto"/>
                <w:sz w:val="21"/>
                <w:szCs w:val="21"/>
                <w:highlight w:val="none"/>
                <w:vertAlign w:val="baseline"/>
                <w:lang w:val="en-US" w:eastAsia="zh-CN"/>
              </w:rPr>
            </w:pPr>
          </w:p>
        </w:tc>
        <w:tc>
          <w:tcPr>
            <w:tcW w:w="1141" w:type="dxa"/>
            <w:vAlign w:val="center"/>
          </w:tcPr>
          <w:p w14:paraId="25ACD055">
            <w:pPr>
              <w:pStyle w:val="21"/>
              <w:jc w:val="center"/>
              <w:rPr>
                <w:rFonts w:hint="eastAsia" w:ascii="仿宋" w:hAnsi="仿宋" w:eastAsia="仿宋" w:cs="仿宋"/>
                <w:color w:val="auto"/>
                <w:sz w:val="21"/>
                <w:szCs w:val="21"/>
                <w:highlight w:val="none"/>
                <w:vertAlign w:val="baseline"/>
                <w:lang w:val="en-US" w:eastAsia="zh-CN"/>
              </w:rPr>
            </w:pPr>
          </w:p>
        </w:tc>
        <w:tc>
          <w:tcPr>
            <w:tcW w:w="1141" w:type="dxa"/>
            <w:vAlign w:val="center"/>
          </w:tcPr>
          <w:p w14:paraId="3B48C84E">
            <w:pPr>
              <w:pStyle w:val="21"/>
              <w:jc w:val="center"/>
              <w:rPr>
                <w:rFonts w:hint="eastAsia" w:ascii="仿宋" w:hAnsi="仿宋" w:eastAsia="仿宋" w:cs="仿宋"/>
                <w:color w:val="auto"/>
                <w:sz w:val="21"/>
                <w:szCs w:val="21"/>
                <w:highlight w:val="none"/>
                <w:vertAlign w:val="baseline"/>
                <w:lang w:val="en-US" w:eastAsia="zh-CN"/>
              </w:rPr>
            </w:pPr>
          </w:p>
        </w:tc>
        <w:tc>
          <w:tcPr>
            <w:tcW w:w="1172" w:type="dxa"/>
            <w:vAlign w:val="center"/>
          </w:tcPr>
          <w:p w14:paraId="00A613B7">
            <w:pPr>
              <w:pStyle w:val="21"/>
              <w:jc w:val="center"/>
              <w:rPr>
                <w:rFonts w:hint="eastAsia" w:ascii="仿宋" w:hAnsi="仿宋" w:eastAsia="仿宋" w:cs="仿宋"/>
                <w:color w:val="auto"/>
                <w:sz w:val="21"/>
                <w:szCs w:val="21"/>
                <w:highlight w:val="none"/>
                <w:vertAlign w:val="baseline"/>
                <w:lang w:val="en-US" w:eastAsia="zh-CN"/>
              </w:rPr>
            </w:pPr>
          </w:p>
        </w:tc>
      </w:tr>
      <w:tr w14:paraId="0574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83" w:type="dxa"/>
            <w:vAlign w:val="center"/>
          </w:tcPr>
          <w:p w14:paraId="0B35E500">
            <w:pPr>
              <w:pStyle w:val="21"/>
              <w:jc w:val="center"/>
              <w:rPr>
                <w:rFonts w:hint="eastAsia" w:ascii="仿宋" w:hAnsi="仿宋" w:eastAsia="仿宋" w:cs="仿宋"/>
                <w:color w:val="auto"/>
                <w:sz w:val="21"/>
                <w:szCs w:val="21"/>
                <w:highlight w:val="none"/>
                <w:vertAlign w:val="baseline"/>
                <w:lang w:val="en-US" w:eastAsia="zh-CN"/>
              </w:rPr>
            </w:pPr>
          </w:p>
        </w:tc>
        <w:tc>
          <w:tcPr>
            <w:tcW w:w="1303" w:type="dxa"/>
            <w:vAlign w:val="center"/>
          </w:tcPr>
          <w:p w14:paraId="16DBF19C">
            <w:pPr>
              <w:pStyle w:val="21"/>
              <w:jc w:val="center"/>
              <w:rPr>
                <w:rFonts w:hint="eastAsia" w:ascii="仿宋" w:hAnsi="仿宋" w:eastAsia="仿宋" w:cs="仿宋"/>
                <w:color w:val="auto"/>
                <w:sz w:val="21"/>
                <w:szCs w:val="21"/>
                <w:highlight w:val="none"/>
                <w:vertAlign w:val="baseline"/>
                <w:lang w:val="en-US" w:eastAsia="zh-CN"/>
              </w:rPr>
            </w:pPr>
          </w:p>
        </w:tc>
        <w:tc>
          <w:tcPr>
            <w:tcW w:w="884" w:type="dxa"/>
            <w:vAlign w:val="center"/>
          </w:tcPr>
          <w:p w14:paraId="19EE5EA6">
            <w:pPr>
              <w:pStyle w:val="21"/>
              <w:jc w:val="center"/>
              <w:rPr>
                <w:rFonts w:hint="eastAsia" w:ascii="仿宋" w:hAnsi="仿宋" w:eastAsia="仿宋" w:cs="仿宋"/>
                <w:color w:val="auto"/>
                <w:sz w:val="21"/>
                <w:szCs w:val="21"/>
                <w:highlight w:val="none"/>
                <w:vertAlign w:val="baseline"/>
                <w:lang w:val="en-US" w:eastAsia="zh-CN"/>
              </w:rPr>
            </w:pPr>
          </w:p>
        </w:tc>
        <w:tc>
          <w:tcPr>
            <w:tcW w:w="775" w:type="dxa"/>
            <w:vAlign w:val="center"/>
          </w:tcPr>
          <w:p w14:paraId="4D32A82E">
            <w:pPr>
              <w:pStyle w:val="21"/>
              <w:jc w:val="center"/>
              <w:rPr>
                <w:rFonts w:hint="eastAsia" w:ascii="仿宋" w:hAnsi="仿宋" w:eastAsia="仿宋" w:cs="仿宋"/>
                <w:color w:val="auto"/>
                <w:sz w:val="21"/>
                <w:szCs w:val="21"/>
                <w:highlight w:val="none"/>
                <w:vertAlign w:val="baseline"/>
                <w:lang w:val="en-US" w:eastAsia="zh-CN"/>
              </w:rPr>
            </w:pPr>
          </w:p>
        </w:tc>
        <w:tc>
          <w:tcPr>
            <w:tcW w:w="1262" w:type="dxa"/>
            <w:vAlign w:val="center"/>
          </w:tcPr>
          <w:p w14:paraId="46771F51">
            <w:pPr>
              <w:pStyle w:val="21"/>
              <w:jc w:val="center"/>
              <w:rPr>
                <w:rFonts w:hint="eastAsia" w:ascii="仿宋" w:hAnsi="仿宋" w:eastAsia="仿宋" w:cs="仿宋"/>
                <w:color w:val="auto"/>
                <w:sz w:val="21"/>
                <w:szCs w:val="21"/>
                <w:highlight w:val="none"/>
                <w:vertAlign w:val="baseline"/>
                <w:lang w:val="en-US" w:eastAsia="zh-CN"/>
              </w:rPr>
            </w:pPr>
          </w:p>
        </w:tc>
        <w:tc>
          <w:tcPr>
            <w:tcW w:w="1225" w:type="dxa"/>
            <w:vAlign w:val="center"/>
          </w:tcPr>
          <w:p w14:paraId="40B07E42">
            <w:pPr>
              <w:pStyle w:val="21"/>
              <w:jc w:val="center"/>
              <w:rPr>
                <w:rFonts w:hint="eastAsia" w:ascii="仿宋" w:hAnsi="仿宋" w:eastAsia="仿宋" w:cs="仿宋"/>
                <w:color w:val="auto"/>
                <w:sz w:val="21"/>
                <w:szCs w:val="21"/>
                <w:highlight w:val="none"/>
                <w:vertAlign w:val="baseline"/>
                <w:lang w:val="en-US" w:eastAsia="zh-CN"/>
              </w:rPr>
            </w:pPr>
          </w:p>
        </w:tc>
        <w:tc>
          <w:tcPr>
            <w:tcW w:w="1141" w:type="dxa"/>
            <w:vAlign w:val="center"/>
          </w:tcPr>
          <w:p w14:paraId="1E215541">
            <w:pPr>
              <w:pStyle w:val="21"/>
              <w:jc w:val="center"/>
              <w:rPr>
                <w:rFonts w:hint="eastAsia" w:ascii="仿宋" w:hAnsi="仿宋" w:eastAsia="仿宋" w:cs="仿宋"/>
                <w:color w:val="auto"/>
                <w:sz w:val="21"/>
                <w:szCs w:val="21"/>
                <w:highlight w:val="none"/>
                <w:vertAlign w:val="baseline"/>
                <w:lang w:val="en-US" w:eastAsia="zh-CN"/>
              </w:rPr>
            </w:pPr>
          </w:p>
        </w:tc>
        <w:tc>
          <w:tcPr>
            <w:tcW w:w="1141" w:type="dxa"/>
            <w:vAlign w:val="center"/>
          </w:tcPr>
          <w:p w14:paraId="6763B9C0">
            <w:pPr>
              <w:pStyle w:val="21"/>
              <w:jc w:val="center"/>
              <w:rPr>
                <w:rFonts w:hint="eastAsia" w:ascii="仿宋" w:hAnsi="仿宋" w:eastAsia="仿宋" w:cs="仿宋"/>
                <w:color w:val="auto"/>
                <w:sz w:val="21"/>
                <w:szCs w:val="21"/>
                <w:highlight w:val="none"/>
                <w:vertAlign w:val="baseline"/>
                <w:lang w:val="en-US" w:eastAsia="zh-CN"/>
              </w:rPr>
            </w:pPr>
          </w:p>
        </w:tc>
        <w:tc>
          <w:tcPr>
            <w:tcW w:w="1172" w:type="dxa"/>
            <w:vAlign w:val="center"/>
          </w:tcPr>
          <w:p w14:paraId="0B3F5B3D">
            <w:pPr>
              <w:pStyle w:val="21"/>
              <w:jc w:val="center"/>
              <w:rPr>
                <w:rFonts w:hint="eastAsia" w:ascii="仿宋" w:hAnsi="仿宋" w:eastAsia="仿宋" w:cs="仿宋"/>
                <w:color w:val="auto"/>
                <w:sz w:val="21"/>
                <w:szCs w:val="21"/>
                <w:highlight w:val="none"/>
                <w:vertAlign w:val="baseline"/>
                <w:lang w:val="en-US" w:eastAsia="zh-CN"/>
              </w:rPr>
            </w:pPr>
          </w:p>
        </w:tc>
      </w:tr>
      <w:tr w14:paraId="2482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132" w:type="dxa"/>
            <w:gridSpan w:val="6"/>
            <w:vAlign w:val="center"/>
          </w:tcPr>
          <w:p w14:paraId="5FACB9CF">
            <w:pPr>
              <w:pStyle w:val="21"/>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合计（元）</w:t>
            </w:r>
          </w:p>
        </w:tc>
        <w:tc>
          <w:tcPr>
            <w:tcW w:w="1141" w:type="dxa"/>
            <w:vAlign w:val="center"/>
          </w:tcPr>
          <w:p w14:paraId="3811D1C0">
            <w:pPr>
              <w:pStyle w:val="21"/>
              <w:jc w:val="center"/>
              <w:rPr>
                <w:rFonts w:hint="eastAsia" w:ascii="仿宋" w:hAnsi="仿宋" w:eastAsia="仿宋" w:cs="仿宋"/>
                <w:color w:val="auto"/>
                <w:sz w:val="21"/>
                <w:szCs w:val="21"/>
                <w:highlight w:val="none"/>
                <w:vertAlign w:val="baseline"/>
                <w:lang w:val="en-US" w:eastAsia="zh-CN"/>
              </w:rPr>
            </w:pPr>
          </w:p>
        </w:tc>
        <w:tc>
          <w:tcPr>
            <w:tcW w:w="2313" w:type="dxa"/>
            <w:gridSpan w:val="2"/>
            <w:vAlign w:val="center"/>
          </w:tcPr>
          <w:p w14:paraId="051D2BB2">
            <w:pPr>
              <w:pStyle w:val="21"/>
              <w:jc w:val="center"/>
              <w:rPr>
                <w:rFonts w:hint="eastAsia" w:ascii="仿宋" w:hAnsi="仿宋" w:eastAsia="仿宋" w:cs="仿宋"/>
                <w:color w:val="auto"/>
                <w:sz w:val="21"/>
                <w:szCs w:val="21"/>
                <w:highlight w:val="none"/>
                <w:vertAlign w:val="baseline"/>
                <w:lang w:val="en-US" w:eastAsia="zh-CN"/>
              </w:rPr>
            </w:pPr>
          </w:p>
        </w:tc>
      </w:tr>
    </w:tbl>
    <w:p w14:paraId="684DB2A8">
      <w:pPr>
        <w:pStyle w:val="21"/>
        <w:ind w:left="0" w:leftChars="0" w:firstLine="0" w:firstLineChars="0"/>
        <w:rPr>
          <w:rFonts w:hint="eastAsia" w:ascii="仿宋" w:hAnsi="仿宋" w:eastAsia="仿宋" w:cs="仿宋"/>
          <w:highlight w:val="none"/>
          <w:lang w:val="en-US" w:eastAsia="zh-CN"/>
        </w:rPr>
      </w:pPr>
    </w:p>
    <w:p w14:paraId="37C133D0">
      <w:pPr>
        <w:pStyle w:val="18"/>
        <w:rPr>
          <w:rFonts w:hint="eastAsia" w:ascii="仿宋" w:hAnsi="仿宋" w:eastAsia="仿宋" w:cs="仿宋"/>
          <w:highlight w:val="none"/>
          <w:lang w:val="en-US" w:eastAsia="zh-CN"/>
        </w:rPr>
      </w:pPr>
    </w:p>
    <w:p w14:paraId="70BD6073">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注：1.本表应按包分别填写。</w:t>
      </w:r>
    </w:p>
    <w:p w14:paraId="374BE432">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2.如果不提供分项报价将视为没有实质性响应招标文件。</w:t>
      </w:r>
    </w:p>
    <w:p w14:paraId="46FD78EE">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3.上述各项的详细规格（如有），可另页描述。</w:t>
      </w:r>
    </w:p>
    <w:p w14:paraId="22D543E6">
      <w:pPr>
        <w:spacing w:line="360" w:lineRule="auto"/>
        <w:rPr>
          <w:rFonts w:hint="eastAsia" w:ascii="仿宋" w:hAnsi="仿宋" w:eastAsia="仿宋" w:cs="仿宋"/>
          <w:sz w:val="24"/>
          <w:szCs w:val="24"/>
          <w:highlight w:val="none"/>
          <w:lang w:val="en-US" w:eastAsia="zh-CN"/>
        </w:rPr>
      </w:pPr>
    </w:p>
    <w:p w14:paraId="00FBC4D5">
      <w:pPr>
        <w:spacing w:line="360" w:lineRule="auto"/>
        <w:rPr>
          <w:rFonts w:hint="eastAsia" w:ascii="仿宋" w:hAnsi="仿宋" w:eastAsia="仿宋" w:cs="仿宋"/>
          <w:sz w:val="24"/>
          <w:szCs w:val="24"/>
          <w:highlight w:val="none"/>
          <w:lang w:val="en-US" w:eastAsia="zh-CN"/>
        </w:rPr>
      </w:pPr>
    </w:p>
    <w:p w14:paraId="0113402A">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投标人名称（加盖公章）：____________</w:t>
      </w:r>
    </w:p>
    <w:p w14:paraId="64A790A1">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日期：_____年______月______日</w:t>
      </w:r>
    </w:p>
    <w:p w14:paraId="764F3600">
      <w:pPr>
        <w:pStyle w:val="22"/>
        <w:rPr>
          <w:rFonts w:hint="eastAsia" w:ascii="仿宋" w:hAnsi="仿宋" w:eastAsia="仿宋" w:cs="仿宋"/>
          <w:sz w:val="24"/>
          <w:szCs w:val="24"/>
          <w:highlight w:val="none"/>
          <w:lang w:val="en-US" w:eastAsia="zh-CN"/>
        </w:rPr>
      </w:pPr>
    </w:p>
    <w:p w14:paraId="452FA07A">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798D5F68">
      <w:pPr>
        <w:pStyle w:val="18"/>
        <w:ind w:left="0" w:leftChars="0" w:firstLine="0" w:firstLineChars="0"/>
        <w:jc w:val="left"/>
        <w:outlineLvl w:val="1"/>
        <w:rPr>
          <w:rFonts w:hint="eastAsia" w:ascii="仿宋" w:hAnsi="仿宋" w:eastAsia="仿宋" w:cs="仿宋"/>
          <w:sz w:val="24"/>
          <w:szCs w:val="24"/>
          <w:highlight w:val="none"/>
          <w:lang w:val="en-US" w:eastAsia="zh-CN"/>
        </w:rPr>
      </w:pPr>
      <w:bookmarkStart w:id="61" w:name="_Toc6119"/>
      <w:r>
        <w:rPr>
          <w:rFonts w:hint="eastAsia" w:ascii="仿宋" w:hAnsi="仿宋" w:eastAsia="仿宋" w:cs="仿宋"/>
          <w:sz w:val="24"/>
          <w:szCs w:val="24"/>
          <w:highlight w:val="none"/>
          <w:lang w:val="en-US" w:eastAsia="zh-CN"/>
        </w:rPr>
        <w:t>8  合同条款偏离表</w:t>
      </w:r>
      <w:bookmarkEnd w:id="61"/>
    </w:p>
    <w:p w14:paraId="3404385D">
      <w:pPr>
        <w:pStyle w:val="18"/>
        <w:ind w:left="0" w:leftChars="0" w:firstLine="0" w:firstLineChars="0"/>
        <w:jc w:val="center"/>
        <w:rPr>
          <w:rFonts w:hint="eastAsia" w:ascii="仿宋" w:hAnsi="仿宋" w:eastAsia="仿宋" w:cs="仿宋"/>
          <w:sz w:val="32"/>
          <w:szCs w:val="32"/>
          <w:highlight w:val="none"/>
          <w:lang w:val="en-US" w:eastAsia="zh-CN"/>
        </w:rPr>
      </w:pPr>
    </w:p>
    <w:p w14:paraId="2EBA3EAB">
      <w:pPr>
        <w:jc w:val="center"/>
        <w:rPr>
          <w:rFonts w:hint="eastAsia" w:ascii="仿宋" w:hAnsi="仿宋" w:eastAsia="仿宋" w:cs="仿宋"/>
          <w:b/>
          <w:bCs/>
          <w:i w:val="0"/>
          <w:iCs w:val="0"/>
          <w:sz w:val="32"/>
          <w:szCs w:val="32"/>
          <w:highlight w:val="none"/>
          <w:lang w:val="en-US" w:eastAsia="zh-CN"/>
        </w:rPr>
      </w:pPr>
      <w:r>
        <w:rPr>
          <w:rFonts w:hint="eastAsia" w:ascii="仿宋" w:hAnsi="仿宋" w:eastAsia="仿宋" w:cs="仿宋"/>
          <w:b/>
          <w:bCs/>
          <w:i w:val="0"/>
          <w:iCs w:val="0"/>
          <w:sz w:val="32"/>
          <w:szCs w:val="32"/>
          <w:highlight w:val="none"/>
          <w:lang w:val="en-US" w:eastAsia="zh-CN"/>
        </w:rPr>
        <w:t>合同条款偏离表</w:t>
      </w:r>
    </w:p>
    <w:p w14:paraId="1E223BFD">
      <w:pPr>
        <w:pStyle w:val="22"/>
        <w:ind w:left="0" w:leftChars="0" w:firstLine="0" w:firstLineChars="0"/>
        <w:rPr>
          <w:rFonts w:hint="eastAsia" w:ascii="仿宋" w:hAnsi="仿宋" w:eastAsia="仿宋" w:cs="仿宋"/>
          <w:highlight w:val="none"/>
          <w:lang w:val="en-US" w:eastAsia="zh-CN"/>
        </w:rPr>
      </w:pPr>
    </w:p>
    <w:p w14:paraId="4E4F8624">
      <w:pPr>
        <w:pStyle w:val="18"/>
        <w:ind w:left="0" w:leftChars="0" w:firstLine="0" w:firstLineChars="0"/>
        <w:jc w:val="left"/>
        <w:rPr>
          <w:rFonts w:hint="eastAsia" w:ascii="仿宋" w:hAnsi="仿宋" w:eastAsia="仿宋" w:cs="仿宋"/>
          <w:highlight w:val="none"/>
          <w:lang w:val="en-US" w:eastAsia="zh-CN"/>
        </w:rPr>
      </w:pPr>
      <w:r>
        <w:rPr>
          <w:rFonts w:hint="eastAsia" w:ascii="仿宋" w:hAnsi="仿宋" w:eastAsia="仿宋" w:cs="仿宋"/>
          <w:highlight w:val="none"/>
          <w:lang w:val="en-US" w:eastAsia="zh-CN"/>
        </w:rPr>
        <w:t>项目编号/包号：</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lang w:val="en-US" w:eastAsia="zh-CN"/>
        </w:rPr>
        <w:t xml:space="preserve">            项目名称：</w:t>
      </w:r>
      <w:r>
        <w:rPr>
          <w:rFonts w:hint="eastAsia" w:ascii="仿宋" w:hAnsi="仿宋" w:eastAsia="仿宋" w:cs="仿宋"/>
          <w:highlight w:val="none"/>
          <w:u w:val="single"/>
          <w:lang w:val="en-US" w:eastAsia="zh-CN"/>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21"/>
        <w:gridCol w:w="1901"/>
        <w:gridCol w:w="1753"/>
        <w:gridCol w:w="1561"/>
        <w:gridCol w:w="1052"/>
      </w:tblGrid>
      <w:tr w14:paraId="1C430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522" w:type="dxa"/>
            <w:gridSpan w:val="6"/>
          </w:tcPr>
          <w:p w14:paraId="76A1ED3F">
            <w:pPr>
              <w:spacing w:line="360" w:lineRule="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对本项目合同条款的偏离情况（请进行勾选）：</w:t>
            </w:r>
          </w:p>
          <w:p w14:paraId="49C47E30">
            <w:pPr>
              <w:spacing w:line="360" w:lineRule="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w:t>
            </w:r>
            <w:r>
              <w:rPr>
                <w:rFonts w:hint="eastAsia" w:ascii="仿宋" w:hAnsi="仿宋" w:eastAsia="仿宋" w:cs="仿宋"/>
                <w:b/>
                <w:bCs/>
                <w:sz w:val="24"/>
                <w:szCs w:val="24"/>
                <w:highlight w:val="none"/>
                <w:vertAlign w:val="baseline"/>
                <w:lang w:val="en-US" w:eastAsia="zh-CN"/>
              </w:rPr>
              <w:t>无偏离</w:t>
            </w:r>
            <w:r>
              <w:rPr>
                <w:rFonts w:hint="eastAsia" w:ascii="仿宋" w:hAnsi="仿宋" w:eastAsia="仿宋" w:cs="仿宋"/>
                <w:sz w:val="24"/>
                <w:szCs w:val="24"/>
                <w:highlight w:val="none"/>
                <w:vertAlign w:val="baseline"/>
                <w:lang w:val="en-US" w:eastAsia="zh-CN"/>
              </w:rPr>
              <w:t>（如无偏离，仅选择无偏离即可；无偏离即为对合同条款中的所有要求，均视作供应商已对之理解和响应。）</w:t>
            </w:r>
          </w:p>
          <w:p w14:paraId="08B903B0">
            <w:pPr>
              <w:spacing w:line="360" w:lineRule="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w:t>
            </w:r>
            <w:r>
              <w:rPr>
                <w:rFonts w:hint="eastAsia" w:ascii="仿宋" w:hAnsi="仿宋" w:eastAsia="仿宋" w:cs="仿宋"/>
                <w:b/>
                <w:bCs/>
                <w:sz w:val="24"/>
                <w:szCs w:val="24"/>
                <w:highlight w:val="none"/>
                <w:vertAlign w:val="baseline"/>
                <w:lang w:val="en-US" w:eastAsia="zh-CN"/>
              </w:rPr>
              <w:t>有偏离</w:t>
            </w:r>
            <w:r>
              <w:rPr>
                <w:rFonts w:hint="eastAsia" w:ascii="仿宋" w:hAnsi="仿宋" w:eastAsia="仿宋" w:cs="仿宋"/>
                <w:sz w:val="24"/>
                <w:szCs w:val="24"/>
                <w:highlight w:val="none"/>
                <w:vertAlign w:val="baseline"/>
                <w:lang w:val="en-US" w:eastAsia="zh-CN"/>
              </w:rPr>
              <w:t>（如有偏离，则应在本表中对偏离项逐一列明，否则投标无效；对合同条款中的所有要求，除本表列明的偏离外，均视作供应商已对之理解和响应。）</w:t>
            </w:r>
          </w:p>
        </w:tc>
      </w:tr>
      <w:tr w14:paraId="32AAE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4FD91A0F">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序号</w:t>
            </w:r>
          </w:p>
        </w:tc>
        <w:tc>
          <w:tcPr>
            <w:tcW w:w="1421" w:type="dxa"/>
            <w:vAlign w:val="center"/>
          </w:tcPr>
          <w:p w14:paraId="60DA60FB">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招标文件</w:t>
            </w:r>
          </w:p>
          <w:p w14:paraId="14D0DA34">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条目号</w:t>
            </w:r>
          </w:p>
          <w:p w14:paraId="2CA9E2C4">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（页码）</w:t>
            </w:r>
          </w:p>
        </w:tc>
        <w:tc>
          <w:tcPr>
            <w:tcW w:w="1901" w:type="dxa"/>
            <w:vAlign w:val="center"/>
          </w:tcPr>
          <w:p w14:paraId="32AB54C1">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招标文件要求</w:t>
            </w:r>
          </w:p>
        </w:tc>
        <w:tc>
          <w:tcPr>
            <w:tcW w:w="1753" w:type="dxa"/>
            <w:vAlign w:val="center"/>
          </w:tcPr>
          <w:p w14:paraId="574BF714">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投标文件内容</w:t>
            </w:r>
          </w:p>
        </w:tc>
        <w:tc>
          <w:tcPr>
            <w:tcW w:w="1561" w:type="dxa"/>
            <w:vAlign w:val="center"/>
          </w:tcPr>
          <w:p w14:paraId="7E8B8DE7">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偏离情况</w:t>
            </w:r>
          </w:p>
        </w:tc>
        <w:tc>
          <w:tcPr>
            <w:tcW w:w="1052" w:type="dxa"/>
            <w:vAlign w:val="center"/>
          </w:tcPr>
          <w:p w14:paraId="6E1F6B56">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说明</w:t>
            </w:r>
          </w:p>
        </w:tc>
      </w:tr>
      <w:tr w14:paraId="02E44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4" w:type="dxa"/>
          </w:tcPr>
          <w:p w14:paraId="6DD272DA">
            <w:pPr>
              <w:rPr>
                <w:rFonts w:hint="eastAsia" w:ascii="仿宋" w:hAnsi="仿宋" w:eastAsia="仿宋" w:cs="仿宋"/>
                <w:sz w:val="24"/>
                <w:szCs w:val="24"/>
                <w:highlight w:val="none"/>
                <w:vertAlign w:val="baseline"/>
                <w:lang w:val="en-US" w:eastAsia="zh-CN"/>
              </w:rPr>
            </w:pPr>
          </w:p>
        </w:tc>
        <w:tc>
          <w:tcPr>
            <w:tcW w:w="1421" w:type="dxa"/>
          </w:tcPr>
          <w:p w14:paraId="273B7213">
            <w:pPr>
              <w:rPr>
                <w:rFonts w:hint="eastAsia" w:ascii="仿宋" w:hAnsi="仿宋" w:eastAsia="仿宋" w:cs="仿宋"/>
                <w:sz w:val="24"/>
                <w:szCs w:val="24"/>
                <w:highlight w:val="none"/>
                <w:vertAlign w:val="baseline"/>
                <w:lang w:val="en-US" w:eastAsia="zh-CN"/>
              </w:rPr>
            </w:pPr>
          </w:p>
        </w:tc>
        <w:tc>
          <w:tcPr>
            <w:tcW w:w="1901" w:type="dxa"/>
          </w:tcPr>
          <w:p w14:paraId="481CD8C3">
            <w:pPr>
              <w:rPr>
                <w:rFonts w:hint="eastAsia" w:ascii="仿宋" w:hAnsi="仿宋" w:eastAsia="仿宋" w:cs="仿宋"/>
                <w:sz w:val="24"/>
                <w:szCs w:val="24"/>
                <w:highlight w:val="none"/>
                <w:vertAlign w:val="baseline"/>
                <w:lang w:val="en-US" w:eastAsia="zh-CN"/>
              </w:rPr>
            </w:pPr>
          </w:p>
        </w:tc>
        <w:tc>
          <w:tcPr>
            <w:tcW w:w="1753" w:type="dxa"/>
          </w:tcPr>
          <w:p w14:paraId="38884A50">
            <w:pPr>
              <w:rPr>
                <w:rFonts w:hint="eastAsia" w:ascii="仿宋" w:hAnsi="仿宋" w:eastAsia="仿宋" w:cs="仿宋"/>
                <w:sz w:val="24"/>
                <w:szCs w:val="24"/>
                <w:highlight w:val="none"/>
                <w:vertAlign w:val="baseline"/>
                <w:lang w:val="en-US" w:eastAsia="zh-CN"/>
              </w:rPr>
            </w:pPr>
          </w:p>
        </w:tc>
        <w:tc>
          <w:tcPr>
            <w:tcW w:w="1561" w:type="dxa"/>
          </w:tcPr>
          <w:p w14:paraId="003F0CE3">
            <w:pPr>
              <w:rPr>
                <w:rFonts w:hint="eastAsia" w:ascii="仿宋" w:hAnsi="仿宋" w:eastAsia="仿宋" w:cs="仿宋"/>
                <w:sz w:val="24"/>
                <w:szCs w:val="24"/>
                <w:highlight w:val="none"/>
                <w:vertAlign w:val="baseline"/>
                <w:lang w:val="en-US" w:eastAsia="zh-CN"/>
              </w:rPr>
            </w:pPr>
          </w:p>
        </w:tc>
        <w:tc>
          <w:tcPr>
            <w:tcW w:w="1052" w:type="dxa"/>
          </w:tcPr>
          <w:p w14:paraId="7126AF6B">
            <w:pPr>
              <w:rPr>
                <w:rFonts w:hint="eastAsia" w:ascii="仿宋" w:hAnsi="仿宋" w:eastAsia="仿宋" w:cs="仿宋"/>
                <w:sz w:val="24"/>
                <w:szCs w:val="24"/>
                <w:highlight w:val="none"/>
                <w:vertAlign w:val="baseline"/>
                <w:lang w:val="en-US" w:eastAsia="zh-CN"/>
              </w:rPr>
            </w:pPr>
          </w:p>
        </w:tc>
      </w:tr>
      <w:tr w14:paraId="24D4D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4" w:type="dxa"/>
          </w:tcPr>
          <w:p w14:paraId="15C9A48A">
            <w:pPr>
              <w:rPr>
                <w:rFonts w:hint="eastAsia" w:ascii="仿宋" w:hAnsi="仿宋" w:eastAsia="仿宋" w:cs="仿宋"/>
                <w:sz w:val="24"/>
                <w:szCs w:val="24"/>
                <w:highlight w:val="none"/>
                <w:vertAlign w:val="baseline"/>
                <w:lang w:val="en-US" w:eastAsia="zh-CN"/>
              </w:rPr>
            </w:pPr>
          </w:p>
        </w:tc>
        <w:tc>
          <w:tcPr>
            <w:tcW w:w="1421" w:type="dxa"/>
          </w:tcPr>
          <w:p w14:paraId="7544E1E6">
            <w:pPr>
              <w:rPr>
                <w:rFonts w:hint="eastAsia" w:ascii="仿宋" w:hAnsi="仿宋" w:eastAsia="仿宋" w:cs="仿宋"/>
                <w:sz w:val="24"/>
                <w:szCs w:val="24"/>
                <w:highlight w:val="none"/>
                <w:vertAlign w:val="baseline"/>
                <w:lang w:val="en-US" w:eastAsia="zh-CN"/>
              </w:rPr>
            </w:pPr>
          </w:p>
        </w:tc>
        <w:tc>
          <w:tcPr>
            <w:tcW w:w="1901" w:type="dxa"/>
          </w:tcPr>
          <w:p w14:paraId="2F55BAA3">
            <w:pPr>
              <w:rPr>
                <w:rFonts w:hint="eastAsia" w:ascii="仿宋" w:hAnsi="仿宋" w:eastAsia="仿宋" w:cs="仿宋"/>
                <w:sz w:val="24"/>
                <w:szCs w:val="24"/>
                <w:highlight w:val="none"/>
                <w:vertAlign w:val="baseline"/>
                <w:lang w:val="en-US" w:eastAsia="zh-CN"/>
              </w:rPr>
            </w:pPr>
          </w:p>
        </w:tc>
        <w:tc>
          <w:tcPr>
            <w:tcW w:w="1753" w:type="dxa"/>
          </w:tcPr>
          <w:p w14:paraId="1655421E">
            <w:pPr>
              <w:rPr>
                <w:rFonts w:hint="eastAsia" w:ascii="仿宋" w:hAnsi="仿宋" w:eastAsia="仿宋" w:cs="仿宋"/>
                <w:sz w:val="24"/>
                <w:szCs w:val="24"/>
                <w:highlight w:val="none"/>
                <w:vertAlign w:val="baseline"/>
                <w:lang w:val="en-US" w:eastAsia="zh-CN"/>
              </w:rPr>
            </w:pPr>
          </w:p>
        </w:tc>
        <w:tc>
          <w:tcPr>
            <w:tcW w:w="1561" w:type="dxa"/>
          </w:tcPr>
          <w:p w14:paraId="15365911">
            <w:pPr>
              <w:rPr>
                <w:rFonts w:hint="eastAsia" w:ascii="仿宋" w:hAnsi="仿宋" w:eastAsia="仿宋" w:cs="仿宋"/>
                <w:sz w:val="24"/>
                <w:szCs w:val="24"/>
                <w:highlight w:val="none"/>
                <w:vertAlign w:val="baseline"/>
                <w:lang w:val="en-US" w:eastAsia="zh-CN"/>
              </w:rPr>
            </w:pPr>
          </w:p>
        </w:tc>
        <w:tc>
          <w:tcPr>
            <w:tcW w:w="1052" w:type="dxa"/>
          </w:tcPr>
          <w:p w14:paraId="06D739DC">
            <w:pPr>
              <w:rPr>
                <w:rFonts w:hint="eastAsia" w:ascii="仿宋" w:hAnsi="仿宋" w:eastAsia="仿宋" w:cs="仿宋"/>
                <w:sz w:val="24"/>
                <w:szCs w:val="24"/>
                <w:highlight w:val="none"/>
                <w:vertAlign w:val="baseline"/>
                <w:lang w:val="en-US" w:eastAsia="zh-CN"/>
              </w:rPr>
            </w:pPr>
          </w:p>
        </w:tc>
      </w:tr>
      <w:tr w14:paraId="10B2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4" w:type="dxa"/>
          </w:tcPr>
          <w:p w14:paraId="1A1E0FA2">
            <w:pPr>
              <w:rPr>
                <w:rFonts w:hint="eastAsia" w:ascii="仿宋" w:hAnsi="仿宋" w:eastAsia="仿宋" w:cs="仿宋"/>
                <w:sz w:val="24"/>
                <w:szCs w:val="24"/>
                <w:highlight w:val="none"/>
                <w:vertAlign w:val="baseline"/>
                <w:lang w:val="en-US" w:eastAsia="zh-CN"/>
              </w:rPr>
            </w:pPr>
          </w:p>
        </w:tc>
        <w:tc>
          <w:tcPr>
            <w:tcW w:w="1421" w:type="dxa"/>
          </w:tcPr>
          <w:p w14:paraId="2E7FCB06">
            <w:pPr>
              <w:rPr>
                <w:rFonts w:hint="eastAsia" w:ascii="仿宋" w:hAnsi="仿宋" w:eastAsia="仿宋" w:cs="仿宋"/>
                <w:sz w:val="24"/>
                <w:szCs w:val="24"/>
                <w:highlight w:val="none"/>
                <w:vertAlign w:val="baseline"/>
                <w:lang w:val="en-US" w:eastAsia="zh-CN"/>
              </w:rPr>
            </w:pPr>
          </w:p>
        </w:tc>
        <w:tc>
          <w:tcPr>
            <w:tcW w:w="1901" w:type="dxa"/>
          </w:tcPr>
          <w:p w14:paraId="3372AA34">
            <w:pPr>
              <w:rPr>
                <w:rFonts w:hint="eastAsia" w:ascii="仿宋" w:hAnsi="仿宋" w:eastAsia="仿宋" w:cs="仿宋"/>
                <w:sz w:val="24"/>
                <w:szCs w:val="24"/>
                <w:highlight w:val="none"/>
                <w:vertAlign w:val="baseline"/>
                <w:lang w:val="en-US" w:eastAsia="zh-CN"/>
              </w:rPr>
            </w:pPr>
          </w:p>
        </w:tc>
        <w:tc>
          <w:tcPr>
            <w:tcW w:w="1753" w:type="dxa"/>
          </w:tcPr>
          <w:p w14:paraId="770D7B13">
            <w:pPr>
              <w:rPr>
                <w:rFonts w:hint="eastAsia" w:ascii="仿宋" w:hAnsi="仿宋" w:eastAsia="仿宋" w:cs="仿宋"/>
                <w:sz w:val="24"/>
                <w:szCs w:val="24"/>
                <w:highlight w:val="none"/>
                <w:vertAlign w:val="baseline"/>
                <w:lang w:val="en-US" w:eastAsia="zh-CN"/>
              </w:rPr>
            </w:pPr>
          </w:p>
        </w:tc>
        <w:tc>
          <w:tcPr>
            <w:tcW w:w="1561" w:type="dxa"/>
          </w:tcPr>
          <w:p w14:paraId="6EFC034F">
            <w:pPr>
              <w:rPr>
                <w:rFonts w:hint="eastAsia" w:ascii="仿宋" w:hAnsi="仿宋" w:eastAsia="仿宋" w:cs="仿宋"/>
                <w:sz w:val="24"/>
                <w:szCs w:val="24"/>
                <w:highlight w:val="none"/>
                <w:vertAlign w:val="baseline"/>
                <w:lang w:val="en-US" w:eastAsia="zh-CN"/>
              </w:rPr>
            </w:pPr>
          </w:p>
        </w:tc>
        <w:tc>
          <w:tcPr>
            <w:tcW w:w="1052" w:type="dxa"/>
          </w:tcPr>
          <w:p w14:paraId="36C9767A">
            <w:pPr>
              <w:rPr>
                <w:rFonts w:hint="eastAsia" w:ascii="仿宋" w:hAnsi="仿宋" w:eastAsia="仿宋" w:cs="仿宋"/>
                <w:sz w:val="24"/>
                <w:szCs w:val="24"/>
                <w:highlight w:val="none"/>
                <w:vertAlign w:val="baseline"/>
                <w:lang w:val="en-US" w:eastAsia="zh-CN"/>
              </w:rPr>
            </w:pPr>
          </w:p>
        </w:tc>
      </w:tr>
      <w:tr w14:paraId="02B90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4" w:type="dxa"/>
          </w:tcPr>
          <w:p w14:paraId="4735659A">
            <w:pPr>
              <w:rPr>
                <w:rFonts w:hint="eastAsia" w:ascii="仿宋" w:hAnsi="仿宋" w:eastAsia="仿宋" w:cs="仿宋"/>
                <w:sz w:val="24"/>
                <w:szCs w:val="24"/>
                <w:highlight w:val="none"/>
                <w:vertAlign w:val="baseline"/>
                <w:lang w:val="en-US" w:eastAsia="zh-CN"/>
              </w:rPr>
            </w:pPr>
          </w:p>
        </w:tc>
        <w:tc>
          <w:tcPr>
            <w:tcW w:w="1421" w:type="dxa"/>
          </w:tcPr>
          <w:p w14:paraId="1AB73DF4">
            <w:pPr>
              <w:rPr>
                <w:rFonts w:hint="eastAsia" w:ascii="仿宋" w:hAnsi="仿宋" w:eastAsia="仿宋" w:cs="仿宋"/>
                <w:sz w:val="24"/>
                <w:szCs w:val="24"/>
                <w:highlight w:val="none"/>
                <w:vertAlign w:val="baseline"/>
                <w:lang w:val="en-US" w:eastAsia="zh-CN"/>
              </w:rPr>
            </w:pPr>
          </w:p>
        </w:tc>
        <w:tc>
          <w:tcPr>
            <w:tcW w:w="1901" w:type="dxa"/>
          </w:tcPr>
          <w:p w14:paraId="3595CA9C">
            <w:pPr>
              <w:rPr>
                <w:rFonts w:hint="eastAsia" w:ascii="仿宋" w:hAnsi="仿宋" w:eastAsia="仿宋" w:cs="仿宋"/>
                <w:sz w:val="24"/>
                <w:szCs w:val="24"/>
                <w:highlight w:val="none"/>
                <w:vertAlign w:val="baseline"/>
                <w:lang w:val="en-US" w:eastAsia="zh-CN"/>
              </w:rPr>
            </w:pPr>
          </w:p>
        </w:tc>
        <w:tc>
          <w:tcPr>
            <w:tcW w:w="1753" w:type="dxa"/>
          </w:tcPr>
          <w:p w14:paraId="73CAC815">
            <w:pPr>
              <w:rPr>
                <w:rFonts w:hint="eastAsia" w:ascii="仿宋" w:hAnsi="仿宋" w:eastAsia="仿宋" w:cs="仿宋"/>
                <w:sz w:val="24"/>
                <w:szCs w:val="24"/>
                <w:highlight w:val="none"/>
                <w:vertAlign w:val="baseline"/>
                <w:lang w:val="en-US" w:eastAsia="zh-CN"/>
              </w:rPr>
            </w:pPr>
          </w:p>
        </w:tc>
        <w:tc>
          <w:tcPr>
            <w:tcW w:w="1561" w:type="dxa"/>
          </w:tcPr>
          <w:p w14:paraId="27755A82">
            <w:pPr>
              <w:rPr>
                <w:rFonts w:hint="eastAsia" w:ascii="仿宋" w:hAnsi="仿宋" w:eastAsia="仿宋" w:cs="仿宋"/>
                <w:sz w:val="24"/>
                <w:szCs w:val="24"/>
                <w:highlight w:val="none"/>
                <w:vertAlign w:val="baseline"/>
                <w:lang w:val="en-US" w:eastAsia="zh-CN"/>
              </w:rPr>
            </w:pPr>
          </w:p>
        </w:tc>
        <w:tc>
          <w:tcPr>
            <w:tcW w:w="1052" w:type="dxa"/>
          </w:tcPr>
          <w:p w14:paraId="3D5ECE8C">
            <w:pPr>
              <w:rPr>
                <w:rFonts w:hint="eastAsia" w:ascii="仿宋" w:hAnsi="仿宋" w:eastAsia="仿宋" w:cs="仿宋"/>
                <w:sz w:val="24"/>
                <w:szCs w:val="24"/>
                <w:highlight w:val="none"/>
                <w:vertAlign w:val="baseline"/>
                <w:lang w:val="en-US" w:eastAsia="zh-CN"/>
              </w:rPr>
            </w:pPr>
          </w:p>
        </w:tc>
      </w:tr>
      <w:tr w14:paraId="46A7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4" w:type="dxa"/>
          </w:tcPr>
          <w:p w14:paraId="30103CCE">
            <w:pPr>
              <w:rPr>
                <w:rFonts w:hint="eastAsia" w:ascii="仿宋" w:hAnsi="仿宋" w:eastAsia="仿宋" w:cs="仿宋"/>
                <w:sz w:val="24"/>
                <w:szCs w:val="24"/>
                <w:highlight w:val="none"/>
                <w:vertAlign w:val="baseline"/>
                <w:lang w:val="en-US" w:eastAsia="zh-CN"/>
              </w:rPr>
            </w:pPr>
          </w:p>
        </w:tc>
        <w:tc>
          <w:tcPr>
            <w:tcW w:w="1421" w:type="dxa"/>
          </w:tcPr>
          <w:p w14:paraId="4B16C9F2">
            <w:pPr>
              <w:rPr>
                <w:rFonts w:hint="eastAsia" w:ascii="仿宋" w:hAnsi="仿宋" w:eastAsia="仿宋" w:cs="仿宋"/>
                <w:sz w:val="24"/>
                <w:szCs w:val="24"/>
                <w:highlight w:val="none"/>
                <w:vertAlign w:val="baseline"/>
                <w:lang w:val="en-US" w:eastAsia="zh-CN"/>
              </w:rPr>
            </w:pPr>
          </w:p>
        </w:tc>
        <w:tc>
          <w:tcPr>
            <w:tcW w:w="1901" w:type="dxa"/>
          </w:tcPr>
          <w:p w14:paraId="31CC37BC">
            <w:pPr>
              <w:rPr>
                <w:rFonts w:hint="eastAsia" w:ascii="仿宋" w:hAnsi="仿宋" w:eastAsia="仿宋" w:cs="仿宋"/>
                <w:sz w:val="24"/>
                <w:szCs w:val="24"/>
                <w:highlight w:val="none"/>
                <w:vertAlign w:val="baseline"/>
                <w:lang w:val="en-US" w:eastAsia="zh-CN"/>
              </w:rPr>
            </w:pPr>
          </w:p>
        </w:tc>
        <w:tc>
          <w:tcPr>
            <w:tcW w:w="1753" w:type="dxa"/>
          </w:tcPr>
          <w:p w14:paraId="69D2892B">
            <w:pPr>
              <w:rPr>
                <w:rFonts w:hint="eastAsia" w:ascii="仿宋" w:hAnsi="仿宋" w:eastAsia="仿宋" w:cs="仿宋"/>
                <w:sz w:val="24"/>
                <w:szCs w:val="24"/>
                <w:highlight w:val="none"/>
                <w:vertAlign w:val="baseline"/>
                <w:lang w:val="en-US" w:eastAsia="zh-CN"/>
              </w:rPr>
            </w:pPr>
          </w:p>
        </w:tc>
        <w:tc>
          <w:tcPr>
            <w:tcW w:w="1561" w:type="dxa"/>
          </w:tcPr>
          <w:p w14:paraId="42EA4A76">
            <w:pPr>
              <w:rPr>
                <w:rFonts w:hint="eastAsia" w:ascii="仿宋" w:hAnsi="仿宋" w:eastAsia="仿宋" w:cs="仿宋"/>
                <w:sz w:val="24"/>
                <w:szCs w:val="24"/>
                <w:highlight w:val="none"/>
                <w:vertAlign w:val="baseline"/>
                <w:lang w:val="en-US" w:eastAsia="zh-CN"/>
              </w:rPr>
            </w:pPr>
          </w:p>
        </w:tc>
        <w:tc>
          <w:tcPr>
            <w:tcW w:w="1052" w:type="dxa"/>
          </w:tcPr>
          <w:p w14:paraId="0712C978">
            <w:pPr>
              <w:rPr>
                <w:rFonts w:hint="eastAsia" w:ascii="仿宋" w:hAnsi="仿宋" w:eastAsia="仿宋" w:cs="仿宋"/>
                <w:sz w:val="24"/>
                <w:szCs w:val="24"/>
                <w:highlight w:val="none"/>
                <w:vertAlign w:val="baseline"/>
                <w:lang w:val="en-US" w:eastAsia="zh-CN"/>
              </w:rPr>
            </w:pPr>
          </w:p>
        </w:tc>
      </w:tr>
    </w:tbl>
    <w:p w14:paraId="241CCA4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w:t>
      </w:r>
    </w:p>
    <w:p w14:paraId="6A82AB3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 对合同条款中的所有要求，除本表所列明的所有偏离外，均视作供应商已对之理解和响应。</w:t>
      </w:r>
    </w:p>
    <w:p w14:paraId="3C5C1576">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sz w:val="24"/>
          <w:szCs w:val="24"/>
          <w:highlight w:val="none"/>
          <w:lang w:val="en-US" w:eastAsia="zh-CN"/>
        </w:rPr>
      </w:pPr>
      <w:bookmarkStart w:id="62" w:name="_Toc6441"/>
      <w:r>
        <w:rPr>
          <w:rFonts w:hint="eastAsia" w:ascii="仿宋" w:hAnsi="仿宋" w:eastAsia="仿宋" w:cs="仿宋"/>
          <w:sz w:val="24"/>
          <w:szCs w:val="24"/>
          <w:highlight w:val="none"/>
          <w:lang w:val="en-US" w:eastAsia="zh-CN"/>
        </w:rPr>
        <w:t>2. “偏离情况”列应据实填写“正偏离”或“负偏离”。</w:t>
      </w:r>
      <w:bookmarkEnd w:id="62"/>
    </w:p>
    <w:p w14:paraId="63AA3E2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p>
    <w:p w14:paraId="4F1B82D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p>
    <w:p w14:paraId="7A278E7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投标人名称（加盖公章）： </w:t>
      </w:r>
    </w:p>
    <w:p w14:paraId="6269726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日期：    年   月   日</w:t>
      </w:r>
    </w:p>
    <w:p w14:paraId="69CA4592">
      <w:pPr>
        <w:pStyle w:val="22"/>
        <w:rPr>
          <w:rFonts w:hint="eastAsia" w:ascii="仿宋" w:hAnsi="仿宋" w:eastAsia="仿宋" w:cs="仿宋"/>
          <w:sz w:val="24"/>
          <w:szCs w:val="24"/>
          <w:highlight w:val="none"/>
          <w:lang w:val="en-US" w:eastAsia="zh-CN"/>
        </w:rPr>
      </w:pPr>
    </w:p>
    <w:p w14:paraId="2C9AB6D1">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06DF546A">
      <w:pPr>
        <w:pStyle w:val="18"/>
        <w:ind w:left="0" w:leftChars="0" w:firstLine="0" w:firstLineChars="0"/>
        <w:outlineLvl w:val="1"/>
        <w:rPr>
          <w:rFonts w:hint="eastAsia" w:ascii="仿宋" w:hAnsi="仿宋" w:eastAsia="仿宋" w:cs="仿宋"/>
          <w:sz w:val="24"/>
          <w:szCs w:val="24"/>
          <w:highlight w:val="none"/>
          <w:lang w:val="en-US" w:eastAsia="zh-CN"/>
        </w:rPr>
      </w:pPr>
      <w:bookmarkStart w:id="63" w:name="_Toc7042"/>
      <w:r>
        <w:rPr>
          <w:rFonts w:hint="eastAsia" w:ascii="仿宋" w:hAnsi="仿宋" w:eastAsia="仿宋" w:cs="仿宋"/>
          <w:sz w:val="24"/>
          <w:szCs w:val="24"/>
          <w:highlight w:val="none"/>
          <w:lang w:val="en-US" w:eastAsia="zh-CN"/>
        </w:rPr>
        <w:t xml:space="preserve">9  </w:t>
      </w:r>
      <w:bookmarkEnd w:id="63"/>
      <w:r>
        <w:rPr>
          <w:rFonts w:hint="eastAsia" w:ascii="仿宋" w:hAnsi="仿宋" w:eastAsia="仿宋" w:cs="仿宋"/>
          <w:sz w:val="24"/>
          <w:szCs w:val="24"/>
          <w:highlight w:val="none"/>
          <w:lang w:val="en-US" w:eastAsia="zh-CN"/>
        </w:rPr>
        <w:t>采购需求偏离表</w:t>
      </w:r>
    </w:p>
    <w:p w14:paraId="7E5C02DE">
      <w:pPr>
        <w:pStyle w:val="18"/>
        <w:ind w:left="0" w:leftChars="0" w:firstLine="0" w:firstLineChars="0"/>
        <w:rPr>
          <w:rFonts w:hint="eastAsia" w:ascii="仿宋" w:hAnsi="仿宋" w:eastAsia="仿宋" w:cs="仿宋"/>
          <w:sz w:val="24"/>
          <w:szCs w:val="24"/>
          <w:highlight w:val="none"/>
          <w:lang w:val="en-US" w:eastAsia="zh-CN"/>
        </w:rPr>
      </w:pPr>
    </w:p>
    <w:p w14:paraId="323B48AD">
      <w:pPr>
        <w:pStyle w:val="18"/>
        <w:ind w:left="0" w:leftChars="0" w:firstLine="0" w:firstLineChars="0"/>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采购需求偏离表</w:t>
      </w:r>
    </w:p>
    <w:p w14:paraId="4A973A76">
      <w:pPr>
        <w:pStyle w:val="18"/>
        <w:ind w:left="0" w:leftChars="0" w:firstLine="0" w:firstLineChars="0"/>
        <w:rPr>
          <w:rFonts w:hint="eastAsia" w:ascii="仿宋" w:hAnsi="仿宋" w:eastAsia="仿宋" w:cs="仿宋"/>
          <w:sz w:val="24"/>
          <w:szCs w:val="24"/>
          <w:highlight w:val="none"/>
          <w:lang w:val="en-US" w:eastAsia="zh-CN"/>
        </w:rPr>
      </w:pPr>
    </w:p>
    <w:p w14:paraId="23C1470C">
      <w:pPr>
        <w:pStyle w:val="18"/>
        <w:ind w:left="0" w:lef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项目编号：                 项目名称：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422"/>
        <w:gridCol w:w="1805"/>
        <w:gridCol w:w="1672"/>
        <w:gridCol w:w="1421"/>
        <w:gridCol w:w="1421"/>
      </w:tblGrid>
      <w:tr w14:paraId="4B2E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7662179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序号</w:t>
            </w:r>
          </w:p>
        </w:tc>
        <w:tc>
          <w:tcPr>
            <w:tcW w:w="1422" w:type="dxa"/>
            <w:vAlign w:val="center"/>
          </w:tcPr>
          <w:p w14:paraId="623671D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招标文件条</w:t>
            </w:r>
          </w:p>
          <w:p w14:paraId="3F2E4AD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目号(页码)</w:t>
            </w:r>
          </w:p>
        </w:tc>
        <w:tc>
          <w:tcPr>
            <w:tcW w:w="1805" w:type="dxa"/>
            <w:vAlign w:val="center"/>
          </w:tcPr>
          <w:p w14:paraId="6669FD8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招标文件要求</w:t>
            </w:r>
          </w:p>
        </w:tc>
        <w:tc>
          <w:tcPr>
            <w:tcW w:w="1672" w:type="dxa"/>
            <w:vAlign w:val="center"/>
          </w:tcPr>
          <w:p w14:paraId="5F491E3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投标响应内容</w:t>
            </w:r>
          </w:p>
        </w:tc>
        <w:tc>
          <w:tcPr>
            <w:tcW w:w="1421" w:type="dxa"/>
            <w:vAlign w:val="center"/>
          </w:tcPr>
          <w:p w14:paraId="27A3915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偏离情况</w:t>
            </w:r>
          </w:p>
        </w:tc>
        <w:tc>
          <w:tcPr>
            <w:tcW w:w="1421" w:type="dxa"/>
            <w:vAlign w:val="center"/>
          </w:tcPr>
          <w:p w14:paraId="633AF46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说明</w:t>
            </w:r>
          </w:p>
        </w:tc>
      </w:tr>
      <w:tr w14:paraId="10545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4609717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2" w:type="dxa"/>
          </w:tcPr>
          <w:p w14:paraId="4959653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805" w:type="dxa"/>
          </w:tcPr>
          <w:p w14:paraId="724D289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672" w:type="dxa"/>
          </w:tcPr>
          <w:p w14:paraId="1E73096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060F10F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1F2F484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r>
      <w:tr w14:paraId="306B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B84616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2" w:type="dxa"/>
          </w:tcPr>
          <w:p w14:paraId="2D5CB9B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805" w:type="dxa"/>
          </w:tcPr>
          <w:p w14:paraId="7B7CE68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672" w:type="dxa"/>
          </w:tcPr>
          <w:p w14:paraId="7C81892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171BA55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2D1F52E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r>
      <w:tr w14:paraId="4E119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5C594E5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2" w:type="dxa"/>
          </w:tcPr>
          <w:p w14:paraId="67CCB3C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805" w:type="dxa"/>
          </w:tcPr>
          <w:p w14:paraId="0B22AEA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672" w:type="dxa"/>
          </w:tcPr>
          <w:p w14:paraId="221C829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0E4398B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2641ECA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r>
      <w:tr w14:paraId="401A9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6624AC3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2" w:type="dxa"/>
          </w:tcPr>
          <w:p w14:paraId="62FC505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805" w:type="dxa"/>
          </w:tcPr>
          <w:p w14:paraId="3990CA8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672" w:type="dxa"/>
          </w:tcPr>
          <w:p w14:paraId="5817F10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58B928F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47AC232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r>
      <w:tr w14:paraId="786B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554EC83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2" w:type="dxa"/>
          </w:tcPr>
          <w:p w14:paraId="5FF2CA4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805" w:type="dxa"/>
          </w:tcPr>
          <w:p w14:paraId="1BA5677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672" w:type="dxa"/>
          </w:tcPr>
          <w:p w14:paraId="0E1A876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1FD50DE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50CDFBE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r>
      <w:tr w14:paraId="2B4D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62BA01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2" w:type="dxa"/>
          </w:tcPr>
          <w:p w14:paraId="6BEE3CA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805" w:type="dxa"/>
          </w:tcPr>
          <w:p w14:paraId="192F5EF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672" w:type="dxa"/>
          </w:tcPr>
          <w:p w14:paraId="6B251C0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2428283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5AAD4BB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r>
    </w:tbl>
    <w:p w14:paraId="439BB79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w:t>
      </w:r>
    </w:p>
    <w:p w14:paraId="69A2BB7C">
      <w:pPr>
        <w:keepNext w:val="0"/>
        <w:keepLines w:val="0"/>
        <w:pageBreakBefore w:val="0"/>
        <w:widowControl w:val="0"/>
        <w:numPr>
          <w:ilvl w:val="0"/>
          <w:numId w:val="13"/>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投标人应对招标文件第五章采购需求的内容给予逐条响应，以投标产品和服务所能达到的内容予以填写，而不得复制招标的技术要求作为响应内容，有具体参数的应填写具体参数。</w:t>
      </w:r>
    </w:p>
    <w:p w14:paraId="04735498">
      <w:pPr>
        <w:keepNext w:val="0"/>
        <w:keepLines w:val="0"/>
        <w:pageBreakBefore w:val="0"/>
        <w:widowControl w:val="0"/>
        <w:numPr>
          <w:ilvl w:val="0"/>
          <w:numId w:val="13"/>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在本表中未对招标文件第五章采购需求的内容给予逐条响应的视为没有实质上响应招标文件的要求，投标无效。 此表中仅标注“全部满足”、“全部响应”等，无法体现投标人实质性响应或者偏离技术要求的；或无任何文字说明，内容为空白的，其投标无效。</w:t>
      </w:r>
    </w:p>
    <w:p w14:paraId="22CCB560">
      <w:pPr>
        <w:keepNext w:val="0"/>
        <w:keepLines w:val="0"/>
        <w:pageBreakBefore w:val="0"/>
        <w:widowControl w:val="0"/>
        <w:numPr>
          <w:ilvl w:val="0"/>
          <w:numId w:val="13"/>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投标人应按照招标文件第五章采购需求中要求提供投标产品技术支持资料（或证明材料），并在采购需求响应及偏离表中给予文件名称、所处投标文件页码或位置等必要说明。</w:t>
      </w:r>
    </w:p>
    <w:p w14:paraId="384E2E0D">
      <w:pPr>
        <w:keepNext w:val="0"/>
        <w:keepLines w:val="0"/>
        <w:pageBreakBefore w:val="0"/>
        <w:widowControl w:val="0"/>
        <w:numPr>
          <w:ilvl w:val="0"/>
          <w:numId w:val="13"/>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“偏离情况”列应据实填写“正偏离”、“负偏离”或“无偏离”。</w:t>
      </w:r>
    </w:p>
    <w:p w14:paraId="33DD86C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p>
    <w:p w14:paraId="753383D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投标人名称（加盖公章）： ____________</w:t>
      </w:r>
    </w:p>
    <w:p w14:paraId="6E6D020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日期：_____年______月______日</w:t>
      </w:r>
    </w:p>
    <w:p w14:paraId="12A98CA5">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46932FF7">
      <w:pPr>
        <w:pStyle w:val="21"/>
        <w:ind w:left="0" w:leftChars="0"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   招标文件要求提供或投标人认为应附的其他材料</w:t>
      </w:r>
    </w:p>
    <w:p w14:paraId="36E409BE">
      <w:pPr>
        <w:pStyle w:val="18"/>
        <w:rPr>
          <w:rFonts w:hint="eastAsia" w:ascii="仿宋" w:hAnsi="仿宋" w:eastAsia="仿宋" w:cs="仿宋"/>
          <w:highlight w:val="none"/>
          <w:lang w:val="en-US" w:eastAsia="zh-CN"/>
        </w:rPr>
      </w:pPr>
    </w:p>
    <w:p w14:paraId="5A98FBE0">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6D6ADA17">
      <w:pPr>
        <w:keepNext/>
        <w:keepLines/>
        <w:widowControl w:val="0"/>
        <w:spacing w:before="0" w:after="260" w:line="240" w:lineRule="atLeast"/>
        <w:jc w:val="both"/>
        <w:outlineLvl w:val="1"/>
        <w:rPr>
          <w:rFonts w:hint="eastAsia" w:ascii="仿宋" w:hAnsi="仿宋" w:eastAsia="仿宋" w:cs="仿宋"/>
          <w:b w:val="0"/>
          <w:bCs/>
          <w:kern w:val="2"/>
          <w:sz w:val="24"/>
          <w:szCs w:val="32"/>
          <w:highlight w:val="none"/>
          <w:lang w:val="en-US" w:eastAsia="zh-CN" w:bidi="ar-SA"/>
        </w:rPr>
      </w:pPr>
      <w:bookmarkStart w:id="64" w:name="_Toc480942355"/>
      <w:bookmarkStart w:id="65" w:name="_Ref467988543"/>
      <w:bookmarkStart w:id="66" w:name="_Toc216582819"/>
      <w:bookmarkStart w:id="67" w:name="_Toc520356224"/>
      <w:bookmarkStart w:id="68" w:name="_Toc507399535"/>
      <w:bookmarkStart w:id="69" w:name="_Toc522"/>
      <w:bookmarkStart w:id="70" w:name="_Toc17143"/>
      <w:bookmarkStart w:id="71" w:name="_Toc15963"/>
      <w:bookmarkStart w:id="72" w:name="_Toc21320"/>
      <w:bookmarkStart w:id="73" w:name="_Toc9592"/>
      <w:bookmarkStart w:id="74" w:name="_Toc4183"/>
      <w:bookmarkStart w:id="75" w:name="_Toc20238"/>
      <w:bookmarkStart w:id="76" w:name="_Toc3420"/>
      <w:bookmarkStart w:id="77" w:name="_Toc8281"/>
      <w:r>
        <w:rPr>
          <w:rFonts w:hint="eastAsia" w:ascii="仿宋" w:hAnsi="仿宋" w:eastAsia="仿宋" w:cs="仿宋"/>
          <w:b/>
          <w:bCs/>
          <w:kern w:val="2"/>
          <w:sz w:val="24"/>
          <w:szCs w:val="32"/>
          <w:highlight w:val="none"/>
          <w:lang w:val="en-US" w:eastAsia="zh-CN" w:bidi="ar-SA"/>
        </w:rPr>
        <w:t xml:space="preserve">11   </w:t>
      </w:r>
      <w:bookmarkEnd w:id="64"/>
      <w:bookmarkEnd w:id="65"/>
      <w:bookmarkEnd w:id="66"/>
      <w:bookmarkEnd w:id="67"/>
      <w:bookmarkStart w:id="78" w:name="_Hlt520350918"/>
      <w:bookmarkEnd w:id="78"/>
      <w:bookmarkStart w:id="79" w:name="_Hlt520343000"/>
      <w:bookmarkEnd w:id="79"/>
      <w:bookmarkStart w:id="80" w:name="_Hlt520343392"/>
      <w:bookmarkEnd w:id="80"/>
      <w:bookmarkStart w:id="81" w:name="_Hlt520274393"/>
      <w:bookmarkEnd w:id="81"/>
      <w:bookmarkStart w:id="82" w:name="_Hlt520274065"/>
      <w:bookmarkEnd w:id="82"/>
      <w:bookmarkStart w:id="83" w:name="_Hlt520350957"/>
      <w:bookmarkEnd w:id="83"/>
      <w:bookmarkStart w:id="84" w:name="_Hlt520273973"/>
      <w:bookmarkEnd w:id="84"/>
      <w:bookmarkStart w:id="85" w:name="_Hlt520274407"/>
      <w:bookmarkEnd w:id="85"/>
      <w:bookmarkStart w:id="86" w:name="_Hlt520274911"/>
      <w:bookmarkEnd w:id="86"/>
      <w:bookmarkStart w:id="87" w:name="_Hlt520271212"/>
      <w:bookmarkEnd w:id="87"/>
      <w:bookmarkStart w:id="88" w:name="_Hlt520273711"/>
      <w:bookmarkEnd w:id="88"/>
      <w:bookmarkStart w:id="89" w:name="_Toc216582821"/>
      <w:bookmarkStart w:id="90" w:name="_Toc216513801"/>
      <w:r>
        <w:rPr>
          <w:rFonts w:hint="eastAsia" w:ascii="仿宋" w:hAnsi="仿宋" w:eastAsia="仿宋" w:cs="仿宋"/>
          <w:b/>
          <w:bCs/>
          <w:kern w:val="2"/>
          <w:sz w:val="24"/>
          <w:szCs w:val="32"/>
          <w:highlight w:val="none"/>
          <w:lang w:val="en-US" w:eastAsia="zh-CN" w:bidi="ar-SA"/>
        </w:rPr>
        <w:t>中标服务费承诺书</w:t>
      </w:r>
      <w:bookmarkEnd w:id="68"/>
      <w:bookmarkEnd w:id="69"/>
      <w:bookmarkEnd w:id="70"/>
      <w:bookmarkEnd w:id="71"/>
      <w:bookmarkEnd w:id="72"/>
      <w:bookmarkEnd w:id="73"/>
      <w:bookmarkEnd w:id="74"/>
      <w:bookmarkEnd w:id="75"/>
    </w:p>
    <w:p w14:paraId="46C28928">
      <w:pPr>
        <w:spacing w:line="240" w:lineRule="atLeast"/>
        <w:ind w:left="1080" w:leftChars="257" w:hanging="540"/>
        <w:rPr>
          <w:rFonts w:hint="eastAsia" w:ascii="仿宋" w:hAnsi="仿宋" w:eastAsia="仿宋" w:cs="仿宋"/>
          <w:b/>
          <w:sz w:val="24"/>
          <w:highlight w:val="none"/>
        </w:rPr>
      </w:pPr>
    </w:p>
    <w:p w14:paraId="053FA4C8">
      <w:pPr>
        <w:spacing w:line="240" w:lineRule="atLeast"/>
        <w:ind w:left="1080" w:leftChars="257" w:hanging="540"/>
        <w:jc w:val="center"/>
        <w:rPr>
          <w:rFonts w:hint="eastAsia" w:ascii="仿宋" w:hAnsi="仿宋" w:eastAsia="仿宋" w:cs="仿宋"/>
          <w:b/>
          <w:bCs/>
          <w:sz w:val="24"/>
          <w:highlight w:val="none"/>
        </w:rPr>
      </w:pPr>
      <w:r>
        <w:rPr>
          <w:rFonts w:hint="eastAsia" w:ascii="仿宋" w:hAnsi="仿宋" w:eastAsia="仿宋" w:cs="仿宋"/>
          <w:b/>
          <w:bCs/>
          <w:sz w:val="24"/>
          <w:highlight w:val="none"/>
        </w:rPr>
        <w:t>中标服务费承诺书</w:t>
      </w:r>
    </w:p>
    <w:p w14:paraId="67652F76">
      <w:pPr>
        <w:spacing w:line="440" w:lineRule="exact"/>
        <w:ind w:left="1080" w:hanging="1080"/>
        <w:rPr>
          <w:rFonts w:hint="eastAsia" w:ascii="仿宋" w:hAnsi="仿宋" w:eastAsia="仿宋" w:cs="仿宋"/>
          <w:sz w:val="24"/>
          <w:highlight w:val="none"/>
        </w:rPr>
      </w:pPr>
    </w:p>
    <w:p w14:paraId="6DB44DAC">
      <w:pPr>
        <w:spacing w:line="440" w:lineRule="exact"/>
        <w:ind w:left="1080" w:hanging="1080"/>
        <w:rPr>
          <w:rFonts w:hint="eastAsia" w:ascii="仿宋" w:hAnsi="仿宋" w:eastAsia="仿宋" w:cs="仿宋"/>
          <w:sz w:val="24"/>
          <w:highlight w:val="none"/>
          <w:u w:val="single"/>
          <w:lang w:val="en-US" w:eastAsia="zh-CN"/>
        </w:rPr>
      </w:pPr>
      <w:r>
        <w:rPr>
          <w:rFonts w:hint="eastAsia" w:ascii="仿宋" w:hAnsi="仿宋" w:eastAsia="仿宋" w:cs="仿宋"/>
          <w:sz w:val="24"/>
          <w:highlight w:val="none"/>
        </w:rPr>
        <w:t>致：</w:t>
      </w:r>
      <w:r>
        <w:rPr>
          <w:rFonts w:hint="eastAsia" w:ascii="仿宋" w:hAnsi="仿宋" w:eastAsia="仿宋" w:cs="仿宋"/>
          <w:sz w:val="24"/>
          <w:highlight w:val="none"/>
          <w:lang w:val="en-US" w:eastAsia="zh-CN"/>
        </w:rPr>
        <w:t>新疆世纪星工程咨询有限公司</w:t>
      </w:r>
    </w:p>
    <w:p w14:paraId="6AA03638">
      <w:pPr>
        <w:spacing w:line="440" w:lineRule="exact"/>
        <w:ind w:left="1080" w:leftChars="257" w:hanging="540"/>
        <w:rPr>
          <w:rFonts w:hint="eastAsia" w:ascii="仿宋" w:hAnsi="仿宋" w:eastAsia="仿宋" w:cs="仿宋"/>
          <w:sz w:val="24"/>
          <w:highlight w:val="none"/>
        </w:rPr>
      </w:pPr>
    </w:p>
    <w:p w14:paraId="54B0EFEC">
      <w:pPr>
        <w:spacing w:line="440" w:lineRule="exact"/>
        <w:rPr>
          <w:rFonts w:hint="eastAsia" w:ascii="仿宋" w:hAnsi="仿宋" w:eastAsia="仿宋" w:cs="仿宋"/>
          <w:sz w:val="24"/>
          <w:highlight w:val="none"/>
        </w:rPr>
      </w:pPr>
      <w:r>
        <w:rPr>
          <w:rFonts w:hint="eastAsia" w:ascii="仿宋" w:hAnsi="仿宋" w:eastAsia="仿宋" w:cs="仿宋"/>
          <w:sz w:val="24"/>
          <w:highlight w:val="none"/>
        </w:rPr>
        <w:tab/>
      </w:r>
      <w:r>
        <w:rPr>
          <w:rFonts w:hint="eastAsia" w:ascii="仿宋" w:hAnsi="仿宋" w:eastAsia="仿宋" w:cs="仿宋"/>
          <w:sz w:val="24"/>
          <w:highlight w:val="none"/>
        </w:rPr>
        <w:t xml:space="preserve"> 我们在贵公司组织的</w:t>
      </w:r>
      <w:r>
        <w:rPr>
          <w:rFonts w:hint="eastAsia" w:ascii="仿宋" w:hAnsi="仿宋" w:eastAsia="仿宋" w:cs="仿宋"/>
          <w:sz w:val="24"/>
          <w:highlight w:val="none"/>
          <w:u w:val="single"/>
        </w:rPr>
        <w:tab/>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项目名称、项目编号</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rPr>
        <w:tab/>
      </w:r>
      <w:r>
        <w:rPr>
          <w:rFonts w:hint="eastAsia" w:ascii="仿宋" w:hAnsi="仿宋" w:eastAsia="仿宋" w:cs="仿宋"/>
          <w:sz w:val="24"/>
          <w:highlight w:val="none"/>
        </w:rPr>
        <w:t>项目招标中若获得中标资格，我们保证在领取中标通知书的同时按招标文件的规定，以支票、电汇等形式，向贵公司一次性支付应由我们交纳的中标服务费用。</w:t>
      </w:r>
    </w:p>
    <w:p w14:paraId="60AD39B6">
      <w:pPr>
        <w:spacing w:line="440" w:lineRule="exact"/>
        <w:ind w:left="1080" w:leftChars="257" w:hanging="540"/>
        <w:rPr>
          <w:rFonts w:hint="eastAsia" w:ascii="仿宋" w:hAnsi="仿宋" w:eastAsia="仿宋" w:cs="仿宋"/>
          <w:sz w:val="24"/>
          <w:highlight w:val="none"/>
        </w:rPr>
      </w:pPr>
      <w:r>
        <w:rPr>
          <w:rFonts w:hint="eastAsia" w:ascii="仿宋" w:hAnsi="仿宋" w:eastAsia="仿宋" w:cs="仿宋"/>
          <w:sz w:val="24"/>
          <w:highlight w:val="none"/>
        </w:rPr>
        <w:t>特此承诺！</w:t>
      </w:r>
    </w:p>
    <w:p w14:paraId="79ED6223">
      <w:pPr>
        <w:spacing w:line="440" w:lineRule="exact"/>
        <w:ind w:left="1080" w:leftChars="257" w:hanging="540"/>
        <w:rPr>
          <w:rFonts w:hint="eastAsia" w:ascii="仿宋" w:hAnsi="仿宋" w:eastAsia="仿宋" w:cs="仿宋"/>
          <w:sz w:val="24"/>
          <w:highlight w:val="none"/>
        </w:rPr>
      </w:pPr>
    </w:p>
    <w:p w14:paraId="4C0ADF6F">
      <w:pPr>
        <w:spacing w:line="440" w:lineRule="exact"/>
        <w:ind w:left="1080" w:leftChars="257" w:hanging="540"/>
        <w:rPr>
          <w:rFonts w:hint="eastAsia" w:ascii="仿宋" w:hAnsi="仿宋" w:eastAsia="仿宋" w:cs="仿宋"/>
          <w:sz w:val="24"/>
          <w:highlight w:val="none"/>
        </w:rPr>
      </w:pPr>
    </w:p>
    <w:p w14:paraId="21B94422">
      <w:pPr>
        <w:spacing w:line="440" w:lineRule="exact"/>
        <w:ind w:left="1080" w:leftChars="257" w:hanging="540"/>
        <w:rPr>
          <w:rFonts w:hint="eastAsia" w:ascii="仿宋" w:hAnsi="仿宋" w:eastAsia="仿宋" w:cs="仿宋"/>
          <w:sz w:val="24"/>
          <w:highlight w:val="none"/>
        </w:rPr>
      </w:pPr>
    </w:p>
    <w:p w14:paraId="3EB6AC94">
      <w:pPr>
        <w:spacing w:line="440" w:lineRule="exact"/>
        <w:ind w:left="1080" w:leftChars="257" w:hanging="540"/>
        <w:rPr>
          <w:rFonts w:hint="eastAsia" w:ascii="仿宋" w:hAnsi="仿宋" w:eastAsia="仿宋" w:cs="仿宋"/>
          <w:sz w:val="24"/>
          <w:highlight w:val="none"/>
        </w:rPr>
      </w:pPr>
    </w:p>
    <w:p w14:paraId="5E379F90">
      <w:pPr>
        <w:spacing w:line="440" w:lineRule="exact"/>
        <w:ind w:left="1080" w:hanging="1080"/>
        <w:rPr>
          <w:rFonts w:hint="eastAsia" w:ascii="仿宋" w:hAnsi="仿宋" w:eastAsia="仿宋" w:cs="仿宋"/>
          <w:sz w:val="24"/>
          <w:highlight w:val="none"/>
        </w:rPr>
      </w:pPr>
    </w:p>
    <w:p w14:paraId="4796A492">
      <w:pPr>
        <w:spacing w:line="440" w:lineRule="exact"/>
        <w:ind w:left="1413" w:leftChars="273" w:hanging="840" w:hangingChars="350"/>
        <w:rPr>
          <w:rFonts w:hint="eastAsia" w:ascii="仿宋" w:hAnsi="仿宋" w:eastAsia="仿宋" w:cs="仿宋"/>
          <w:sz w:val="24"/>
          <w:highlight w:val="none"/>
        </w:rPr>
      </w:pPr>
      <w:r>
        <w:rPr>
          <w:rFonts w:hint="eastAsia" w:ascii="仿宋" w:hAnsi="仿宋" w:eastAsia="仿宋" w:cs="仿宋"/>
          <w:sz w:val="24"/>
          <w:highlight w:val="none"/>
        </w:rPr>
        <w:t>承诺方法定名称：</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p>
    <w:p w14:paraId="35E77E0B">
      <w:pPr>
        <w:spacing w:line="440" w:lineRule="exact"/>
        <w:ind w:left="1620" w:leftChars="257" w:hanging="1080"/>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p>
    <w:p w14:paraId="0AFEF418">
      <w:pPr>
        <w:spacing w:line="440" w:lineRule="exact"/>
        <w:ind w:left="1620" w:leftChars="257" w:hanging="1080"/>
        <w:rPr>
          <w:rFonts w:hint="eastAsia" w:ascii="仿宋" w:hAnsi="仿宋" w:eastAsia="仿宋" w:cs="仿宋"/>
          <w:sz w:val="24"/>
          <w:highlight w:val="none"/>
        </w:rPr>
      </w:pPr>
      <w:r>
        <w:rPr>
          <w:rFonts w:hint="eastAsia" w:ascii="仿宋" w:hAnsi="仿宋" w:eastAsia="仿宋" w:cs="仿宋"/>
          <w:sz w:val="24"/>
          <w:highlight w:val="none"/>
        </w:rPr>
        <w:t>电话：</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传真：</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p>
    <w:p w14:paraId="71B39353">
      <w:pPr>
        <w:spacing w:line="440" w:lineRule="exact"/>
        <w:ind w:left="1620" w:leftChars="257" w:hanging="1080"/>
        <w:rPr>
          <w:rFonts w:hint="eastAsia" w:ascii="仿宋" w:hAnsi="仿宋" w:eastAsia="仿宋" w:cs="仿宋"/>
          <w:sz w:val="24"/>
          <w:highlight w:val="none"/>
        </w:rPr>
      </w:pPr>
      <w:r>
        <w:rPr>
          <w:rFonts w:hint="eastAsia" w:ascii="仿宋" w:hAnsi="仿宋" w:eastAsia="仿宋" w:cs="仿宋"/>
          <w:sz w:val="24"/>
          <w:highlight w:val="none"/>
        </w:rPr>
        <w:t>电传：</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邮编：</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p>
    <w:p w14:paraId="70DC5CC8">
      <w:pPr>
        <w:spacing w:line="440" w:lineRule="exact"/>
        <w:ind w:left="1620" w:leftChars="257" w:hanging="1080"/>
        <w:rPr>
          <w:rFonts w:hint="eastAsia" w:ascii="仿宋" w:hAnsi="仿宋" w:eastAsia="仿宋" w:cs="仿宋"/>
          <w:sz w:val="24"/>
          <w:highlight w:val="none"/>
        </w:rPr>
      </w:pPr>
      <w:r>
        <w:rPr>
          <w:rFonts w:hint="eastAsia" w:ascii="仿宋" w:hAnsi="仿宋" w:eastAsia="仿宋" w:cs="仿宋"/>
          <w:sz w:val="24"/>
          <w:highlight w:val="none"/>
        </w:rPr>
        <w:t>承诺方授权代表签字：</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（承诺方盖章）</w:t>
      </w:r>
    </w:p>
    <w:p w14:paraId="06675747">
      <w:pPr>
        <w:spacing w:line="440" w:lineRule="exact"/>
        <w:ind w:left="1620" w:leftChars="257" w:hanging="1080"/>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sz w:val="24"/>
          <w:highlight w:val="none"/>
        </w:rPr>
        <w:t>承诺日期：</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 xml:space="preserve">                      </w:t>
      </w:r>
      <w:bookmarkEnd w:id="76"/>
      <w:bookmarkEnd w:id="77"/>
      <w:bookmarkEnd w:id="89"/>
      <w:bookmarkEnd w:id="90"/>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4B039C6-2594-4A3B-9898-1677244C185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4B8AA00D-4AB9-42B0-A601-16129F26CD69}"/>
  </w:font>
  <w:font w:name="楷体">
    <w:panose1 w:val="02010609060101010101"/>
    <w:charset w:val="86"/>
    <w:family w:val="modern"/>
    <w:pitch w:val="default"/>
    <w:sig w:usb0="800002BF" w:usb1="38CF7CFA" w:usb2="00000016" w:usb3="00000000" w:csb0="00040001" w:csb1="00000000"/>
  </w:font>
  <w:font w:name="宋体t...驵.">
    <w:altName w:val="宋体"/>
    <w:panose1 w:val="00000000000000000000"/>
    <w:charset w:val="86"/>
    <w:family w:val="roman"/>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embedRegular r:id="rId3" w:fontKey="{FD60AE85-815A-4922-9246-6A3ECFB92B65}"/>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4" w:fontKey="{5FD938FB-480F-405E-BE72-3FC8C23D95DE}"/>
  </w:font>
  <w:font w:name="Microsoft JhengHei UI">
    <w:panose1 w:val="020B0604030504040204"/>
    <w:charset w:val="88"/>
    <w:family w:val="auto"/>
    <w:pitch w:val="default"/>
    <w:sig w:usb0="000002A7" w:usb1="28CF4400" w:usb2="00000016" w:usb3="00000000" w:csb0="00100009" w:csb1="00000000"/>
    <w:embedRegular r:id="rId5" w:fontKey="{90D18A9B-EA53-404B-AA07-31C745F59B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BA957">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B3C103">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1B3C103">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603B7">
    <w:pPr>
      <w:pStyle w:val="16"/>
      <w:pBdr>
        <w:bottom w:val="none" w:color="auto" w:sz="0" w:space="1"/>
      </w:pBdr>
      <w:ind w:firstLine="840" w:firstLineChars="300"/>
      <w:rPr>
        <w:rFonts w:hint="eastAsia"/>
      </w:rPr>
    </w:pPr>
    <w:r>
      <w:rPr>
        <w:rFonts w:hint="eastAsia" w:ascii="仿宋_GB2312" w:hAnsi="仿宋_GB2312" w:eastAsia="仿宋_GB2312" w:cs="仿宋_GB2312"/>
        <w:sz w:val="28"/>
        <w:szCs w:val="28"/>
        <w:lang w:eastAsia="zh-CN"/>
      </w:rPr>
      <w:drawing>
        <wp:anchor distT="0" distB="0" distL="114300" distR="114300" simplePos="0" relativeHeight="251659264" behindDoc="1" locked="0" layoutInCell="1" allowOverlap="1">
          <wp:simplePos x="0" y="0"/>
          <wp:positionH relativeFrom="column">
            <wp:posOffset>54610</wp:posOffset>
          </wp:positionH>
          <wp:positionV relativeFrom="paragraph">
            <wp:posOffset>-11430</wp:posOffset>
          </wp:positionV>
          <wp:extent cx="427355" cy="413385"/>
          <wp:effectExtent l="0" t="0" r="10795" b="5715"/>
          <wp:wrapTight wrapText="bothSides">
            <wp:wrapPolygon>
              <wp:start x="0" y="0"/>
              <wp:lineTo x="0" y="20903"/>
              <wp:lineTo x="20894" y="20903"/>
              <wp:lineTo x="20894" y="0"/>
              <wp:lineTo x="0" y="0"/>
            </wp:wrapPolygon>
          </wp:wrapTight>
          <wp:docPr id="1" name="图片 1" descr="168084135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0841359666"/>
                  <pic:cNvPicPr>
                    <a:picLocks noChangeAspect="1"/>
                  </pic:cNvPicPr>
                </pic:nvPicPr>
                <pic:blipFill>
                  <a:blip r:embed="rId1"/>
                  <a:stretch>
                    <a:fillRect/>
                  </a:stretch>
                </pic:blipFill>
                <pic:spPr>
                  <a:xfrm>
                    <a:off x="0" y="0"/>
                    <a:ext cx="427355" cy="413385"/>
                  </a:xfrm>
                  <a:prstGeom prst="rect">
                    <a:avLst/>
                  </a:prstGeom>
                </pic:spPr>
              </pic:pic>
            </a:graphicData>
          </a:graphic>
        </wp:anchor>
      </w:drawing>
    </w:r>
    <w:r>
      <w:rPr>
        <w:rFonts w:hint="eastAsia" w:ascii="仿宋_GB2312" w:hAnsi="仿宋_GB2312" w:eastAsia="仿宋_GB2312" w:cs="仿宋_GB2312"/>
        <w:sz w:val="28"/>
        <w:szCs w:val="28"/>
      </w:rPr>
      <w:t xml:space="preserve">新疆世纪星工程咨询有限公司  </w:t>
    </w:r>
    <w:r>
      <w:rPr>
        <w:rFonts w:hint="eastAsia" w:ascii="仿宋_GB2312" w:hAnsi="仿宋_GB2312" w:eastAsia="仿宋_GB2312" w:cs="仿宋_GB2312"/>
        <w:sz w:val="21"/>
        <w:szCs w:val="21"/>
      </w:rPr>
      <w:t>新疆乌鲁木齐市黄山街德港大厦20层</w:t>
    </w:r>
  </w:p>
  <w:p w14:paraId="5E55A7F8">
    <w:pPr>
      <w:pStyle w:val="16"/>
      <w:pBdr>
        <w:bottom w:val="single" w:color="auto" w:sz="4" w:space="1"/>
      </w:pBdr>
      <w:ind w:firstLine="1040" w:firstLineChars="800"/>
    </w:pPr>
    <w:r>
      <w:rPr>
        <w:rFonts w:hint="eastAsia" w:ascii="Microsoft JhengHei UI" w:hAnsi="Microsoft JhengHei UI" w:eastAsia="Microsoft JhengHei UI" w:cs="Microsoft JhengHei UI"/>
        <w:sz w:val="13"/>
        <w:szCs w:val="20"/>
      </w:rPr>
      <w:t>Xinjiang Century Star Engineering Consulting Co., Ltd.</w:t>
    </w:r>
    <w:r>
      <w:rPr>
        <w:rFonts w:hint="eastAsia"/>
      </w:rPr>
      <w:t xml:space="preserve">     TEL：0991-3678303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0D1B5"/>
    <w:multiLevelType w:val="singleLevel"/>
    <w:tmpl w:val="82A0D1B5"/>
    <w:lvl w:ilvl="0" w:tentative="0">
      <w:start w:val="1"/>
      <w:numFmt w:val="decimal"/>
      <w:suff w:val="nothing"/>
      <w:lvlText w:val="（%1）"/>
      <w:lvlJc w:val="left"/>
    </w:lvl>
  </w:abstractNum>
  <w:abstractNum w:abstractNumId="1">
    <w:nsid w:val="84C3F883"/>
    <w:multiLevelType w:val="multilevel"/>
    <w:tmpl w:val="84C3F883"/>
    <w:lvl w:ilvl="0" w:tentative="0">
      <w:start w:val="2"/>
      <w:numFmt w:val="decimal"/>
      <w:suff w:val="space"/>
      <w:lvlText w:val="%1."/>
      <w:lvlJc w:val="left"/>
      <w:rPr>
        <w:rFonts w:hint="default"/>
        <w:b w:val="0"/>
        <w:bCs w:val="0"/>
      </w:rPr>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b w:val="0"/>
        <w:bCs w:val="0"/>
        <w:sz w:val="22"/>
        <w:szCs w:val="22"/>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894F26C5"/>
    <w:multiLevelType w:val="singleLevel"/>
    <w:tmpl w:val="894F26C5"/>
    <w:lvl w:ilvl="0" w:tentative="0">
      <w:start w:val="1"/>
      <w:numFmt w:val="decimal"/>
      <w:suff w:val="space"/>
      <w:lvlText w:val="%1."/>
      <w:lvlJc w:val="left"/>
    </w:lvl>
  </w:abstractNum>
  <w:abstractNum w:abstractNumId="3">
    <w:nsid w:val="CB60E306"/>
    <w:multiLevelType w:val="singleLevel"/>
    <w:tmpl w:val="CB60E306"/>
    <w:lvl w:ilvl="0" w:tentative="0">
      <w:start w:val="1"/>
      <w:numFmt w:val="decimal"/>
      <w:suff w:val="nothing"/>
      <w:lvlText w:val="（%1）"/>
      <w:lvlJc w:val="left"/>
    </w:lvl>
  </w:abstractNum>
  <w:abstractNum w:abstractNumId="4">
    <w:nsid w:val="05FE2DA7"/>
    <w:multiLevelType w:val="singleLevel"/>
    <w:tmpl w:val="05FE2DA7"/>
    <w:lvl w:ilvl="0" w:tentative="0">
      <w:start w:val="1"/>
      <w:numFmt w:val="chineseCounting"/>
      <w:suff w:val="space"/>
      <w:lvlText w:val="第%1章"/>
      <w:lvlJc w:val="left"/>
      <w:rPr>
        <w:rFonts w:hint="eastAsia"/>
      </w:rPr>
    </w:lvl>
  </w:abstractNum>
  <w:abstractNum w:abstractNumId="5">
    <w:nsid w:val="068BF1D4"/>
    <w:multiLevelType w:val="multilevel"/>
    <w:tmpl w:val="068BF1D4"/>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ascii="Times New Roman" w:hAnsi="Times New Roman" w:cs="Times New Roman"/>
        <w:sz w:val="22"/>
        <w:szCs w:val="22"/>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6">
    <w:nsid w:val="09E5A242"/>
    <w:multiLevelType w:val="singleLevel"/>
    <w:tmpl w:val="09E5A242"/>
    <w:lvl w:ilvl="0" w:tentative="0">
      <w:start w:val="2"/>
      <w:numFmt w:val="chineseCounting"/>
      <w:suff w:val="nothing"/>
      <w:lvlText w:val="%1、"/>
      <w:lvlJc w:val="left"/>
      <w:rPr>
        <w:rFonts w:hint="eastAsia"/>
      </w:rPr>
    </w:lvl>
  </w:abstractNum>
  <w:abstractNum w:abstractNumId="7">
    <w:nsid w:val="3A0AB738"/>
    <w:multiLevelType w:val="singleLevel"/>
    <w:tmpl w:val="3A0AB738"/>
    <w:lvl w:ilvl="0" w:tentative="0">
      <w:start w:val="1"/>
      <w:numFmt w:val="decimal"/>
      <w:suff w:val="nothing"/>
      <w:lvlText w:val="（%1）"/>
      <w:lvlJc w:val="left"/>
      <w:pPr>
        <w:ind w:left="200"/>
      </w:pPr>
      <w:rPr>
        <w:rFonts w:hint="default"/>
        <w:color w:val="auto"/>
      </w:rPr>
    </w:lvl>
  </w:abstractNum>
  <w:abstractNum w:abstractNumId="8">
    <w:nsid w:val="3BC6F39C"/>
    <w:multiLevelType w:val="singleLevel"/>
    <w:tmpl w:val="3BC6F39C"/>
    <w:lvl w:ilvl="0" w:tentative="0">
      <w:start w:val="1"/>
      <w:numFmt w:val="decimal"/>
      <w:suff w:val="space"/>
      <w:lvlText w:val="%1."/>
      <w:lvlJc w:val="left"/>
    </w:lvl>
  </w:abstractNum>
  <w:abstractNum w:abstractNumId="9">
    <w:nsid w:val="63862E25"/>
    <w:multiLevelType w:val="singleLevel"/>
    <w:tmpl w:val="63862E25"/>
    <w:lvl w:ilvl="0" w:tentative="0">
      <w:start w:val="1"/>
      <w:numFmt w:val="decimal"/>
      <w:suff w:val="space"/>
      <w:lvlText w:val="（%1）"/>
      <w:lvlJc w:val="left"/>
    </w:lvl>
  </w:abstractNum>
  <w:abstractNum w:abstractNumId="10">
    <w:nsid w:val="6D6AA095"/>
    <w:multiLevelType w:val="multilevel"/>
    <w:tmpl w:val="6D6AA095"/>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1">
    <w:nsid w:val="7354C3BC"/>
    <w:multiLevelType w:val="multilevel"/>
    <w:tmpl w:val="7354C3BC"/>
    <w:lvl w:ilvl="0" w:tentative="0">
      <w:start w:val="1"/>
      <w:numFmt w:val="decimal"/>
      <w:suff w:val="space"/>
      <w:lvlText w:val="%1"/>
      <w:lvlJc w:val="left"/>
      <w:pPr>
        <w:ind w:left="0" w:leftChars="0" w:firstLine="0" w:firstLineChars="0"/>
      </w:pPr>
      <w:rPr>
        <w:rFonts w:hint="eastAsia"/>
      </w:rPr>
    </w:lvl>
    <w:lvl w:ilvl="1" w:tentative="0">
      <w:start w:val="1"/>
      <w:numFmt w:val="decimalFullWidth"/>
      <w:suff w:val="space"/>
      <w:lvlText w:val="%1.%2"/>
      <w:lvlJc w:val="left"/>
      <w:pPr>
        <w:tabs>
          <w:tab w:val="left" w:pos="0"/>
        </w:tabs>
        <w:ind w:left="0" w:leftChars="0" w:firstLine="0" w:firstLineChars="0"/>
      </w:pPr>
      <w:rPr>
        <w:rFonts w:hint="eastAsia" w:ascii="宋体" w:hAnsi="宋体" w:eastAsia="宋体" w:cs="宋体"/>
      </w:rPr>
    </w:lvl>
    <w:lvl w:ilvl="2" w:tentative="0">
      <w:start w:val="1"/>
      <w:numFmt w:val="decimal"/>
      <w:suff w:val="space"/>
      <w:lvlText w:val="%1.%2.%3"/>
      <w:lvlJc w:val="left"/>
      <w:pPr>
        <w:ind w:left="0" w:leftChars="0" w:firstLine="0" w:firstLineChars="0"/>
      </w:pPr>
      <w:rPr>
        <w:rFonts w:hint="eastAsia"/>
      </w:rPr>
    </w:lvl>
    <w:lvl w:ilvl="3" w:tentative="0">
      <w:start w:val="1"/>
      <w:numFmt w:val="decimal"/>
      <w:suff w:val="space"/>
      <w:lvlText w:val="%1.%2.%3.%4"/>
      <w:lvlJc w:val="left"/>
      <w:pPr>
        <w:ind w:left="0" w:leftChars="0" w:firstLine="0" w:firstLineChars="0"/>
      </w:pPr>
      <w:rPr>
        <w:rFonts w:hint="eastAsia"/>
      </w:rPr>
    </w:lvl>
    <w:lvl w:ilvl="4" w:tentative="0">
      <w:start w:val="1"/>
      <w:numFmt w:val="decimal"/>
      <w:suff w:val="space"/>
      <w:lvlText w:val="%1.%2.%3.%4.%5"/>
      <w:lvlJc w:val="left"/>
      <w:pPr>
        <w:ind w:left="0" w:leftChars="0" w:firstLine="0" w:firstLineChars="0"/>
      </w:pPr>
      <w:rPr>
        <w:rFonts w:hint="eastAsia"/>
      </w:rPr>
    </w:lvl>
    <w:lvl w:ilvl="5" w:tentative="0">
      <w:start w:val="1"/>
      <w:numFmt w:val="decimal"/>
      <w:suff w:val="space"/>
      <w:lvlText w:val="%1.%2.%3.%4.%5.%6"/>
      <w:lvlJc w:val="left"/>
      <w:pPr>
        <w:ind w:left="0" w:leftChars="0" w:firstLine="0" w:firstLineChars="0"/>
      </w:pPr>
      <w:rPr>
        <w:rFonts w:hint="eastAsia"/>
      </w:rPr>
    </w:lvl>
    <w:lvl w:ilvl="6" w:tentative="0">
      <w:start w:val="1"/>
      <w:numFmt w:val="decimal"/>
      <w:suff w:val="space"/>
      <w:lvlText w:val="%1.%2.%3.%4.%5.%6.%7"/>
      <w:lvlJc w:val="left"/>
      <w:pPr>
        <w:ind w:left="0" w:leftChars="0" w:firstLine="0" w:firstLineChars="0"/>
      </w:pPr>
      <w:rPr>
        <w:rFonts w:hint="eastAsia"/>
      </w:rPr>
    </w:lvl>
    <w:lvl w:ilvl="7" w:tentative="0">
      <w:start w:val="1"/>
      <w:numFmt w:val="decimal"/>
      <w:suff w:val="space"/>
      <w:lvlText w:val="%1.%2.%3.%4.%5.%6.%7.%8"/>
      <w:lvlJc w:val="left"/>
      <w:pPr>
        <w:ind w:left="0" w:leftChars="0" w:firstLine="0" w:firstLineChars="0"/>
      </w:pPr>
      <w:rPr>
        <w:rFonts w:hint="eastAsia"/>
      </w:rPr>
    </w:lvl>
    <w:lvl w:ilvl="8" w:tentative="0">
      <w:start w:val="1"/>
      <w:numFmt w:val="decimal"/>
      <w:suff w:val="space"/>
      <w:lvlText w:val="%1.%2.%3.%4.%5.%6.%7.%8.%9"/>
      <w:lvlJc w:val="left"/>
      <w:pPr>
        <w:ind w:left="0" w:leftChars="0" w:firstLine="0" w:firstLineChars="0"/>
      </w:pPr>
      <w:rPr>
        <w:rFonts w:hint="eastAsia"/>
      </w:rPr>
    </w:lvl>
  </w:abstractNum>
  <w:abstractNum w:abstractNumId="12">
    <w:nsid w:val="78F60E4F"/>
    <w:multiLevelType w:val="singleLevel"/>
    <w:tmpl w:val="78F60E4F"/>
    <w:lvl w:ilvl="0" w:tentative="0">
      <w:start w:val="1"/>
      <w:numFmt w:val="chineseCounting"/>
      <w:suff w:val="nothing"/>
      <w:lvlText w:val="%1、"/>
      <w:lvlJc w:val="left"/>
      <w:rPr>
        <w:rFonts w:hint="eastAsia"/>
      </w:rPr>
    </w:lvl>
  </w:abstractNum>
  <w:num w:numId="1">
    <w:abstractNumId w:val="4"/>
  </w:num>
  <w:num w:numId="2">
    <w:abstractNumId w:val="12"/>
  </w:num>
  <w:num w:numId="3">
    <w:abstractNumId w:val="11"/>
  </w:num>
  <w:num w:numId="4">
    <w:abstractNumId w:val="5"/>
  </w:num>
  <w:num w:numId="5">
    <w:abstractNumId w:val="3"/>
  </w:num>
  <w:num w:numId="6">
    <w:abstractNumId w:val="9"/>
  </w:num>
  <w:num w:numId="7">
    <w:abstractNumId w:val="1"/>
  </w:num>
  <w:num w:numId="8">
    <w:abstractNumId w:val="6"/>
  </w:num>
  <w:num w:numId="9">
    <w:abstractNumId w:val="7"/>
  </w:num>
  <w:num w:numId="10">
    <w:abstractNumId w:val="10"/>
  </w:num>
  <w:num w:numId="11">
    <w:abstractNumId w:val="8"/>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0ZGVhMzY2Mjc2ZTVmNTg0OTc4MWEzZmNmZjdjMjUifQ=="/>
    <w:docVar w:name="KSO_WPS_MARK_KEY" w:val="38f38c98-7156-4959-9888-e8f20d519628"/>
  </w:docVars>
  <w:rsids>
    <w:rsidRoot w:val="00000000"/>
    <w:rsid w:val="0058523E"/>
    <w:rsid w:val="005F65CD"/>
    <w:rsid w:val="00633977"/>
    <w:rsid w:val="007D6A53"/>
    <w:rsid w:val="00EF7950"/>
    <w:rsid w:val="00F9257D"/>
    <w:rsid w:val="011078C7"/>
    <w:rsid w:val="011210FD"/>
    <w:rsid w:val="016D4D19"/>
    <w:rsid w:val="01B12E58"/>
    <w:rsid w:val="01B327A1"/>
    <w:rsid w:val="01D86637"/>
    <w:rsid w:val="01EE19B6"/>
    <w:rsid w:val="022305EB"/>
    <w:rsid w:val="028C21C0"/>
    <w:rsid w:val="02D36DFE"/>
    <w:rsid w:val="030A0A72"/>
    <w:rsid w:val="03547F3F"/>
    <w:rsid w:val="040E43DE"/>
    <w:rsid w:val="04A22F2C"/>
    <w:rsid w:val="04D836CC"/>
    <w:rsid w:val="04DB77CA"/>
    <w:rsid w:val="04DF1A8A"/>
    <w:rsid w:val="052E656D"/>
    <w:rsid w:val="055F4854"/>
    <w:rsid w:val="05775429"/>
    <w:rsid w:val="06147E59"/>
    <w:rsid w:val="061A2D1E"/>
    <w:rsid w:val="06565D7C"/>
    <w:rsid w:val="068C3E93"/>
    <w:rsid w:val="06A64F55"/>
    <w:rsid w:val="06FA0DFD"/>
    <w:rsid w:val="073267E9"/>
    <w:rsid w:val="073A569E"/>
    <w:rsid w:val="07600879"/>
    <w:rsid w:val="07A74594"/>
    <w:rsid w:val="07AF3996"/>
    <w:rsid w:val="082320BB"/>
    <w:rsid w:val="083500E3"/>
    <w:rsid w:val="085E53BC"/>
    <w:rsid w:val="088C3CD7"/>
    <w:rsid w:val="089D3FDB"/>
    <w:rsid w:val="08B374B6"/>
    <w:rsid w:val="08FE75D7"/>
    <w:rsid w:val="09322AD0"/>
    <w:rsid w:val="096174F4"/>
    <w:rsid w:val="09750C0F"/>
    <w:rsid w:val="09896468"/>
    <w:rsid w:val="09EF36DF"/>
    <w:rsid w:val="09FE6BD3"/>
    <w:rsid w:val="0A7D5FCD"/>
    <w:rsid w:val="0ADA51CD"/>
    <w:rsid w:val="0B21104E"/>
    <w:rsid w:val="0B3A5C6C"/>
    <w:rsid w:val="0B5D0839"/>
    <w:rsid w:val="0BA54947"/>
    <w:rsid w:val="0BA80E28"/>
    <w:rsid w:val="0BAE0408"/>
    <w:rsid w:val="0C724D1B"/>
    <w:rsid w:val="0CB97065"/>
    <w:rsid w:val="0D166265"/>
    <w:rsid w:val="0D2F0B75"/>
    <w:rsid w:val="0D3861DB"/>
    <w:rsid w:val="0D5D1B80"/>
    <w:rsid w:val="0D6151BA"/>
    <w:rsid w:val="0D774F56"/>
    <w:rsid w:val="0DD00B0A"/>
    <w:rsid w:val="0DD8176C"/>
    <w:rsid w:val="0E3D7B44"/>
    <w:rsid w:val="0E6D0107"/>
    <w:rsid w:val="0EF83E74"/>
    <w:rsid w:val="0EFB2854"/>
    <w:rsid w:val="0F33766C"/>
    <w:rsid w:val="0F9A13CF"/>
    <w:rsid w:val="0FAC4A5B"/>
    <w:rsid w:val="10790FE5"/>
    <w:rsid w:val="108571AB"/>
    <w:rsid w:val="10C0084B"/>
    <w:rsid w:val="10E36DA6"/>
    <w:rsid w:val="10EC6CF5"/>
    <w:rsid w:val="110C60E7"/>
    <w:rsid w:val="11ED63EA"/>
    <w:rsid w:val="12371157"/>
    <w:rsid w:val="12753A67"/>
    <w:rsid w:val="12986F2D"/>
    <w:rsid w:val="13B642FE"/>
    <w:rsid w:val="147C72F5"/>
    <w:rsid w:val="152720E1"/>
    <w:rsid w:val="15273705"/>
    <w:rsid w:val="15673B02"/>
    <w:rsid w:val="15791A87"/>
    <w:rsid w:val="159D0B42"/>
    <w:rsid w:val="15E348F4"/>
    <w:rsid w:val="16192669"/>
    <w:rsid w:val="16344EC6"/>
    <w:rsid w:val="16651E05"/>
    <w:rsid w:val="16F03C4C"/>
    <w:rsid w:val="17340529"/>
    <w:rsid w:val="17CC0594"/>
    <w:rsid w:val="185145F5"/>
    <w:rsid w:val="1890336F"/>
    <w:rsid w:val="197C38F4"/>
    <w:rsid w:val="198E49C8"/>
    <w:rsid w:val="199B6470"/>
    <w:rsid w:val="1A226249"/>
    <w:rsid w:val="1A815666"/>
    <w:rsid w:val="1AB53523"/>
    <w:rsid w:val="1AC00AF1"/>
    <w:rsid w:val="1B011FED"/>
    <w:rsid w:val="1BE67CAF"/>
    <w:rsid w:val="1BF754B3"/>
    <w:rsid w:val="1CD02907"/>
    <w:rsid w:val="1D331864"/>
    <w:rsid w:val="1D4666F2"/>
    <w:rsid w:val="1D8B7ED2"/>
    <w:rsid w:val="1DB7292E"/>
    <w:rsid w:val="1DE91501"/>
    <w:rsid w:val="1E004AF3"/>
    <w:rsid w:val="1E4C7D38"/>
    <w:rsid w:val="1E88173F"/>
    <w:rsid w:val="1EA800A6"/>
    <w:rsid w:val="1F3A5DE3"/>
    <w:rsid w:val="20174376"/>
    <w:rsid w:val="20370574"/>
    <w:rsid w:val="207B66B3"/>
    <w:rsid w:val="210C37AF"/>
    <w:rsid w:val="210E49CA"/>
    <w:rsid w:val="21B31E7D"/>
    <w:rsid w:val="21B53E47"/>
    <w:rsid w:val="22007E08"/>
    <w:rsid w:val="22673393"/>
    <w:rsid w:val="227635D6"/>
    <w:rsid w:val="227A59DD"/>
    <w:rsid w:val="22AF0896"/>
    <w:rsid w:val="22C96D6A"/>
    <w:rsid w:val="22E83DA8"/>
    <w:rsid w:val="23243032"/>
    <w:rsid w:val="233C34DF"/>
    <w:rsid w:val="23850E10"/>
    <w:rsid w:val="23C35A13"/>
    <w:rsid w:val="23E629DD"/>
    <w:rsid w:val="2463402E"/>
    <w:rsid w:val="24D34D10"/>
    <w:rsid w:val="25494FD2"/>
    <w:rsid w:val="256E67E6"/>
    <w:rsid w:val="25AD37B3"/>
    <w:rsid w:val="26143832"/>
    <w:rsid w:val="262319BC"/>
    <w:rsid w:val="26B446CD"/>
    <w:rsid w:val="26DB2065"/>
    <w:rsid w:val="270C4509"/>
    <w:rsid w:val="27426D58"/>
    <w:rsid w:val="276205CD"/>
    <w:rsid w:val="28003E99"/>
    <w:rsid w:val="28292E99"/>
    <w:rsid w:val="283F090E"/>
    <w:rsid w:val="28560F12"/>
    <w:rsid w:val="28905BB2"/>
    <w:rsid w:val="28BC01BB"/>
    <w:rsid w:val="28BE1833"/>
    <w:rsid w:val="29001E4B"/>
    <w:rsid w:val="29361D11"/>
    <w:rsid w:val="293715E5"/>
    <w:rsid w:val="29387837"/>
    <w:rsid w:val="29DA30FE"/>
    <w:rsid w:val="2A331DAD"/>
    <w:rsid w:val="2A9C76A8"/>
    <w:rsid w:val="2AB22388"/>
    <w:rsid w:val="2AF07C9E"/>
    <w:rsid w:val="2B042389"/>
    <w:rsid w:val="2B1E1887"/>
    <w:rsid w:val="2B620B9B"/>
    <w:rsid w:val="2B885F42"/>
    <w:rsid w:val="2C3D33B6"/>
    <w:rsid w:val="2D3D1681"/>
    <w:rsid w:val="2E393998"/>
    <w:rsid w:val="2E4072A5"/>
    <w:rsid w:val="2E8B5A04"/>
    <w:rsid w:val="2EC71164"/>
    <w:rsid w:val="2ED24003"/>
    <w:rsid w:val="2F835584"/>
    <w:rsid w:val="2FD309CC"/>
    <w:rsid w:val="2FE20F33"/>
    <w:rsid w:val="2FE73D65"/>
    <w:rsid w:val="2FFD5337"/>
    <w:rsid w:val="30007685"/>
    <w:rsid w:val="30322DED"/>
    <w:rsid w:val="307F7AFA"/>
    <w:rsid w:val="30925306"/>
    <w:rsid w:val="30BC6FA0"/>
    <w:rsid w:val="30CA6146"/>
    <w:rsid w:val="311B77D4"/>
    <w:rsid w:val="31210BB1"/>
    <w:rsid w:val="313D6184"/>
    <w:rsid w:val="31E63BA8"/>
    <w:rsid w:val="32393423"/>
    <w:rsid w:val="329B7A40"/>
    <w:rsid w:val="32E91BA2"/>
    <w:rsid w:val="33380434"/>
    <w:rsid w:val="337C0B48"/>
    <w:rsid w:val="339A0AF3"/>
    <w:rsid w:val="33B01385"/>
    <w:rsid w:val="341A78AC"/>
    <w:rsid w:val="341E587B"/>
    <w:rsid w:val="3421711A"/>
    <w:rsid w:val="34272E4C"/>
    <w:rsid w:val="343926B5"/>
    <w:rsid w:val="3546508A"/>
    <w:rsid w:val="355F439E"/>
    <w:rsid w:val="36154FE2"/>
    <w:rsid w:val="3671332B"/>
    <w:rsid w:val="36BD5820"/>
    <w:rsid w:val="36CE17DB"/>
    <w:rsid w:val="36CF10AF"/>
    <w:rsid w:val="376932B2"/>
    <w:rsid w:val="37944C14"/>
    <w:rsid w:val="38A64043"/>
    <w:rsid w:val="38B90269"/>
    <w:rsid w:val="38C500B3"/>
    <w:rsid w:val="38C613AA"/>
    <w:rsid w:val="38CB5299"/>
    <w:rsid w:val="38EC419A"/>
    <w:rsid w:val="38EC46E7"/>
    <w:rsid w:val="39317DFF"/>
    <w:rsid w:val="393A3157"/>
    <w:rsid w:val="39893797"/>
    <w:rsid w:val="39B27389"/>
    <w:rsid w:val="39D709A6"/>
    <w:rsid w:val="39DA2245"/>
    <w:rsid w:val="3A9F2E3C"/>
    <w:rsid w:val="3AB42122"/>
    <w:rsid w:val="3AE03859"/>
    <w:rsid w:val="3BE70C49"/>
    <w:rsid w:val="3C044F38"/>
    <w:rsid w:val="3C2D6FA3"/>
    <w:rsid w:val="3C2E6878"/>
    <w:rsid w:val="3CFB4C5D"/>
    <w:rsid w:val="3D60459C"/>
    <w:rsid w:val="3D6A1B31"/>
    <w:rsid w:val="3D7E738B"/>
    <w:rsid w:val="3DC56D68"/>
    <w:rsid w:val="3DCB0822"/>
    <w:rsid w:val="3DD07BE6"/>
    <w:rsid w:val="3E502AD5"/>
    <w:rsid w:val="3E895FE7"/>
    <w:rsid w:val="3F7647BE"/>
    <w:rsid w:val="3F942E96"/>
    <w:rsid w:val="3FA0183A"/>
    <w:rsid w:val="3FBD4153"/>
    <w:rsid w:val="3FC40B3D"/>
    <w:rsid w:val="3FC71128"/>
    <w:rsid w:val="3FC90D91"/>
    <w:rsid w:val="40022408"/>
    <w:rsid w:val="401D2E8B"/>
    <w:rsid w:val="406960D0"/>
    <w:rsid w:val="408E78A6"/>
    <w:rsid w:val="408F1FDB"/>
    <w:rsid w:val="41E910AE"/>
    <w:rsid w:val="42000AB9"/>
    <w:rsid w:val="4206121C"/>
    <w:rsid w:val="42255765"/>
    <w:rsid w:val="424D3EFC"/>
    <w:rsid w:val="426D00FA"/>
    <w:rsid w:val="42AE426E"/>
    <w:rsid w:val="42F206F4"/>
    <w:rsid w:val="43064193"/>
    <w:rsid w:val="43560B8E"/>
    <w:rsid w:val="445D7CFA"/>
    <w:rsid w:val="44910D58"/>
    <w:rsid w:val="44F3065E"/>
    <w:rsid w:val="456A2280"/>
    <w:rsid w:val="456F23DB"/>
    <w:rsid w:val="458670AE"/>
    <w:rsid w:val="4597548E"/>
    <w:rsid w:val="45AF0A29"/>
    <w:rsid w:val="45CF4C28"/>
    <w:rsid w:val="46036001"/>
    <w:rsid w:val="460A043B"/>
    <w:rsid w:val="46EF7152"/>
    <w:rsid w:val="46FA3F26"/>
    <w:rsid w:val="475573AE"/>
    <w:rsid w:val="47752E7A"/>
    <w:rsid w:val="48181044"/>
    <w:rsid w:val="484511D1"/>
    <w:rsid w:val="48881EB5"/>
    <w:rsid w:val="48CB0D15"/>
    <w:rsid w:val="48DA5DBD"/>
    <w:rsid w:val="48EC3D42"/>
    <w:rsid w:val="49290E53"/>
    <w:rsid w:val="49771967"/>
    <w:rsid w:val="49BE020A"/>
    <w:rsid w:val="49C5081B"/>
    <w:rsid w:val="49FC7FB5"/>
    <w:rsid w:val="4A2354EB"/>
    <w:rsid w:val="4A241463"/>
    <w:rsid w:val="4A3B6D2F"/>
    <w:rsid w:val="4B155BCD"/>
    <w:rsid w:val="4B4439C2"/>
    <w:rsid w:val="4BD71EB9"/>
    <w:rsid w:val="4BF3578C"/>
    <w:rsid w:val="4C0E2F1B"/>
    <w:rsid w:val="4C503F4A"/>
    <w:rsid w:val="4C831EDD"/>
    <w:rsid w:val="4CA15422"/>
    <w:rsid w:val="4CB608EF"/>
    <w:rsid w:val="4D4448F7"/>
    <w:rsid w:val="4D7B5AD0"/>
    <w:rsid w:val="4DEE5E67"/>
    <w:rsid w:val="4E0631B0"/>
    <w:rsid w:val="4EC05A55"/>
    <w:rsid w:val="4FF97471"/>
    <w:rsid w:val="500F0A42"/>
    <w:rsid w:val="501C315F"/>
    <w:rsid w:val="50EC48E0"/>
    <w:rsid w:val="5101103A"/>
    <w:rsid w:val="51085492"/>
    <w:rsid w:val="516E3547"/>
    <w:rsid w:val="51711289"/>
    <w:rsid w:val="524B6554"/>
    <w:rsid w:val="528E4FD1"/>
    <w:rsid w:val="53964FD7"/>
    <w:rsid w:val="53E94EE7"/>
    <w:rsid w:val="54143903"/>
    <w:rsid w:val="548968E9"/>
    <w:rsid w:val="54E35FFA"/>
    <w:rsid w:val="550C692B"/>
    <w:rsid w:val="553A6FC3"/>
    <w:rsid w:val="553C5CE7"/>
    <w:rsid w:val="55903B4D"/>
    <w:rsid w:val="55A0038E"/>
    <w:rsid w:val="55D65293"/>
    <w:rsid w:val="56044479"/>
    <w:rsid w:val="560E354A"/>
    <w:rsid w:val="56625644"/>
    <w:rsid w:val="568B4B9B"/>
    <w:rsid w:val="56AD4B11"/>
    <w:rsid w:val="56BF4844"/>
    <w:rsid w:val="56C703BD"/>
    <w:rsid w:val="57160908"/>
    <w:rsid w:val="57807D09"/>
    <w:rsid w:val="57F86260"/>
    <w:rsid w:val="5805272B"/>
    <w:rsid w:val="581F37ED"/>
    <w:rsid w:val="584B2834"/>
    <w:rsid w:val="58A106A5"/>
    <w:rsid w:val="58DD0763"/>
    <w:rsid w:val="58F509F1"/>
    <w:rsid w:val="596F4300"/>
    <w:rsid w:val="597C5CCB"/>
    <w:rsid w:val="59A95F7B"/>
    <w:rsid w:val="5A054C64"/>
    <w:rsid w:val="5A542EE5"/>
    <w:rsid w:val="5ADE798F"/>
    <w:rsid w:val="5AEB20AC"/>
    <w:rsid w:val="5AFC1BC3"/>
    <w:rsid w:val="5B0311A3"/>
    <w:rsid w:val="5B4D241F"/>
    <w:rsid w:val="5B9B762E"/>
    <w:rsid w:val="5C1178F0"/>
    <w:rsid w:val="5C5A7F7F"/>
    <w:rsid w:val="5D5A2308"/>
    <w:rsid w:val="5DBE697B"/>
    <w:rsid w:val="5DD168A1"/>
    <w:rsid w:val="5E6F08FE"/>
    <w:rsid w:val="5E987E55"/>
    <w:rsid w:val="5E993BCD"/>
    <w:rsid w:val="5EB36A3D"/>
    <w:rsid w:val="5F182D44"/>
    <w:rsid w:val="5FC92290"/>
    <w:rsid w:val="5FDE21DF"/>
    <w:rsid w:val="606C77EB"/>
    <w:rsid w:val="608B1E77"/>
    <w:rsid w:val="608C6AC8"/>
    <w:rsid w:val="60DF620F"/>
    <w:rsid w:val="61170069"/>
    <w:rsid w:val="611759A9"/>
    <w:rsid w:val="61C572D3"/>
    <w:rsid w:val="61F62764"/>
    <w:rsid w:val="62347F47"/>
    <w:rsid w:val="626B762E"/>
    <w:rsid w:val="627C4C03"/>
    <w:rsid w:val="62F31AFE"/>
    <w:rsid w:val="63293771"/>
    <w:rsid w:val="635B76A3"/>
    <w:rsid w:val="63C33BC6"/>
    <w:rsid w:val="63C96D02"/>
    <w:rsid w:val="64320204"/>
    <w:rsid w:val="64CD45D0"/>
    <w:rsid w:val="64DE2339"/>
    <w:rsid w:val="65085608"/>
    <w:rsid w:val="65423A05"/>
    <w:rsid w:val="65536958"/>
    <w:rsid w:val="65907AD8"/>
    <w:rsid w:val="65A9656A"/>
    <w:rsid w:val="66F66060"/>
    <w:rsid w:val="670C13E0"/>
    <w:rsid w:val="671E1113"/>
    <w:rsid w:val="672E75A8"/>
    <w:rsid w:val="67902011"/>
    <w:rsid w:val="67B65075"/>
    <w:rsid w:val="67BB4BB4"/>
    <w:rsid w:val="67BF6452"/>
    <w:rsid w:val="67ED07E2"/>
    <w:rsid w:val="67EE1C9E"/>
    <w:rsid w:val="68832A45"/>
    <w:rsid w:val="689E42BA"/>
    <w:rsid w:val="691B0000"/>
    <w:rsid w:val="69F85A42"/>
    <w:rsid w:val="69FF522C"/>
    <w:rsid w:val="6A0171F6"/>
    <w:rsid w:val="6A07121D"/>
    <w:rsid w:val="6A4B221F"/>
    <w:rsid w:val="6A4F6E29"/>
    <w:rsid w:val="6AA819B9"/>
    <w:rsid w:val="6B5A5079"/>
    <w:rsid w:val="6B7D0AFE"/>
    <w:rsid w:val="6B7E03D2"/>
    <w:rsid w:val="6BD11807"/>
    <w:rsid w:val="6BE02E3B"/>
    <w:rsid w:val="6C163F72"/>
    <w:rsid w:val="6C2A5DBB"/>
    <w:rsid w:val="6C586E75"/>
    <w:rsid w:val="6CC83FFB"/>
    <w:rsid w:val="6CFA1CDB"/>
    <w:rsid w:val="6D0E48E8"/>
    <w:rsid w:val="6D6E4213"/>
    <w:rsid w:val="6DAF0D17"/>
    <w:rsid w:val="6DB553EA"/>
    <w:rsid w:val="6DD30EA9"/>
    <w:rsid w:val="6DE50BDD"/>
    <w:rsid w:val="6E1E5238"/>
    <w:rsid w:val="6EDC1070"/>
    <w:rsid w:val="6F5508A8"/>
    <w:rsid w:val="6FC54073"/>
    <w:rsid w:val="6FE078AE"/>
    <w:rsid w:val="70470027"/>
    <w:rsid w:val="70473489"/>
    <w:rsid w:val="705E150A"/>
    <w:rsid w:val="7064403B"/>
    <w:rsid w:val="70666005"/>
    <w:rsid w:val="70F76C5D"/>
    <w:rsid w:val="71445C1A"/>
    <w:rsid w:val="71527F65"/>
    <w:rsid w:val="715F2A54"/>
    <w:rsid w:val="716A5681"/>
    <w:rsid w:val="71C51DA1"/>
    <w:rsid w:val="71DE7825"/>
    <w:rsid w:val="71E116BB"/>
    <w:rsid w:val="727341FB"/>
    <w:rsid w:val="728118F5"/>
    <w:rsid w:val="728B5C67"/>
    <w:rsid w:val="7298085C"/>
    <w:rsid w:val="73084FC0"/>
    <w:rsid w:val="73137F9A"/>
    <w:rsid w:val="73683E42"/>
    <w:rsid w:val="7406094A"/>
    <w:rsid w:val="746B40D6"/>
    <w:rsid w:val="74806F69"/>
    <w:rsid w:val="74830E88"/>
    <w:rsid w:val="74BB2697"/>
    <w:rsid w:val="752B5127"/>
    <w:rsid w:val="752C0E9F"/>
    <w:rsid w:val="758B3E18"/>
    <w:rsid w:val="758D4034"/>
    <w:rsid w:val="75F776FF"/>
    <w:rsid w:val="76500BBD"/>
    <w:rsid w:val="76564426"/>
    <w:rsid w:val="76763C1C"/>
    <w:rsid w:val="76956494"/>
    <w:rsid w:val="76B850E0"/>
    <w:rsid w:val="76DB492B"/>
    <w:rsid w:val="77317CA1"/>
    <w:rsid w:val="77E06D61"/>
    <w:rsid w:val="782B2DC7"/>
    <w:rsid w:val="788B1CC4"/>
    <w:rsid w:val="78FB3062"/>
    <w:rsid w:val="790A14F7"/>
    <w:rsid w:val="79490272"/>
    <w:rsid w:val="795F5CE7"/>
    <w:rsid w:val="79797DE9"/>
    <w:rsid w:val="79A33E26"/>
    <w:rsid w:val="79A951B4"/>
    <w:rsid w:val="79BF0534"/>
    <w:rsid w:val="7A5A025C"/>
    <w:rsid w:val="7AD1051F"/>
    <w:rsid w:val="7AF91AC4"/>
    <w:rsid w:val="7B2014A6"/>
    <w:rsid w:val="7B567D67"/>
    <w:rsid w:val="7B590636"/>
    <w:rsid w:val="7BCE2CB0"/>
    <w:rsid w:val="7C0B4345"/>
    <w:rsid w:val="7C10151B"/>
    <w:rsid w:val="7DE93453"/>
    <w:rsid w:val="7E665422"/>
    <w:rsid w:val="7E8F0526"/>
    <w:rsid w:val="7F0F5AB9"/>
    <w:rsid w:val="7F222F3F"/>
    <w:rsid w:val="7F651B7D"/>
    <w:rsid w:val="7F8F3E2E"/>
    <w:rsid w:val="7FCE7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99"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qFormat="1" w:uiPriority="39" w:semiHidden="0" w:name="toc 6"/>
    <w:lsdException w:unhideWhenUsed="0" w:uiPriority="0" w:semiHidden="0" w:name="toc 7"/>
    <w:lsdException w:qFormat="1" w:uiPriority="39"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4"/>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qFormat/>
    <w:uiPriority w:val="99"/>
    <w:pPr>
      <w:keepNext/>
      <w:keepLines/>
      <w:spacing w:before="280" w:after="290" w:line="376" w:lineRule="auto"/>
      <w:outlineLvl w:val="3"/>
    </w:pPr>
    <w:rPr>
      <w:rFonts w:ascii="Arial" w:hAnsi="Arial" w:eastAsia="黑体"/>
      <w:b/>
      <w:bCs/>
      <w:sz w:val="28"/>
      <w:szCs w:val="28"/>
    </w:rPr>
  </w:style>
  <w:style w:type="paragraph" w:styleId="7">
    <w:name w:val="heading 6"/>
    <w:basedOn w:val="1"/>
    <w:next w:val="1"/>
    <w:qFormat/>
    <w:uiPriority w:val="1"/>
    <w:pPr>
      <w:spacing w:before="61"/>
      <w:outlineLvl w:val="6"/>
    </w:pPr>
    <w:rPr>
      <w:rFonts w:ascii="仿宋" w:hAnsi="仿宋" w:eastAsia="仿宋" w:cs="仿宋"/>
      <w:sz w:val="28"/>
      <w:szCs w:val="28"/>
      <w:lang w:val="zh-CN" w:eastAsia="zh-CN" w:bidi="zh-CN"/>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8">
    <w:name w:val="annotation text"/>
    <w:basedOn w:val="1"/>
    <w:qFormat/>
    <w:uiPriority w:val="0"/>
    <w:pPr>
      <w:jc w:val="left"/>
    </w:pPr>
  </w:style>
  <w:style w:type="paragraph" w:styleId="9">
    <w:name w:val="Body Text"/>
    <w:basedOn w:val="1"/>
    <w:next w:val="1"/>
    <w:qFormat/>
    <w:uiPriority w:val="1"/>
    <w:pPr>
      <w:widowControl w:val="0"/>
      <w:jc w:val="both"/>
    </w:pPr>
    <w:rPr>
      <w:rFonts w:ascii="楷体" w:hAnsi="楷体" w:eastAsia="楷体" w:cs="楷体"/>
      <w:kern w:val="2"/>
      <w:sz w:val="24"/>
      <w:szCs w:val="24"/>
      <w:lang w:val="zh-CN" w:eastAsia="zh-CN" w:bidi="zh-CN"/>
    </w:rPr>
  </w:style>
  <w:style w:type="paragraph" w:styleId="10">
    <w:name w:val="Body Text Indent"/>
    <w:next w:val="11"/>
    <w:qFormat/>
    <w:uiPriority w:val="0"/>
    <w:pPr>
      <w:widowControl w:val="0"/>
      <w:spacing w:line="240" w:lineRule="auto"/>
      <w:ind w:left="-360" w:firstLine="360"/>
      <w:jc w:val="both"/>
    </w:pPr>
    <w:rPr>
      <w:rFonts w:ascii="Times New Roman" w:hAnsi="Times New Roman" w:eastAsiaTheme="minorEastAsia" w:cstheme="minorBidi"/>
      <w:kern w:val="0"/>
      <w:sz w:val="21"/>
      <w:szCs w:val="24"/>
      <w:lang w:val="en-US" w:eastAsia="zh-CN" w:bidi="ar-SA"/>
    </w:rPr>
  </w:style>
  <w:style w:type="paragraph" w:styleId="11">
    <w:name w:val="envelope return"/>
    <w:qFormat/>
    <w:uiPriority w:val="0"/>
    <w:pPr>
      <w:widowControl w:val="0"/>
      <w:snapToGrid w:val="0"/>
      <w:jc w:val="both"/>
    </w:pPr>
    <w:rPr>
      <w:rFonts w:ascii="Arial" w:hAnsi="Arial" w:eastAsiaTheme="minorEastAsia" w:cstheme="minorBidi"/>
      <w:kern w:val="2"/>
      <w:sz w:val="21"/>
      <w:szCs w:val="24"/>
      <w:lang w:val="en-US" w:eastAsia="zh-CN" w:bidi="ar-SA"/>
    </w:rPr>
  </w:style>
  <w:style w:type="paragraph" w:styleId="12">
    <w:name w:val="toc 5"/>
    <w:basedOn w:val="1"/>
    <w:next w:val="1"/>
    <w:unhideWhenUsed/>
    <w:qFormat/>
    <w:uiPriority w:val="39"/>
    <w:pPr>
      <w:ind w:left="1680" w:leftChars="800"/>
    </w:pPr>
    <w:rPr>
      <w:rFonts w:ascii="Calibri" w:hAnsi="Calibri"/>
      <w:szCs w:val="22"/>
    </w:rPr>
  </w:style>
  <w:style w:type="paragraph" w:styleId="13">
    <w:name w:val="toc 8"/>
    <w:next w:val="1"/>
    <w:unhideWhenUsed/>
    <w:qFormat/>
    <w:uiPriority w:val="39"/>
    <w:pPr>
      <w:widowControl w:val="0"/>
      <w:spacing w:line="240" w:lineRule="auto"/>
      <w:ind w:left="2940" w:leftChars="1400"/>
      <w:jc w:val="both"/>
    </w:pPr>
    <w:rPr>
      <w:rFonts w:asciiTheme="minorHAnsi" w:hAnsiTheme="minorHAnsi" w:eastAsiaTheme="minorEastAsia" w:cstheme="minorBidi"/>
      <w:kern w:val="2"/>
      <w:sz w:val="21"/>
      <w:szCs w:val="22"/>
      <w:lang w:val="en-US" w:eastAsia="zh-CN" w:bidi="ar-SA"/>
    </w:rPr>
  </w:style>
  <w:style w:type="paragraph" w:styleId="14">
    <w:name w:val="Date"/>
    <w:basedOn w:val="1"/>
    <w:next w:val="1"/>
    <w:qFormat/>
    <w:uiPriority w:val="0"/>
    <w:rPr>
      <w:color w:val="000000"/>
      <w:kern w:val="0"/>
      <w:sz w:val="30"/>
    </w:rPr>
  </w:style>
  <w:style w:type="paragraph" w:styleId="15">
    <w:name w:val="footer"/>
    <w:basedOn w:val="1"/>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footnote text"/>
    <w:basedOn w:val="1"/>
    <w:qFormat/>
    <w:uiPriority w:val="0"/>
    <w:pPr>
      <w:snapToGrid w:val="0"/>
      <w:jc w:val="left"/>
    </w:pPr>
    <w:rPr>
      <w:sz w:val="18"/>
      <w:szCs w:val="18"/>
    </w:rPr>
  </w:style>
  <w:style w:type="paragraph" w:styleId="18">
    <w:name w:val="toc 6"/>
    <w:next w:val="1"/>
    <w:unhideWhenUsed/>
    <w:qFormat/>
    <w:uiPriority w:val="39"/>
    <w:pPr>
      <w:widowControl w:val="0"/>
      <w:spacing w:line="240" w:lineRule="auto"/>
      <w:ind w:left="2100" w:leftChars="1000"/>
      <w:jc w:val="both"/>
    </w:pPr>
    <w:rPr>
      <w:rFonts w:asciiTheme="minorHAnsi" w:hAnsiTheme="minorHAnsi" w:eastAsiaTheme="minorEastAsia" w:cstheme="minorBidi"/>
      <w:kern w:val="2"/>
      <w:sz w:val="21"/>
      <w:szCs w:val="22"/>
      <w:lang w:val="en-US" w:eastAsia="zh-CN" w:bidi="ar-SA"/>
    </w:rPr>
  </w:style>
  <w:style w:type="paragraph" w:styleId="19">
    <w:name w:val="HTML Preformatted"/>
    <w:basedOn w:val="1"/>
    <w:qFormat/>
    <w:uiPriority w:val="0"/>
    <w:rPr>
      <w:rFonts w:ascii="Courier New" w:hAnsi="Courier New"/>
      <w:sz w:val="20"/>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Body Text First Indent"/>
    <w:basedOn w:val="9"/>
    <w:qFormat/>
    <w:uiPriority w:val="0"/>
    <w:pPr>
      <w:widowControl w:val="0"/>
      <w:spacing w:line="360" w:lineRule="auto"/>
      <w:ind w:firstLine="420" w:firstLineChars="100"/>
      <w:jc w:val="both"/>
    </w:pPr>
    <w:rPr>
      <w:rFonts w:ascii="楷体" w:hAnsi="楷体" w:eastAsia="楷体" w:cs="楷体"/>
      <w:kern w:val="2"/>
      <w:sz w:val="21"/>
      <w:szCs w:val="24"/>
      <w:lang w:val="zh-CN" w:eastAsia="zh-CN" w:bidi="zh-CN"/>
    </w:rPr>
  </w:style>
  <w:style w:type="paragraph" w:styleId="22">
    <w:name w:val="Body Text First Indent 2"/>
    <w:next w:val="21"/>
    <w:unhideWhenUsed/>
    <w:qFormat/>
    <w:uiPriority w:val="99"/>
    <w:pPr>
      <w:widowControl w:val="0"/>
      <w:spacing w:after="120" w:line="360" w:lineRule="auto"/>
      <w:ind w:left="420" w:leftChars="200" w:firstLine="420" w:firstLineChars="200"/>
      <w:jc w:val="both"/>
    </w:pPr>
    <w:rPr>
      <w:rFonts w:ascii="Times New Roman" w:hAnsi="Times New Roman" w:eastAsiaTheme="minorEastAsia" w:cstheme="minorBidi"/>
      <w:kern w:val="0"/>
      <w:sz w:val="21"/>
      <w:szCs w:val="24"/>
      <w:lang w:val="en-US" w:eastAsia="zh-CN" w:bidi="ar-SA"/>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paragraph" w:customStyle="1" w:styleId="27">
    <w:name w:val="UserStyle_0"/>
    <w:basedOn w:val="1"/>
    <w:qFormat/>
    <w:uiPriority w:val="0"/>
    <w:pPr>
      <w:widowControl/>
      <w:spacing w:after="120"/>
      <w:textAlignment w:val="baseline"/>
    </w:pPr>
  </w:style>
  <w:style w:type="paragraph" w:customStyle="1" w:styleId="28">
    <w:name w:val="表格文字2"/>
    <w:basedOn w:val="29"/>
    <w:qFormat/>
    <w:uiPriority w:val="99"/>
    <w:pPr>
      <w:spacing w:before="25" w:after="25"/>
      <w:jc w:val="left"/>
    </w:pPr>
    <w:rPr>
      <w:bCs/>
      <w:spacing w:val="10"/>
      <w:kern w:val="0"/>
    </w:rPr>
  </w:style>
  <w:style w:type="paragraph" w:customStyle="1" w:styleId="29">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30">
    <w:name w:val="Table Paragraph"/>
    <w:qFormat/>
    <w:uiPriority w:val="1"/>
    <w:pPr>
      <w:widowControl w:val="0"/>
      <w:jc w:val="both"/>
    </w:pPr>
    <w:rPr>
      <w:rFonts w:ascii="楷体" w:hAnsi="楷体" w:eastAsia="楷体" w:cs="楷体"/>
      <w:kern w:val="2"/>
      <w:sz w:val="21"/>
      <w:szCs w:val="24"/>
      <w:lang w:val="zh-CN" w:eastAsia="zh-CN" w:bidi="zh-CN"/>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 w:type="paragraph" w:customStyle="1" w:styleId="33">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4">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35">
    <w:name w:val="UserStyle_2"/>
    <w:qFormat/>
    <w:uiPriority w:val="0"/>
    <w:pPr>
      <w:textAlignment w:val="baseline"/>
    </w:pPr>
    <w:rPr>
      <w:rFonts w:ascii="宋体t...驵." w:hAnsi="Calibri" w:eastAsia="宋体t...驵." w:cstheme="minorBidi"/>
      <w:color w:val="000000"/>
      <w:kern w:val="0"/>
      <w:sz w:val="24"/>
      <w:szCs w:val="24"/>
      <w:lang w:val="en-US" w:eastAsia="zh-CN" w:bidi="ar-SA"/>
    </w:rPr>
  </w:style>
  <w:style w:type="paragraph" w:customStyle="1" w:styleId="36">
    <w:name w:val="正文缩进1"/>
    <w:basedOn w:val="37"/>
    <w:next w:val="10"/>
    <w:qFormat/>
    <w:uiPriority w:val="0"/>
    <w:pPr>
      <w:autoSpaceDE w:val="0"/>
      <w:autoSpaceDN w:val="0"/>
      <w:adjustRightInd w:val="0"/>
      <w:ind w:firstLine="420"/>
      <w:jc w:val="left"/>
    </w:pPr>
    <w:rPr>
      <w:rFonts w:ascii="宋体" w:hAnsi="宋体" w:eastAsia="宋体"/>
      <w:kern w:val="0"/>
      <w:sz w:val="24"/>
      <w:szCs w:val="20"/>
    </w:rPr>
  </w:style>
  <w:style w:type="paragraph" w:customStyle="1" w:styleId="37">
    <w:name w:val="正文2"/>
    <w:next w:val="1"/>
    <w:qFormat/>
    <w:uiPriority w:val="0"/>
    <w:rPr>
      <w:rFonts w:ascii="Times New Roman" w:hAnsi="Times New Roman" w:eastAsia="Times New Roman" w:cs="Times New Roman"/>
      <w:sz w:val="24"/>
      <w:szCs w:val="24"/>
      <w:lang w:val="en-US" w:eastAsia="zh-CN" w:bidi="ar-SA"/>
    </w:rPr>
  </w:style>
  <w:style w:type="paragraph" w:customStyle="1" w:styleId="38">
    <w:name w:val="Heading #1|1"/>
    <w:basedOn w:val="1"/>
    <w:autoRedefine/>
    <w:qFormat/>
    <w:uiPriority w:val="0"/>
    <w:pPr>
      <w:spacing w:before="100"/>
      <w:jc w:val="center"/>
      <w:outlineLvl w:val="0"/>
    </w:pPr>
    <w:rPr>
      <w:rFonts w:ascii="宋体" w:hAnsi="宋体" w:eastAsia="宋体" w:cs="宋体"/>
      <w:sz w:val="36"/>
      <w:szCs w:val="36"/>
      <w:lang w:val="zh-TW" w:eastAsia="zh-TW" w:bidi="zh-TW"/>
    </w:rPr>
  </w:style>
  <w:style w:type="paragraph" w:customStyle="1" w:styleId="39">
    <w:name w:val="Body text|3"/>
    <w:basedOn w:val="1"/>
    <w:autoRedefine/>
    <w:qFormat/>
    <w:uiPriority w:val="0"/>
    <w:pPr>
      <w:jc w:val="center"/>
    </w:pPr>
    <w:rPr>
      <w:sz w:val="36"/>
      <w:szCs w:val="36"/>
      <w:lang w:val="zh-TW" w:eastAsia="zh-TW" w:bidi="zh-TW"/>
    </w:rPr>
  </w:style>
  <w:style w:type="character" w:customStyle="1" w:styleId="40">
    <w:name w:val="font31"/>
    <w:basedOn w:val="25"/>
    <w:qFormat/>
    <w:uiPriority w:val="0"/>
    <w:rPr>
      <w:rFonts w:hint="eastAsia" w:ascii="宋体" w:hAnsi="宋体" w:eastAsia="宋体" w:cs="宋体"/>
      <w:color w:val="000000"/>
      <w:sz w:val="22"/>
      <w:szCs w:val="22"/>
      <w:u w:val="none"/>
    </w:rPr>
  </w:style>
  <w:style w:type="character" w:customStyle="1" w:styleId="41">
    <w:name w:val="font51"/>
    <w:basedOn w:val="25"/>
    <w:qFormat/>
    <w:uiPriority w:val="0"/>
    <w:rPr>
      <w:rFonts w:hint="eastAsia" w:ascii="宋体" w:hAnsi="宋体" w:eastAsia="宋体" w:cs="宋体"/>
      <w:color w:val="000000"/>
      <w:sz w:val="22"/>
      <w:szCs w:val="22"/>
      <w:u w:val="none"/>
    </w:rPr>
  </w:style>
  <w:style w:type="character" w:customStyle="1" w:styleId="42">
    <w:name w:val="font41"/>
    <w:basedOn w:val="25"/>
    <w:qFormat/>
    <w:uiPriority w:val="0"/>
    <w:rPr>
      <w:rFonts w:hint="eastAsia" w:ascii="宋体" w:hAnsi="宋体" w:eastAsia="宋体" w:cs="宋体"/>
      <w:color w:val="000000"/>
      <w:sz w:val="22"/>
      <w:szCs w:val="22"/>
      <w:u w:val="none"/>
    </w:rPr>
  </w:style>
  <w:style w:type="character" w:customStyle="1" w:styleId="43">
    <w:name w:val="font81"/>
    <w:basedOn w:val="25"/>
    <w:qFormat/>
    <w:uiPriority w:val="0"/>
    <w:rPr>
      <w:rFonts w:ascii="方正仿宋_GBK" w:hAnsi="方正仿宋_GBK" w:eastAsia="方正仿宋_GBK" w:cs="方正仿宋_GBK"/>
      <w:color w:val="000000"/>
      <w:sz w:val="22"/>
      <w:szCs w:val="22"/>
      <w:u w:val="none"/>
    </w:rPr>
  </w:style>
  <w:style w:type="character" w:customStyle="1" w:styleId="44">
    <w:name w:val="font61"/>
    <w:basedOn w:val="25"/>
    <w:qFormat/>
    <w:uiPriority w:val="0"/>
    <w:rPr>
      <w:rFonts w:hint="default" w:ascii="Times New Roman" w:hAnsi="Times New Roman" w:cs="Times New Roman"/>
      <w:color w:val="000000"/>
      <w:sz w:val="22"/>
      <w:szCs w:val="22"/>
      <w:u w:val="none"/>
    </w:rPr>
  </w:style>
  <w:style w:type="character" w:customStyle="1" w:styleId="45">
    <w:name w:val="font71"/>
    <w:basedOn w:val="25"/>
    <w:qFormat/>
    <w:uiPriority w:val="0"/>
    <w:rPr>
      <w:rFonts w:hint="default" w:ascii="Times New Roman" w:hAnsi="Times New Roman" w:cs="Times New Roman"/>
      <w:color w:val="000000"/>
      <w:sz w:val="22"/>
      <w:szCs w:val="22"/>
      <w:u w:val="none"/>
    </w:rPr>
  </w:style>
  <w:style w:type="character" w:customStyle="1" w:styleId="46">
    <w:name w:val="font91"/>
    <w:basedOn w:val="25"/>
    <w:qFormat/>
    <w:uiPriority w:val="0"/>
    <w:rPr>
      <w:rFonts w:hint="default" w:ascii="方正仿宋_GBK" w:hAnsi="方正仿宋_GBK" w:eastAsia="方正仿宋_GBK" w:cs="方正仿宋_GBK"/>
      <w:color w:val="000000"/>
      <w:sz w:val="22"/>
      <w:szCs w:val="22"/>
      <w:u w:val="none"/>
    </w:rPr>
  </w:style>
  <w:style w:type="character" w:customStyle="1" w:styleId="47">
    <w:name w:val="font101"/>
    <w:basedOn w:val="25"/>
    <w:qFormat/>
    <w:uiPriority w:val="0"/>
    <w:rPr>
      <w:rFonts w:hint="default" w:ascii="方正仿宋_GBK" w:hAnsi="方正仿宋_GBK" w:eastAsia="方正仿宋_GBK" w:cs="方正仿宋_GBK"/>
      <w:color w:val="000000"/>
      <w:sz w:val="22"/>
      <w:szCs w:val="22"/>
      <w:u w:val="none"/>
    </w:rPr>
  </w:style>
  <w:style w:type="paragraph" w:customStyle="1" w:styleId="48">
    <w:name w:val="No Spacing_a39d73bf-f57a-4181-9f18-01ceff1c2e24"/>
    <w:qFormat/>
    <w:uiPriority w:val="1"/>
    <w:pPr>
      <w:widowControl w:val="0"/>
      <w:jc w:val="both"/>
    </w:pPr>
    <w:rPr>
      <w:rFonts w:ascii="等线" w:hAnsi="等线" w:eastAsia="等线" w:cs="宋体"/>
      <w:kern w:val="2"/>
      <w:sz w:val="21"/>
      <w:szCs w:val="24"/>
      <w:lang w:val="en-US" w:eastAsia="zh-CN" w:bidi="ar-SA"/>
    </w:rPr>
  </w:style>
  <w:style w:type="character" w:customStyle="1" w:styleId="49">
    <w:name w:val="font11"/>
    <w:basedOn w:val="25"/>
    <w:qFormat/>
    <w:uiPriority w:val="0"/>
    <w:rPr>
      <w:rFonts w:hint="eastAsia" w:ascii="宋体" w:hAnsi="宋体" w:eastAsia="宋体" w:cs="宋体"/>
      <w:color w:val="000000"/>
      <w:sz w:val="22"/>
      <w:szCs w:val="22"/>
      <w:u w:val="none"/>
    </w:rPr>
  </w:style>
  <w:style w:type="character" w:customStyle="1" w:styleId="50">
    <w:name w:val="font21"/>
    <w:basedOn w:val="25"/>
    <w:qFormat/>
    <w:uiPriority w:val="0"/>
    <w:rPr>
      <w:rFonts w:hint="eastAsia" w:ascii="宋体" w:hAnsi="宋体" w:eastAsia="宋体" w:cs="宋体"/>
      <w:color w:val="000000"/>
      <w:sz w:val="22"/>
      <w:szCs w:val="22"/>
      <w:u w:val="none"/>
    </w:rPr>
  </w:style>
  <w:style w:type="paragraph" w:customStyle="1" w:styleId="51">
    <w:name w:val="Body text|1"/>
    <w:basedOn w:val="1"/>
    <w:autoRedefine/>
    <w:qFormat/>
    <w:uiPriority w:val="0"/>
    <w:pPr>
      <w:spacing w:line="480" w:lineRule="auto"/>
    </w:pPr>
    <w:rPr>
      <w:rFonts w:ascii="宋体" w:hAnsi="宋体" w:eastAsia="宋体" w:cs="宋体"/>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0</Words>
  <Characters>0</Characters>
  <Lines>0</Lines>
  <Paragraphs>0</Paragraphs>
  <TotalTime>44</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2023-03-21T09:51:00Z</dcterms:created>
  <dc:creator>lihang</dc:creator>
  <cp:lastModifiedBy>啦啦啦小葡萄</cp:lastModifiedBy>
  <dcterms:modified xsi:type="dcterms:W3CDTF">2025-07-04T03:54:13Z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0A67C3A0B7A045398F88AED3F5AA3024_13</vt:lpwstr>
  </property>
  <property fmtid="{D5CDD505-2E9C-101B-9397-08002B2CF9AE}" pid="4" name="KSOTemplateDocerSaveRecord">
    <vt:lpwstr>eyJoZGlkIjoiNWVjODczMWEyY2YxMDY4OWZmYjNlODYwNGM3NTBhMGQiLCJ1c2VySWQiOiI1MTk0NjIwNjIifQ==</vt:lpwstr>
  </property>
</Properties>
</file>