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1898FD">
      <w:pPr>
        <w:pStyle w:val="24"/>
        <w:adjustRightInd w:val="0"/>
        <w:snapToGrid w:val="0"/>
        <w:spacing w:line="360" w:lineRule="auto"/>
        <w:jc w:val="center"/>
        <w:rPr>
          <w:rFonts w:ascii="宋体" w:hAnsi="宋体"/>
          <w:b/>
          <w:sz w:val="44"/>
          <w:szCs w:val="44"/>
          <w:highlight w:val="none"/>
        </w:rPr>
      </w:pPr>
      <w:bookmarkStart w:id="0" w:name="第二部分第六章"/>
    </w:p>
    <w:p w14:paraId="77F97CA9">
      <w:pPr>
        <w:pStyle w:val="24"/>
        <w:adjustRightInd w:val="0"/>
        <w:snapToGrid w:val="0"/>
        <w:spacing w:line="360" w:lineRule="auto"/>
        <w:jc w:val="center"/>
        <w:rPr>
          <w:rFonts w:hint="eastAsia" w:ascii="宋体" w:hAnsi="宋体" w:eastAsia="宋体"/>
          <w:b/>
          <w:bCs/>
          <w:sz w:val="44"/>
          <w:szCs w:val="44"/>
          <w:highlight w:val="none"/>
          <w:lang w:eastAsia="zh-CN"/>
        </w:rPr>
      </w:pPr>
      <w:bookmarkStart w:id="1" w:name="_Hlk126255332"/>
      <w:r>
        <w:rPr>
          <w:rFonts w:hint="eastAsia" w:ascii="宋体" w:hAnsi="宋体"/>
          <w:b/>
          <w:bCs/>
          <w:sz w:val="44"/>
          <w:szCs w:val="44"/>
          <w:highlight w:val="none"/>
          <w:lang w:eastAsia="zh-CN"/>
        </w:rPr>
        <w:t>乌鲁木齐高新技术产业开发区（乌鲁木齐市新市区）教育局乌鲁木齐市第九中学新校区新建项目（乌鲁木齐市第一中学教育集团高新校区）设备设施采购项目</w:t>
      </w:r>
    </w:p>
    <w:bookmarkEnd w:id="1"/>
    <w:p w14:paraId="563FDE0E">
      <w:pPr>
        <w:pStyle w:val="24"/>
        <w:adjustRightInd w:val="0"/>
        <w:snapToGrid w:val="0"/>
        <w:spacing w:line="360" w:lineRule="auto"/>
        <w:jc w:val="center"/>
        <w:rPr>
          <w:rFonts w:ascii="宋体" w:hAnsi="宋体"/>
          <w:szCs w:val="24"/>
          <w:highlight w:val="none"/>
        </w:rPr>
      </w:pPr>
    </w:p>
    <w:p w14:paraId="39786349">
      <w:pPr>
        <w:pStyle w:val="24"/>
        <w:adjustRightInd w:val="0"/>
        <w:snapToGrid w:val="0"/>
        <w:spacing w:line="360" w:lineRule="auto"/>
        <w:jc w:val="center"/>
        <w:rPr>
          <w:rFonts w:ascii="宋体" w:hAnsi="宋体"/>
          <w:szCs w:val="24"/>
          <w:highlight w:val="none"/>
        </w:rPr>
      </w:pPr>
    </w:p>
    <w:p w14:paraId="0A756617">
      <w:pPr>
        <w:pStyle w:val="24"/>
        <w:adjustRightInd w:val="0"/>
        <w:snapToGrid w:val="0"/>
        <w:spacing w:line="360" w:lineRule="auto"/>
        <w:jc w:val="center"/>
        <w:rPr>
          <w:rFonts w:ascii="宋体" w:hAnsi="宋体"/>
          <w:szCs w:val="24"/>
          <w:highlight w:val="none"/>
        </w:rPr>
      </w:pPr>
    </w:p>
    <w:p w14:paraId="489B831C">
      <w:pPr>
        <w:pStyle w:val="24"/>
        <w:adjustRightInd w:val="0"/>
        <w:snapToGrid w:val="0"/>
        <w:spacing w:line="360" w:lineRule="auto"/>
        <w:jc w:val="center"/>
        <w:rPr>
          <w:rFonts w:ascii="宋体" w:hAnsi="宋体"/>
          <w:szCs w:val="24"/>
          <w:highlight w:val="none"/>
        </w:rPr>
      </w:pPr>
    </w:p>
    <w:p w14:paraId="2E7D9544">
      <w:pPr>
        <w:pStyle w:val="24"/>
        <w:adjustRightInd w:val="0"/>
        <w:snapToGrid w:val="0"/>
        <w:spacing w:line="360" w:lineRule="auto"/>
        <w:jc w:val="center"/>
        <w:rPr>
          <w:rFonts w:ascii="宋体" w:hAnsi="宋体"/>
          <w:szCs w:val="24"/>
          <w:highlight w:val="none"/>
        </w:rPr>
      </w:pPr>
    </w:p>
    <w:p w14:paraId="575FAAA5">
      <w:pPr>
        <w:pStyle w:val="24"/>
        <w:adjustRightInd w:val="0"/>
        <w:snapToGrid w:val="0"/>
        <w:spacing w:line="360" w:lineRule="auto"/>
        <w:jc w:val="center"/>
        <w:rPr>
          <w:rFonts w:ascii="宋体" w:hAnsi="宋体"/>
          <w:szCs w:val="24"/>
          <w:highlight w:val="none"/>
        </w:rPr>
      </w:pPr>
    </w:p>
    <w:p w14:paraId="61ECC3E4">
      <w:pPr>
        <w:pStyle w:val="24"/>
        <w:adjustRightInd w:val="0"/>
        <w:snapToGrid w:val="0"/>
        <w:spacing w:line="360" w:lineRule="auto"/>
        <w:jc w:val="center"/>
        <w:rPr>
          <w:rFonts w:ascii="宋体" w:hAnsi="宋体"/>
          <w:szCs w:val="24"/>
          <w:highlight w:val="none"/>
        </w:rPr>
      </w:pPr>
    </w:p>
    <w:p w14:paraId="44335A85">
      <w:pPr>
        <w:pStyle w:val="24"/>
        <w:adjustRightInd w:val="0"/>
        <w:snapToGrid w:val="0"/>
        <w:spacing w:line="360" w:lineRule="auto"/>
        <w:jc w:val="center"/>
        <w:rPr>
          <w:rFonts w:ascii="宋体" w:hAnsi="宋体"/>
          <w:b/>
          <w:szCs w:val="24"/>
          <w:highlight w:val="none"/>
        </w:rPr>
      </w:pPr>
    </w:p>
    <w:p w14:paraId="1C2CFB4B">
      <w:pPr>
        <w:pStyle w:val="24"/>
        <w:adjustRightInd w:val="0"/>
        <w:snapToGrid w:val="0"/>
        <w:spacing w:line="360" w:lineRule="auto"/>
        <w:jc w:val="center"/>
        <w:rPr>
          <w:rFonts w:ascii="宋体" w:hAnsi="宋体"/>
          <w:b/>
          <w:sz w:val="62"/>
          <w:szCs w:val="84"/>
          <w:highlight w:val="none"/>
        </w:rPr>
      </w:pPr>
      <w:r>
        <w:rPr>
          <w:rFonts w:hint="eastAsia" w:ascii="宋体" w:hAnsi="宋体"/>
          <w:b/>
          <w:sz w:val="52"/>
          <w:szCs w:val="56"/>
          <w:highlight w:val="none"/>
        </w:rPr>
        <w:t>公开招标文件</w:t>
      </w:r>
    </w:p>
    <w:p w14:paraId="4719907D">
      <w:pPr>
        <w:pStyle w:val="24"/>
        <w:adjustRightInd w:val="0"/>
        <w:snapToGrid w:val="0"/>
        <w:spacing w:before="120" w:beforeLines="50" w:line="360" w:lineRule="auto"/>
        <w:ind w:left="846" w:leftChars="403" w:firstLine="157" w:firstLineChars="49"/>
        <w:rPr>
          <w:rFonts w:ascii="宋体" w:hAnsi="宋体"/>
          <w:b/>
          <w:sz w:val="32"/>
          <w:szCs w:val="32"/>
          <w:highlight w:val="none"/>
        </w:rPr>
      </w:pPr>
    </w:p>
    <w:p w14:paraId="035BC043">
      <w:pPr>
        <w:pStyle w:val="24"/>
        <w:adjustRightInd w:val="0"/>
        <w:snapToGrid w:val="0"/>
        <w:spacing w:before="120" w:beforeLines="50" w:line="360" w:lineRule="auto"/>
        <w:ind w:left="846" w:leftChars="403" w:firstLine="157" w:firstLineChars="49"/>
        <w:rPr>
          <w:rFonts w:ascii="宋体" w:hAnsi="宋体"/>
          <w:b/>
          <w:sz w:val="32"/>
          <w:szCs w:val="32"/>
          <w:highlight w:val="none"/>
        </w:rPr>
      </w:pPr>
    </w:p>
    <w:p w14:paraId="246E2109">
      <w:pPr>
        <w:pStyle w:val="24"/>
        <w:adjustRightInd w:val="0"/>
        <w:snapToGrid w:val="0"/>
        <w:spacing w:line="360" w:lineRule="auto"/>
        <w:rPr>
          <w:rFonts w:ascii="宋体" w:hAnsi="宋体"/>
          <w:b/>
          <w:sz w:val="32"/>
          <w:szCs w:val="32"/>
          <w:highlight w:val="none"/>
        </w:rPr>
      </w:pPr>
    </w:p>
    <w:p w14:paraId="2048DC72">
      <w:pPr>
        <w:spacing w:line="360" w:lineRule="auto"/>
        <w:ind w:firstLine="562" w:firstLineChars="200"/>
        <w:jc w:val="left"/>
        <w:rPr>
          <w:rFonts w:ascii="宋体" w:hAnsi="宋体"/>
          <w:b/>
          <w:sz w:val="28"/>
          <w:szCs w:val="28"/>
          <w:highlight w:val="none"/>
        </w:rPr>
      </w:pPr>
      <w:r>
        <w:rPr>
          <w:rFonts w:hint="eastAsia" w:ascii="宋体" w:hAnsi="宋体"/>
          <w:b/>
          <w:sz w:val="28"/>
          <w:szCs w:val="28"/>
          <w:highlight w:val="none"/>
        </w:rPr>
        <w:t>采 购 人：乌鲁木齐高新技术产业开发区（乌鲁木齐市新市区）教育局</w:t>
      </w:r>
    </w:p>
    <w:p w14:paraId="599E16E9">
      <w:pPr>
        <w:spacing w:line="360" w:lineRule="auto"/>
        <w:ind w:firstLine="562" w:firstLineChars="200"/>
        <w:jc w:val="left"/>
        <w:rPr>
          <w:rFonts w:hint="eastAsia" w:ascii="宋体" w:hAnsi="宋体"/>
          <w:b/>
          <w:sz w:val="28"/>
          <w:szCs w:val="28"/>
          <w:highlight w:val="none"/>
        </w:rPr>
      </w:pPr>
      <w:r>
        <w:rPr>
          <w:rFonts w:hint="eastAsia" w:ascii="宋体" w:hAnsi="宋体"/>
          <w:b/>
          <w:sz w:val="28"/>
          <w:szCs w:val="28"/>
          <w:highlight w:val="none"/>
        </w:rPr>
        <w:t>代理机构: 中益招标有限公司</w:t>
      </w:r>
    </w:p>
    <w:p w14:paraId="1ED5CBA7">
      <w:pPr>
        <w:spacing w:line="360" w:lineRule="auto"/>
        <w:ind w:firstLine="562" w:firstLineChars="200"/>
        <w:jc w:val="left"/>
        <w:rPr>
          <w:rFonts w:ascii="宋体" w:hAnsi="宋体"/>
          <w:b/>
          <w:sz w:val="28"/>
          <w:szCs w:val="28"/>
          <w:highlight w:val="none"/>
        </w:rPr>
      </w:pPr>
      <w:r>
        <w:rPr>
          <w:rFonts w:hint="eastAsia" w:ascii="宋体" w:hAnsi="宋体"/>
          <w:b/>
          <w:sz w:val="28"/>
          <w:szCs w:val="28"/>
          <w:highlight w:val="none"/>
        </w:rPr>
        <w:t>采购内容：</w:t>
      </w:r>
      <w:r>
        <w:rPr>
          <w:rFonts w:hint="eastAsia" w:ascii="宋体" w:hAnsi="宋体"/>
          <w:b/>
          <w:sz w:val="28"/>
          <w:szCs w:val="28"/>
          <w:highlight w:val="none"/>
          <w:lang w:eastAsia="zh-CN"/>
        </w:rPr>
        <w:t>新建校设施</w:t>
      </w:r>
      <w:r>
        <w:rPr>
          <w:rFonts w:hint="eastAsia" w:ascii="宋体" w:hAnsi="宋体"/>
          <w:b/>
          <w:sz w:val="28"/>
          <w:szCs w:val="28"/>
          <w:highlight w:val="none"/>
        </w:rPr>
        <w:t>设备采购</w:t>
      </w:r>
    </w:p>
    <w:p w14:paraId="62327A01">
      <w:pPr>
        <w:spacing w:line="360" w:lineRule="auto"/>
        <w:ind w:firstLine="562" w:firstLineChars="200"/>
        <w:jc w:val="left"/>
        <w:rPr>
          <w:rFonts w:hint="eastAsia" w:ascii="宋体" w:hAnsi="宋体" w:eastAsia="宋体"/>
          <w:b/>
          <w:sz w:val="32"/>
          <w:szCs w:val="40"/>
          <w:highlight w:val="none"/>
          <w:lang w:eastAsia="zh-CN"/>
        </w:rPr>
      </w:pPr>
      <w:r>
        <w:rPr>
          <w:rFonts w:hint="eastAsia" w:ascii="宋体" w:hAnsi="宋体"/>
          <w:b/>
          <w:sz w:val="28"/>
          <w:szCs w:val="28"/>
          <w:highlight w:val="none"/>
        </w:rPr>
        <w:t>项目编号：</w:t>
      </w:r>
      <w:bookmarkStart w:id="2" w:name="_Hlk99472014"/>
      <w:r>
        <w:rPr>
          <w:rFonts w:hint="eastAsia" w:ascii="宋体" w:hAnsi="宋体"/>
          <w:b/>
          <w:sz w:val="32"/>
          <w:szCs w:val="40"/>
          <w:highlight w:val="none"/>
          <w:lang w:eastAsia="zh-CN"/>
        </w:rPr>
        <w:t>ZYZB-2025-Z-071</w:t>
      </w:r>
    </w:p>
    <w:p w14:paraId="49BD290D">
      <w:pPr>
        <w:spacing w:line="360" w:lineRule="auto"/>
        <w:ind w:firstLine="643" w:firstLineChars="200"/>
        <w:jc w:val="left"/>
        <w:rPr>
          <w:rFonts w:ascii="宋体" w:hAnsi="宋体"/>
          <w:b/>
          <w:sz w:val="28"/>
          <w:szCs w:val="28"/>
          <w:highlight w:val="none"/>
        </w:rPr>
      </w:pPr>
      <w:r>
        <w:rPr>
          <w:rFonts w:ascii="宋体" w:hAnsi="宋体"/>
          <w:b/>
          <w:sz w:val="32"/>
          <w:szCs w:val="40"/>
          <w:highlight w:val="none"/>
        </w:rPr>
        <w:br w:type="page"/>
      </w:r>
    </w:p>
    <w:bookmarkEnd w:id="2"/>
    <w:p w14:paraId="5AA89FA1">
      <w:pPr>
        <w:pStyle w:val="24"/>
        <w:adjustRightInd w:val="0"/>
        <w:snapToGrid w:val="0"/>
        <w:spacing w:line="360" w:lineRule="auto"/>
        <w:jc w:val="center"/>
        <w:rPr>
          <w:rFonts w:ascii="宋体" w:hAnsi="宋体"/>
          <w:b/>
          <w:spacing w:val="160"/>
          <w:sz w:val="36"/>
          <w:szCs w:val="36"/>
          <w:highlight w:val="none"/>
        </w:rPr>
      </w:pPr>
      <w:r>
        <w:rPr>
          <w:rFonts w:ascii="宋体" w:hAnsi="宋体"/>
          <w:b/>
          <w:spacing w:val="160"/>
          <w:sz w:val="36"/>
          <w:szCs w:val="36"/>
          <w:highlight w:val="none"/>
        </w:rPr>
        <w:br w:type="page"/>
      </w:r>
      <w:r>
        <w:rPr>
          <w:rFonts w:hint="eastAsia" w:ascii="宋体" w:hAnsi="宋体"/>
          <w:b/>
          <w:spacing w:val="160"/>
          <w:sz w:val="36"/>
          <w:szCs w:val="36"/>
          <w:highlight w:val="none"/>
        </w:rPr>
        <w:t>目录</w:t>
      </w:r>
    </w:p>
    <w:p w14:paraId="2A9C7A6B">
      <w:pPr>
        <w:pStyle w:val="31"/>
        <w:tabs>
          <w:tab w:val="right" w:leader="dot" w:pos="8312"/>
        </w:tabs>
        <w:rPr>
          <w:highlight w:val="none"/>
        </w:rPr>
      </w:pPr>
      <w:bookmarkStart w:id="3" w:name="_Toc420948005"/>
      <w:bookmarkStart w:id="4" w:name="_Toc419219410"/>
      <w:bookmarkStart w:id="5" w:name="_Toc419219645"/>
      <w:bookmarkStart w:id="6" w:name="_Toc419219491"/>
      <w:r>
        <w:rPr>
          <w:rFonts w:ascii="宋体" w:hAnsi="宋体"/>
          <w:b w:val="0"/>
          <w:sz w:val="21"/>
          <w:szCs w:val="21"/>
          <w:highlight w:val="none"/>
        </w:rPr>
        <w:fldChar w:fldCharType="begin"/>
      </w:r>
      <w:r>
        <w:rPr>
          <w:rFonts w:ascii="宋体" w:hAnsi="宋体"/>
          <w:b w:val="0"/>
          <w:sz w:val="21"/>
          <w:szCs w:val="21"/>
          <w:highlight w:val="none"/>
        </w:rPr>
        <w:instrText xml:space="preserve"> TOC \o "1-3" \h \z \u </w:instrText>
      </w:r>
      <w:r>
        <w:rPr>
          <w:rFonts w:ascii="宋体" w:hAnsi="宋体"/>
          <w:b w:val="0"/>
          <w:sz w:val="21"/>
          <w:szCs w:val="21"/>
          <w:highlight w:val="none"/>
        </w:rPr>
        <w:fldChar w:fldCharType="separate"/>
      </w:r>
      <w:r>
        <w:rPr>
          <w:highlight w:val="none"/>
        </w:rPr>
        <w:fldChar w:fldCharType="begin"/>
      </w:r>
      <w:r>
        <w:rPr>
          <w:highlight w:val="none"/>
        </w:rPr>
        <w:instrText xml:space="preserve"> HYPERLINK \l "_Toc24257" </w:instrText>
      </w:r>
      <w:r>
        <w:rPr>
          <w:highlight w:val="none"/>
        </w:rPr>
        <w:fldChar w:fldCharType="separate"/>
      </w:r>
      <w:r>
        <w:rPr>
          <w:rFonts w:hint="eastAsia"/>
          <w:highlight w:val="none"/>
        </w:rPr>
        <w:t>第一</w:t>
      </w:r>
      <w:r>
        <w:rPr>
          <w:highlight w:val="none"/>
        </w:rPr>
        <w:t xml:space="preserve">章  </w:t>
      </w:r>
      <w:r>
        <w:rPr>
          <w:rFonts w:hint="eastAsia"/>
          <w:highlight w:val="none"/>
        </w:rPr>
        <w:t>公开招标公告</w:t>
      </w:r>
      <w:r>
        <w:rPr>
          <w:highlight w:val="none"/>
        </w:rPr>
        <w:tab/>
      </w:r>
      <w:r>
        <w:rPr>
          <w:highlight w:val="none"/>
        </w:rPr>
        <w:fldChar w:fldCharType="begin"/>
      </w:r>
      <w:r>
        <w:rPr>
          <w:highlight w:val="none"/>
        </w:rPr>
        <w:instrText xml:space="preserve"> PAGEREF _Toc24257 \h </w:instrText>
      </w:r>
      <w:r>
        <w:rPr>
          <w:highlight w:val="none"/>
        </w:rPr>
        <w:fldChar w:fldCharType="separate"/>
      </w:r>
      <w:r>
        <w:rPr>
          <w:highlight w:val="none"/>
        </w:rPr>
        <w:t>1</w:t>
      </w:r>
      <w:r>
        <w:rPr>
          <w:highlight w:val="none"/>
        </w:rPr>
        <w:fldChar w:fldCharType="end"/>
      </w:r>
      <w:r>
        <w:rPr>
          <w:highlight w:val="none"/>
        </w:rPr>
        <w:fldChar w:fldCharType="end"/>
      </w:r>
    </w:p>
    <w:p w14:paraId="38DB89A6">
      <w:pPr>
        <w:pStyle w:val="31"/>
        <w:tabs>
          <w:tab w:val="right" w:leader="dot" w:pos="8312"/>
        </w:tabs>
        <w:rPr>
          <w:highlight w:val="none"/>
        </w:rPr>
      </w:pPr>
      <w:r>
        <w:rPr>
          <w:highlight w:val="none"/>
        </w:rPr>
        <w:fldChar w:fldCharType="begin"/>
      </w:r>
      <w:r>
        <w:rPr>
          <w:highlight w:val="none"/>
        </w:rPr>
        <w:instrText xml:space="preserve"> HYPERLINK \l "_Toc24281" </w:instrText>
      </w:r>
      <w:r>
        <w:rPr>
          <w:highlight w:val="none"/>
        </w:rPr>
        <w:fldChar w:fldCharType="separate"/>
      </w:r>
      <w:r>
        <w:rPr>
          <w:rFonts w:hint="eastAsia"/>
          <w:highlight w:val="none"/>
        </w:rPr>
        <w:t xml:space="preserve"> 第二章  投标须知</w:t>
      </w:r>
      <w:r>
        <w:rPr>
          <w:highlight w:val="none"/>
        </w:rPr>
        <w:tab/>
      </w:r>
      <w:r>
        <w:rPr>
          <w:highlight w:val="none"/>
        </w:rPr>
        <w:fldChar w:fldCharType="begin"/>
      </w:r>
      <w:r>
        <w:rPr>
          <w:highlight w:val="none"/>
        </w:rPr>
        <w:instrText xml:space="preserve"> PAGEREF _Toc24281 \h </w:instrText>
      </w:r>
      <w:r>
        <w:rPr>
          <w:highlight w:val="none"/>
        </w:rPr>
        <w:fldChar w:fldCharType="separate"/>
      </w:r>
      <w:r>
        <w:rPr>
          <w:highlight w:val="none"/>
        </w:rPr>
        <w:t>6</w:t>
      </w:r>
      <w:r>
        <w:rPr>
          <w:highlight w:val="none"/>
        </w:rPr>
        <w:fldChar w:fldCharType="end"/>
      </w:r>
      <w:r>
        <w:rPr>
          <w:highlight w:val="none"/>
        </w:rPr>
        <w:fldChar w:fldCharType="end"/>
      </w:r>
    </w:p>
    <w:p w14:paraId="2D45B498">
      <w:pPr>
        <w:pStyle w:val="38"/>
        <w:tabs>
          <w:tab w:val="right" w:leader="dot" w:pos="8312"/>
          <w:tab w:val="clear" w:pos="8302"/>
        </w:tabs>
        <w:rPr>
          <w:highlight w:val="none"/>
        </w:rPr>
      </w:pPr>
      <w:r>
        <w:rPr>
          <w:highlight w:val="none"/>
        </w:rPr>
        <w:fldChar w:fldCharType="begin"/>
      </w:r>
      <w:r>
        <w:rPr>
          <w:highlight w:val="none"/>
        </w:rPr>
        <w:instrText xml:space="preserve"> HYPERLINK \l "_Toc26899" </w:instrText>
      </w:r>
      <w:r>
        <w:rPr>
          <w:highlight w:val="none"/>
        </w:rPr>
        <w:fldChar w:fldCharType="separate"/>
      </w:r>
      <w:r>
        <w:rPr>
          <w:rFonts w:hint="eastAsia"/>
          <w:highlight w:val="none"/>
        </w:rPr>
        <w:t>投标须知前附表</w:t>
      </w:r>
      <w:r>
        <w:rPr>
          <w:highlight w:val="none"/>
        </w:rPr>
        <w:tab/>
      </w:r>
      <w:r>
        <w:rPr>
          <w:highlight w:val="none"/>
        </w:rPr>
        <w:fldChar w:fldCharType="begin"/>
      </w:r>
      <w:r>
        <w:rPr>
          <w:highlight w:val="none"/>
        </w:rPr>
        <w:instrText xml:space="preserve"> PAGEREF _Toc26899 \h </w:instrText>
      </w:r>
      <w:r>
        <w:rPr>
          <w:highlight w:val="none"/>
        </w:rPr>
        <w:fldChar w:fldCharType="separate"/>
      </w:r>
      <w:r>
        <w:rPr>
          <w:highlight w:val="none"/>
        </w:rPr>
        <w:t>6</w:t>
      </w:r>
      <w:r>
        <w:rPr>
          <w:highlight w:val="none"/>
        </w:rPr>
        <w:fldChar w:fldCharType="end"/>
      </w:r>
      <w:r>
        <w:rPr>
          <w:highlight w:val="none"/>
        </w:rPr>
        <w:fldChar w:fldCharType="end"/>
      </w:r>
    </w:p>
    <w:p w14:paraId="58CD0ACB">
      <w:pPr>
        <w:pStyle w:val="38"/>
        <w:tabs>
          <w:tab w:val="right" w:leader="dot" w:pos="8312"/>
          <w:tab w:val="clear" w:pos="8302"/>
        </w:tabs>
        <w:rPr>
          <w:highlight w:val="none"/>
        </w:rPr>
      </w:pPr>
      <w:r>
        <w:rPr>
          <w:highlight w:val="none"/>
        </w:rPr>
        <w:fldChar w:fldCharType="begin"/>
      </w:r>
      <w:r>
        <w:rPr>
          <w:highlight w:val="none"/>
        </w:rPr>
        <w:instrText xml:space="preserve"> HYPERLINK \l "_Toc19077" </w:instrText>
      </w:r>
      <w:r>
        <w:rPr>
          <w:highlight w:val="none"/>
        </w:rPr>
        <w:fldChar w:fldCharType="separate"/>
      </w:r>
      <w:r>
        <w:rPr>
          <w:rFonts w:hint="eastAsia"/>
          <w:highlight w:val="none"/>
        </w:rPr>
        <w:t>投标须知正文</w:t>
      </w:r>
      <w:r>
        <w:rPr>
          <w:highlight w:val="none"/>
        </w:rPr>
        <w:tab/>
      </w:r>
      <w:r>
        <w:rPr>
          <w:highlight w:val="none"/>
        </w:rPr>
        <w:fldChar w:fldCharType="begin"/>
      </w:r>
      <w:r>
        <w:rPr>
          <w:highlight w:val="none"/>
        </w:rPr>
        <w:instrText xml:space="preserve"> PAGEREF _Toc19077 \h </w:instrText>
      </w:r>
      <w:r>
        <w:rPr>
          <w:highlight w:val="none"/>
        </w:rPr>
        <w:fldChar w:fldCharType="separate"/>
      </w:r>
      <w:r>
        <w:rPr>
          <w:highlight w:val="none"/>
        </w:rPr>
        <w:t>12</w:t>
      </w:r>
      <w:r>
        <w:rPr>
          <w:highlight w:val="none"/>
        </w:rPr>
        <w:fldChar w:fldCharType="end"/>
      </w:r>
      <w:r>
        <w:rPr>
          <w:highlight w:val="none"/>
        </w:rPr>
        <w:fldChar w:fldCharType="end"/>
      </w:r>
    </w:p>
    <w:p w14:paraId="6151A319">
      <w:pPr>
        <w:pStyle w:val="38"/>
        <w:tabs>
          <w:tab w:val="right" w:leader="dot" w:pos="8312"/>
          <w:tab w:val="clear" w:pos="8302"/>
        </w:tabs>
        <w:rPr>
          <w:highlight w:val="none"/>
        </w:rPr>
      </w:pPr>
      <w:r>
        <w:rPr>
          <w:highlight w:val="none"/>
        </w:rPr>
        <w:fldChar w:fldCharType="begin"/>
      </w:r>
      <w:r>
        <w:rPr>
          <w:highlight w:val="none"/>
        </w:rPr>
        <w:instrText xml:space="preserve"> HYPERLINK \l "_Toc29113" </w:instrText>
      </w:r>
      <w:r>
        <w:rPr>
          <w:highlight w:val="none"/>
        </w:rPr>
        <w:fldChar w:fldCharType="separate"/>
      </w:r>
      <w:r>
        <w:rPr>
          <w:rFonts w:hint="eastAsia"/>
          <w:szCs w:val="21"/>
          <w:highlight w:val="none"/>
        </w:rPr>
        <w:t>一、总则</w:t>
      </w:r>
      <w:r>
        <w:rPr>
          <w:highlight w:val="none"/>
        </w:rPr>
        <w:tab/>
      </w:r>
      <w:r>
        <w:rPr>
          <w:highlight w:val="none"/>
        </w:rPr>
        <w:fldChar w:fldCharType="begin"/>
      </w:r>
      <w:r>
        <w:rPr>
          <w:highlight w:val="none"/>
        </w:rPr>
        <w:instrText xml:space="preserve"> PAGEREF _Toc29113 \h </w:instrText>
      </w:r>
      <w:r>
        <w:rPr>
          <w:highlight w:val="none"/>
        </w:rPr>
        <w:fldChar w:fldCharType="separate"/>
      </w:r>
      <w:r>
        <w:rPr>
          <w:highlight w:val="none"/>
        </w:rPr>
        <w:t>12</w:t>
      </w:r>
      <w:r>
        <w:rPr>
          <w:highlight w:val="none"/>
        </w:rPr>
        <w:fldChar w:fldCharType="end"/>
      </w:r>
      <w:r>
        <w:rPr>
          <w:highlight w:val="none"/>
        </w:rPr>
        <w:fldChar w:fldCharType="end"/>
      </w:r>
    </w:p>
    <w:p w14:paraId="7C4CAB17">
      <w:pPr>
        <w:pStyle w:val="38"/>
        <w:tabs>
          <w:tab w:val="right" w:leader="dot" w:pos="8312"/>
          <w:tab w:val="clear" w:pos="8302"/>
        </w:tabs>
        <w:rPr>
          <w:highlight w:val="none"/>
        </w:rPr>
      </w:pPr>
      <w:r>
        <w:rPr>
          <w:highlight w:val="none"/>
        </w:rPr>
        <w:fldChar w:fldCharType="begin"/>
      </w:r>
      <w:r>
        <w:rPr>
          <w:highlight w:val="none"/>
        </w:rPr>
        <w:instrText xml:space="preserve"> HYPERLINK \l "_Toc30130" </w:instrText>
      </w:r>
      <w:r>
        <w:rPr>
          <w:highlight w:val="none"/>
        </w:rPr>
        <w:fldChar w:fldCharType="separate"/>
      </w:r>
      <w:r>
        <w:rPr>
          <w:rFonts w:hint="eastAsia"/>
          <w:szCs w:val="21"/>
          <w:highlight w:val="none"/>
        </w:rPr>
        <w:t>二、采购文件</w:t>
      </w:r>
      <w:r>
        <w:rPr>
          <w:highlight w:val="none"/>
        </w:rPr>
        <w:tab/>
      </w:r>
      <w:r>
        <w:rPr>
          <w:highlight w:val="none"/>
        </w:rPr>
        <w:fldChar w:fldCharType="begin"/>
      </w:r>
      <w:r>
        <w:rPr>
          <w:highlight w:val="none"/>
        </w:rPr>
        <w:instrText xml:space="preserve"> PAGEREF _Toc30130 \h </w:instrText>
      </w:r>
      <w:r>
        <w:rPr>
          <w:highlight w:val="none"/>
        </w:rPr>
        <w:fldChar w:fldCharType="separate"/>
      </w:r>
      <w:r>
        <w:rPr>
          <w:highlight w:val="none"/>
        </w:rPr>
        <w:t>14</w:t>
      </w:r>
      <w:r>
        <w:rPr>
          <w:highlight w:val="none"/>
        </w:rPr>
        <w:fldChar w:fldCharType="end"/>
      </w:r>
      <w:r>
        <w:rPr>
          <w:highlight w:val="none"/>
        </w:rPr>
        <w:fldChar w:fldCharType="end"/>
      </w:r>
    </w:p>
    <w:p w14:paraId="3F90A6F2">
      <w:pPr>
        <w:pStyle w:val="38"/>
        <w:tabs>
          <w:tab w:val="right" w:leader="dot" w:pos="8312"/>
          <w:tab w:val="clear" w:pos="8302"/>
        </w:tabs>
        <w:rPr>
          <w:highlight w:val="none"/>
        </w:rPr>
      </w:pPr>
      <w:r>
        <w:rPr>
          <w:highlight w:val="none"/>
        </w:rPr>
        <w:fldChar w:fldCharType="begin"/>
      </w:r>
      <w:r>
        <w:rPr>
          <w:highlight w:val="none"/>
        </w:rPr>
        <w:instrText xml:space="preserve"> HYPERLINK \l "_Toc10363" </w:instrText>
      </w:r>
      <w:r>
        <w:rPr>
          <w:highlight w:val="none"/>
        </w:rPr>
        <w:fldChar w:fldCharType="separate"/>
      </w:r>
      <w:r>
        <w:rPr>
          <w:rFonts w:hint="eastAsia"/>
          <w:szCs w:val="21"/>
          <w:highlight w:val="none"/>
        </w:rPr>
        <w:t>三、投标文件</w:t>
      </w:r>
      <w:r>
        <w:rPr>
          <w:highlight w:val="none"/>
        </w:rPr>
        <w:tab/>
      </w:r>
      <w:r>
        <w:rPr>
          <w:highlight w:val="none"/>
        </w:rPr>
        <w:fldChar w:fldCharType="begin"/>
      </w:r>
      <w:r>
        <w:rPr>
          <w:highlight w:val="none"/>
        </w:rPr>
        <w:instrText xml:space="preserve"> PAGEREF _Toc10363 \h </w:instrText>
      </w:r>
      <w:r>
        <w:rPr>
          <w:highlight w:val="none"/>
        </w:rPr>
        <w:fldChar w:fldCharType="separate"/>
      </w:r>
      <w:r>
        <w:rPr>
          <w:highlight w:val="none"/>
        </w:rPr>
        <w:t>15</w:t>
      </w:r>
      <w:r>
        <w:rPr>
          <w:highlight w:val="none"/>
        </w:rPr>
        <w:fldChar w:fldCharType="end"/>
      </w:r>
      <w:r>
        <w:rPr>
          <w:highlight w:val="none"/>
        </w:rPr>
        <w:fldChar w:fldCharType="end"/>
      </w:r>
    </w:p>
    <w:p w14:paraId="3CEB910F">
      <w:pPr>
        <w:pStyle w:val="38"/>
        <w:tabs>
          <w:tab w:val="right" w:leader="dot" w:pos="8312"/>
          <w:tab w:val="clear" w:pos="8302"/>
        </w:tabs>
        <w:rPr>
          <w:highlight w:val="none"/>
        </w:rPr>
      </w:pPr>
      <w:r>
        <w:rPr>
          <w:highlight w:val="none"/>
        </w:rPr>
        <w:fldChar w:fldCharType="begin"/>
      </w:r>
      <w:r>
        <w:rPr>
          <w:highlight w:val="none"/>
        </w:rPr>
        <w:instrText xml:space="preserve"> HYPERLINK \l "_Toc4533" </w:instrText>
      </w:r>
      <w:r>
        <w:rPr>
          <w:highlight w:val="none"/>
        </w:rPr>
        <w:fldChar w:fldCharType="separate"/>
      </w:r>
      <w:r>
        <w:rPr>
          <w:rFonts w:hint="eastAsia"/>
          <w:highlight w:val="none"/>
        </w:rPr>
        <w:t>四、响应文件的递交</w:t>
      </w:r>
      <w:r>
        <w:rPr>
          <w:highlight w:val="none"/>
        </w:rPr>
        <w:tab/>
      </w:r>
      <w:r>
        <w:rPr>
          <w:highlight w:val="none"/>
        </w:rPr>
        <w:fldChar w:fldCharType="begin"/>
      </w:r>
      <w:r>
        <w:rPr>
          <w:highlight w:val="none"/>
        </w:rPr>
        <w:instrText xml:space="preserve"> PAGEREF _Toc4533 \h </w:instrText>
      </w:r>
      <w:r>
        <w:rPr>
          <w:highlight w:val="none"/>
        </w:rPr>
        <w:fldChar w:fldCharType="separate"/>
      </w:r>
      <w:r>
        <w:rPr>
          <w:highlight w:val="none"/>
        </w:rPr>
        <w:t>17</w:t>
      </w:r>
      <w:r>
        <w:rPr>
          <w:highlight w:val="none"/>
        </w:rPr>
        <w:fldChar w:fldCharType="end"/>
      </w:r>
      <w:r>
        <w:rPr>
          <w:highlight w:val="none"/>
        </w:rPr>
        <w:fldChar w:fldCharType="end"/>
      </w:r>
    </w:p>
    <w:p w14:paraId="3218686A">
      <w:pPr>
        <w:pStyle w:val="38"/>
        <w:tabs>
          <w:tab w:val="right" w:leader="dot" w:pos="8312"/>
          <w:tab w:val="clear" w:pos="8302"/>
        </w:tabs>
        <w:rPr>
          <w:highlight w:val="none"/>
        </w:rPr>
      </w:pPr>
      <w:r>
        <w:rPr>
          <w:highlight w:val="none"/>
        </w:rPr>
        <w:fldChar w:fldCharType="begin"/>
      </w:r>
      <w:r>
        <w:rPr>
          <w:highlight w:val="none"/>
        </w:rPr>
        <w:instrText xml:space="preserve"> HYPERLINK \l "_Toc22584" </w:instrText>
      </w:r>
      <w:r>
        <w:rPr>
          <w:highlight w:val="none"/>
        </w:rPr>
        <w:fldChar w:fldCharType="separate"/>
      </w:r>
      <w:r>
        <w:rPr>
          <w:rFonts w:hint="eastAsia"/>
          <w:szCs w:val="21"/>
          <w:highlight w:val="none"/>
        </w:rPr>
        <w:t>五、投标文件的评审</w:t>
      </w:r>
      <w:r>
        <w:rPr>
          <w:highlight w:val="none"/>
        </w:rPr>
        <w:tab/>
      </w:r>
      <w:r>
        <w:rPr>
          <w:highlight w:val="none"/>
        </w:rPr>
        <w:fldChar w:fldCharType="begin"/>
      </w:r>
      <w:r>
        <w:rPr>
          <w:highlight w:val="none"/>
        </w:rPr>
        <w:instrText xml:space="preserve"> PAGEREF _Toc22584 \h </w:instrText>
      </w:r>
      <w:r>
        <w:rPr>
          <w:highlight w:val="none"/>
        </w:rPr>
        <w:fldChar w:fldCharType="separate"/>
      </w:r>
      <w:r>
        <w:rPr>
          <w:highlight w:val="none"/>
        </w:rPr>
        <w:t>18</w:t>
      </w:r>
      <w:r>
        <w:rPr>
          <w:highlight w:val="none"/>
        </w:rPr>
        <w:fldChar w:fldCharType="end"/>
      </w:r>
      <w:r>
        <w:rPr>
          <w:highlight w:val="none"/>
        </w:rPr>
        <w:fldChar w:fldCharType="end"/>
      </w:r>
    </w:p>
    <w:p w14:paraId="11784DA7">
      <w:pPr>
        <w:pStyle w:val="38"/>
        <w:tabs>
          <w:tab w:val="right" w:leader="dot" w:pos="8312"/>
          <w:tab w:val="clear" w:pos="8302"/>
        </w:tabs>
        <w:rPr>
          <w:highlight w:val="none"/>
        </w:rPr>
      </w:pPr>
      <w:r>
        <w:rPr>
          <w:highlight w:val="none"/>
        </w:rPr>
        <w:fldChar w:fldCharType="begin"/>
      </w:r>
      <w:r>
        <w:rPr>
          <w:highlight w:val="none"/>
        </w:rPr>
        <w:instrText xml:space="preserve"> HYPERLINK \l "_Toc10571" </w:instrText>
      </w:r>
      <w:r>
        <w:rPr>
          <w:highlight w:val="none"/>
        </w:rPr>
        <w:fldChar w:fldCharType="separate"/>
      </w:r>
      <w:r>
        <w:rPr>
          <w:rFonts w:hint="eastAsia"/>
          <w:szCs w:val="21"/>
          <w:highlight w:val="none"/>
        </w:rPr>
        <w:t>六、中标结果信息公布与授予合同</w:t>
      </w:r>
      <w:r>
        <w:rPr>
          <w:highlight w:val="none"/>
        </w:rPr>
        <w:tab/>
      </w:r>
      <w:r>
        <w:rPr>
          <w:highlight w:val="none"/>
        </w:rPr>
        <w:fldChar w:fldCharType="begin"/>
      </w:r>
      <w:r>
        <w:rPr>
          <w:highlight w:val="none"/>
        </w:rPr>
        <w:instrText xml:space="preserve"> PAGEREF _Toc10571 \h </w:instrText>
      </w:r>
      <w:r>
        <w:rPr>
          <w:highlight w:val="none"/>
        </w:rPr>
        <w:fldChar w:fldCharType="separate"/>
      </w:r>
      <w:r>
        <w:rPr>
          <w:highlight w:val="none"/>
        </w:rPr>
        <w:t>39</w:t>
      </w:r>
      <w:r>
        <w:rPr>
          <w:highlight w:val="none"/>
        </w:rPr>
        <w:fldChar w:fldCharType="end"/>
      </w:r>
      <w:r>
        <w:rPr>
          <w:highlight w:val="none"/>
        </w:rPr>
        <w:fldChar w:fldCharType="end"/>
      </w:r>
    </w:p>
    <w:p w14:paraId="58364E51">
      <w:pPr>
        <w:pStyle w:val="38"/>
        <w:tabs>
          <w:tab w:val="right" w:leader="dot" w:pos="8312"/>
          <w:tab w:val="clear" w:pos="8302"/>
        </w:tabs>
        <w:rPr>
          <w:highlight w:val="none"/>
        </w:rPr>
      </w:pPr>
      <w:r>
        <w:rPr>
          <w:highlight w:val="none"/>
        </w:rPr>
        <w:fldChar w:fldCharType="begin"/>
      </w:r>
      <w:r>
        <w:rPr>
          <w:highlight w:val="none"/>
        </w:rPr>
        <w:instrText xml:space="preserve"> HYPERLINK \l "_Toc1708" </w:instrText>
      </w:r>
      <w:r>
        <w:rPr>
          <w:highlight w:val="none"/>
        </w:rPr>
        <w:fldChar w:fldCharType="separate"/>
      </w:r>
      <w:r>
        <w:rPr>
          <w:rFonts w:hint="eastAsia"/>
          <w:szCs w:val="21"/>
          <w:highlight w:val="none"/>
        </w:rPr>
        <w:t>七、其他规定</w:t>
      </w:r>
      <w:r>
        <w:rPr>
          <w:highlight w:val="none"/>
        </w:rPr>
        <w:tab/>
      </w:r>
      <w:r>
        <w:rPr>
          <w:highlight w:val="none"/>
        </w:rPr>
        <w:fldChar w:fldCharType="begin"/>
      </w:r>
      <w:r>
        <w:rPr>
          <w:highlight w:val="none"/>
        </w:rPr>
        <w:instrText xml:space="preserve"> PAGEREF _Toc1708 \h </w:instrText>
      </w:r>
      <w:r>
        <w:rPr>
          <w:highlight w:val="none"/>
        </w:rPr>
        <w:fldChar w:fldCharType="separate"/>
      </w:r>
      <w:r>
        <w:rPr>
          <w:highlight w:val="none"/>
        </w:rPr>
        <w:t>40</w:t>
      </w:r>
      <w:r>
        <w:rPr>
          <w:highlight w:val="none"/>
        </w:rPr>
        <w:fldChar w:fldCharType="end"/>
      </w:r>
      <w:r>
        <w:rPr>
          <w:highlight w:val="none"/>
        </w:rPr>
        <w:fldChar w:fldCharType="end"/>
      </w:r>
    </w:p>
    <w:p w14:paraId="0FACE19A">
      <w:pPr>
        <w:pStyle w:val="31"/>
        <w:tabs>
          <w:tab w:val="right" w:leader="dot" w:pos="8312"/>
        </w:tabs>
        <w:rPr>
          <w:highlight w:val="none"/>
        </w:rPr>
      </w:pPr>
      <w:r>
        <w:rPr>
          <w:highlight w:val="none"/>
        </w:rPr>
        <w:fldChar w:fldCharType="begin"/>
      </w:r>
      <w:r>
        <w:rPr>
          <w:highlight w:val="none"/>
        </w:rPr>
        <w:instrText xml:space="preserve"> HYPERLINK \l "_Toc363" </w:instrText>
      </w:r>
      <w:r>
        <w:rPr>
          <w:highlight w:val="none"/>
        </w:rPr>
        <w:fldChar w:fldCharType="separate"/>
      </w:r>
      <w:r>
        <w:rPr>
          <w:rFonts w:hint="eastAsia"/>
          <w:highlight w:val="none"/>
        </w:rPr>
        <w:t>第三章  合同协议书</w:t>
      </w:r>
      <w:r>
        <w:rPr>
          <w:highlight w:val="none"/>
        </w:rPr>
        <w:tab/>
      </w:r>
      <w:r>
        <w:rPr>
          <w:highlight w:val="none"/>
        </w:rPr>
        <w:fldChar w:fldCharType="begin"/>
      </w:r>
      <w:r>
        <w:rPr>
          <w:highlight w:val="none"/>
        </w:rPr>
        <w:instrText xml:space="preserve"> PAGEREF _Toc363 \h </w:instrText>
      </w:r>
      <w:r>
        <w:rPr>
          <w:highlight w:val="none"/>
        </w:rPr>
        <w:fldChar w:fldCharType="separate"/>
      </w:r>
      <w:r>
        <w:rPr>
          <w:highlight w:val="none"/>
        </w:rPr>
        <w:t>41</w:t>
      </w:r>
      <w:r>
        <w:rPr>
          <w:highlight w:val="none"/>
        </w:rPr>
        <w:fldChar w:fldCharType="end"/>
      </w:r>
      <w:r>
        <w:rPr>
          <w:highlight w:val="none"/>
        </w:rPr>
        <w:fldChar w:fldCharType="end"/>
      </w:r>
    </w:p>
    <w:p w14:paraId="42D1F79B">
      <w:pPr>
        <w:pStyle w:val="31"/>
        <w:tabs>
          <w:tab w:val="right" w:leader="dot" w:pos="8312"/>
        </w:tabs>
        <w:rPr>
          <w:highlight w:val="none"/>
        </w:rPr>
      </w:pPr>
      <w:r>
        <w:rPr>
          <w:highlight w:val="none"/>
        </w:rPr>
        <w:fldChar w:fldCharType="begin"/>
      </w:r>
      <w:r>
        <w:rPr>
          <w:highlight w:val="none"/>
        </w:rPr>
        <w:instrText xml:space="preserve"> HYPERLINK \l "_Toc2675" </w:instrText>
      </w:r>
      <w:r>
        <w:rPr>
          <w:highlight w:val="none"/>
        </w:rPr>
        <w:fldChar w:fldCharType="separate"/>
      </w:r>
      <w:r>
        <w:rPr>
          <w:rFonts w:hint="eastAsia"/>
          <w:highlight w:val="none"/>
        </w:rPr>
        <w:t>第四章  采购需求</w:t>
      </w:r>
      <w:r>
        <w:rPr>
          <w:highlight w:val="none"/>
        </w:rPr>
        <w:tab/>
      </w:r>
      <w:r>
        <w:rPr>
          <w:highlight w:val="none"/>
        </w:rPr>
        <w:fldChar w:fldCharType="begin"/>
      </w:r>
      <w:r>
        <w:rPr>
          <w:highlight w:val="none"/>
        </w:rPr>
        <w:instrText xml:space="preserve"> PAGEREF _Toc2675 \h </w:instrText>
      </w:r>
      <w:r>
        <w:rPr>
          <w:highlight w:val="none"/>
        </w:rPr>
        <w:fldChar w:fldCharType="separate"/>
      </w:r>
      <w:r>
        <w:rPr>
          <w:highlight w:val="none"/>
        </w:rPr>
        <w:t>51</w:t>
      </w:r>
      <w:r>
        <w:rPr>
          <w:highlight w:val="none"/>
        </w:rPr>
        <w:fldChar w:fldCharType="end"/>
      </w:r>
      <w:r>
        <w:rPr>
          <w:highlight w:val="none"/>
        </w:rPr>
        <w:fldChar w:fldCharType="end"/>
      </w:r>
    </w:p>
    <w:p w14:paraId="64B44E59">
      <w:pPr>
        <w:pStyle w:val="31"/>
        <w:tabs>
          <w:tab w:val="right" w:leader="dot" w:pos="8312"/>
        </w:tabs>
        <w:rPr>
          <w:highlight w:val="none"/>
        </w:rPr>
      </w:pPr>
      <w:r>
        <w:rPr>
          <w:highlight w:val="none"/>
        </w:rPr>
        <w:fldChar w:fldCharType="begin"/>
      </w:r>
      <w:r>
        <w:rPr>
          <w:highlight w:val="none"/>
        </w:rPr>
        <w:instrText xml:space="preserve"> HYPERLINK \l "_Toc11710" </w:instrText>
      </w:r>
      <w:r>
        <w:rPr>
          <w:highlight w:val="none"/>
        </w:rPr>
        <w:fldChar w:fldCharType="separate"/>
      </w:r>
      <w:r>
        <w:rPr>
          <w:rFonts w:hint="eastAsia" w:ascii="宋体" w:hAnsi="宋体"/>
          <w:highlight w:val="none"/>
        </w:rPr>
        <w:t>第五章  投标文件格式</w:t>
      </w:r>
      <w:r>
        <w:rPr>
          <w:highlight w:val="none"/>
        </w:rPr>
        <w:tab/>
      </w:r>
      <w:r>
        <w:rPr>
          <w:highlight w:val="none"/>
        </w:rPr>
        <w:fldChar w:fldCharType="begin"/>
      </w:r>
      <w:r>
        <w:rPr>
          <w:highlight w:val="none"/>
        </w:rPr>
        <w:instrText xml:space="preserve"> PAGEREF _Toc11710 \h </w:instrText>
      </w:r>
      <w:r>
        <w:rPr>
          <w:highlight w:val="none"/>
        </w:rPr>
        <w:fldChar w:fldCharType="separate"/>
      </w:r>
      <w:r>
        <w:rPr>
          <w:highlight w:val="none"/>
        </w:rPr>
        <w:t>330</w:t>
      </w:r>
      <w:r>
        <w:rPr>
          <w:highlight w:val="none"/>
        </w:rPr>
        <w:fldChar w:fldCharType="end"/>
      </w:r>
      <w:r>
        <w:rPr>
          <w:highlight w:val="none"/>
        </w:rPr>
        <w:fldChar w:fldCharType="end"/>
      </w:r>
    </w:p>
    <w:p w14:paraId="0B0DC5CF">
      <w:pPr>
        <w:pStyle w:val="38"/>
        <w:tabs>
          <w:tab w:val="right" w:leader="dot" w:pos="8312"/>
          <w:tab w:val="clear" w:pos="8302"/>
        </w:tabs>
        <w:rPr>
          <w:highlight w:val="none"/>
        </w:rPr>
      </w:pPr>
      <w:r>
        <w:rPr>
          <w:highlight w:val="none"/>
        </w:rPr>
        <w:fldChar w:fldCharType="begin"/>
      </w:r>
      <w:r>
        <w:rPr>
          <w:highlight w:val="none"/>
        </w:rPr>
        <w:instrText xml:space="preserve"> HYPERLINK \l "_Toc18984" </w:instrText>
      </w:r>
      <w:r>
        <w:rPr>
          <w:highlight w:val="none"/>
        </w:rPr>
        <w:fldChar w:fldCharType="separate"/>
      </w:r>
      <w:r>
        <w:rPr>
          <w:rFonts w:hint="eastAsia"/>
          <w:highlight w:val="none"/>
        </w:rPr>
        <w:t>一、资格性自查表</w:t>
      </w:r>
      <w:r>
        <w:rPr>
          <w:highlight w:val="none"/>
        </w:rPr>
        <w:tab/>
      </w:r>
      <w:r>
        <w:rPr>
          <w:highlight w:val="none"/>
        </w:rPr>
        <w:fldChar w:fldCharType="begin"/>
      </w:r>
      <w:r>
        <w:rPr>
          <w:highlight w:val="none"/>
        </w:rPr>
        <w:instrText xml:space="preserve"> PAGEREF _Toc18984 \h </w:instrText>
      </w:r>
      <w:r>
        <w:rPr>
          <w:highlight w:val="none"/>
        </w:rPr>
        <w:fldChar w:fldCharType="separate"/>
      </w:r>
      <w:r>
        <w:rPr>
          <w:highlight w:val="none"/>
        </w:rPr>
        <w:t>332</w:t>
      </w:r>
      <w:r>
        <w:rPr>
          <w:highlight w:val="none"/>
        </w:rPr>
        <w:fldChar w:fldCharType="end"/>
      </w:r>
      <w:r>
        <w:rPr>
          <w:highlight w:val="none"/>
        </w:rPr>
        <w:fldChar w:fldCharType="end"/>
      </w:r>
    </w:p>
    <w:p w14:paraId="7175D817">
      <w:pPr>
        <w:pStyle w:val="38"/>
        <w:tabs>
          <w:tab w:val="right" w:leader="dot" w:pos="8312"/>
          <w:tab w:val="clear" w:pos="8302"/>
        </w:tabs>
        <w:rPr>
          <w:highlight w:val="none"/>
        </w:rPr>
      </w:pPr>
      <w:r>
        <w:rPr>
          <w:highlight w:val="none"/>
        </w:rPr>
        <w:fldChar w:fldCharType="begin"/>
      </w:r>
      <w:r>
        <w:rPr>
          <w:highlight w:val="none"/>
        </w:rPr>
        <w:instrText xml:space="preserve"> HYPERLINK \l "_Toc23991" </w:instrText>
      </w:r>
      <w:r>
        <w:rPr>
          <w:highlight w:val="none"/>
        </w:rPr>
        <w:fldChar w:fldCharType="separate"/>
      </w:r>
      <w:r>
        <w:rPr>
          <w:rFonts w:hint="eastAsia"/>
          <w:highlight w:val="none"/>
        </w:rPr>
        <w:t>二、投标函</w:t>
      </w:r>
      <w:r>
        <w:rPr>
          <w:highlight w:val="none"/>
        </w:rPr>
        <w:tab/>
      </w:r>
      <w:r>
        <w:rPr>
          <w:highlight w:val="none"/>
        </w:rPr>
        <w:fldChar w:fldCharType="begin"/>
      </w:r>
      <w:r>
        <w:rPr>
          <w:highlight w:val="none"/>
        </w:rPr>
        <w:instrText xml:space="preserve"> PAGEREF _Toc23991 \h </w:instrText>
      </w:r>
      <w:r>
        <w:rPr>
          <w:highlight w:val="none"/>
        </w:rPr>
        <w:fldChar w:fldCharType="separate"/>
      </w:r>
      <w:r>
        <w:rPr>
          <w:highlight w:val="none"/>
        </w:rPr>
        <w:t>333</w:t>
      </w:r>
      <w:r>
        <w:rPr>
          <w:highlight w:val="none"/>
        </w:rPr>
        <w:fldChar w:fldCharType="end"/>
      </w:r>
      <w:r>
        <w:rPr>
          <w:highlight w:val="none"/>
        </w:rPr>
        <w:fldChar w:fldCharType="end"/>
      </w:r>
    </w:p>
    <w:p w14:paraId="6BE43529">
      <w:pPr>
        <w:pStyle w:val="38"/>
        <w:tabs>
          <w:tab w:val="right" w:leader="dot" w:pos="8312"/>
          <w:tab w:val="clear" w:pos="8302"/>
        </w:tabs>
        <w:rPr>
          <w:highlight w:val="none"/>
        </w:rPr>
      </w:pPr>
      <w:r>
        <w:rPr>
          <w:highlight w:val="none"/>
        </w:rPr>
        <w:fldChar w:fldCharType="begin"/>
      </w:r>
      <w:r>
        <w:rPr>
          <w:highlight w:val="none"/>
        </w:rPr>
        <w:instrText xml:space="preserve"> HYPERLINK \l "_Toc13711" </w:instrText>
      </w:r>
      <w:r>
        <w:rPr>
          <w:highlight w:val="none"/>
        </w:rPr>
        <w:fldChar w:fldCharType="separate"/>
      </w:r>
      <w:r>
        <w:rPr>
          <w:rFonts w:hint="eastAsia"/>
          <w:szCs w:val="28"/>
          <w:highlight w:val="none"/>
        </w:rPr>
        <w:t>三、投标保证金</w:t>
      </w:r>
      <w:r>
        <w:rPr>
          <w:highlight w:val="none"/>
        </w:rPr>
        <w:tab/>
      </w:r>
      <w:r>
        <w:rPr>
          <w:highlight w:val="none"/>
        </w:rPr>
        <w:fldChar w:fldCharType="begin"/>
      </w:r>
      <w:r>
        <w:rPr>
          <w:highlight w:val="none"/>
        </w:rPr>
        <w:instrText xml:space="preserve"> PAGEREF _Toc13711 \h </w:instrText>
      </w:r>
      <w:r>
        <w:rPr>
          <w:highlight w:val="none"/>
        </w:rPr>
        <w:fldChar w:fldCharType="separate"/>
      </w:r>
      <w:r>
        <w:rPr>
          <w:highlight w:val="none"/>
        </w:rPr>
        <w:t>337</w:t>
      </w:r>
      <w:r>
        <w:rPr>
          <w:highlight w:val="none"/>
        </w:rPr>
        <w:fldChar w:fldCharType="end"/>
      </w:r>
      <w:r>
        <w:rPr>
          <w:highlight w:val="none"/>
        </w:rPr>
        <w:fldChar w:fldCharType="end"/>
      </w:r>
    </w:p>
    <w:p w14:paraId="06FE41BC">
      <w:pPr>
        <w:pStyle w:val="38"/>
        <w:tabs>
          <w:tab w:val="right" w:leader="dot" w:pos="8312"/>
          <w:tab w:val="clear" w:pos="8302"/>
        </w:tabs>
        <w:rPr>
          <w:highlight w:val="none"/>
        </w:rPr>
      </w:pPr>
      <w:r>
        <w:rPr>
          <w:highlight w:val="none"/>
        </w:rPr>
        <w:fldChar w:fldCharType="begin"/>
      </w:r>
      <w:r>
        <w:rPr>
          <w:highlight w:val="none"/>
        </w:rPr>
        <w:instrText xml:space="preserve"> HYPERLINK \l "_Toc20394" </w:instrText>
      </w:r>
      <w:r>
        <w:rPr>
          <w:highlight w:val="none"/>
        </w:rPr>
        <w:fldChar w:fldCharType="separate"/>
      </w:r>
      <w:r>
        <w:rPr>
          <w:rFonts w:hint="eastAsia"/>
          <w:szCs w:val="28"/>
          <w:highlight w:val="none"/>
        </w:rPr>
        <w:t>四、报价一览表及报价明细表</w:t>
      </w:r>
      <w:r>
        <w:rPr>
          <w:highlight w:val="none"/>
        </w:rPr>
        <w:tab/>
      </w:r>
      <w:r>
        <w:rPr>
          <w:highlight w:val="none"/>
        </w:rPr>
        <w:fldChar w:fldCharType="begin"/>
      </w:r>
      <w:r>
        <w:rPr>
          <w:highlight w:val="none"/>
        </w:rPr>
        <w:instrText xml:space="preserve"> PAGEREF _Toc20394 \h </w:instrText>
      </w:r>
      <w:r>
        <w:rPr>
          <w:highlight w:val="none"/>
        </w:rPr>
        <w:fldChar w:fldCharType="separate"/>
      </w:r>
      <w:r>
        <w:rPr>
          <w:highlight w:val="none"/>
        </w:rPr>
        <w:t>338</w:t>
      </w:r>
      <w:r>
        <w:rPr>
          <w:highlight w:val="none"/>
        </w:rPr>
        <w:fldChar w:fldCharType="end"/>
      </w:r>
      <w:r>
        <w:rPr>
          <w:highlight w:val="none"/>
        </w:rPr>
        <w:fldChar w:fldCharType="end"/>
      </w:r>
    </w:p>
    <w:p w14:paraId="45BC9A8B">
      <w:pPr>
        <w:pStyle w:val="38"/>
        <w:tabs>
          <w:tab w:val="right" w:leader="dot" w:pos="8312"/>
          <w:tab w:val="clear" w:pos="8302"/>
        </w:tabs>
        <w:rPr>
          <w:highlight w:val="none"/>
        </w:rPr>
      </w:pPr>
      <w:r>
        <w:rPr>
          <w:highlight w:val="none"/>
        </w:rPr>
        <w:fldChar w:fldCharType="begin"/>
      </w:r>
      <w:r>
        <w:rPr>
          <w:highlight w:val="none"/>
        </w:rPr>
        <w:instrText xml:space="preserve"> HYPERLINK \l "_Toc20707" </w:instrText>
      </w:r>
      <w:r>
        <w:rPr>
          <w:highlight w:val="none"/>
        </w:rPr>
        <w:fldChar w:fldCharType="separate"/>
      </w:r>
      <w:r>
        <w:rPr>
          <w:rFonts w:hint="eastAsia"/>
          <w:szCs w:val="28"/>
          <w:highlight w:val="none"/>
        </w:rPr>
        <w:t>五、投标人的资格证明材料</w:t>
      </w:r>
      <w:r>
        <w:rPr>
          <w:highlight w:val="none"/>
        </w:rPr>
        <w:tab/>
      </w:r>
      <w:r>
        <w:rPr>
          <w:highlight w:val="none"/>
        </w:rPr>
        <w:fldChar w:fldCharType="begin"/>
      </w:r>
      <w:r>
        <w:rPr>
          <w:highlight w:val="none"/>
        </w:rPr>
        <w:instrText xml:space="preserve"> PAGEREF _Toc20707 \h </w:instrText>
      </w:r>
      <w:r>
        <w:rPr>
          <w:highlight w:val="none"/>
        </w:rPr>
        <w:fldChar w:fldCharType="separate"/>
      </w:r>
      <w:r>
        <w:rPr>
          <w:highlight w:val="none"/>
        </w:rPr>
        <w:t>344</w:t>
      </w:r>
      <w:r>
        <w:rPr>
          <w:highlight w:val="none"/>
        </w:rPr>
        <w:fldChar w:fldCharType="end"/>
      </w:r>
      <w:r>
        <w:rPr>
          <w:highlight w:val="none"/>
        </w:rPr>
        <w:fldChar w:fldCharType="end"/>
      </w:r>
    </w:p>
    <w:p w14:paraId="280D7549">
      <w:pPr>
        <w:pStyle w:val="38"/>
        <w:tabs>
          <w:tab w:val="right" w:leader="dot" w:pos="8312"/>
          <w:tab w:val="clear" w:pos="8302"/>
        </w:tabs>
        <w:rPr>
          <w:highlight w:val="none"/>
        </w:rPr>
      </w:pPr>
      <w:r>
        <w:rPr>
          <w:highlight w:val="none"/>
        </w:rPr>
        <w:fldChar w:fldCharType="begin"/>
      </w:r>
      <w:r>
        <w:rPr>
          <w:highlight w:val="none"/>
        </w:rPr>
        <w:instrText xml:space="preserve"> HYPERLINK \l "_Toc333" </w:instrText>
      </w:r>
      <w:r>
        <w:rPr>
          <w:highlight w:val="none"/>
        </w:rPr>
        <w:fldChar w:fldCharType="separate"/>
      </w:r>
      <w:r>
        <w:rPr>
          <w:rFonts w:hint="eastAsia"/>
          <w:szCs w:val="28"/>
          <w:highlight w:val="none"/>
        </w:rPr>
        <w:t>六、项目方案</w:t>
      </w:r>
      <w:r>
        <w:rPr>
          <w:highlight w:val="none"/>
        </w:rPr>
        <w:tab/>
      </w:r>
      <w:r>
        <w:rPr>
          <w:highlight w:val="none"/>
        </w:rPr>
        <w:fldChar w:fldCharType="begin"/>
      </w:r>
      <w:r>
        <w:rPr>
          <w:highlight w:val="none"/>
        </w:rPr>
        <w:instrText xml:space="preserve"> PAGEREF _Toc333 \h </w:instrText>
      </w:r>
      <w:r>
        <w:rPr>
          <w:highlight w:val="none"/>
        </w:rPr>
        <w:fldChar w:fldCharType="separate"/>
      </w:r>
      <w:r>
        <w:rPr>
          <w:highlight w:val="none"/>
        </w:rPr>
        <w:t>350</w:t>
      </w:r>
      <w:r>
        <w:rPr>
          <w:highlight w:val="none"/>
        </w:rPr>
        <w:fldChar w:fldCharType="end"/>
      </w:r>
      <w:r>
        <w:rPr>
          <w:highlight w:val="none"/>
        </w:rPr>
        <w:fldChar w:fldCharType="end"/>
      </w:r>
    </w:p>
    <w:p w14:paraId="535A3C64">
      <w:pPr>
        <w:pStyle w:val="38"/>
        <w:tabs>
          <w:tab w:val="right" w:leader="dot" w:pos="8312"/>
          <w:tab w:val="clear" w:pos="8302"/>
        </w:tabs>
        <w:rPr>
          <w:highlight w:val="none"/>
        </w:rPr>
      </w:pPr>
      <w:r>
        <w:rPr>
          <w:highlight w:val="none"/>
        </w:rPr>
        <w:fldChar w:fldCharType="begin"/>
      </w:r>
      <w:r>
        <w:rPr>
          <w:highlight w:val="none"/>
        </w:rPr>
        <w:instrText xml:space="preserve"> HYPERLINK \l "_Toc11200" </w:instrText>
      </w:r>
      <w:r>
        <w:rPr>
          <w:highlight w:val="none"/>
        </w:rPr>
        <w:fldChar w:fldCharType="separate"/>
      </w:r>
      <w:r>
        <w:rPr>
          <w:rFonts w:hint="eastAsia"/>
          <w:highlight w:val="none"/>
        </w:rPr>
        <w:t>七、响应/偏离表</w:t>
      </w:r>
      <w:r>
        <w:rPr>
          <w:highlight w:val="none"/>
        </w:rPr>
        <w:tab/>
      </w:r>
      <w:r>
        <w:rPr>
          <w:highlight w:val="none"/>
        </w:rPr>
        <w:fldChar w:fldCharType="begin"/>
      </w:r>
      <w:r>
        <w:rPr>
          <w:highlight w:val="none"/>
        </w:rPr>
        <w:instrText xml:space="preserve"> PAGEREF _Toc11200 \h </w:instrText>
      </w:r>
      <w:r>
        <w:rPr>
          <w:highlight w:val="none"/>
        </w:rPr>
        <w:fldChar w:fldCharType="separate"/>
      </w:r>
      <w:r>
        <w:rPr>
          <w:highlight w:val="none"/>
        </w:rPr>
        <w:t>353</w:t>
      </w:r>
      <w:r>
        <w:rPr>
          <w:highlight w:val="none"/>
        </w:rPr>
        <w:fldChar w:fldCharType="end"/>
      </w:r>
      <w:r>
        <w:rPr>
          <w:highlight w:val="none"/>
        </w:rPr>
        <w:fldChar w:fldCharType="end"/>
      </w:r>
    </w:p>
    <w:p w14:paraId="7CD49297">
      <w:pPr>
        <w:pStyle w:val="38"/>
        <w:tabs>
          <w:tab w:val="right" w:leader="dot" w:pos="8312"/>
          <w:tab w:val="clear" w:pos="8302"/>
        </w:tabs>
        <w:rPr>
          <w:highlight w:val="none"/>
        </w:rPr>
      </w:pPr>
      <w:r>
        <w:rPr>
          <w:highlight w:val="none"/>
        </w:rPr>
        <w:fldChar w:fldCharType="begin"/>
      </w:r>
      <w:r>
        <w:rPr>
          <w:highlight w:val="none"/>
        </w:rPr>
        <w:instrText xml:space="preserve"> HYPERLINK \l "_Toc12678" </w:instrText>
      </w:r>
      <w:r>
        <w:rPr>
          <w:highlight w:val="none"/>
        </w:rPr>
        <w:fldChar w:fldCharType="separate"/>
      </w:r>
      <w:r>
        <w:rPr>
          <w:rFonts w:hint="eastAsia"/>
          <w:szCs w:val="28"/>
          <w:highlight w:val="none"/>
        </w:rPr>
        <w:t>八、投标人认为需要提供的其它资料</w:t>
      </w:r>
      <w:r>
        <w:rPr>
          <w:highlight w:val="none"/>
        </w:rPr>
        <w:tab/>
      </w:r>
      <w:r>
        <w:rPr>
          <w:highlight w:val="none"/>
        </w:rPr>
        <w:fldChar w:fldCharType="begin"/>
      </w:r>
      <w:r>
        <w:rPr>
          <w:highlight w:val="none"/>
        </w:rPr>
        <w:instrText xml:space="preserve"> PAGEREF _Toc12678 \h </w:instrText>
      </w:r>
      <w:r>
        <w:rPr>
          <w:highlight w:val="none"/>
        </w:rPr>
        <w:fldChar w:fldCharType="separate"/>
      </w:r>
      <w:r>
        <w:rPr>
          <w:highlight w:val="none"/>
        </w:rPr>
        <w:t>354</w:t>
      </w:r>
      <w:r>
        <w:rPr>
          <w:highlight w:val="none"/>
        </w:rPr>
        <w:fldChar w:fldCharType="end"/>
      </w:r>
      <w:r>
        <w:rPr>
          <w:highlight w:val="none"/>
        </w:rPr>
        <w:fldChar w:fldCharType="end"/>
      </w:r>
    </w:p>
    <w:p w14:paraId="261D975F">
      <w:pPr>
        <w:spacing w:line="360" w:lineRule="auto"/>
        <w:jc w:val="center"/>
        <w:rPr>
          <w:rFonts w:ascii="宋体" w:hAnsi="宋体"/>
          <w:szCs w:val="21"/>
          <w:highlight w:val="none"/>
        </w:rPr>
      </w:pPr>
      <w:r>
        <w:rPr>
          <w:rFonts w:ascii="宋体" w:hAnsi="宋体"/>
          <w:szCs w:val="21"/>
          <w:highlight w:val="none"/>
        </w:rPr>
        <w:fldChar w:fldCharType="end"/>
      </w:r>
      <w:bookmarkStart w:id="7" w:name="_Toc433113174"/>
    </w:p>
    <w:p w14:paraId="5FDD93D5">
      <w:pPr>
        <w:pStyle w:val="18"/>
        <w:rPr>
          <w:highlight w:val="none"/>
        </w:rPr>
        <w:sectPr>
          <w:headerReference r:id="rId4" w:type="first"/>
          <w:headerReference r:id="rId3" w:type="default"/>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14:paraId="20D3DDD2">
      <w:pPr>
        <w:pStyle w:val="18"/>
        <w:rPr>
          <w:highlight w:val="none"/>
        </w:rPr>
      </w:pPr>
    </w:p>
    <w:p w14:paraId="25394EA4">
      <w:pPr>
        <w:pStyle w:val="18"/>
        <w:rPr>
          <w:highlight w:val="none"/>
        </w:rPr>
      </w:pPr>
      <w:r>
        <w:rPr>
          <w:highlight w:val="none"/>
        </w:rPr>
        <w:br w:type="page"/>
      </w:r>
    </w:p>
    <w:p w14:paraId="2C0C370C">
      <w:pPr>
        <w:pStyle w:val="2"/>
        <w:rPr>
          <w:highlight w:val="none"/>
        </w:rPr>
        <w:sectPr>
          <w:footerReference r:id="rId5" w:type="default"/>
          <w:type w:val="continuous"/>
          <w:pgSz w:w="11906" w:h="16838"/>
          <w:pgMar w:top="1440" w:right="1797" w:bottom="1440" w:left="1797" w:header="851" w:footer="992" w:gutter="0"/>
          <w:pgBorders>
            <w:top w:val="none" w:sz="0" w:space="0"/>
            <w:left w:val="none" w:sz="0" w:space="0"/>
            <w:bottom w:val="none" w:sz="0" w:space="0"/>
            <w:right w:val="none" w:sz="0" w:space="0"/>
          </w:pgBorders>
          <w:pgNumType w:start="1"/>
          <w:cols w:space="720" w:num="1"/>
          <w:docGrid w:linePitch="312" w:charSpace="0"/>
        </w:sectPr>
      </w:pPr>
    </w:p>
    <w:p w14:paraId="419862E2">
      <w:pPr>
        <w:pStyle w:val="2"/>
        <w:rPr>
          <w:sz w:val="24"/>
          <w:szCs w:val="24"/>
          <w:highlight w:val="none"/>
        </w:rPr>
      </w:pPr>
      <w:bookmarkStart w:id="8" w:name="_Toc24257"/>
      <w:r>
        <w:rPr>
          <w:rFonts w:hint="eastAsia"/>
          <w:highlight w:val="none"/>
        </w:rPr>
        <w:t>第一</w:t>
      </w:r>
      <w:r>
        <w:rPr>
          <w:highlight w:val="none"/>
        </w:rPr>
        <w:t xml:space="preserve">章  </w:t>
      </w:r>
      <w:r>
        <w:rPr>
          <w:rFonts w:hint="eastAsia"/>
          <w:highlight w:val="none"/>
        </w:rPr>
        <w:t>公开招标公告</w:t>
      </w:r>
      <w:bookmarkEnd w:id="3"/>
      <w:bookmarkEnd w:id="4"/>
      <w:bookmarkEnd w:id="5"/>
      <w:bookmarkEnd w:id="6"/>
      <w:bookmarkEnd w:id="7"/>
      <w:bookmarkEnd w:id="8"/>
      <w:bookmarkStart w:id="9" w:name="_Toc433113175"/>
      <w:bookmarkStart w:id="10" w:name="_Toc420948006"/>
    </w:p>
    <w:p w14:paraId="7C8B124F">
      <w:pPr>
        <w:pStyle w:val="3"/>
        <w:shd w:val="clear" w:color="auto" w:fill="FFFFFF"/>
        <w:spacing w:before="450" w:after="300" w:line="540" w:lineRule="atLeast"/>
        <w:jc w:val="center"/>
        <w:textAlignment w:val="baseline"/>
        <w:rPr>
          <w:rFonts w:hint="eastAsia" w:ascii="仿宋" w:hAnsi="仿宋" w:eastAsia="仿宋" w:cs="仿宋"/>
          <w:kern w:val="0"/>
          <w:sz w:val="39"/>
          <w:szCs w:val="39"/>
          <w:highlight w:val="none"/>
        </w:rPr>
      </w:pPr>
      <w:bookmarkStart w:id="11" w:name="_Toc161933883"/>
      <w:bookmarkStart w:id="12" w:name="_Toc24628"/>
      <w:bookmarkStart w:id="13" w:name="_Toc24057"/>
      <w:r>
        <w:rPr>
          <w:rFonts w:hint="eastAsia" w:ascii="仿宋" w:hAnsi="仿宋" w:eastAsia="仿宋" w:cs="仿宋"/>
          <w:sz w:val="39"/>
          <w:szCs w:val="39"/>
          <w:highlight w:val="none"/>
          <w:lang w:eastAsia="zh-CN"/>
        </w:rPr>
        <w:t>乌鲁木齐高新技术产业开发区（乌鲁木齐市新市区）教育局乌鲁木齐市第九中学新校区新建项目（乌鲁木齐市第一中学教育集团高新校区）设备设施采购项目</w:t>
      </w:r>
      <w:r>
        <w:rPr>
          <w:rFonts w:hint="eastAsia" w:ascii="仿宋" w:hAnsi="仿宋" w:eastAsia="仿宋" w:cs="仿宋"/>
          <w:sz w:val="39"/>
          <w:szCs w:val="39"/>
          <w:highlight w:val="none"/>
        </w:rPr>
        <w:t>公开招标公告</w:t>
      </w:r>
      <w:bookmarkEnd w:id="11"/>
      <w:bookmarkEnd w:id="12"/>
      <w:bookmarkEnd w:id="13"/>
    </w:p>
    <w:p w14:paraId="49E470B1">
      <w:pPr>
        <w:pStyle w:val="42"/>
        <w:shd w:val="clear" w:color="auto" w:fill="FFFFFF"/>
        <w:spacing w:before="75" w:after="330" w:line="480" w:lineRule="atLeast"/>
        <w:textAlignment w:val="baseline"/>
        <w:rPr>
          <w:rFonts w:hint="eastAsia" w:ascii="仿宋" w:hAnsi="仿宋" w:eastAsia="仿宋" w:cs="仿宋"/>
          <w:highlight w:val="none"/>
        </w:rPr>
      </w:pPr>
      <w:r>
        <w:rPr>
          <w:rFonts w:hint="eastAsia" w:ascii="仿宋" w:hAnsi="仿宋" w:eastAsia="仿宋" w:cs="仿宋"/>
          <w:highlight w:val="none"/>
        </w:rPr>
        <w:t>项目概况</w:t>
      </w:r>
    </w:p>
    <w:p w14:paraId="530A673F">
      <w:pPr>
        <w:pStyle w:val="42"/>
        <w:shd w:val="clear" w:color="auto" w:fill="FFFFFF"/>
        <w:spacing w:before="75" w:beforeAutospacing="0" w:after="330" w:afterAutospacing="0" w:line="480" w:lineRule="atLeast"/>
        <w:textAlignment w:val="baseline"/>
        <w:rPr>
          <w:rFonts w:hint="eastAsia" w:ascii="仿宋" w:hAnsi="仿宋" w:eastAsia="仿宋" w:cs="仿宋"/>
          <w:highlight w:val="none"/>
        </w:rPr>
      </w:pPr>
      <w:r>
        <w:rPr>
          <w:rFonts w:hint="eastAsia" w:ascii="仿宋" w:hAnsi="仿宋" w:eastAsia="仿宋" w:cs="仿宋"/>
          <w:highlight w:val="none"/>
          <w:lang w:eastAsia="zh-CN"/>
        </w:rPr>
        <w:t>乌鲁木齐高新技术产业开发区（乌鲁木齐市新市区）教育局乌鲁木齐市第九中学新校区新建项目（乌鲁木齐市第一中学教育集团高新校区）设备设施采购项目</w:t>
      </w:r>
      <w:r>
        <w:rPr>
          <w:rFonts w:hint="eastAsia" w:ascii="仿宋" w:hAnsi="仿宋" w:eastAsia="仿宋" w:cs="仿宋"/>
          <w:highlight w:val="none"/>
        </w:rPr>
        <w:t>的潜在投标人应在政采云平台http://www.zcygov.cn获取招标文件，并于202</w:t>
      </w:r>
      <w:r>
        <w:rPr>
          <w:rFonts w:hint="eastAsia" w:ascii="仿宋" w:hAnsi="仿宋" w:eastAsia="仿宋" w:cs="仿宋"/>
          <w:highlight w:val="none"/>
          <w:lang w:val="en-US" w:eastAsia="zh-CN"/>
        </w:rPr>
        <w:t>5</w:t>
      </w:r>
      <w:r>
        <w:rPr>
          <w:rFonts w:hint="eastAsia" w:ascii="仿宋" w:hAnsi="仿宋" w:eastAsia="仿宋" w:cs="仿宋"/>
          <w:highlight w:val="none"/>
        </w:rPr>
        <w:t>年07月</w:t>
      </w:r>
      <w:r>
        <w:rPr>
          <w:rFonts w:hint="eastAsia" w:ascii="仿宋" w:hAnsi="仿宋" w:eastAsia="仿宋" w:cs="仿宋"/>
          <w:highlight w:val="none"/>
          <w:lang w:val="en-US" w:eastAsia="zh-CN"/>
        </w:rPr>
        <w:t>31</w:t>
      </w:r>
      <w:r>
        <w:rPr>
          <w:rFonts w:hint="eastAsia" w:ascii="仿宋" w:hAnsi="仿宋" w:eastAsia="仿宋" w:cs="仿宋"/>
          <w:highlight w:val="none"/>
        </w:rPr>
        <w:t>日 11:00（北京时间）前递交投标文件。</w:t>
      </w:r>
    </w:p>
    <w:p w14:paraId="40583C79">
      <w:pPr>
        <w:pStyle w:val="42"/>
        <w:shd w:val="clear" w:color="auto" w:fill="FFFFFF"/>
        <w:spacing w:before="0" w:beforeAutospacing="0" w:after="0" w:afterAutospacing="0" w:line="480" w:lineRule="atLeast"/>
        <w:textAlignment w:val="baseline"/>
        <w:rPr>
          <w:rFonts w:hint="eastAsia" w:ascii="仿宋" w:hAnsi="仿宋" w:eastAsia="仿宋" w:cs="仿宋"/>
          <w:highlight w:val="none"/>
        </w:rPr>
      </w:pPr>
      <w:r>
        <w:rPr>
          <w:rStyle w:val="49"/>
          <w:rFonts w:hint="eastAsia" w:ascii="仿宋" w:hAnsi="仿宋" w:eastAsia="仿宋" w:cs="仿宋"/>
          <w:highlight w:val="none"/>
        </w:rPr>
        <w:t>一、项目基本情况</w:t>
      </w:r>
    </w:p>
    <w:p w14:paraId="2F473A58">
      <w:pPr>
        <w:pStyle w:val="42"/>
        <w:shd w:val="clear" w:color="auto" w:fill="FFFFFF"/>
        <w:spacing w:before="75" w:beforeAutospacing="0" w:after="330" w:afterAutospacing="0" w:line="480" w:lineRule="atLeast"/>
        <w:textAlignment w:val="baseline"/>
        <w:rPr>
          <w:rFonts w:hint="eastAsia" w:ascii="仿宋" w:hAnsi="仿宋" w:eastAsia="仿宋" w:cs="仿宋"/>
          <w:highlight w:val="none"/>
          <w:lang w:eastAsia="zh-CN"/>
        </w:rPr>
      </w:pPr>
      <w:r>
        <w:rPr>
          <w:rFonts w:hint="eastAsia" w:ascii="仿宋" w:hAnsi="仿宋" w:eastAsia="仿宋" w:cs="仿宋"/>
          <w:highlight w:val="none"/>
        </w:rPr>
        <w:t>项目编号：</w:t>
      </w:r>
      <w:r>
        <w:rPr>
          <w:rFonts w:hint="eastAsia" w:ascii="仿宋" w:hAnsi="仿宋" w:eastAsia="仿宋" w:cs="仿宋"/>
          <w:highlight w:val="none"/>
          <w:lang w:eastAsia="zh-CN"/>
        </w:rPr>
        <w:t>ZYZB-2025-Z-071</w:t>
      </w:r>
    </w:p>
    <w:p w14:paraId="61192DD1">
      <w:pPr>
        <w:pStyle w:val="42"/>
        <w:shd w:val="clear" w:color="auto" w:fill="FFFFFF"/>
        <w:spacing w:before="75" w:beforeAutospacing="0" w:after="330" w:afterAutospacing="0" w:line="480" w:lineRule="atLeast"/>
        <w:textAlignment w:val="baseline"/>
        <w:rPr>
          <w:rFonts w:hint="eastAsia" w:ascii="仿宋" w:hAnsi="仿宋" w:eastAsia="仿宋" w:cs="仿宋"/>
          <w:highlight w:val="none"/>
          <w:lang w:eastAsia="zh-CN"/>
        </w:rPr>
      </w:pPr>
      <w:r>
        <w:rPr>
          <w:rFonts w:hint="eastAsia" w:ascii="仿宋" w:hAnsi="仿宋" w:eastAsia="仿宋" w:cs="仿宋"/>
          <w:highlight w:val="none"/>
        </w:rPr>
        <w:t>项目名称：</w:t>
      </w:r>
      <w:r>
        <w:rPr>
          <w:rFonts w:hint="eastAsia" w:ascii="仿宋" w:hAnsi="仿宋" w:eastAsia="仿宋" w:cs="仿宋"/>
          <w:highlight w:val="none"/>
          <w:lang w:eastAsia="zh-CN"/>
        </w:rPr>
        <w:t>乌鲁木齐高新技术产业开发区（乌鲁木齐市新市区）教育局乌鲁木齐市第九中学新校区新建项目（乌鲁木齐市第一中学教育集团高新校区）设备设施采购项目</w:t>
      </w:r>
    </w:p>
    <w:p w14:paraId="36ECF4DA">
      <w:pPr>
        <w:pStyle w:val="42"/>
        <w:shd w:val="clear" w:color="auto" w:fill="FFFFFF"/>
        <w:spacing w:before="75" w:beforeAutospacing="0" w:after="330" w:afterAutospacing="0" w:line="480" w:lineRule="atLeast"/>
        <w:textAlignment w:val="baseline"/>
        <w:rPr>
          <w:rFonts w:hint="eastAsia" w:ascii="仿宋" w:hAnsi="仿宋" w:eastAsia="仿宋" w:cs="仿宋"/>
          <w:highlight w:val="none"/>
        </w:rPr>
      </w:pPr>
      <w:r>
        <w:rPr>
          <w:rFonts w:hint="eastAsia" w:ascii="仿宋" w:hAnsi="仿宋" w:eastAsia="仿宋" w:cs="仿宋"/>
          <w:highlight w:val="none"/>
        </w:rPr>
        <w:t>采购方式：公开招标</w:t>
      </w:r>
    </w:p>
    <w:p w14:paraId="2B6570B9">
      <w:pPr>
        <w:pStyle w:val="42"/>
        <w:shd w:val="clear" w:color="auto" w:fill="FFFFFF"/>
        <w:spacing w:before="75" w:beforeAutospacing="0" w:after="330" w:afterAutospacing="0" w:line="480" w:lineRule="atLeast"/>
        <w:textAlignment w:val="baseline"/>
        <w:rPr>
          <w:rFonts w:hint="eastAsia" w:ascii="仿宋" w:hAnsi="仿宋" w:eastAsia="仿宋" w:cs="仿宋"/>
          <w:highlight w:val="none"/>
        </w:rPr>
      </w:pPr>
      <w:r>
        <w:rPr>
          <w:rFonts w:hint="eastAsia" w:ascii="仿宋" w:hAnsi="仿宋" w:eastAsia="仿宋" w:cs="仿宋"/>
          <w:highlight w:val="none"/>
        </w:rPr>
        <w:t>预算金额：</w:t>
      </w:r>
      <w:r>
        <w:rPr>
          <w:rFonts w:hint="eastAsia" w:ascii="仿宋" w:hAnsi="仿宋" w:eastAsia="仿宋" w:cs="仿宋"/>
          <w:highlight w:val="none"/>
          <w:lang w:val="en-US" w:eastAsia="zh-CN"/>
        </w:rPr>
        <w:t>12990000</w:t>
      </w:r>
      <w:r>
        <w:rPr>
          <w:rFonts w:hint="eastAsia" w:ascii="仿宋" w:hAnsi="仿宋" w:eastAsia="仿宋" w:cs="仿宋"/>
          <w:highlight w:val="none"/>
        </w:rPr>
        <w:t>元（人民币）</w:t>
      </w:r>
    </w:p>
    <w:p w14:paraId="0C643B2D">
      <w:pPr>
        <w:pStyle w:val="42"/>
        <w:shd w:val="clear" w:color="auto" w:fill="FFFFFF"/>
        <w:spacing w:before="75" w:beforeAutospacing="0" w:after="330" w:afterAutospacing="0" w:line="480" w:lineRule="atLeast"/>
        <w:textAlignment w:val="baseline"/>
        <w:rPr>
          <w:rFonts w:hint="eastAsia" w:ascii="仿宋" w:hAnsi="仿宋" w:eastAsia="仿宋" w:cs="仿宋"/>
          <w:highlight w:val="none"/>
        </w:rPr>
      </w:pPr>
      <w:r>
        <w:rPr>
          <w:rFonts w:hint="eastAsia" w:ascii="仿宋" w:hAnsi="仿宋" w:eastAsia="仿宋" w:cs="仿宋"/>
          <w:highlight w:val="none"/>
        </w:rPr>
        <w:t>采购需求：</w:t>
      </w:r>
    </w:p>
    <w:p w14:paraId="0E5AB11C">
      <w:pPr>
        <w:pStyle w:val="42"/>
        <w:shd w:val="clear" w:color="auto" w:fill="F7F7F7"/>
        <w:spacing w:before="75" w:beforeAutospacing="0" w:after="75" w:afterAutospacing="0"/>
        <w:rPr>
          <w:rStyle w:val="97"/>
          <w:rFonts w:hint="eastAsia" w:ascii="仿宋" w:hAnsi="仿宋" w:eastAsia="仿宋" w:cs="仿宋"/>
          <w:sz w:val="27"/>
          <w:szCs w:val="27"/>
          <w:highlight w:val="none"/>
          <w:lang w:eastAsia="zh-CN"/>
        </w:rPr>
      </w:pPr>
      <w:r>
        <w:rPr>
          <w:rStyle w:val="97"/>
          <w:rFonts w:hint="eastAsia" w:ascii="仿宋" w:hAnsi="仿宋" w:eastAsia="仿宋" w:cs="仿宋"/>
          <w:sz w:val="27"/>
          <w:szCs w:val="27"/>
          <w:highlight w:val="none"/>
        </w:rPr>
        <w:t>标项一</w:t>
      </w:r>
    </w:p>
    <w:p w14:paraId="09B27148">
      <w:pPr>
        <w:pStyle w:val="42"/>
        <w:shd w:val="clear" w:color="auto" w:fill="F7F7F7"/>
        <w:spacing w:before="75" w:beforeAutospacing="0" w:after="75" w:afterAutospacing="0"/>
        <w:rPr>
          <w:rFonts w:hint="eastAsia" w:ascii="仿宋" w:hAnsi="仿宋" w:eastAsia="仿宋" w:cs="仿宋"/>
          <w:sz w:val="27"/>
          <w:szCs w:val="27"/>
          <w:highlight w:val="none"/>
          <w:lang w:eastAsia="zh-CN"/>
        </w:rPr>
      </w:pPr>
      <w:r>
        <w:rPr>
          <w:rFonts w:hint="eastAsia" w:ascii="仿宋" w:hAnsi="仿宋" w:eastAsia="仿宋" w:cs="仿宋"/>
          <w:sz w:val="27"/>
          <w:szCs w:val="27"/>
          <w:highlight w:val="none"/>
        </w:rPr>
        <w:t>   标项名称:</w:t>
      </w:r>
      <w:r>
        <w:rPr>
          <w:rFonts w:hint="eastAsia" w:ascii="仿宋" w:hAnsi="仿宋" w:eastAsia="仿宋" w:cs="仿宋"/>
          <w:sz w:val="27"/>
          <w:szCs w:val="27"/>
          <w:highlight w:val="none"/>
          <w:lang w:eastAsia="zh-CN"/>
        </w:rPr>
        <w:t>购置数字教育资源</w:t>
      </w:r>
    </w:p>
    <w:p w14:paraId="372B4756">
      <w:pPr>
        <w:pStyle w:val="42"/>
        <w:shd w:val="clear" w:color="auto" w:fill="F7F7F7"/>
        <w:spacing w:before="75" w:beforeAutospacing="0" w:after="75" w:afterAutospacing="0"/>
        <w:rPr>
          <w:rStyle w:val="97"/>
          <w:rFonts w:hint="eastAsia" w:ascii="仿宋" w:hAnsi="仿宋" w:eastAsia="仿宋" w:cs="仿宋"/>
          <w:sz w:val="27"/>
          <w:szCs w:val="27"/>
          <w:highlight w:val="none"/>
          <w:lang w:eastAsia="zh-CN"/>
        </w:rPr>
      </w:pPr>
      <w:r>
        <w:rPr>
          <w:rFonts w:hint="eastAsia" w:ascii="仿宋" w:hAnsi="仿宋" w:eastAsia="仿宋" w:cs="仿宋"/>
          <w:sz w:val="27"/>
          <w:szCs w:val="27"/>
          <w:highlight w:val="none"/>
        </w:rPr>
        <w:t>   数量:</w:t>
      </w:r>
      <w:r>
        <w:rPr>
          <w:rStyle w:val="97"/>
          <w:rFonts w:hint="eastAsia" w:ascii="仿宋" w:hAnsi="仿宋" w:eastAsia="仿宋" w:cs="仿宋"/>
          <w:sz w:val="27"/>
          <w:szCs w:val="27"/>
          <w:highlight w:val="none"/>
        </w:rPr>
        <w:t>1</w:t>
      </w:r>
    </w:p>
    <w:p w14:paraId="4F03A163">
      <w:pPr>
        <w:pStyle w:val="42"/>
        <w:shd w:val="clear" w:color="auto" w:fill="F7F7F7"/>
        <w:spacing w:before="75" w:beforeAutospacing="0" w:after="75" w:afterAutospacing="0"/>
        <w:rPr>
          <w:rFonts w:hint="eastAsia" w:ascii="仿宋" w:hAnsi="仿宋" w:eastAsia="仿宋" w:cs="仿宋"/>
          <w:sz w:val="27"/>
          <w:szCs w:val="27"/>
          <w:highlight w:val="none"/>
          <w:lang w:eastAsia="zh-CN"/>
        </w:rPr>
      </w:pPr>
      <w:r>
        <w:rPr>
          <w:rFonts w:hint="eastAsia" w:ascii="仿宋" w:hAnsi="仿宋" w:eastAsia="仿宋" w:cs="仿宋"/>
          <w:sz w:val="27"/>
          <w:szCs w:val="27"/>
          <w:highlight w:val="none"/>
        </w:rPr>
        <w:t>   预算金额（元）:</w:t>
      </w:r>
      <w:r>
        <w:rPr>
          <w:rFonts w:hint="eastAsia" w:ascii="仿宋" w:hAnsi="仿宋" w:eastAsia="仿宋" w:cs="仿宋"/>
          <w:sz w:val="27"/>
          <w:szCs w:val="27"/>
          <w:highlight w:val="none"/>
          <w:lang w:val="en-US" w:eastAsia="zh-CN"/>
        </w:rPr>
        <w:t>1290000</w:t>
      </w:r>
      <w:r>
        <w:rPr>
          <w:rFonts w:hint="eastAsia" w:ascii="仿宋" w:hAnsi="仿宋" w:eastAsia="仿宋" w:cs="仿宋"/>
          <w:sz w:val="27"/>
          <w:szCs w:val="27"/>
          <w:highlight w:val="none"/>
        </w:rPr>
        <w:t xml:space="preserve"> </w:t>
      </w:r>
    </w:p>
    <w:p w14:paraId="7F310B54">
      <w:pPr>
        <w:pStyle w:val="42"/>
        <w:shd w:val="clear" w:color="auto" w:fill="F7F7F7"/>
        <w:spacing w:before="75" w:beforeAutospacing="0" w:after="75" w:afterAutospacing="0"/>
        <w:rPr>
          <w:rFonts w:hint="eastAsia" w:ascii="仿宋" w:hAnsi="仿宋" w:eastAsia="仿宋" w:cs="仿宋"/>
          <w:sz w:val="27"/>
          <w:szCs w:val="27"/>
          <w:highlight w:val="none"/>
          <w:lang w:eastAsia="zh-CN"/>
        </w:rPr>
      </w:pPr>
      <w:r>
        <w:rPr>
          <w:rFonts w:hint="eastAsia" w:ascii="仿宋" w:hAnsi="仿宋" w:eastAsia="仿宋" w:cs="仿宋"/>
          <w:sz w:val="27"/>
          <w:szCs w:val="27"/>
          <w:highlight w:val="none"/>
        </w:rPr>
        <w:t>   简要规格描述或项目基本概况介绍、用途：</w:t>
      </w:r>
      <w:r>
        <w:rPr>
          <w:rStyle w:val="97"/>
          <w:rFonts w:hint="eastAsia" w:ascii="仿宋" w:hAnsi="仿宋" w:eastAsia="仿宋" w:cs="仿宋"/>
          <w:sz w:val="27"/>
          <w:szCs w:val="27"/>
          <w:highlight w:val="none"/>
        </w:rPr>
        <w:t>详见采购文件</w:t>
      </w:r>
      <w:r>
        <w:rPr>
          <w:rFonts w:hint="eastAsia" w:ascii="仿宋" w:hAnsi="仿宋" w:eastAsia="仿宋" w:cs="仿宋"/>
          <w:sz w:val="27"/>
          <w:szCs w:val="27"/>
          <w:highlight w:val="none"/>
        </w:rPr>
        <w:t xml:space="preserve"> </w:t>
      </w:r>
    </w:p>
    <w:p w14:paraId="153FBE06">
      <w:pPr>
        <w:pStyle w:val="42"/>
        <w:shd w:val="clear" w:color="auto" w:fill="F7F7F7"/>
        <w:spacing w:before="75" w:beforeAutospacing="0" w:after="75" w:afterAutospacing="0"/>
        <w:rPr>
          <w:rFonts w:hint="eastAsia" w:ascii="仿宋" w:hAnsi="仿宋" w:eastAsia="仿宋" w:cs="仿宋"/>
          <w:sz w:val="27"/>
          <w:szCs w:val="27"/>
          <w:highlight w:val="none"/>
        </w:rPr>
      </w:pPr>
      <w:r>
        <w:rPr>
          <w:rFonts w:hint="eastAsia" w:ascii="仿宋" w:hAnsi="仿宋" w:eastAsia="仿宋" w:cs="仿宋"/>
          <w:sz w:val="27"/>
          <w:szCs w:val="27"/>
          <w:highlight w:val="none"/>
        </w:rPr>
        <w:t>   备注：</w:t>
      </w:r>
    </w:p>
    <w:p w14:paraId="7307219D">
      <w:pPr>
        <w:pStyle w:val="42"/>
        <w:shd w:val="clear" w:color="auto" w:fill="F7F7F7"/>
        <w:spacing w:before="75" w:beforeAutospacing="0" w:after="75" w:afterAutospacing="0"/>
        <w:rPr>
          <w:rStyle w:val="97"/>
          <w:rFonts w:hint="eastAsia" w:ascii="仿宋" w:hAnsi="仿宋" w:eastAsia="仿宋" w:cs="仿宋"/>
          <w:sz w:val="27"/>
          <w:szCs w:val="27"/>
          <w:highlight w:val="none"/>
          <w:lang w:eastAsia="zh-CN"/>
        </w:rPr>
      </w:pPr>
      <w:r>
        <w:rPr>
          <w:rStyle w:val="97"/>
          <w:rFonts w:hint="eastAsia" w:ascii="仿宋" w:hAnsi="仿宋" w:eastAsia="仿宋" w:cs="仿宋"/>
          <w:sz w:val="27"/>
          <w:szCs w:val="27"/>
          <w:highlight w:val="none"/>
        </w:rPr>
        <w:t>标项二</w:t>
      </w:r>
    </w:p>
    <w:p w14:paraId="4476E70F">
      <w:pPr>
        <w:pStyle w:val="42"/>
        <w:shd w:val="clear" w:color="auto" w:fill="F7F7F7"/>
        <w:spacing w:before="75" w:beforeAutospacing="0" w:after="75" w:afterAutospacing="0"/>
        <w:rPr>
          <w:rFonts w:hint="eastAsia" w:ascii="仿宋" w:hAnsi="仿宋" w:eastAsia="仿宋" w:cs="仿宋"/>
          <w:sz w:val="27"/>
          <w:szCs w:val="27"/>
          <w:highlight w:val="none"/>
          <w:lang w:val="en-US" w:eastAsia="zh-CN"/>
        </w:rPr>
      </w:pPr>
      <w:r>
        <w:rPr>
          <w:rFonts w:hint="eastAsia" w:ascii="仿宋" w:hAnsi="仿宋" w:eastAsia="仿宋" w:cs="仿宋"/>
          <w:sz w:val="27"/>
          <w:szCs w:val="27"/>
          <w:highlight w:val="none"/>
        </w:rPr>
        <w:t xml:space="preserve">   标项名称: </w:t>
      </w:r>
      <w:r>
        <w:rPr>
          <w:rFonts w:hint="eastAsia" w:ascii="仿宋" w:hAnsi="仿宋" w:eastAsia="仿宋" w:cs="仿宋"/>
          <w:sz w:val="27"/>
          <w:szCs w:val="27"/>
          <w:highlight w:val="none"/>
          <w:lang w:val="en-US" w:eastAsia="zh-CN"/>
        </w:rPr>
        <w:t>校园综合管理平台</w:t>
      </w:r>
    </w:p>
    <w:p w14:paraId="79674590">
      <w:pPr>
        <w:pStyle w:val="42"/>
        <w:shd w:val="clear" w:color="auto" w:fill="F7F7F7"/>
        <w:spacing w:before="75" w:beforeAutospacing="0" w:after="75" w:afterAutospacing="0"/>
        <w:rPr>
          <w:rStyle w:val="97"/>
          <w:rFonts w:hint="eastAsia" w:ascii="仿宋" w:hAnsi="仿宋" w:eastAsia="仿宋" w:cs="仿宋"/>
          <w:sz w:val="27"/>
          <w:szCs w:val="27"/>
          <w:highlight w:val="none"/>
          <w:lang w:eastAsia="zh-CN"/>
        </w:rPr>
      </w:pPr>
      <w:r>
        <w:rPr>
          <w:rFonts w:hint="eastAsia" w:ascii="仿宋" w:hAnsi="仿宋" w:eastAsia="仿宋" w:cs="仿宋"/>
          <w:sz w:val="27"/>
          <w:szCs w:val="27"/>
          <w:highlight w:val="none"/>
        </w:rPr>
        <w:t>   数量:</w:t>
      </w:r>
      <w:r>
        <w:rPr>
          <w:rStyle w:val="97"/>
          <w:rFonts w:hint="eastAsia" w:ascii="仿宋" w:hAnsi="仿宋" w:eastAsia="仿宋" w:cs="仿宋"/>
          <w:sz w:val="27"/>
          <w:szCs w:val="27"/>
          <w:highlight w:val="none"/>
        </w:rPr>
        <w:t>1</w:t>
      </w:r>
    </w:p>
    <w:p w14:paraId="0A639DA2">
      <w:pPr>
        <w:pStyle w:val="42"/>
        <w:shd w:val="clear" w:color="auto" w:fill="F7F7F7"/>
        <w:spacing w:before="75" w:beforeAutospacing="0" w:after="75" w:afterAutospacing="0"/>
        <w:rPr>
          <w:rFonts w:hint="eastAsia" w:ascii="仿宋" w:hAnsi="仿宋" w:eastAsia="仿宋" w:cs="仿宋"/>
          <w:sz w:val="27"/>
          <w:szCs w:val="27"/>
          <w:highlight w:val="none"/>
          <w:lang w:eastAsia="zh-CN"/>
        </w:rPr>
      </w:pPr>
      <w:r>
        <w:rPr>
          <w:rFonts w:hint="eastAsia" w:ascii="仿宋" w:hAnsi="仿宋" w:eastAsia="仿宋" w:cs="仿宋"/>
          <w:sz w:val="27"/>
          <w:szCs w:val="27"/>
          <w:highlight w:val="none"/>
        </w:rPr>
        <w:t>   预算金额（元）:</w:t>
      </w:r>
      <w:r>
        <w:rPr>
          <w:rStyle w:val="97"/>
          <w:rFonts w:hint="eastAsia" w:ascii="仿宋" w:hAnsi="仿宋" w:eastAsia="仿宋" w:cs="仿宋"/>
          <w:sz w:val="27"/>
          <w:szCs w:val="27"/>
          <w:highlight w:val="none"/>
          <w:lang w:val="en-US" w:eastAsia="zh-CN"/>
        </w:rPr>
        <w:t>136</w:t>
      </w:r>
      <w:r>
        <w:rPr>
          <w:rStyle w:val="97"/>
          <w:rFonts w:hint="eastAsia" w:ascii="仿宋" w:hAnsi="仿宋" w:eastAsia="仿宋" w:cs="仿宋"/>
          <w:sz w:val="27"/>
          <w:szCs w:val="27"/>
          <w:highlight w:val="none"/>
        </w:rPr>
        <w:t>0000</w:t>
      </w:r>
      <w:r>
        <w:rPr>
          <w:rFonts w:hint="eastAsia" w:ascii="仿宋" w:hAnsi="仿宋" w:eastAsia="仿宋" w:cs="仿宋"/>
          <w:sz w:val="27"/>
          <w:szCs w:val="27"/>
          <w:highlight w:val="none"/>
        </w:rPr>
        <w:t xml:space="preserve"> </w:t>
      </w:r>
    </w:p>
    <w:p w14:paraId="658F7D38">
      <w:pPr>
        <w:pStyle w:val="42"/>
        <w:shd w:val="clear" w:color="auto" w:fill="F7F7F7"/>
        <w:spacing w:before="75" w:beforeAutospacing="0" w:after="75" w:afterAutospacing="0"/>
        <w:rPr>
          <w:rStyle w:val="97"/>
          <w:rFonts w:hint="eastAsia" w:ascii="仿宋" w:hAnsi="仿宋" w:eastAsia="仿宋" w:cs="仿宋"/>
          <w:sz w:val="27"/>
          <w:szCs w:val="27"/>
          <w:highlight w:val="none"/>
          <w:lang w:eastAsia="zh-CN"/>
        </w:rPr>
      </w:pPr>
      <w:r>
        <w:rPr>
          <w:rFonts w:hint="eastAsia" w:ascii="仿宋" w:hAnsi="仿宋" w:eastAsia="仿宋" w:cs="仿宋"/>
          <w:sz w:val="27"/>
          <w:szCs w:val="27"/>
          <w:highlight w:val="none"/>
        </w:rPr>
        <w:t>   简要规格描述或项目基本概况介绍、用途：</w:t>
      </w:r>
      <w:r>
        <w:rPr>
          <w:rStyle w:val="97"/>
          <w:rFonts w:hint="eastAsia" w:ascii="仿宋" w:hAnsi="仿宋" w:eastAsia="仿宋" w:cs="仿宋"/>
          <w:sz w:val="27"/>
          <w:szCs w:val="27"/>
          <w:highlight w:val="none"/>
        </w:rPr>
        <w:t>详见采购文件</w:t>
      </w:r>
    </w:p>
    <w:p w14:paraId="61129FA4">
      <w:pPr>
        <w:pStyle w:val="42"/>
        <w:shd w:val="clear" w:color="auto" w:fill="F7F7F7"/>
        <w:spacing w:before="75" w:beforeAutospacing="0" w:after="75" w:afterAutospacing="0"/>
        <w:rPr>
          <w:rFonts w:hint="eastAsia" w:ascii="仿宋" w:hAnsi="仿宋" w:eastAsia="仿宋" w:cs="仿宋"/>
          <w:sz w:val="27"/>
          <w:szCs w:val="27"/>
          <w:highlight w:val="none"/>
        </w:rPr>
      </w:pPr>
      <w:r>
        <w:rPr>
          <w:rFonts w:hint="eastAsia" w:ascii="仿宋" w:hAnsi="仿宋" w:eastAsia="仿宋" w:cs="仿宋"/>
          <w:sz w:val="27"/>
          <w:szCs w:val="27"/>
          <w:highlight w:val="none"/>
        </w:rPr>
        <w:t>   备注：</w:t>
      </w:r>
    </w:p>
    <w:p w14:paraId="6460BE73">
      <w:pPr>
        <w:pStyle w:val="42"/>
        <w:shd w:val="clear" w:color="auto" w:fill="F7F7F7"/>
        <w:spacing w:before="75" w:beforeAutospacing="0" w:after="75" w:afterAutospacing="0"/>
        <w:rPr>
          <w:rStyle w:val="97"/>
          <w:rFonts w:hint="eastAsia" w:ascii="仿宋" w:hAnsi="仿宋" w:eastAsia="仿宋" w:cs="仿宋"/>
          <w:sz w:val="27"/>
          <w:szCs w:val="27"/>
          <w:highlight w:val="none"/>
          <w:lang w:eastAsia="zh-CN"/>
        </w:rPr>
      </w:pPr>
      <w:r>
        <w:rPr>
          <w:rStyle w:val="97"/>
          <w:rFonts w:hint="eastAsia" w:ascii="仿宋" w:hAnsi="仿宋" w:eastAsia="仿宋" w:cs="仿宋"/>
          <w:sz w:val="27"/>
          <w:szCs w:val="27"/>
          <w:highlight w:val="none"/>
        </w:rPr>
        <w:t>标项</w:t>
      </w:r>
      <w:r>
        <w:rPr>
          <w:rStyle w:val="97"/>
          <w:rFonts w:hint="eastAsia" w:ascii="仿宋" w:hAnsi="仿宋" w:eastAsia="仿宋" w:cs="仿宋"/>
          <w:sz w:val="27"/>
          <w:szCs w:val="27"/>
          <w:highlight w:val="none"/>
          <w:lang w:eastAsia="zh-CN"/>
        </w:rPr>
        <w:t>三</w:t>
      </w:r>
    </w:p>
    <w:p w14:paraId="78A8051A">
      <w:pPr>
        <w:pStyle w:val="42"/>
        <w:shd w:val="clear" w:color="auto" w:fill="F7F7F7"/>
        <w:spacing w:before="75" w:beforeAutospacing="0" w:after="75" w:afterAutospacing="0"/>
        <w:rPr>
          <w:rFonts w:hint="eastAsia" w:ascii="仿宋" w:hAnsi="仿宋" w:eastAsia="仿宋" w:cs="仿宋"/>
          <w:sz w:val="27"/>
          <w:szCs w:val="27"/>
          <w:highlight w:val="none"/>
          <w:lang w:eastAsia="zh-CN"/>
        </w:rPr>
      </w:pPr>
      <w:r>
        <w:rPr>
          <w:rFonts w:hint="eastAsia" w:ascii="仿宋" w:hAnsi="仿宋" w:eastAsia="仿宋" w:cs="仿宋"/>
          <w:sz w:val="27"/>
          <w:szCs w:val="27"/>
          <w:highlight w:val="none"/>
        </w:rPr>
        <w:t>   标项名称:</w:t>
      </w:r>
      <w:r>
        <w:rPr>
          <w:rFonts w:hint="eastAsia" w:ascii="仿宋" w:hAnsi="仿宋" w:eastAsia="仿宋" w:cs="仿宋"/>
          <w:sz w:val="27"/>
          <w:szCs w:val="27"/>
          <w:highlight w:val="none"/>
          <w:lang w:eastAsia="zh-CN"/>
        </w:rPr>
        <w:t xml:space="preserve"> 交互式智能平板、电子班牌、讲桌</w:t>
      </w:r>
    </w:p>
    <w:p w14:paraId="3D6BAA50">
      <w:pPr>
        <w:pStyle w:val="42"/>
        <w:shd w:val="clear" w:color="auto" w:fill="F7F7F7"/>
        <w:spacing w:before="75" w:beforeAutospacing="0" w:after="75" w:afterAutospacing="0"/>
        <w:rPr>
          <w:rStyle w:val="97"/>
          <w:rFonts w:hint="eastAsia" w:ascii="仿宋" w:hAnsi="仿宋" w:eastAsia="仿宋" w:cs="仿宋"/>
          <w:sz w:val="27"/>
          <w:szCs w:val="27"/>
          <w:highlight w:val="none"/>
          <w:lang w:eastAsia="zh-CN"/>
        </w:rPr>
      </w:pPr>
      <w:r>
        <w:rPr>
          <w:rFonts w:hint="eastAsia" w:ascii="仿宋" w:hAnsi="仿宋" w:eastAsia="仿宋" w:cs="仿宋"/>
          <w:sz w:val="27"/>
          <w:szCs w:val="27"/>
          <w:highlight w:val="none"/>
        </w:rPr>
        <w:t>   数量:</w:t>
      </w:r>
      <w:r>
        <w:rPr>
          <w:rStyle w:val="97"/>
          <w:rFonts w:hint="eastAsia" w:ascii="仿宋" w:hAnsi="仿宋" w:eastAsia="仿宋" w:cs="仿宋"/>
          <w:sz w:val="27"/>
          <w:szCs w:val="27"/>
          <w:highlight w:val="none"/>
        </w:rPr>
        <w:t>1</w:t>
      </w:r>
    </w:p>
    <w:p w14:paraId="46095B5D">
      <w:pPr>
        <w:pStyle w:val="42"/>
        <w:shd w:val="clear" w:color="auto" w:fill="F7F7F7"/>
        <w:spacing w:before="75" w:beforeAutospacing="0" w:after="75" w:afterAutospacing="0"/>
        <w:rPr>
          <w:rFonts w:hint="eastAsia" w:ascii="仿宋" w:hAnsi="仿宋" w:eastAsia="仿宋" w:cs="仿宋"/>
          <w:sz w:val="27"/>
          <w:szCs w:val="27"/>
          <w:highlight w:val="none"/>
          <w:lang w:val="en-US" w:eastAsia="zh-CN"/>
        </w:rPr>
      </w:pPr>
      <w:r>
        <w:rPr>
          <w:rFonts w:hint="eastAsia" w:ascii="仿宋" w:hAnsi="仿宋" w:eastAsia="仿宋" w:cs="仿宋"/>
          <w:sz w:val="27"/>
          <w:szCs w:val="27"/>
          <w:highlight w:val="none"/>
        </w:rPr>
        <w:t>   预算金额（元）:</w:t>
      </w:r>
      <w:r>
        <w:rPr>
          <w:rFonts w:hint="eastAsia" w:ascii="仿宋" w:hAnsi="仿宋" w:eastAsia="仿宋" w:cs="仿宋"/>
          <w:sz w:val="27"/>
          <w:szCs w:val="27"/>
          <w:highlight w:val="none"/>
          <w:lang w:val="en-US" w:eastAsia="zh-CN"/>
        </w:rPr>
        <w:t>1370000</w:t>
      </w:r>
    </w:p>
    <w:p w14:paraId="3E94D31C">
      <w:pPr>
        <w:pStyle w:val="42"/>
        <w:shd w:val="clear" w:color="auto" w:fill="F7F7F7"/>
        <w:spacing w:before="75" w:beforeAutospacing="0" w:after="75" w:afterAutospacing="0"/>
        <w:rPr>
          <w:rStyle w:val="97"/>
          <w:rFonts w:hint="eastAsia" w:ascii="仿宋" w:hAnsi="仿宋" w:eastAsia="仿宋" w:cs="仿宋"/>
          <w:sz w:val="27"/>
          <w:szCs w:val="27"/>
          <w:highlight w:val="none"/>
          <w:lang w:eastAsia="zh-CN"/>
        </w:rPr>
      </w:pPr>
      <w:r>
        <w:rPr>
          <w:rFonts w:hint="eastAsia" w:ascii="仿宋" w:hAnsi="仿宋" w:eastAsia="仿宋" w:cs="仿宋"/>
          <w:sz w:val="27"/>
          <w:szCs w:val="27"/>
          <w:highlight w:val="none"/>
        </w:rPr>
        <w:t>   简要规格描述或项目基本概况介绍、用途：</w:t>
      </w:r>
      <w:r>
        <w:rPr>
          <w:rStyle w:val="97"/>
          <w:rFonts w:hint="eastAsia" w:ascii="仿宋" w:hAnsi="仿宋" w:eastAsia="仿宋" w:cs="仿宋"/>
          <w:sz w:val="27"/>
          <w:szCs w:val="27"/>
          <w:highlight w:val="none"/>
        </w:rPr>
        <w:t>详见采购文件</w:t>
      </w:r>
    </w:p>
    <w:p w14:paraId="55EC10EB">
      <w:pPr>
        <w:pStyle w:val="42"/>
        <w:shd w:val="clear" w:color="auto" w:fill="F7F7F7"/>
        <w:spacing w:before="75" w:beforeAutospacing="0" w:after="75" w:afterAutospacing="0"/>
        <w:rPr>
          <w:rFonts w:hint="eastAsia" w:ascii="仿宋" w:hAnsi="仿宋" w:eastAsia="仿宋" w:cs="仿宋"/>
          <w:sz w:val="27"/>
          <w:szCs w:val="27"/>
          <w:highlight w:val="none"/>
        </w:rPr>
      </w:pPr>
      <w:r>
        <w:rPr>
          <w:rFonts w:hint="eastAsia" w:ascii="仿宋" w:hAnsi="仿宋" w:eastAsia="仿宋" w:cs="仿宋"/>
          <w:sz w:val="27"/>
          <w:szCs w:val="27"/>
          <w:highlight w:val="none"/>
        </w:rPr>
        <w:t>   备注：</w:t>
      </w:r>
    </w:p>
    <w:p w14:paraId="355D0852">
      <w:pPr>
        <w:pStyle w:val="42"/>
        <w:shd w:val="clear" w:color="auto" w:fill="F7F7F7"/>
        <w:spacing w:before="75" w:beforeAutospacing="0" w:after="75" w:afterAutospacing="0"/>
        <w:rPr>
          <w:rStyle w:val="97"/>
          <w:rFonts w:hint="eastAsia" w:ascii="仿宋" w:hAnsi="仿宋" w:eastAsia="仿宋" w:cs="仿宋"/>
          <w:sz w:val="27"/>
          <w:szCs w:val="27"/>
          <w:highlight w:val="none"/>
          <w:lang w:eastAsia="zh-CN"/>
        </w:rPr>
      </w:pPr>
      <w:r>
        <w:rPr>
          <w:rStyle w:val="97"/>
          <w:rFonts w:hint="eastAsia" w:ascii="仿宋" w:hAnsi="仿宋" w:eastAsia="仿宋" w:cs="仿宋"/>
          <w:sz w:val="27"/>
          <w:szCs w:val="27"/>
          <w:highlight w:val="none"/>
        </w:rPr>
        <w:t>标项</w:t>
      </w:r>
      <w:r>
        <w:rPr>
          <w:rStyle w:val="97"/>
          <w:rFonts w:hint="eastAsia" w:ascii="仿宋" w:hAnsi="仿宋" w:eastAsia="仿宋" w:cs="仿宋"/>
          <w:sz w:val="27"/>
          <w:szCs w:val="27"/>
          <w:highlight w:val="none"/>
          <w:lang w:eastAsia="zh-CN"/>
        </w:rPr>
        <w:t>四</w:t>
      </w:r>
    </w:p>
    <w:p w14:paraId="7393F920">
      <w:pPr>
        <w:pStyle w:val="42"/>
        <w:shd w:val="clear" w:color="auto" w:fill="F7F7F7"/>
        <w:spacing w:before="75" w:beforeAutospacing="0" w:after="75" w:afterAutospacing="0"/>
        <w:rPr>
          <w:rFonts w:hint="eastAsia" w:ascii="仿宋" w:hAnsi="仿宋" w:eastAsia="仿宋" w:cs="仿宋"/>
          <w:sz w:val="27"/>
          <w:szCs w:val="27"/>
          <w:highlight w:val="none"/>
          <w:lang w:eastAsia="zh-CN"/>
        </w:rPr>
      </w:pPr>
      <w:r>
        <w:rPr>
          <w:rFonts w:hint="eastAsia" w:ascii="仿宋" w:hAnsi="仿宋" w:eastAsia="仿宋" w:cs="仿宋"/>
          <w:sz w:val="27"/>
          <w:szCs w:val="27"/>
          <w:highlight w:val="none"/>
        </w:rPr>
        <w:t>   标项名称: 课堂反馈、精品录播教室</w:t>
      </w:r>
    </w:p>
    <w:p w14:paraId="44B812E8">
      <w:pPr>
        <w:pStyle w:val="42"/>
        <w:shd w:val="clear" w:color="auto" w:fill="F7F7F7"/>
        <w:spacing w:before="75" w:beforeAutospacing="0" w:after="75" w:afterAutospacing="0"/>
        <w:rPr>
          <w:rStyle w:val="97"/>
          <w:rFonts w:hint="eastAsia" w:ascii="仿宋" w:hAnsi="仿宋" w:eastAsia="仿宋" w:cs="仿宋"/>
          <w:sz w:val="27"/>
          <w:szCs w:val="27"/>
          <w:highlight w:val="none"/>
          <w:lang w:eastAsia="zh-CN"/>
        </w:rPr>
      </w:pPr>
      <w:r>
        <w:rPr>
          <w:rFonts w:hint="eastAsia" w:ascii="仿宋" w:hAnsi="仿宋" w:eastAsia="仿宋" w:cs="仿宋"/>
          <w:sz w:val="27"/>
          <w:szCs w:val="27"/>
          <w:highlight w:val="none"/>
        </w:rPr>
        <w:t>   数量:</w:t>
      </w:r>
      <w:r>
        <w:rPr>
          <w:rStyle w:val="97"/>
          <w:rFonts w:hint="eastAsia" w:ascii="仿宋" w:hAnsi="仿宋" w:eastAsia="仿宋" w:cs="仿宋"/>
          <w:sz w:val="27"/>
          <w:szCs w:val="27"/>
          <w:highlight w:val="none"/>
        </w:rPr>
        <w:t>1</w:t>
      </w:r>
    </w:p>
    <w:p w14:paraId="32368BE1">
      <w:pPr>
        <w:pStyle w:val="42"/>
        <w:shd w:val="clear" w:color="auto" w:fill="F7F7F7"/>
        <w:spacing w:before="75" w:beforeAutospacing="0" w:after="75" w:afterAutospacing="0"/>
        <w:rPr>
          <w:rFonts w:hint="eastAsia" w:ascii="仿宋" w:hAnsi="仿宋" w:eastAsia="仿宋" w:cs="仿宋"/>
          <w:sz w:val="27"/>
          <w:szCs w:val="27"/>
          <w:highlight w:val="none"/>
          <w:lang w:val="en-US" w:eastAsia="zh-CN"/>
        </w:rPr>
      </w:pPr>
      <w:r>
        <w:rPr>
          <w:rFonts w:hint="eastAsia" w:ascii="仿宋" w:hAnsi="仿宋" w:eastAsia="仿宋" w:cs="仿宋"/>
          <w:sz w:val="27"/>
          <w:szCs w:val="27"/>
          <w:highlight w:val="none"/>
        </w:rPr>
        <w:t>   预算金额（元）:</w:t>
      </w:r>
      <w:r>
        <w:rPr>
          <w:rFonts w:hint="eastAsia" w:ascii="仿宋" w:hAnsi="仿宋" w:eastAsia="仿宋" w:cs="仿宋"/>
          <w:sz w:val="27"/>
          <w:szCs w:val="27"/>
          <w:highlight w:val="none"/>
          <w:lang w:val="en-US" w:eastAsia="zh-CN"/>
        </w:rPr>
        <w:t>3080000</w:t>
      </w:r>
    </w:p>
    <w:p w14:paraId="48BB487B">
      <w:pPr>
        <w:pStyle w:val="42"/>
        <w:shd w:val="clear" w:color="auto" w:fill="F7F7F7"/>
        <w:spacing w:before="75" w:beforeAutospacing="0" w:after="75" w:afterAutospacing="0"/>
        <w:rPr>
          <w:rStyle w:val="97"/>
          <w:rFonts w:hint="eastAsia" w:ascii="仿宋" w:hAnsi="仿宋" w:eastAsia="仿宋" w:cs="仿宋"/>
          <w:sz w:val="27"/>
          <w:szCs w:val="27"/>
          <w:highlight w:val="none"/>
          <w:lang w:eastAsia="zh-CN"/>
        </w:rPr>
      </w:pPr>
      <w:r>
        <w:rPr>
          <w:rFonts w:hint="eastAsia" w:ascii="仿宋" w:hAnsi="仿宋" w:eastAsia="仿宋" w:cs="仿宋"/>
          <w:sz w:val="27"/>
          <w:szCs w:val="27"/>
          <w:highlight w:val="none"/>
        </w:rPr>
        <w:t>   简要规格描述或项目基本概况介绍、用途：</w:t>
      </w:r>
      <w:r>
        <w:rPr>
          <w:rStyle w:val="97"/>
          <w:rFonts w:hint="eastAsia" w:ascii="仿宋" w:hAnsi="仿宋" w:eastAsia="仿宋" w:cs="仿宋"/>
          <w:sz w:val="27"/>
          <w:szCs w:val="27"/>
          <w:highlight w:val="none"/>
        </w:rPr>
        <w:t>详见采购文件</w:t>
      </w:r>
    </w:p>
    <w:p w14:paraId="6F623BBD">
      <w:pPr>
        <w:pStyle w:val="42"/>
        <w:shd w:val="clear" w:color="auto" w:fill="F7F7F7"/>
        <w:spacing w:before="75" w:beforeAutospacing="0" w:after="75" w:afterAutospacing="0"/>
        <w:rPr>
          <w:rFonts w:hint="eastAsia" w:ascii="仿宋" w:hAnsi="仿宋" w:eastAsia="仿宋" w:cs="仿宋"/>
          <w:sz w:val="27"/>
          <w:szCs w:val="27"/>
          <w:highlight w:val="none"/>
        </w:rPr>
      </w:pPr>
      <w:r>
        <w:rPr>
          <w:rFonts w:hint="eastAsia" w:ascii="仿宋" w:hAnsi="仿宋" w:eastAsia="仿宋" w:cs="仿宋"/>
          <w:sz w:val="27"/>
          <w:szCs w:val="27"/>
          <w:highlight w:val="none"/>
        </w:rPr>
        <w:t>   备注：</w:t>
      </w:r>
    </w:p>
    <w:p w14:paraId="3247DC3C">
      <w:pPr>
        <w:pStyle w:val="42"/>
        <w:shd w:val="clear" w:color="auto" w:fill="F7F7F7"/>
        <w:spacing w:before="75" w:beforeAutospacing="0" w:after="75" w:afterAutospacing="0"/>
        <w:rPr>
          <w:rStyle w:val="97"/>
          <w:rFonts w:hint="eastAsia" w:ascii="仿宋" w:hAnsi="仿宋" w:eastAsia="仿宋" w:cs="仿宋"/>
          <w:sz w:val="27"/>
          <w:szCs w:val="27"/>
          <w:highlight w:val="none"/>
          <w:lang w:eastAsia="zh-CN"/>
        </w:rPr>
      </w:pPr>
      <w:r>
        <w:rPr>
          <w:rStyle w:val="97"/>
          <w:rFonts w:hint="eastAsia" w:ascii="仿宋" w:hAnsi="仿宋" w:eastAsia="仿宋" w:cs="仿宋"/>
          <w:sz w:val="27"/>
          <w:szCs w:val="27"/>
          <w:highlight w:val="none"/>
        </w:rPr>
        <w:t>标项</w:t>
      </w:r>
      <w:r>
        <w:rPr>
          <w:rStyle w:val="97"/>
          <w:rFonts w:hint="eastAsia" w:ascii="仿宋" w:hAnsi="仿宋" w:eastAsia="仿宋" w:cs="仿宋"/>
          <w:sz w:val="27"/>
          <w:szCs w:val="27"/>
          <w:highlight w:val="none"/>
          <w:lang w:eastAsia="zh-CN"/>
        </w:rPr>
        <w:t>五</w:t>
      </w:r>
    </w:p>
    <w:p w14:paraId="7B2212B3">
      <w:pPr>
        <w:pStyle w:val="42"/>
        <w:shd w:val="clear" w:color="auto" w:fill="F7F7F7"/>
        <w:spacing w:before="75" w:beforeAutospacing="0" w:after="75" w:afterAutospacing="0"/>
        <w:rPr>
          <w:rFonts w:hint="eastAsia" w:ascii="仿宋" w:hAnsi="仿宋" w:eastAsia="仿宋" w:cs="仿宋"/>
          <w:sz w:val="27"/>
          <w:szCs w:val="27"/>
          <w:highlight w:val="none"/>
          <w:lang w:eastAsia="zh-CN"/>
        </w:rPr>
      </w:pPr>
      <w:r>
        <w:rPr>
          <w:rFonts w:hint="eastAsia" w:ascii="仿宋" w:hAnsi="仿宋" w:eastAsia="仿宋" w:cs="仿宋"/>
          <w:sz w:val="27"/>
          <w:szCs w:val="27"/>
          <w:highlight w:val="none"/>
        </w:rPr>
        <w:t>   标项名称:</w:t>
      </w:r>
      <w:r>
        <w:rPr>
          <w:rFonts w:hint="eastAsia" w:ascii="仿宋" w:hAnsi="仿宋" w:eastAsia="仿宋" w:cs="仿宋"/>
          <w:sz w:val="27"/>
          <w:szCs w:val="27"/>
          <w:highlight w:val="none"/>
          <w:lang w:eastAsia="zh-CN"/>
        </w:rPr>
        <w:t>计算机教室</w:t>
      </w:r>
    </w:p>
    <w:p w14:paraId="0CDD7221">
      <w:pPr>
        <w:pStyle w:val="42"/>
        <w:shd w:val="clear" w:color="auto" w:fill="F7F7F7"/>
        <w:spacing w:before="75" w:beforeAutospacing="0" w:after="75" w:afterAutospacing="0"/>
        <w:rPr>
          <w:rStyle w:val="97"/>
          <w:rFonts w:hint="eastAsia" w:ascii="仿宋" w:hAnsi="仿宋" w:eastAsia="仿宋" w:cs="仿宋"/>
          <w:sz w:val="27"/>
          <w:szCs w:val="27"/>
          <w:highlight w:val="none"/>
          <w:lang w:eastAsia="zh-CN"/>
        </w:rPr>
      </w:pPr>
      <w:r>
        <w:rPr>
          <w:rFonts w:hint="eastAsia" w:ascii="仿宋" w:hAnsi="仿宋" w:eastAsia="仿宋" w:cs="仿宋"/>
          <w:sz w:val="27"/>
          <w:szCs w:val="27"/>
          <w:highlight w:val="none"/>
        </w:rPr>
        <w:t>   数量:</w:t>
      </w:r>
      <w:r>
        <w:rPr>
          <w:rStyle w:val="97"/>
          <w:rFonts w:hint="eastAsia" w:ascii="仿宋" w:hAnsi="仿宋" w:eastAsia="仿宋" w:cs="仿宋"/>
          <w:sz w:val="27"/>
          <w:szCs w:val="27"/>
          <w:highlight w:val="none"/>
        </w:rPr>
        <w:t>1</w:t>
      </w:r>
    </w:p>
    <w:p w14:paraId="280D95AC">
      <w:pPr>
        <w:pStyle w:val="42"/>
        <w:shd w:val="clear" w:color="auto" w:fill="F7F7F7"/>
        <w:spacing w:before="75" w:beforeAutospacing="0" w:after="75" w:afterAutospacing="0"/>
        <w:rPr>
          <w:rFonts w:hint="eastAsia" w:ascii="仿宋" w:hAnsi="仿宋" w:eastAsia="仿宋" w:cs="仿宋"/>
          <w:sz w:val="27"/>
          <w:szCs w:val="27"/>
          <w:highlight w:val="none"/>
          <w:lang w:val="en-US" w:eastAsia="zh-CN"/>
        </w:rPr>
      </w:pPr>
      <w:r>
        <w:rPr>
          <w:rFonts w:hint="eastAsia" w:ascii="仿宋" w:hAnsi="仿宋" w:eastAsia="仿宋" w:cs="仿宋"/>
          <w:sz w:val="27"/>
          <w:szCs w:val="27"/>
          <w:highlight w:val="none"/>
        </w:rPr>
        <w:t>   预算金额（元）:</w:t>
      </w:r>
      <w:r>
        <w:rPr>
          <w:rFonts w:hint="eastAsia" w:ascii="仿宋" w:hAnsi="仿宋" w:eastAsia="仿宋" w:cs="仿宋"/>
          <w:sz w:val="27"/>
          <w:szCs w:val="27"/>
          <w:highlight w:val="none"/>
          <w:lang w:val="en-US" w:eastAsia="zh-CN"/>
        </w:rPr>
        <w:t>1350000</w:t>
      </w:r>
    </w:p>
    <w:p w14:paraId="560C9D0F">
      <w:pPr>
        <w:pStyle w:val="42"/>
        <w:shd w:val="clear" w:color="auto" w:fill="F7F7F7"/>
        <w:spacing w:before="75" w:beforeAutospacing="0" w:after="75" w:afterAutospacing="0"/>
        <w:rPr>
          <w:rStyle w:val="97"/>
          <w:rFonts w:hint="eastAsia" w:ascii="仿宋" w:hAnsi="仿宋" w:eastAsia="仿宋" w:cs="仿宋"/>
          <w:sz w:val="27"/>
          <w:szCs w:val="27"/>
          <w:highlight w:val="none"/>
          <w:lang w:eastAsia="zh-CN"/>
        </w:rPr>
      </w:pPr>
      <w:r>
        <w:rPr>
          <w:rFonts w:hint="eastAsia" w:ascii="仿宋" w:hAnsi="仿宋" w:eastAsia="仿宋" w:cs="仿宋"/>
          <w:sz w:val="27"/>
          <w:szCs w:val="27"/>
          <w:highlight w:val="none"/>
        </w:rPr>
        <w:t>   简要规格描述或项目基本概况介绍、用途：</w:t>
      </w:r>
      <w:r>
        <w:rPr>
          <w:rStyle w:val="97"/>
          <w:rFonts w:hint="eastAsia" w:ascii="仿宋" w:hAnsi="仿宋" w:eastAsia="仿宋" w:cs="仿宋"/>
          <w:sz w:val="27"/>
          <w:szCs w:val="27"/>
          <w:highlight w:val="none"/>
        </w:rPr>
        <w:t>详见采购文件</w:t>
      </w:r>
    </w:p>
    <w:p w14:paraId="1C94545F">
      <w:pPr>
        <w:pStyle w:val="42"/>
        <w:shd w:val="clear" w:color="auto" w:fill="F7F7F7"/>
        <w:spacing w:before="75" w:beforeAutospacing="0" w:after="75" w:afterAutospacing="0"/>
        <w:rPr>
          <w:rFonts w:hint="eastAsia" w:ascii="仿宋" w:hAnsi="仿宋" w:eastAsia="仿宋" w:cs="仿宋"/>
          <w:sz w:val="27"/>
          <w:szCs w:val="27"/>
          <w:highlight w:val="none"/>
        </w:rPr>
      </w:pPr>
      <w:r>
        <w:rPr>
          <w:rFonts w:hint="eastAsia" w:ascii="仿宋" w:hAnsi="仿宋" w:eastAsia="仿宋" w:cs="仿宋"/>
          <w:sz w:val="27"/>
          <w:szCs w:val="27"/>
          <w:highlight w:val="none"/>
        </w:rPr>
        <w:t>   备注：</w:t>
      </w:r>
    </w:p>
    <w:p w14:paraId="271B2394">
      <w:pPr>
        <w:pStyle w:val="42"/>
        <w:shd w:val="clear" w:color="auto" w:fill="F7F7F7"/>
        <w:spacing w:before="75" w:beforeAutospacing="0" w:after="75" w:afterAutospacing="0"/>
        <w:rPr>
          <w:rStyle w:val="97"/>
          <w:rFonts w:hint="eastAsia" w:ascii="仿宋" w:hAnsi="仿宋" w:eastAsia="仿宋" w:cs="仿宋"/>
          <w:sz w:val="27"/>
          <w:szCs w:val="27"/>
          <w:highlight w:val="none"/>
          <w:lang w:eastAsia="zh-CN"/>
        </w:rPr>
      </w:pPr>
      <w:r>
        <w:rPr>
          <w:rStyle w:val="97"/>
          <w:rFonts w:hint="eastAsia" w:ascii="仿宋" w:hAnsi="仿宋" w:eastAsia="仿宋" w:cs="仿宋"/>
          <w:sz w:val="27"/>
          <w:szCs w:val="27"/>
          <w:highlight w:val="none"/>
        </w:rPr>
        <w:t>标项</w:t>
      </w:r>
      <w:r>
        <w:rPr>
          <w:rStyle w:val="97"/>
          <w:rFonts w:hint="eastAsia" w:ascii="仿宋" w:hAnsi="仿宋" w:eastAsia="仿宋" w:cs="仿宋"/>
          <w:sz w:val="27"/>
          <w:szCs w:val="27"/>
          <w:highlight w:val="none"/>
          <w:lang w:eastAsia="zh-CN"/>
        </w:rPr>
        <w:t>六</w:t>
      </w:r>
    </w:p>
    <w:p w14:paraId="3CAB8DBD">
      <w:pPr>
        <w:pStyle w:val="42"/>
        <w:shd w:val="clear" w:color="auto" w:fill="F7F7F7"/>
        <w:spacing w:before="75" w:beforeAutospacing="0" w:after="75" w:afterAutospacing="0"/>
        <w:rPr>
          <w:rFonts w:hint="eastAsia" w:ascii="仿宋" w:hAnsi="仿宋" w:eastAsia="仿宋" w:cs="仿宋"/>
          <w:sz w:val="27"/>
          <w:szCs w:val="27"/>
          <w:highlight w:val="none"/>
          <w:lang w:val="en-US" w:eastAsia="zh-CN"/>
        </w:rPr>
      </w:pPr>
      <w:r>
        <w:rPr>
          <w:rFonts w:hint="eastAsia" w:ascii="仿宋" w:hAnsi="仿宋" w:eastAsia="仿宋" w:cs="仿宋"/>
          <w:sz w:val="27"/>
          <w:szCs w:val="27"/>
          <w:highlight w:val="none"/>
        </w:rPr>
        <w:t xml:space="preserve">   标项名称: </w:t>
      </w:r>
      <w:r>
        <w:rPr>
          <w:rFonts w:hint="eastAsia" w:ascii="仿宋" w:hAnsi="仿宋" w:eastAsia="仿宋" w:cs="仿宋"/>
          <w:sz w:val="27"/>
          <w:szCs w:val="27"/>
          <w:highlight w:val="none"/>
          <w:lang w:val="en-US" w:eastAsia="zh-CN"/>
        </w:rPr>
        <w:t>创客教室、化学吊装实验室、虚拟现实教室</w:t>
      </w:r>
    </w:p>
    <w:p w14:paraId="44A19651">
      <w:pPr>
        <w:pStyle w:val="42"/>
        <w:shd w:val="clear" w:color="auto" w:fill="F7F7F7"/>
        <w:spacing w:before="75" w:beforeAutospacing="0" w:after="75" w:afterAutospacing="0"/>
        <w:rPr>
          <w:rStyle w:val="97"/>
          <w:rFonts w:hint="eastAsia" w:ascii="仿宋" w:hAnsi="仿宋" w:eastAsia="仿宋" w:cs="仿宋"/>
          <w:sz w:val="27"/>
          <w:szCs w:val="27"/>
          <w:highlight w:val="none"/>
          <w:lang w:eastAsia="zh-CN"/>
        </w:rPr>
      </w:pPr>
      <w:r>
        <w:rPr>
          <w:rFonts w:hint="eastAsia" w:ascii="仿宋" w:hAnsi="仿宋" w:eastAsia="仿宋" w:cs="仿宋"/>
          <w:sz w:val="27"/>
          <w:szCs w:val="27"/>
          <w:highlight w:val="none"/>
        </w:rPr>
        <w:t>   数量:</w:t>
      </w:r>
      <w:r>
        <w:rPr>
          <w:rStyle w:val="97"/>
          <w:rFonts w:hint="eastAsia" w:ascii="仿宋" w:hAnsi="仿宋" w:eastAsia="仿宋" w:cs="仿宋"/>
          <w:sz w:val="27"/>
          <w:szCs w:val="27"/>
          <w:highlight w:val="none"/>
        </w:rPr>
        <w:t>1</w:t>
      </w:r>
    </w:p>
    <w:p w14:paraId="410E14BF">
      <w:pPr>
        <w:pStyle w:val="42"/>
        <w:shd w:val="clear" w:color="auto" w:fill="F7F7F7"/>
        <w:spacing w:before="75" w:beforeAutospacing="0" w:after="75" w:afterAutospacing="0"/>
        <w:rPr>
          <w:rFonts w:hint="eastAsia" w:ascii="仿宋" w:hAnsi="仿宋" w:eastAsia="仿宋" w:cs="仿宋"/>
          <w:sz w:val="27"/>
          <w:szCs w:val="27"/>
          <w:highlight w:val="none"/>
          <w:lang w:val="en-US" w:eastAsia="zh-CN"/>
        </w:rPr>
      </w:pPr>
      <w:r>
        <w:rPr>
          <w:rFonts w:hint="eastAsia" w:ascii="仿宋" w:hAnsi="仿宋" w:eastAsia="仿宋" w:cs="仿宋"/>
          <w:sz w:val="27"/>
          <w:szCs w:val="27"/>
          <w:highlight w:val="none"/>
        </w:rPr>
        <w:t>   预算金额（元）:</w:t>
      </w:r>
      <w:r>
        <w:rPr>
          <w:rFonts w:hint="eastAsia" w:ascii="仿宋" w:hAnsi="仿宋" w:eastAsia="仿宋" w:cs="仿宋"/>
          <w:sz w:val="27"/>
          <w:szCs w:val="27"/>
          <w:highlight w:val="none"/>
          <w:lang w:val="en-US" w:eastAsia="zh-CN"/>
        </w:rPr>
        <w:t>2370000</w:t>
      </w:r>
    </w:p>
    <w:p w14:paraId="78712FC3">
      <w:pPr>
        <w:pStyle w:val="42"/>
        <w:shd w:val="clear" w:color="auto" w:fill="F7F7F7"/>
        <w:spacing w:before="75" w:beforeAutospacing="0" w:after="75" w:afterAutospacing="0"/>
        <w:rPr>
          <w:rStyle w:val="97"/>
          <w:rFonts w:hint="eastAsia" w:ascii="仿宋" w:hAnsi="仿宋" w:eastAsia="仿宋" w:cs="仿宋"/>
          <w:sz w:val="27"/>
          <w:szCs w:val="27"/>
          <w:highlight w:val="none"/>
          <w:lang w:eastAsia="zh-CN"/>
        </w:rPr>
      </w:pPr>
      <w:r>
        <w:rPr>
          <w:rFonts w:hint="eastAsia" w:ascii="仿宋" w:hAnsi="仿宋" w:eastAsia="仿宋" w:cs="仿宋"/>
          <w:sz w:val="27"/>
          <w:szCs w:val="27"/>
          <w:highlight w:val="none"/>
        </w:rPr>
        <w:t>   简要规格描述或项目基本概况介绍、用途：</w:t>
      </w:r>
      <w:r>
        <w:rPr>
          <w:rStyle w:val="97"/>
          <w:rFonts w:hint="eastAsia" w:ascii="仿宋" w:hAnsi="仿宋" w:eastAsia="仿宋" w:cs="仿宋"/>
          <w:sz w:val="27"/>
          <w:szCs w:val="27"/>
          <w:highlight w:val="none"/>
        </w:rPr>
        <w:t>详见采购文件</w:t>
      </w:r>
    </w:p>
    <w:p w14:paraId="1EE80BB6">
      <w:pPr>
        <w:pStyle w:val="42"/>
        <w:shd w:val="clear" w:color="auto" w:fill="F7F7F7"/>
        <w:spacing w:before="75" w:beforeAutospacing="0" w:after="75" w:afterAutospacing="0"/>
        <w:rPr>
          <w:rFonts w:hint="eastAsia" w:ascii="仿宋" w:hAnsi="仿宋" w:eastAsia="仿宋" w:cs="仿宋"/>
          <w:sz w:val="27"/>
          <w:szCs w:val="27"/>
          <w:highlight w:val="none"/>
        </w:rPr>
      </w:pPr>
      <w:r>
        <w:rPr>
          <w:rFonts w:hint="eastAsia" w:ascii="仿宋" w:hAnsi="仿宋" w:eastAsia="仿宋" w:cs="仿宋"/>
          <w:sz w:val="27"/>
          <w:szCs w:val="27"/>
          <w:highlight w:val="none"/>
        </w:rPr>
        <w:t>   备注：</w:t>
      </w:r>
    </w:p>
    <w:p w14:paraId="6150C5FD">
      <w:pPr>
        <w:pStyle w:val="42"/>
        <w:shd w:val="clear" w:color="auto" w:fill="F7F7F7"/>
        <w:spacing w:before="75" w:beforeAutospacing="0" w:after="75" w:afterAutospacing="0"/>
        <w:rPr>
          <w:rStyle w:val="97"/>
          <w:rFonts w:hint="eastAsia" w:ascii="仿宋" w:hAnsi="仿宋" w:eastAsia="仿宋" w:cs="仿宋"/>
          <w:sz w:val="27"/>
          <w:szCs w:val="27"/>
          <w:highlight w:val="none"/>
          <w:lang w:eastAsia="zh-CN"/>
        </w:rPr>
      </w:pPr>
      <w:r>
        <w:rPr>
          <w:rStyle w:val="97"/>
          <w:rFonts w:hint="eastAsia" w:ascii="仿宋" w:hAnsi="仿宋" w:eastAsia="仿宋" w:cs="仿宋"/>
          <w:sz w:val="27"/>
          <w:szCs w:val="27"/>
          <w:highlight w:val="none"/>
        </w:rPr>
        <w:t>标项</w:t>
      </w:r>
      <w:r>
        <w:rPr>
          <w:rStyle w:val="97"/>
          <w:rFonts w:hint="eastAsia" w:ascii="仿宋" w:hAnsi="仿宋" w:eastAsia="仿宋" w:cs="仿宋"/>
          <w:sz w:val="27"/>
          <w:szCs w:val="27"/>
          <w:highlight w:val="none"/>
          <w:lang w:eastAsia="zh-CN"/>
        </w:rPr>
        <w:t>七</w:t>
      </w:r>
    </w:p>
    <w:p w14:paraId="46C769BC">
      <w:pPr>
        <w:pStyle w:val="42"/>
        <w:shd w:val="clear" w:color="auto" w:fill="F7F7F7"/>
        <w:spacing w:before="75" w:beforeAutospacing="0" w:after="75" w:afterAutospacing="0"/>
        <w:rPr>
          <w:rFonts w:hint="eastAsia" w:ascii="仿宋" w:hAnsi="仿宋" w:eastAsia="仿宋" w:cs="仿宋"/>
          <w:sz w:val="27"/>
          <w:szCs w:val="27"/>
          <w:highlight w:val="none"/>
          <w:lang w:val="en-US" w:eastAsia="zh-CN"/>
        </w:rPr>
      </w:pPr>
      <w:r>
        <w:rPr>
          <w:rFonts w:hint="eastAsia" w:ascii="仿宋" w:hAnsi="仿宋" w:eastAsia="仿宋" w:cs="仿宋"/>
          <w:sz w:val="27"/>
          <w:szCs w:val="27"/>
          <w:highlight w:val="none"/>
        </w:rPr>
        <w:t xml:space="preserve">   标项名称: </w:t>
      </w:r>
      <w:r>
        <w:rPr>
          <w:rFonts w:hint="eastAsia" w:ascii="仿宋" w:hAnsi="仿宋" w:eastAsia="仿宋" w:cs="仿宋"/>
          <w:sz w:val="27"/>
          <w:szCs w:val="27"/>
          <w:highlight w:val="none"/>
          <w:lang w:val="en-US" w:eastAsia="zh-CN"/>
        </w:rPr>
        <w:t>音美体器材</w:t>
      </w:r>
    </w:p>
    <w:p w14:paraId="5322B7D9">
      <w:pPr>
        <w:pStyle w:val="42"/>
        <w:shd w:val="clear" w:color="auto" w:fill="F7F7F7"/>
        <w:spacing w:before="75" w:beforeAutospacing="0" w:after="75" w:afterAutospacing="0"/>
        <w:rPr>
          <w:rStyle w:val="97"/>
          <w:rFonts w:hint="eastAsia" w:ascii="仿宋" w:hAnsi="仿宋" w:eastAsia="仿宋" w:cs="仿宋"/>
          <w:sz w:val="27"/>
          <w:szCs w:val="27"/>
          <w:highlight w:val="none"/>
          <w:lang w:eastAsia="zh-CN"/>
        </w:rPr>
      </w:pPr>
      <w:r>
        <w:rPr>
          <w:rFonts w:hint="eastAsia" w:ascii="仿宋" w:hAnsi="仿宋" w:eastAsia="仿宋" w:cs="仿宋"/>
          <w:sz w:val="27"/>
          <w:szCs w:val="27"/>
          <w:highlight w:val="none"/>
        </w:rPr>
        <w:t>   数量:</w:t>
      </w:r>
      <w:r>
        <w:rPr>
          <w:rStyle w:val="97"/>
          <w:rFonts w:hint="eastAsia" w:ascii="仿宋" w:hAnsi="仿宋" w:eastAsia="仿宋" w:cs="仿宋"/>
          <w:sz w:val="27"/>
          <w:szCs w:val="27"/>
          <w:highlight w:val="none"/>
        </w:rPr>
        <w:t>1</w:t>
      </w:r>
    </w:p>
    <w:p w14:paraId="2329F846">
      <w:pPr>
        <w:pStyle w:val="42"/>
        <w:shd w:val="clear" w:color="auto" w:fill="F7F7F7"/>
        <w:spacing w:before="75" w:beforeAutospacing="0" w:after="75" w:afterAutospacing="0"/>
        <w:rPr>
          <w:rFonts w:hint="eastAsia" w:ascii="仿宋" w:hAnsi="仿宋" w:eastAsia="仿宋" w:cs="仿宋"/>
          <w:sz w:val="27"/>
          <w:szCs w:val="27"/>
          <w:highlight w:val="none"/>
          <w:lang w:eastAsia="zh-CN"/>
        </w:rPr>
      </w:pPr>
      <w:r>
        <w:rPr>
          <w:rFonts w:hint="eastAsia" w:ascii="仿宋" w:hAnsi="仿宋" w:eastAsia="仿宋" w:cs="仿宋"/>
          <w:sz w:val="27"/>
          <w:szCs w:val="27"/>
          <w:highlight w:val="none"/>
        </w:rPr>
        <w:t>   预算金额（元）:</w:t>
      </w:r>
      <w:r>
        <w:rPr>
          <w:rFonts w:hint="eastAsia" w:ascii="仿宋" w:hAnsi="仿宋" w:eastAsia="仿宋" w:cs="仿宋"/>
          <w:sz w:val="27"/>
          <w:szCs w:val="27"/>
          <w:highlight w:val="none"/>
          <w:lang w:val="en-US" w:eastAsia="zh-CN"/>
        </w:rPr>
        <w:t>206</w:t>
      </w:r>
      <w:r>
        <w:rPr>
          <w:rStyle w:val="97"/>
          <w:rFonts w:hint="eastAsia" w:ascii="仿宋" w:hAnsi="仿宋" w:eastAsia="仿宋" w:cs="仿宋"/>
          <w:sz w:val="27"/>
          <w:szCs w:val="27"/>
          <w:highlight w:val="none"/>
        </w:rPr>
        <w:t>0000</w:t>
      </w:r>
      <w:r>
        <w:rPr>
          <w:rFonts w:hint="eastAsia" w:ascii="仿宋" w:hAnsi="仿宋" w:eastAsia="仿宋" w:cs="仿宋"/>
          <w:sz w:val="27"/>
          <w:szCs w:val="27"/>
          <w:highlight w:val="none"/>
        </w:rPr>
        <w:t xml:space="preserve"> </w:t>
      </w:r>
    </w:p>
    <w:p w14:paraId="24D77BD1">
      <w:pPr>
        <w:pStyle w:val="42"/>
        <w:shd w:val="clear" w:color="auto" w:fill="F7F7F7"/>
        <w:spacing w:before="75" w:beforeAutospacing="0" w:after="75" w:afterAutospacing="0"/>
        <w:rPr>
          <w:rStyle w:val="97"/>
          <w:rFonts w:hint="eastAsia" w:ascii="仿宋" w:hAnsi="仿宋" w:eastAsia="仿宋" w:cs="仿宋"/>
          <w:sz w:val="27"/>
          <w:szCs w:val="27"/>
          <w:highlight w:val="none"/>
          <w:lang w:eastAsia="zh-CN"/>
        </w:rPr>
      </w:pPr>
      <w:r>
        <w:rPr>
          <w:rFonts w:hint="eastAsia" w:ascii="仿宋" w:hAnsi="仿宋" w:eastAsia="仿宋" w:cs="仿宋"/>
          <w:sz w:val="27"/>
          <w:szCs w:val="27"/>
          <w:highlight w:val="none"/>
        </w:rPr>
        <w:t>   简要规格描述或项目基本概况介绍、用途：</w:t>
      </w:r>
      <w:r>
        <w:rPr>
          <w:rStyle w:val="97"/>
          <w:rFonts w:hint="eastAsia" w:ascii="仿宋" w:hAnsi="仿宋" w:eastAsia="仿宋" w:cs="仿宋"/>
          <w:sz w:val="27"/>
          <w:szCs w:val="27"/>
          <w:highlight w:val="none"/>
        </w:rPr>
        <w:t>详见采购文件</w:t>
      </w:r>
    </w:p>
    <w:p w14:paraId="49270390">
      <w:pPr>
        <w:pStyle w:val="42"/>
        <w:shd w:val="clear" w:color="auto" w:fill="F7F7F7"/>
        <w:spacing w:before="75" w:beforeAutospacing="0" w:after="75" w:afterAutospacing="0"/>
        <w:rPr>
          <w:rFonts w:hint="eastAsia" w:ascii="仿宋" w:hAnsi="仿宋" w:eastAsia="仿宋" w:cs="仿宋"/>
          <w:sz w:val="27"/>
          <w:szCs w:val="27"/>
          <w:highlight w:val="none"/>
        </w:rPr>
      </w:pPr>
      <w:r>
        <w:rPr>
          <w:rFonts w:hint="eastAsia" w:ascii="仿宋" w:hAnsi="仿宋" w:eastAsia="仿宋" w:cs="仿宋"/>
          <w:sz w:val="27"/>
          <w:szCs w:val="27"/>
          <w:highlight w:val="none"/>
        </w:rPr>
        <w:t>   备注：</w:t>
      </w:r>
    </w:p>
    <w:p w14:paraId="75BA34D9">
      <w:pPr>
        <w:pStyle w:val="42"/>
        <w:shd w:val="clear" w:color="auto" w:fill="F7F7F7"/>
        <w:spacing w:before="75" w:beforeAutospacing="0" w:after="75" w:afterAutospacing="0"/>
        <w:rPr>
          <w:rStyle w:val="97"/>
          <w:rFonts w:hint="eastAsia" w:ascii="仿宋" w:hAnsi="仿宋" w:eastAsia="仿宋" w:cs="仿宋"/>
          <w:sz w:val="27"/>
          <w:szCs w:val="27"/>
          <w:highlight w:val="none"/>
          <w:lang w:eastAsia="zh-CN"/>
        </w:rPr>
      </w:pPr>
      <w:r>
        <w:rPr>
          <w:rStyle w:val="97"/>
          <w:rFonts w:hint="eastAsia" w:ascii="仿宋" w:hAnsi="仿宋" w:eastAsia="仿宋" w:cs="仿宋"/>
          <w:sz w:val="27"/>
          <w:szCs w:val="27"/>
          <w:highlight w:val="none"/>
        </w:rPr>
        <w:t>标项</w:t>
      </w:r>
      <w:r>
        <w:rPr>
          <w:rStyle w:val="97"/>
          <w:rFonts w:hint="eastAsia" w:ascii="仿宋" w:hAnsi="仿宋" w:eastAsia="仿宋" w:cs="仿宋"/>
          <w:sz w:val="27"/>
          <w:szCs w:val="27"/>
          <w:highlight w:val="none"/>
          <w:lang w:eastAsia="zh-CN"/>
        </w:rPr>
        <w:t>八</w:t>
      </w:r>
    </w:p>
    <w:p w14:paraId="0B6ABDCC">
      <w:pPr>
        <w:pStyle w:val="42"/>
        <w:shd w:val="clear" w:color="auto" w:fill="F7F7F7"/>
        <w:spacing w:before="75" w:beforeAutospacing="0" w:after="75" w:afterAutospacing="0"/>
        <w:rPr>
          <w:rFonts w:hint="eastAsia" w:ascii="仿宋" w:hAnsi="仿宋" w:eastAsia="仿宋" w:cs="仿宋"/>
          <w:sz w:val="27"/>
          <w:szCs w:val="27"/>
          <w:highlight w:val="none"/>
          <w:lang w:val="en-US" w:eastAsia="zh-CN"/>
        </w:rPr>
      </w:pPr>
      <w:r>
        <w:rPr>
          <w:rFonts w:hint="eastAsia" w:ascii="仿宋" w:hAnsi="仿宋" w:eastAsia="仿宋" w:cs="仿宋"/>
          <w:sz w:val="27"/>
          <w:szCs w:val="27"/>
          <w:highlight w:val="none"/>
        </w:rPr>
        <w:t xml:space="preserve">   标项名称: </w:t>
      </w:r>
      <w:r>
        <w:rPr>
          <w:rFonts w:hint="eastAsia" w:ascii="仿宋" w:hAnsi="仿宋" w:eastAsia="仿宋" w:cs="仿宋"/>
          <w:sz w:val="27"/>
          <w:szCs w:val="27"/>
          <w:highlight w:val="none"/>
          <w:lang w:val="en-US" w:eastAsia="zh-CN"/>
        </w:rPr>
        <w:t>卫生保健室设备</w:t>
      </w:r>
    </w:p>
    <w:p w14:paraId="771AAF5D">
      <w:pPr>
        <w:pStyle w:val="42"/>
        <w:shd w:val="clear" w:color="auto" w:fill="F7F7F7"/>
        <w:spacing w:before="75" w:beforeAutospacing="0" w:after="75" w:afterAutospacing="0"/>
        <w:rPr>
          <w:rStyle w:val="97"/>
          <w:rFonts w:hint="eastAsia" w:ascii="仿宋" w:hAnsi="仿宋" w:eastAsia="仿宋" w:cs="仿宋"/>
          <w:sz w:val="27"/>
          <w:szCs w:val="27"/>
          <w:highlight w:val="none"/>
          <w:lang w:eastAsia="zh-CN"/>
        </w:rPr>
      </w:pPr>
      <w:r>
        <w:rPr>
          <w:rFonts w:hint="eastAsia" w:ascii="仿宋" w:hAnsi="仿宋" w:eastAsia="仿宋" w:cs="仿宋"/>
          <w:sz w:val="27"/>
          <w:szCs w:val="27"/>
          <w:highlight w:val="none"/>
        </w:rPr>
        <w:t>   数量:</w:t>
      </w:r>
      <w:r>
        <w:rPr>
          <w:rStyle w:val="97"/>
          <w:rFonts w:hint="eastAsia" w:ascii="仿宋" w:hAnsi="仿宋" w:eastAsia="仿宋" w:cs="仿宋"/>
          <w:sz w:val="27"/>
          <w:szCs w:val="27"/>
          <w:highlight w:val="none"/>
        </w:rPr>
        <w:t>1</w:t>
      </w:r>
    </w:p>
    <w:p w14:paraId="0329BB8D">
      <w:pPr>
        <w:pStyle w:val="42"/>
        <w:shd w:val="clear" w:color="auto" w:fill="F7F7F7"/>
        <w:spacing w:before="75" w:beforeAutospacing="0" w:after="75" w:afterAutospacing="0"/>
        <w:rPr>
          <w:rFonts w:hint="eastAsia" w:ascii="仿宋" w:hAnsi="仿宋" w:eastAsia="仿宋" w:cs="仿宋"/>
          <w:sz w:val="27"/>
          <w:szCs w:val="27"/>
          <w:highlight w:val="none"/>
          <w:lang w:eastAsia="zh-CN"/>
        </w:rPr>
      </w:pPr>
      <w:r>
        <w:rPr>
          <w:rFonts w:hint="eastAsia" w:ascii="仿宋" w:hAnsi="仿宋" w:eastAsia="仿宋" w:cs="仿宋"/>
          <w:sz w:val="27"/>
          <w:szCs w:val="27"/>
          <w:highlight w:val="none"/>
        </w:rPr>
        <w:t>   预算金额（元）:</w:t>
      </w:r>
      <w:r>
        <w:rPr>
          <w:rFonts w:hint="eastAsia" w:ascii="仿宋" w:hAnsi="仿宋" w:eastAsia="仿宋" w:cs="仿宋"/>
          <w:sz w:val="27"/>
          <w:szCs w:val="27"/>
          <w:highlight w:val="none"/>
          <w:lang w:val="en-US" w:eastAsia="zh-CN"/>
        </w:rPr>
        <w:t>11</w:t>
      </w:r>
      <w:r>
        <w:rPr>
          <w:rStyle w:val="97"/>
          <w:rFonts w:hint="eastAsia" w:ascii="仿宋" w:hAnsi="仿宋" w:eastAsia="仿宋" w:cs="仿宋"/>
          <w:sz w:val="27"/>
          <w:szCs w:val="27"/>
          <w:highlight w:val="none"/>
        </w:rPr>
        <w:t>0000</w:t>
      </w:r>
      <w:r>
        <w:rPr>
          <w:rFonts w:hint="eastAsia" w:ascii="仿宋" w:hAnsi="仿宋" w:eastAsia="仿宋" w:cs="仿宋"/>
          <w:sz w:val="27"/>
          <w:szCs w:val="27"/>
          <w:highlight w:val="none"/>
        </w:rPr>
        <w:t xml:space="preserve"> </w:t>
      </w:r>
    </w:p>
    <w:p w14:paraId="6163BB72">
      <w:pPr>
        <w:pStyle w:val="42"/>
        <w:shd w:val="clear" w:color="auto" w:fill="F7F7F7"/>
        <w:spacing w:before="75" w:beforeAutospacing="0" w:after="75" w:afterAutospacing="0"/>
        <w:rPr>
          <w:rStyle w:val="97"/>
          <w:rFonts w:hint="eastAsia" w:ascii="仿宋" w:hAnsi="仿宋" w:eastAsia="仿宋" w:cs="仿宋"/>
          <w:sz w:val="27"/>
          <w:szCs w:val="27"/>
          <w:highlight w:val="none"/>
          <w:lang w:eastAsia="zh-CN"/>
        </w:rPr>
      </w:pPr>
      <w:r>
        <w:rPr>
          <w:rFonts w:hint="eastAsia" w:ascii="仿宋" w:hAnsi="仿宋" w:eastAsia="仿宋" w:cs="仿宋"/>
          <w:sz w:val="27"/>
          <w:szCs w:val="27"/>
          <w:highlight w:val="none"/>
        </w:rPr>
        <w:t>   简要规格描述或项目基本概况介绍、用途：</w:t>
      </w:r>
      <w:r>
        <w:rPr>
          <w:rStyle w:val="97"/>
          <w:rFonts w:hint="eastAsia" w:ascii="仿宋" w:hAnsi="仿宋" w:eastAsia="仿宋" w:cs="仿宋"/>
          <w:sz w:val="27"/>
          <w:szCs w:val="27"/>
          <w:highlight w:val="none"/>
        </w:rPr>
        <w:t>详见采购文件</w:t>
      </w:r>
    </w:p>
    <w:p w14:paraId="7F1089F6">
      <w:pPr>
        <w:pStyle w:val="42"/>
        <w:shd w:val="clear" w:color="auto" w:fill="F7F7F7"/>
        <w:spacing w:before="75" w:beforeAutospacing="0" w:after="75" w:afterAutospacing="0"/>
        <w:rPr>
          <w:rFonts w:hint="eastAsia" w:ascii="仿宋" w:hAnsi="仿宋" w:eastAsia="仿宋" w:cs="仿宋"/>
          <w:sz w:val="27"/>
          <w:szCs w:val="27"/>
          <w:highlight w:val="none"/>
        </w:rPr>
      </w:pPr>
      <w:r>
        <w:rPr>
          <w:rFonts w:hint="eastAsia" w:ascii="仿宋" w:hAnsi="仿宋" w:eastAsia="仿宋" w:cs="仿宋"/>
          <w:sz w:val="27"/>
          <w:szCs w:val="27"/>
          <w:highlight w:val="none"/>
        </w:rPr>
        <w:t>   备注：</w:t>
      </w:r>
    </w:p>
    <w:p w14:paraId="3C55429A">
      <w:pPr>
        <w:pStyle w:val="42"/>
        <w:shd w:val="clear" w:color="auto" w:fill="FFFFFF"/>
        <w:spacing w:before="75" w:beforeAutospacing="0" w:after="330" w:afterAutospacing="0" w:line="480" w:lineRule="atLeast"/>
        <w:textAlignment w:val="baseline"/>
        <w:rPr>
          <w:rFonts w:hint="eastAsia" w:ascii="仿宋" w:hAnsi="仿宋" w:eastAsia="仿宋" w:cs="仿宋"/>
          <w:highlight w:val="none"/>
        </w:rPr>
      </w:pPr>
      <w:r>
        <w:rPr>
          <w:rFonts w:hint="eastAsia" w:ascii="仿宋" w:hAnsi="仿宋" w:eastAsia="仿宋" w:cs="仿宋"/>
          <w:highlight w:val="none"/>
        </w:rPr>
        <w:t>合同履行期限：自合同签订后30日</w:t>
      </w:r>
    </w:p>
    <w:p w14:paraId="6333E63C">
      <w:pPr>
        <w:pStyle w:val="42"/>
        <w:shd w:val="clear" w:color="auto" w:fill="FFFFFF"/>
        <w:spacing w:before="75" w:beforeAutospacing="0" w:after="330" w:afterAutospacing="0" w:line="480" w:lineRule="atLeast"/>
        <w:textAlignment w:val="baseline"/>
        <w:rPr>
          <w:rFonts w:hint="eastAsia" w:ascii="仿宋" w:hAnsi="仿宋" w:eastAsia="仿宋" w:cs="仿宋"/>
          <w:highlight w:val="none"/>
        </w:rPr>
      </w:pPr>
      <w:r>
        <w:rPr>
          <w:rFonts w:hint="eastAsia" w:ascii="仿宋" w:hAnsi="仿宋" w:eastAsia="仿宋" w:cs="仿宋"/>
          <w:highlight w:val="none"/>
        </w:rPr>
        <w:t>本项目( 不接受  )联合体投标。</w:t>
      </w:r>
    </w:p>
    <w:p w14:paraId="2327850C">
      <w:pPr>
        <w:pStyle w:val="42"/>
        <w:shd w:val="clear" w:color="auto" w:fill="FFFFFF"/>
        <w:spacing w:before="0" w:beforeAutospacing="0" w:after="0" w:afterAutospacing="0" w:line="480" w:lineRule="atLeast"/>
        <w:textAlignment w:val="baseline"/>
        <w:rPr>
          <w:rFonts w:hint="eastAsia" w:ascii="仿宋" w:hAnsi="仿宋" w:eastAsia="仿宋" w:cs="仿宋"/>
          <w:highlight w:val="none"/>
        </w:rPr>
      </w:pPr>
      <w:r>
        <w:rPr>
          <w:rStyle w:val="49"/>
          <w:rFonts w:hint="eastAsia" w:ascii="仿宋" w:hAnsi="仿宋" w:eastAsia="仿宋" w:cs="仿宋"/>
          <w:highlight w:val="none"/>
        </w:rPr>
        <w:t>二、申请人的资格要求：</w:t>
      </w:r>
    </w:p>
    <w:p w14:paraId="34D93A3A">
      <w:pPr>
        <w:pStyle w:val="42"/>
        <w:shd w:val="clear" w:color="auto" w:fill="FFFFFF"/>
        <w:spacing w:before="75" w:beforeAutospacing="0" w:after="330" w:afterAutospacing="0" w:line="480" w:lineRule="atLeast"/>
        <w:textAlignment w:val="baseline"/>
        <w:rPr>
          <w:rFonts w:hint="eastAsia" w:ascii="仿宋" w:hAnsi="仿宋" w:eastAsia="仿宋" w:cs="仿宋"/>
          <w:highlight w:val="none"/>
        </w:rPr>
      </w:pPr>
      <w:r>
        <w:rPr>
          <w:rFonts w:hint="eastAsia" w:ascii="仿宋" w:hAnsi="仿宋" w:eastAsia="仿宋" w:cs="仿宋"/>
          <w:highlight w:val="none"/>
        </w:rPr>
        <w:t>1.满足《中华人民共和国政府采购法》第二十二条规定；</w:t>
      </w:r>
    </w:p>
    <w:p w14:paraId="4CCC6CCB">
      <w:pPr>
        <w:pStyle w:val="42"/>
        <w:shd w:val="clear" w:color="auto" w:fill="FFFFFF"/>
        <w:spacing w:before="75" w:beforeAutospacing="0" w:after="330" w:afterAutospacing="0" w:line="480" w:lineRule="atLeast"/>
        <w:textAlignment w:val="baseline"/>
        <w:rPr>
          <w:rFonts w:hint="eastAsia" w:ascii="仿宋" w:hAnsi="仿宋" w:eastAsia="仿宋" w:cs="仿宋"/>
          <w:highlight w:val="none"/>
        </w:rPr>
      </w:pPr>
      <w:r>
        <w:rPr>
          <w:rFonts w:hint="eastAsia" w:ascii="仿宋" w:hAnsi="仿宋" w:eastAsia="仿宋" w:cs="仿宋"/>
          <w:highlight w:val="none"/>
        </w:rPr>
        <w:t>2.落实政府采购政策需满足的资格要求：</w:t>
      </w:r>
    </w:p>
    <w:p w14:paraId="6F432DFF">
      <w:pPr>
        <w:pStyle w:val="42"/>
        <w:shd w:val="clear" w:color="auto" w:fill="FFFFFF"/>
        <w:spacing w:before="75" w:beforeAutospacing="0" w:after="330" w:afterAutospacing="0" w:line="480" w:lineRule="atLeast"/>
        <w:textAlignment w:val="baseline"/>
        <w:rPr>
          <w:rFonts w:hint="eastAsia" w:ascii="仿宋" w:hAnsi="仿宋" w:eastAsia="仿宋" w:cs="仿宋"/>
          <w:highlight w:val="none"/>
        </w:rPr>
      </w:pPr>
      <w:r>
        <w:rPr>
          <w:rFonts w:hint="eastAsia" w:ascii="仿宋" w:hAnsi="仿宋" w:eastAsia="仿宋" w:cs="仿宋"/>
          <w:highlight w:val="none"/>
          <w:lang w:eastAsia="zh-CN"/>
        </w:rPr>
        <w:t>标项</w:t>
      </w:r>
      <w:r>
        <w:rPr>
          <w:rFonts w:hint="eastAsia" w:ascii="仿宋" w:hAnsi="仿宋" w:eastAsia="仿宋" w:cs="仿宋"/>
          <w:highlight w:val="none"/>
          <w:lang w:val="en-US" w:eastAsia="zh-CN"/>
        </w:rPr>
        <w:t>3.4.6：</w:t>
      </w:r>
      <w:r>
        <w:rPr>
          <w:rFonts w:hint="eastAsia" w:ascii="仿宋" w:hAnsi="仿宋" w:eastAsia="仿宋" w:cs="仿宋"/>
          <w:highlight w:val="none"/>
        </w:rPr>
        <w:t>专门面向中小企业采购</w:t>
      </w:r>
    </w:p>
    <w:p w14:paraId="364FF0EC">
      <w:pPr>
        <w:pStyle w:val="42"/>
        <w:shd w:val="clear" w:color="auto" w:fill="FFFFFF"/>
        <w:spacing w:before="75" w:beforeAutospacing="0" w:after="330" w:afterAutospacing="0" w:line="480" w:lineRule="atLeast"/>
        <w:textAlignment w:val="baseline"/>
        <w:rPr>
          <w:rFonts w:hint="default" w:ascii="仿宋" w:hAnsi="仿宋" w:eastAsia="仿宋" w:cs="仿宋"/>
          <w:highlight w:val="none"/>
          <w:lang w:val="en-US" w:eastAsia="zh-CN"/>
        </w:rPr>
      </w:pPr>
      <w:r>
        <w:rPr>
          <w:rFonts w:hint="eastAsia" w:ascii="仿宋" w:hAnsi="仿宋" w:eastAsia="仿宋" w:cs="仿宋"/>
          <w:highlight w:val="none"/>
          <w:lang w:val="en-US" w:eastAsia="zh-CN"/>
        </w:rPr>
        <w:t>表项7.8：专门面向小微企业采购</w:t>
      </w:r>
    </w:p>
    <w:p w14:paraId="26199CA6">
      <w:pPr>
        <w:pStyle w:val="42"/>
        <w:shd w:val="clear" w:color="auto" w:fill="FFFFFF"/>
        <w:spacing w:before="75" w:beforeAutospacing="0" w:after="330" w:afterAutospacing="0" w:line="480" w:lineRule="atLeast"/>
        <w:textAlignment w:val="baseline"/>
        <w:rPr>
          <w:rFonts w:hint="default" w:ascii="仿宋" w:hAnsi="仿宋" w:eastAsia="仿宋" w:cs="仿宋"/>
          <w:highlight w:val="none"/>
          <w:lang w:val="en-US" w:eastAsia="zh-CN"/>
        </w:rPr>
      </w:pPr>
      <w:r>
        <w:rPr>
          <w:rFonts w:hint="eastAsia" w:ascii="仿宋" w:hAnsi="仿宋" w:eastAsia="仿宋" w:cs="仿宋"/>
          <w:highlight w:val="none"/>
        </w:rPr>
        <w:t>3.本项目的特定资格要求：</w:t>
      </w:r>
      <w:r>
        <w:rPr>
          <w:rFonts w:hint="eastAsia" w:ascii="仿宋" w:hAnsi="仿宋" w:eastAsia="仿宋" w:cs="仿宋"/>
          <w:highlight w:val="none"/>
          <w:lang w:val="en-US" w:eastAsia="zh-CN"/>
        </w:rPr>
        <w:t>表项8：具有有效的《医疗器械生产许可证》或《医疗器械经营许可证》</w:t>
      </w:r>
    </w:p>
    <w:p w14:paraId="0DDDB9C3">
      <w:pPr>
        <w:pStyle w:val="42"/>
        <w:shd w:val="clear" w:color="auto" w:fill="FFFFFF"/>
        <w:spacing w:before="75" w:after="330" w:line="480" w:lineRule="atLeast"/>
        <w:textAlignment w:val="baseline"/>
        <w:rPr>
          <w:rStyle w:val="49"/>
          <w:rFonts w:hint="eastAsia" w:ascii="仿宋" w:hAnsi="仿宋" w:eastAsia="仿宋" w:cs="仿宋"/>
          <w:highlight w:val="none"/>
        </w:rPr>
      </w:pPr>
      <w:r>
        <w:rPr>
          <w:rStyle w:val="49"/>
          <w:rFonts w:hint="eastAsia" w:ascii="仿宋" w:hAnsi="仿宋" w:eastAsia="仿宋" w:cs="仿宋"/>
          <w:highlight w:val="none"/>
        </w:rPr>
        <w:t>三、获取招标文件</w:t>
      </w:r>
    </w:p>
    <w:p w14:paraId="47C760EC">
      <w:pPr>
        <w:pStyle w:val="42"/>
        <w:shd w:val="clear" w:color="auto" w:fill="FFFFFF"/>
        <w:spacing w:before="75" w:after="330" w:line="480" w:lineRule="atLeast"/>
        <w:textAlignment w:val="baseline"/>
        <w:rPr>
          <w:rStyle w:val="49"/>
          <w:rFonts w:hint="eastAsia" w:ascii="仿宋" w:hAnsi="仿宋" w:eastAsia="仿宋" w:cs="仿宋"/>
          <w:b w:val="0"/>
          <w:bCs w:val="0"/>
          <w:highlight w:val="none"/>
        </w:rPr>
      </w:pPr>
      <w:r>
        <w:rPr>
          <w:rStyle w:val="49"/>
          <w:rFonts w:hint="eastAsia" w:ascii="仿宋" w:hAnsi="仿宋" w:eastAsia="仿宋" w:cs="仿宋"/>
          <w:b w:val="0"/>
          <w:bCs w:val="0"/>
          <w:highlight w:val="none"/>
        </w:rPr>
        <w:t>时间：2024年07月</w:t>
      </w:r>
      <w:r>
        <w:rPr>
          <w:rStyle w:val="49"/>
          <w:rFonts w:hint="eastAsia" w:ascii="仿宋" w:hAnsi="仿宋" w:eastAsia="仿宋" w:cs="仿宋"/>
          <w:b w:val="0"/>
          <w:bCs w:val="0"/>
          <w:highlight w:val="none"/>
          <w:lang w:val="en-US" w:eastAsia="zh-CN"/>
        </w:rPr>
        <w:t>10</w:t>
      </w:r>
      <w:r>
        <w:rPr>
          <w:rStyle w:val="49"/>
          <w:rFonts w:hint="eastAsia" w:ascii="仿宋" w:hAnsi="仿宋" w:eastAsia="仿宋" w:cs="仿宋"/>
          <w:b w:val="0"/>
          <w:bCs w:val="0"/>
          <w:highlight w:val="none"/>
        </w:rPr>
        <w:t>日至2024年07月</w:t>
      </w:r>
      <w:r>
        <w:rPr>
          <w:rStyle w:val="49"/>
          <w:rFonts w:hint="eastAsia" w:ascii="仿宋" w:hAnsi="仿宋" w:eastAsia="仿宋" w:cs="仿宋"/>
          <w:b w:val="0"/>
          <w:bCs w:val="0"/>
          <w:highlight w:val="none"/>
          <w:lang w:val="en-US" w:eastAsia="zh-CN"/>
        </w:rPr>
        <w:t>17</w:t>
      </w:r>
      <w:r>
        <w:rPr>
          <w:rStyle w:val="49"/>
          <w:rFonts w:hint="eastAsia" w:ascii="仿宋" w:hAnsi="仿宋" w:eastAsia="仿宋" w:cs="仿宋"/>
          <w:b w:val="0"/>
          <w:bCs w:val="0"/>
          <w:highlight w:val="none"/>
        </w:rPr>
        <w:t>日，每天上午00:00至12:00，下午12:00至23:59（北京时间，法定节假日除外）</w:t>
      </w:r>
    </w:p>
    <w:p w14:paraId="4B7601B6">
      <w:pPr>
        <w:pStyle w:val="42"/>
        <w:shd w:val="clear" w:color="auto" w:fill="FFFFFF"/>
        <w:spacing w:before="75" w:after="330" w:line="480" w:lineRule="atLeast"/>
        <w:textAlignment w:val="baseline"/>
        <w:rPr>
          <w:rStyle w:val="49"/>
          <w:rFonts w:hint="eastAsia" w:ascii="仿宋" w:hAnsi="仿宋" w:eastAsia="仿宋" w:cs="仿宋"/>
          <w:b w:val="0"/>
          <w:bCs w:val="0"/>
          <w:highlight w:val="none"/>
        </w:rPr>
      </w:pPr>
      <w:r>
        <w:rPr>
          <w:rStyle w:val="49"/>
          <w:rFonts w:hint="eastAsia" w:ascii="仿宋" w:hAnsi="仿宋" w:eastAsia="仿宋" w:cs="仿宋"/>
          <w:b w:val="0"/>
          <w:bCs w:val="0"/>
          <w:highlight w:val="none"/>
        </w:rPr>
        <w:t>地点：政采云平台http://www.zcygov.cn</w:t>
      </w:r>
    </w:p>
    <w:p w14:paraId="60A5E965">
      <w:pPr>
        <w:pStyle w:val="42"/>
        <w:shd w:val="clear" w:color="auto" w:fill="FFFFFF"/>
        <w:spacing w:before="75" w:after="330" w:line="480" w:lineRule="atLeast"/>
        <w:textAlignment w:val="baseline"/>
        <w:rPr>
          <w:rStyle w:val="49"/>
          <w:rFonts w:hint="eastAsia" w:ascii="仿宋" w:hAnsi="仿宋" w:eastAsia="仿宋" w:cs="仿宋"/>
          <w:b w:val="0"/>
          <w:bCs w:val="0"/>
          <w:highlight w:val="none"/>
        </w:rPr>
      </w:pPr>
      <w:r>
        <w:rPr>
          <w:rStyle w:val="49"/>
          <w:rFonts w:hint="eastAsia" w:ascii="仿宋" w:hAnsi="仿宋" w:eastAsia="仿宋" w:cs="仿宋"/>
          <w:b w:val="0"/>
          <w:bCs w:val="0"/>
          <w:highlight w:val="none"/>
        </w:rPr>
        <w:t>方式：免费获取，投标人登陆政采云账户（网址：https://www.zcygov.cn/）,在线申请获取招标文件（登录政府采购云平台→采购项目→获取采购文件→申请，审核通过后可下载招标文件，如有操作性问题，可与政采云在线客服进行咨询，咨询电话95763）</w:t>
      </w:r>
    </w:p>
    <w:p w14:paraId="2A499FFD">
      <w:pPr>
        <w:pStyle w:val="42"/>
        <w:shd w:val="clear" w:color="auto" w:fill="FFFFFF"/>
        <w:spacing w:before="75" w:after="330" w:line="480" w:lineRule="atLeast"/>
        <w:textAlignment w:val="baseline"/>
        <w:rPr>
          <w:rStyle w:val="49"/>
          <w:rFonts w:hint="eastAsia" w:ascii="仿宋" w:hAnsi="仿宋" w:eastAsia="仿宋" w:cs="仿宋"/>
          <w:b w:val="0"/>
          <w:bCs w:val="0"/>
          <w:highlight w:val="none"/>
        </w:rPr>
      </w:pPr>
      <w:r>
        <w:rPr>
          <w:rStyle w:val="49"/>
          <w:rFonts w:hint="eastAsia" w:ascii="仿宋" w:hAnsi="仿宋" w:eastAsia="仿宋" w:cs="仿宋"/>
          <w:b w:val="0"/>
          <w:bCs w:val="0"/>
          <w:highlight w:val="none"/>
        </w:rPr>
        <w:t>售价（元）：0</w:t>
      </w:r>
    </w:p>
    <w:p w14:paraId="39218CBB">
      <w:pPr>
        <w:pStyle w:val="42"/>
        <w:shd w:val="clear" w:color="auto" w:fill="FFFFFF"/>
        <w:spacing w:before="75" w:after="330" w:line="480" w:lineRule="atLeast"/>
        <w:textAlignment w:val="baseline"/>
        <w:rPr>
          <w:rStyle w:val="49"/>
          <w:rFonts w:hint="eastAsia" w:ascii="仿宋" w:hAnsi="仿宋" w:eastAsia="仿宋" w:cs="仿宋"/>
          <w:highlight w:val="none"/>
        </w:rPr>
      </w:pPr>
      <w:r>
        <w:rPr>
          <w:rStyle w:val="49"/>
          <w:rFonts w:hint="eastAsia" w:ascii="仿宋" w:hAnsi="仿宋" w:eastAsia="仿宋" w:cs="仿宋"/>
          <w:highlight w:val="none"/>
        </w:rPr>
        <w:t>四、提交投标文件截止时间、开标时间和地点</w:t>
      </w:r>
    </w:p>
    <w:p w14:paraId="366F6414">
      <w:pPr>
        <w:pStyle w:val="42"/>
        <w:shd w:val="clear" w:color="auto" w:fill="FFFFFF"/>
        <w:spacing w:before="75" w:after="330" w:line="480" w:lineRule="atLeast"/>
        <w:textAlignment w:val="baseline"/>
        <w:rPr>
          <w:rStyle w:val="49"/>
          <w:rFonts w:hint="eastAsia" w:ascii="仿宋" w:hAnsi="仿宋" w:eastAsia="仿宋" w:cs="仿宋"/>
          <w:b w:val="0"/>
          <w:bCs w:val="0"/>
          <w:highlight w:val="none"/>
        </w:rPr>
      </w:pPr>
      <w:r>
        <w:rPr>
          <w:rStyle w:val="49"/>
          <w:rFonts w:hint="eastAsia" w:ascii="仿宋" w:hAnsi="仿宋" w:eastAsia="仿宋" w:cs="仿宋"/>
          <w:b w:val="0"/>
          <w:bCs w:val="0"/>
          <w:highlight w:val="none"/>
        </w:rPr>
        <w:t>提交投标文件截止时间：2024年07月</w:t>
      </w:r>
      <w:r>
        <w:rPr>
          <w:rStyle w:val="49"/>
          <w:rFonts w:hint="eastAsia" w:ascii="仿宋" w:hAnsi="仿宋" w:eastAsia="仿宋" w:cs="仿宋"/>
          <w:b w:val="0"/>
          <w:bCs w:val="0"/>
          <w:highlight w:val="none"/>
          <w:lang w:val="en-US" w:eastAsia="zh-CN"/>
        </w:rPr>
        <w:t>31</w:t>
      </w:r>
      <w:r>
        <w:rPr>
          <w:rStyle w:val="49"/>
          <w:rFonts w:hint="eastAsia" w:ascii="仿宋" w:hAnsi="仿宋" w:eastAsia="仿宋" w:cs="仿宋"/>
          <w:b w:val="0"/>
          <w:bCs w:val="0"/>
          <w:highlight w:val="none"/>
        </w:rPr>
        <w:t>日 11:00（北京时间）</w:t>
      </w:r>
    </w:p>
    <w:p w14:paraId="4F0AF1FE">
      <w:pPr>
        <w:pStyle w:val="42"/>
        <w:shd w:val="clear" w:color="auto" w:fill="FFFFFF"/>
        <w:spacing w:before="75" w:after="330" w:line="480" w:lineRule="atLeast"/>
        <w:textAlignment w:val="baseline"/>
        <w:rPr>
          <w:rStyle w:val="49"/>
          <w:rFonts w:hint="eastAsia" w:ascii="仿宋" w:hAnsi="仿宋" w:eastAsia="仿宋" w:cs="仿宋"/>
          <w:b w:val="0"/>
          <w:bCs w:val="0"/>
          <w:highlight w:val="none"/>
        </w:rPr>
      </w:pPr>
      <w:r>
        <w:rPr>
          <w:rStyle w:val="49"/>
          <w:rFonts w:hint="eastAsia" w:ascii="仿宋" w:hAnsi="仿宋" w:eastAsia="仿宋" w:cs="仿宋"/>
          <w:b w:val="0"/>
          <w:bCs w:val="0"/>
          <w:highlight w:val="none"/>
        </w:rPr>
        <w:t>投标地点：将投标文件上传至政采云平台https://www.zcygov.cn/对应位置（逾期未上传的或不符合规定的投标文件将被拒绝接收）</w:t>
      </w:r>
    </w:p>
    <w:p w14:paraId="3CD50657">
      <w:pPr>
        <w:pStyle w:val="42"/>
        <w:shd w:val="clear" w:color="auto" w:fill="FFFFFF"/>
        <w:spacing w:before="75" w:after="330" w:line="480" w:lineRule="atLeast"/>
        <w:textAlignment w:val="baseline"/>
        <w:rPr>
          <w:rStyle w:val="49"/>
          <w:rFonts w:hint="eastAsia" w:ascii="仿宋" w:hAnsi="仿宋" w:eastAsia="仿宋" w:cs="仿宋"/>
          <w:b w:val="0"/>
          <w:bCs w:val="0"/>
          <w:highlight w:val="none"/>
        </w:rPr>
      </w:pPr>
      <w:r>
        <w:rPr>
          <w:rStyle w:val="49"/>
          <w:rFonts w:hint="eastAsia" w:ascii="仿宋" w:hAnsi="仿宋" w:eastAsia="仿宋" w:cs="仿宋"/>
          <w:b w:val="0"/>
          <w:bCs w:val="0"/>
          <w:highlight w:val="none"/>
        </w:rPr>
        <w:t>开标时间：2024年07月</w:t>
      </w:r>
      <w:r>
        <w:rPr>
          <w:rStyle w:val="49"/>
          <w:rFonts w:hint="eastAsia" w:ascii="仿宋" w:hAnsi="仿宋" w:eastAsia="仿宋" w:cs="仿宋"/>
          <w:b w:val="0"/>
          <w:bCs w:val="0"/>
          <w:highlight w:val="none"/>
          <w:lang w:val="en-US" w:eastAsia="zh-CN"/>
        </w:rPr>
        <w:t>31</w:t>
      </w:r>
      <w:r>
        <w:rPr>
          <w:rStyle w:val="49"/>
          <w:rFonts w:hint="eastAsia" w:ascii="仿宋" w:hAnsi="仿宋" w:eastAsia="仿宋" w:cs="仿宋"/>
          <w:b w:val="0"/>
          <w:bCs w:val="0"/>
          <w:highlight w:val="none"/>
        </w:rPr>
        <w:t>日 11:00（北京时间）</w:t>
      </w:r>
    </w:p>
    <w:p w14:paraId="09FA7D8C">
      <w:pPr>
        <w:pStyle w:val="42"/>
        <w:shd w:val="clear" w:color="auto" w:fill="FFFFFF"/>
        <w:spacing w:before="75" w:after="330" w:line="480" w:lineRule="atLeast"/>
        <w:textAlignment w:val="baseline"/>
        <w:rPr>
          <w:rStyle w:val="49"/>
          <w:rFonts w:hint="eastAsia" w:ascii="仿宋" w:hAnsi="仿宋" w:eastAsia="仿宋" w:cs="仿宋"/>
          <w:b w:val="0"/>
          <w:bCs w:val="0"/>
          <w:highlight w:val="none"/>
        </w:rPr>
      </w:pPr>
      <w:r>
        <w:rPr>
          <w:rStyle w:val="49"/>
          <w:rFonts w:hint="eastAsia" w:ascii="仿宋" w:hAnsi="仿宋" w:eastAsia="仿宋" w:cs="仿宋"/>
          <w:b w:val="0"/>
          <w:bCs w:val="0"/>
          <w:highlight w:val="none"/>
        </w:rPr>
        <w:t>开标地点：投标人登录政采云平台https://www.zcygov.cn/，进入“项目采购开标评标-右边选择对应项目点击“进入项目”进入开标大厅。</w:t>
      </w:r>
    </w:p>
    <w:p w14:paraId="1156848C">
      <w:pPr>
        <w:pStyle w:val="42"/>
        <w:shd w:val="clear" w:color="auto" w:fill="FFFFFF"/>
        <w:spacing w:before="75" w:after="330" w:line="480" w:lineRule="atLeast"/>
        <w:textAlignment w:val="baseline"/>
        <w:rPr>
          <w:rStyle w:val="49"/>
          <w:rFonts w:hint="eastAsia" w:ascii="仿宋" w:hAnsi="仿宋" w:eastAsia="仿宋" w:cs="仿宋"/>
          <w:highlight w:val="none"/>
        </w:rPr>
      </w:pPr>
      <w:r>
        <w:rPr>
          <w:rStyle w:val="49"/>
          <w:rFonts w:hint="eastAsia" w:ascii="仿宋" w:hAnsi="仿宋" w:eastAsia="仿宋" w:cs="仿宋"/>
          <w:highlight w:val="none"/>
        </w:rPr>
        <w:t>五、公告期限</w:t>
      </w:r>
    </w:p>
    <w:p w14:paraId="5717F58D">
      <w:pPr>
        <w:pStyle w:val="42"/>
        <w:shd w:val="clear" w:color="auto" w:fill="FFFFFF"/>
        <w:spacing w:before="75" w:after="330" w:line="480" w:lineRule="atLeast"/>
        <w:textAlignment w:val="baseline"/>
        <w:rPr>
          <w:rStyle w:val="49"/>
          <w:rFonts w:hint="eastAsia" w:ascii="仿宋" w:hAnsi="仿宋" w:eastAsia="仿宋" w:cs="仿宋"/>
          <w:b w:val="0"/>
          <w:bCs w:val="0"/>
          <w:highlight w:val="none"/>
        </w:rPr>
      </w:pPr>
      <w:r>
        <w:rPr>
          <w:rStyle w:val="49"/>
          <w:rFonts w:hint="eastAsia" w:ascii="仿宋" w:hAnsi="仿宋" w:eastAsia="仿宋" w:cs="仿宋"/>
          <w:b w:val="0"/>
          <w:bCs w:val="0"/>
          <w:highlight w:val="none"/>
        </w:rPr>
        <w:t>自本公告发布之日起5个工作日。</w:t>
      </w:r>
    </w:p>
    <w:p w14:paraId="3A481CC6">
      <w:pPr>
        <w:pStyle w:val="42"/>
        <w:shd w:val="clear" w:color="auto" w:fill="FFFFFF"/>
        <w:spacing w:before="75" w:after="330" w:line="480" w:lineRule="atLeast"/>
        <w:textAlignment w:val="baseline"/>
        <w:rPr>
          <w:rStyle w:val="49"/>
          <w:rFonts w:hint="eastAsia" w:ascii="仿宋" w:hAnsi="仿宋" w:eastAsia="仿宋" w:cs="仿宋"/>
          <w:highlight w:val="none"/>
        </w:rPr>
      </w:pPr>
      <w:r>
        <w:rPr>
          <w:rStyle w:val="49"/>
          <w:rFonts w:hint="eastAsia" w:ascii="仿宋" w:hAnsi="仿宋" w:eastAsia="仿宋" w:cs="仿宋"/>
          <w:highlight w:val="none"/>
        </w:rPr>
        <w:t>六、其他补充事宜</w:t>
      </w:r>
    </w:p>
    <w:p w14:paraId="3F07A371">
      <w:pPr>
        <w:pStyle w:val="42"/>
        <w:shd w:val="clear" w:color="auto" w:fill="FFFFFF"/>
        <w:spacing w:before="75" w:after="330" w:line="480" w:lineRule="atLeast"/>
        <w:textAlignment w:val="baseline"/>
        <w:rPr>
          <w:rStyle w:val="49"/>
          <w:rFonts w:hint="eastAsia" w:ascii="仿宋" w:hAnsi="仿宋" w:eastAsia="仿宋" w:cs="仿宋"/>
          <w:b w:val="0"/>
          <w:bCs w:val="0"/>
          <w:highlight w:val="none"/>
        </w:rPr>
      </w:pPr>
      <w:r>
        <w:rPr>
          <w:rStyle w:val="49"/>
          <w:rFonts w:hint="eastAsia" w:ascii="仿宋" w:hAnsi="仿宋" w:eastAsia="仿宋" w:cs="仿宋"/>
          <w:b w:val="0"/>
          <w:bCs w:val="0"/>
          <w:highlight w:val="none"/>
        </w:rPr>
        <w:t>无</w:t>
      </w:r>
    </w:p>
    <w:p w14:paraId="1578F163">
      <w:pPr>
        <w:pStyle w:val="42"/>
        <w:shd w:val="clear" w:color="auto" w:fill="FFFFFF"/>
        <w:spacing w:before="75" w:after="330" w:line="480" w:lineRule="atLeast"/>
        <w:textAlignment w:val="baseline"/>
        <w:rPr>
          <w:rStyle w:val="49"/>
          <w:rFonts w:hint="eastAsia" w:ascii="仿宋" w:hAnsi="仿宋" w:eastAsia="仿宋" w:cs="仿宋"/>
          <w:highlight w:val="none"/>
        </w:rPr>
      </w:pPr>
      <w:r>
        <w:rPr>
          <w:rStyle w:val="49"/>
          <w:rFonts w:hint="eastAsia" w:ascii="仿宋" w:hAnsi="仿宋" w:eastAsia="仿宋" w:cs="仿宋"/>
          <w:highlight w:val="none"/>
        </w:rPr>
        <w:t>七、对本次招标提出询问，请按以下方式联系。</w:t>
      </w:r>
    </w:p>
    <w:p w14:paraId="745F5F43">
      <w:pPr>
        <w:pStyle w:val="42"/>
        <w:shd w:val="clear" w:color="auto" w:fill="FFFFFF"/>
        <w:spacing w:before="75" w:after="330" w:line="480" w:lineRule="atLeast"/>
        <w:textAlignment w:val="baseline"/>
        <w:rPr>
          <w:rStyle w:val="49"/>
          <w:rFonts w:hint="eastAsia" w:ascii="仿宋" w:hAnsi="仿宋" w:eastAsia="仿宋" w:cs="仿宋"/>
          <w:b w:val="0"/>
          <w:bCs w:val="0"/>
          <w:highlight w:val="none"/>
        </w:rPr>
      </w:pPr>
      <w:r>
        <w:rPr>
          <w:rStyle w:val="49"/>
          <w:rFonts w:hint="eastAsia" w:ascii="仿宋" w:hAnsi="仿宋" w:eastAsia="仿宋" w:cs="仿宋"/>
          <w:b w:val="0"/>
          <w:bCs w:val="0"/>
          <w:highlight w:val="none"/>
        </w:rPr>
        <w:t>1.采购人信息</w:t>
      </w:r>
    </w:p>
    <w:p w14:paraId="2743C6D4">
      <w:pPr>
        <w:pStyle w:val="42"/>
        <w:shd w:val="clear" w:color="auto" w:fill="FFFFFF"/>
        <w:spacing w:before="75" w:after="330" w:line="480" w:lineRule="atLeast"/>
        <w:textAlignment w:val="baseline"/>
        <w:rPr>
          <w:rStyle w:val="49"/>
          <w:rFonts w:hint="eastAsia" w:ascii="仿宋" w:hAnsi="仿宋" w:eastAsia="仿宋" w:cs="仿宋"/>
          <w:b w:val="0"/>
          <w:bCs w:val="0"/>
          <w:highlight w:val="none"/>
        </w:rPr>
      </w:pPr>
      <w:r>
        <w:rPr>
          <w:rStyle w:val="49"/>
          <w:rFonts w:hint="eastAsia" w:ascii="仿宋" w:hAnsi="仿宋" w:eastAsia="仿宋" w:cs="仿宋"/>
          <w:b w:val="0"/>
          <w:bCs w:val="0"/>
          <w:highlight w:val="none"/>
        </w:rPr>
        <w:t>名 称：乌鲁木齐高新技术产业开发区（乌鲁木齐市新市区）教育局</w:t>
      </w:r>
    </w:p>
    <w:p w14:paraId="4368BB1B">
      <w:pPr>
        <w:pStyle w:val="42"/>
        <w:shd w:val="clear" w:color="auto" w:fill="FFFFFF"/>
        <w:spacing w:before="75" w:after="330" w:line="480" w:lineRule="atLeast"/>
        <w:textAlignment w:val="baseline"/>
        <w:rPr>
          <w:rStyle w:val="49"/>
          <w:rFonts w:hint="eastAsia" w:ascii="仿宋" w:hAnsi="仿宋" w:eastAsia="仿宋" w:cs="仿宋"/>
          <w:b w:val="0"/>
          <w:bCs w:val="0"/>
          <w:highlight w:val="none"/>
        </w:rPr>
      </w:pPr>
      <w:r>
        <w:rPr>
          <w:rStyle w:val="49"/>
          <w:rFonts w:hint="eastAsia" w:ascii="仿宋" w:hAnsi="仿宋" w:eastAsia="仿宋" w:cs="仿宋"/>
          <w:b w:val="0"/>
          <w:bCs w:val="0"/>
          <w:highlight w:val="none"/>
        </w:rPr>
        <w:t>地址：乌鲁木齐市北京南路86号</w:t>
      </w:r>
    </w:p>
    <w:p w14:paraId="0F8440FC">
      <w:pPr>
        <w:pStyle w:val="42"/>
        <w:shd w:val="clear" w:color="auto" w:fill="FFFFFF"/>
        <w:spacing w:before="75" w:after="330" w:line="480" w:lineRule="atLeast"/>
        <w:textAlignment w:val="baseline"/>
        <w:rPr>
          <w:rStyle w:val="49"/>
          <w:rFonts w:hint="eastAsia" w:ascii="仿宋" w:hAnsi="仿宋" w:eastAsia="仿宋" w:cs="仿宋"/>
          <w:b w:val="0"/>
          <w:bCs w:val="0"/>
          <w:highlight w:val="none"/>
          <w:u w:val="single"/>
        </w:rPr>
      </w:pPr>
      <w:r>
        <w:rPr>
          <w:rStyle w:val="49"/>
          <w:rFonts w:hint="eastAsia" w:ascii="仿宋" w:hAnsi="仿宋" w:eastAsia="仿宋" w:cs="仿宋"/>
          <w:b w:val="0"/>
          <w:bCs w:val="0"/>
          <w:highlight w:val="none"/>
        </w:rPr>
        <w:t>联系方式：0991-3831583</w:t>
      </w:r>
    </w:p>
    <w:p w14:paraId="1A5DE4CB">
      <w:pPr>
        <w:pStyle w:val="42"/>
        <w:shd w:val="clear" w:color="auto" w:fill="FFFFFF"/>
        <w:spacing w:before="75" w:after="330" w:line="480" w:lineRule="atLeast"/>
        <w:textAlignment w:val="baseline"/>
        <w:rPr>
          <w:rStyle w:val="49"/>
          <w:rFonts w:hint="eastAsia" w:ascii="仿宋" w:hAnsi="仿宋" w:eastAsia="仿宋" w:cs="仿宋"/>
          <w:b w:val="0"/>
          <w:bCs w:val="0"/>
          <w:highlight w:val="none"/>
        </w:rPr>
      </w:pPr>
      <w:r>
        <w:rPr>
          <w:rStyle w:val="49"/>
          <w:rFonts w:hint="eastAsia" w:ascii="仿宋" w:hAnsi="仿宋" w:eastAsia="仿宋" w:cs="仿宋"/>
          <w:b w:val="0"/>
          <w:bCs w:val="0"/>
          <w:highlight w:val="none"/>
        </w:rPr>
        <w:t>2.采购代理机构信息</w:t>
      </w:r>
    </w:p>
    <w:p w14:paraId="79FEE8A9">
      <w:pPr>
        <w:pStyle w:val="42"/>
        <w:shd w:val="clear" w:color="auto" w:fill="FFFFFF"/>
        <w:spacing w:before="75" w:after="330" w:line="480" w:lineRule="atLeast"/>
        <w:textAlignment w:val="baseline"/>
        <w:rPr>
          <w:rStyle w:val="49"/>
          <w:rFonts w:hint="eastAsia" w:ascii="仿宋" w:hAnsi="仿宋" w:eastAsia="仿宋" w:cs="仿宋"/>
          <w:b w:val="0"/>
          <w:bCs w:val="0"/>
          <w:highlight w:val="none"/>
        </w:rPr>
      </w:pPr>
      <w:r>
        <w:rPr>
          <w:rStyle w:val="49"/>
          <w:rFonts w:hint="eastAsia" w:ascii="仿宋" w:hAnsi="仿宋" w:eastAsia="仿宋" w:cs="仿宋"/>
          <w:b w:val="0"/>
          <w:bCs w:val="0"/>
          <w:highlight w:val="none"/>
        </w:rPr>
        <w:t>名 称：中益招标有限公司</w:t>
      </w:r>
    </w:p>
    <w:p w14:paraId="58C6EC92">
      <w:pPr>
        <w:pStyle w:val="42"/>
        <w:shd w:val="clear" w:color="auto" w:fill="FFFFFF"/>
        <w:spacing w:before="75" w:after="330" w:line="480" w:lineRule="atLeast"/>
        <w:textAlignment w:val="baseline"/>
        <w:rPr>
          <w:rStyle w:val="49"/>
          <w:rFonts w:hint="eastAsia" w:ascii="仿宋" w:hAnsi="仿宋" w:eastAsia="仿宋" w:cs="仿宋"/>
          <w:b w:val="0"/>
          <w:bCs w:val="0"/>
          <w:highlight w:val="none"/>
        </w:rPr>
      </w:pPr>
      <w:r>
        <w:rPr>
          <w:rStyle w:val="49"/>
          <w:rFonts w:hint="eastAsia" w:ascii="仿宋" w:hAnsi="仿宋" w:eastAsia="仿宋" w:cs="仿宋"/>
          <w:b w:val="0"/>
          <w:bCs w:val="0"/>
          <w:highlight w:val="none"/>
        </w:rPr>
        <w:t>地　址：乌鲁木齐高新区（新市区）北京南路416号盈科国际中心30楼3001室</w:t>
      </w:r>
    </w:p>
    <w:p w14:paraId="0067F378">
      <w:pPr>
        <w:pStyle w:val="42"/>
        <w:shd w:val="clear" w:color="auto" w:fill="FFFFFF"/>
        <w:spacing w:before="75" w:after="330" w:line="480" w:lineRule="atLeast"/>
        <w:textAlignment w:val="baseline"/>
        <w:rPr>
          <w:rStyle w:val="49"/>
          <w:rFonts w:hint="eastAsia" w:ascii="仿宋" w:hAnsi="仿宋" w:eastAsia="仿宋" w:cs="仿宋"/>
          <w:b w:val="0"/>
          <w:bCs w:val="0"/>
          <w:highlight w:val="none"/>
        </w:rPr>
      </w:pPr>
      <w:r>
        <w:rPr>
          <w:rStyle w:val="49"/>
          <w:rFonts w:hint="eastAsia" w:ascii="仿宋" w:hAnsi="仿宋" w:eastAsia="仿宋" w:cs="仿宋"/>
          <w:b w:val="0"/>
          <w:bCs w:val="0"/>
          <w:highlight w:val="none"/>
        </w:rPr>
        <w:t>联系方式：谢楠 0991-3651985</w:t>
      </w:r>
    </w:p>
    <w:p w14:paraId="331F7954">
      <w:pPr>
        <w:pStyle w:val="42"/>
        <w:shd w:val="clear" w:color="auto" w:fill="FFFFFF"/>
        <w:spacing w:before="75" w:after="330" w:line="480" w:lineRule="atLeast"/>
        <w:textAlignment w:val="baseline"/>
        <w:rPr>
          <w:rStyle w:val="49"/>
          <w:rFonts w:hint="eastAsia" w:ascii="仿宋" w:hAnsi="仿宋" w:eastAsia="仿宋" w:cs="仿宋"/>
          <w:b w:val="0"/>
          <w:bCs w:val="0"/>
          <w:highlight w:val="none"/>
        </w:rPr>
      </w:pPr>
      <w:r>
        <w:rPr>
          <w:rStyle w:val="49"/>
          <w:rFonts w:hint="eastAsia" w:ascii="仿宋" w:hAnsi="仿宋" w:eastAsia="仿宋" w:cs="仿宋"/>
          <w:b w:val="0"/>
          <w:bCs w:val="0"/>
          <w:highlight w:val="none"/>
        </w:rPr>
        <w:t>3.项目联系方式</w:t>
      </w:r>
    </w:p>
    <w:p w14:paraId="33CAB067">
      <w:pPr>
        <w:pStyle w:val="42"/>
        <w:shd w:val="clear" w:color="auto" w:fill="FFFFFF"/>
        <w:spacing w:before="75" w:after="330" w:line="480" w:lineRule="atLeast"/>
        <w:textAlignment w:val="baseline"/>
        <w:rPr>
          <w:rStyle w:val="49"/>
          <w:rFonts w:hint="eastAsia" w:ascii="仿宋" w:hAnsi="仿宋" w:eastAsia="仿宋" w:cs="仿宋"/>
          <w:b w:val="0"/>
          <w:bCs w:val="0"/>
          <w:highlight w:val="none"/>
        </w:rPr>
      </w:pPr>
      <w:r>
        <w:rPr>
          <w:rStyle w:val="49"/>
          <w:rFonts w:hint="eastAsia" w:ascii="仿宋" w:hAnsi="仿宋" w:eastAsia="仿宋" w:cs="仿宋"/>
          <w:b w:val="0"/>
          <w:bCs w:val="0"/>
          <w:highlight w:val="none"/>
        </w:rPr>
        <w:t>项目联系人：谢楠</w:t>
      </w:r>
    </w:p>
    <w:p w14:paraId="671E8E1A">
      <w:pPr>
        <w:pStyle w:val="42"/>
        <w:shd w:val="clear" w:color="auto" w:fill="FFFFFF"/>
        <w:spacing w:before="75" w:beforeAutospacing="0" w:after="330" w:afterAutospacing="0" w:line="480" w:lineRule="atLeast"/>
        <w:textAlignment w:val="baseline"/>
        <w:rPr>
          <w:rFonts w:hint="eastAsia" w:ascii="仿宋" w:hAnsi="仿宋" w:eastAsia="仿宋" w:cs="仿宋"/>
          <w:highlight w:val="none"/>
          <w:lang w:eastAsia="zh-CN"/>
        </w:rPr>
      </w:pPr>
      <w:r>
        <w:rPr>
          <w:rStyle w:val="49"/>
          <w:rFonts w:hint="eastAsia" w:ascii="仿宋" w:hAnsi="仿宋" w:eastAsia="仿宋" w:cs="仿宋"/>
          <w:b w:val="0"/>
          <w:bCs w:val="0"/>
          <w:highlight w:val="none"/>
        </w:rPr>
        <w:t xml:space="preserve">电　话：0991-3651985 </w:t>
      </w:r>
      <w:r>
        <w:rPr>
          <w:rStyle w:val="49"/>
          <w:rFonts w:hint="eastAsia" w:ascii="仿宋" w:hAnsi="仿宋" w:eastAsia="仿宋" w:cs="仿宋"/>
          <w:b w:val="0"/>
          <w:bCs w:val="0"/>
          <w:highlight w:val="none"/>
          <w:lang w:eastAsia="zh-CN"/>
        </w:rPr>
        <w:t>18599192565</w:t>
      </w:r>
    </w:p>
    <w:p w14:paraId="1FF1BA5F">
      <w:pPr>
        <w:rPr>
          <w:rFonts w:hint="eastAsia" w:ascii="仿宋" w:hAnsi="仿宋" w:eastAsia="仿宋" w:cs="仿宋"/>
          <w:highlight w:val="none"/>
        </w:rPr>
      </w:pPr>
    </w:p>
    <w:p w14:paraId="79F65537">
      <w:pPr>
        <w:spacing w:line="360" w:lineRule="auto"/>
        <w:rPr>
          <w:rFonts w:ascii="宋体" w:hAnsi="宋体"/>
          <w:szCs w:val="21"/>
          <w:highlight w:val="none"/>
        </w:rPr>
      </w:pPr>
      <w:r>
        <w:rPr>
          <w:rFonts w:hint="eastAsia" w:ascii="宋体" w:hAnsi="宋体" w:cs="宋体"/>
          <w:highlight w:val="none"/>
        </w:rPr>
        <w:br w:type="page"/>
      </w:r>
      <w:r>
        <w:rPr>
          <w:rFonts w:hint="eastAsia" w:ascii="宋体" w:hAnsi="宋体"/>
          <w:highlight w:val="none"/>
        </w:rPr>
        <w:t xml:space="preserve">                         </w:t>
      </w:r>
      <w:bookmarkStart w:id="14" w:name="_Toc24281"/>
      <w:r>
        <w:rPr>
          <w:rStyle w:val="62"/>
          <w:rFonts w:hint="eastAsia"/>
          <w:highlight w:val="none"/>
        </w:rPr>
        <w:t xml:space="preserve"> 第二章  投标须知</w:t>
      </w:r>
      <w:bookmarkEnd w:id="9"/>
      <w:bookmarkEnd w:id="10"/>
      <w:bookmarkEnd w:id="14"/>
    </w:p>
    <w:p w14:paraId="245FF80B">
      <w:pPr>
        <w:pStyle w:val="3"/>
        <w:jc w:val="center"/>
        <w:rPr>
          <w:rFonts w:ascii="宋体" w:hAnsi="宋体"/>
          <w:highlight w:val="none"/>
        </w:rPr>
      </w:pPr>
      <w:bookmarkStart w:id="15" w:name="_Toc26899"/>
      <w:r>
        <w:rPr>
          <w:rFonts w:hint="eastAsia" w:ascii="宋体" w:hAnsi="宋体"/>
          <w:highlight w:val="none"/>
        </w:rPr>
        <w:t>投标须知前附表</w:t>
      </w:r>
      <w:bookmarkEnd w:id="15"/>
    </w:p>
    <w:tbl>
      <w:tblPr>
        <w:tblStyle w:val="46"/>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4"/>
        <w:gridCol w:w="1701"/>
        <w:gridCol w:w="4864"/>
      </w:tblGrid>
      <w:tr w14:paraId="41266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2224" w:type="dxa"/>
            <w:vAlign w:val="center"/>
          </w:tcPr>
          <w:p w14:paraId="04AFBD27">
            <w:pPr>
              <w:adjustRightInd w:val="0"/>
              <w:snapToGrid w:val="0"/>
              <w:spacing w:line="400" w:lineRule="exact"/>
              <w:jc w:val="center"/>
              <w:rPr>
                <w:rFonts w:ascii="宋体" w:hAnsi="宋体"/>
                <w:b/>
                <w:color w:val="auto"/>
                <w:szCs w:val="21"/>
                <w:highlight w:val="none"/>
              </w:rPr>
            </w:pPr>
            <w:r>
              <w:rPr>
                <w:rFonts w:hint="eastAsia" w:ascii="宋体" w:hAnsi="宋体"/>
                <w:b/>
                <w:color w:val="auto"/>
                <w:szCs w:val="21"/>
                <w:highlight w:val="none"/>
              </w:rPr>
              <w:t>条款号</w:t>
            </w:r>
          </w:p>
        </w:tc>
        <w:tc>
          <w:tcPr>
            <w:tcW w:w="1701" w:type="dxa"/>
            <w:vAlign w:val="center"/>
          </w:tcPr>
          <w:p w14:paraId="782E4B2B">
            <w:pPr>
              <w:adjustRightInd w:val="0"/>
              <w:snapToGrid w:val="0"/>
              <w:spacing w:line="400" w:lineRule="exact"/>
              <w:jc w:val="center"/>
              <w:rPr>
                <w:rFonts w:ascii="宋体" w:hAnsi="宋体"/>
                <w:b/>
                <w:color w:val="auto"/>
                <w:szCs w:val="21"/>
                <w:highlight w:val="none"/>
              </w:rPr>
            </w:pPr>
            <w:r>
              <w:rPr>
                <w:rFonts w:hint="eastAsia" w:ascii="宋体" w:hAnsi="宋体"/>
                <w:b/>
                <w:color w:val="auto"/>
                <w:szCs w:val="21"/>
                <w:highlight w:val="none"/>
              </w:rPr>
              <w:t>条款名称</w:t>
            </w:r>
          </w:p>
        </w:tc>
        <w:tc>
          <w:tcPr>
            <w:tcW w:w="4864" w:type="dxa"/>
            <w:vAlign w:val="center"/>
          </w:tcPr>
          <w:p w14:paraId="17096B56">
            <w:pPr>
              <w:adjustRightInd w:val="0"/>
              <w:snapToGrid w:val="0"/>
              <w:spacing w:line="400" w:lineRule="exact"/>
              <w:jc w:val="center"/>
              <w:rPr>
                <w:rFonts w:ascii="宋体" w:hAnsi="宋体"/>
                <w:b/>
                <w:color w:val="auto"/>
                <w:szCs w:val="21"/>
                <w:highlight w:val="none"/>
              </w:rPr>
            </w:pPr>
            <w:r>
              <w:rPr>
                <w:rFonts w:hint="eastAsia" w:ascii="宋体" w:hAnsi="宋体"/>
                <w:b/>
                <w:color w:val="auto"/>
                <w:szCs w:val="21"/>
                <w:highlight w:val="none"/>
              </w:rPr>
              <w:t>编列内容规定</w:t>
            </w:r>
          </w:p>
        </w:tc>
      </w:tr>
      <w:tr w14:paraId="4DD7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8789" w:type="dxa"/>
            <w:gridSpan w:val="3"/>
            <w:vAlign w:val="center"/>
          </w:tcPr>
          <w:p w14:paraId="27921B92">
            <w:pPr>
              <w:adjustRightInd w:val="0"/>
              <w:snapToGrid w:val="0"/>
              <w:spacing w:line="400" w:lineRule="exact"/>
              <w:rPr>
                <w:rFonts w:ascii="宋体" w:hAnsi="宋体"/>
                <w:color w:val="auto"/>
                <w:szCs w:val="21"/>
                <w:highlight w:val="none"/>
              </w:rPr>
            </w:pPr>
            <w:r>
              <w:rPr>
                <w:rFonts w:hint="eastAsia" w:ascii="宋体" w:hAnsi="宋体"/>
                <w:b/>
                <w:color w:val="auto"/>
                <w:szCs w:val="21"/>
                <w:highlight w:val="none"/>
              </w:rPr>
              <w:t>一、说明</w:t>
            </w:r>
          </w:p>
        </w:tc>
      </w:tr>
      <w:tr w14:paraId="4668E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11B8DD28">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第二章第1.1款</w:t>
            </w:r>
          </w:p>
        </w:tc>
        <w:tc>
          <w:tcPr>
            <w:tcW w:w="1701" w:type="dxa"/>
            <w:vAlign w:val="center"/>
          </w:tcPr>
          <w:p w14:paraId="1CD57A76">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项目名称</w:t>
            </w:r>
          </w:p>
        </w:tc>
        <w:tc>
          <w:tcPr>
            <w:tcW w:w="4864" w:type="dxa"/>
            <w:vAlign w:val="center"/>
          </w:tcPr>
          <w:p w14:paraId="2287EDB3">
            <w:pPr>
              <w:spacing w:line="400" w:lineRule="exact"/>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乌鲁木齐高新技术产业开发区（乌鲁木齐市新市区）教育局乌鲁木齐市第九中学新校区新建项目（乌鲁木齐市第一中学教育集团高新校区）设备设施采购项目</w:t>
            </w:r>
          </w:p>
        </w:tc>
      </w:tr>
      <w:tr w14:paraId="0B1C0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224" w:type="dxa"/>
            <w:vAlign w:val="center"/>
          </w:tcPr>
          <w:p w14:paraId="601E5F6B">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第二章第1.2款</w:t>
            </w:r>
          </w:p>
        </w:tc>
        <w:tc>
          <w:tcPr>
            <w:tcW w:w="1701" w:type="dxa"/>
            <w:vAlign w:val="center"/>
          </w:tcPr>
          <w:p w14:paraId="0FEF6749">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采购内容</w:t>
            </w:r>
          </w:p>
        </w:tc>
        <w:tc>
          <w:tcPr>
            <w:tcW w:w="4864" w:type="dxa"/>
            <w:vAlign w:val="center"/>
          </w:tcPr>
          <w:p w14:paraId="1296390D">
            <w:pPr>
              <w:pStyle w:val="18"/>
              <w:rPr>
                <w:rFonts w:hint="eastAsia" w:eastAsia="宋体"/>
                <w:color w:val="auto"/>
                <w:highlight w:val="none"/>
                <w:lang w:eastAsia="zh-CN"/>
              </w:rPr>
            </w:pPr>
            <w:r>
              <w:rPr>
                <w:rFonts w:hint="eastAsia"/>
                <w:color w:val="auto"/>
                <w:highlight w:val="none"/>
              </w:rPr>
              <w:t>标项一</w:t>
            </w:r>
          </w:p>
          <w:p w14:paraId="0AE47F3B">
            <w:pPr>
              <w:pStyle w:val="18"/>
              <w:rPr>
                <w:rFonts w:hint="eastAsia" w:eastAsia="宋体"/>
                <w:color w:val="auto"/>
                <w:highlight w:val="none"/>
                <w:lang w:eastAsia="zh-CN"/>
              </w:rPr>
            </w:pPr>
            <w:r>
              <w:rPr>
                <w:rFonts w:hint="eastAsia"/>
                <w:color w:val="auto"/>
                <w:highlight w:val="none"/>
              </w:rPr>
              <w:t>   标项名称:</w:t>
            </w:r>
            <w:r>
              <w:rPr>
                <w:rFonts w:hint="eastAsia"/>
                <w:color w:val="auto"/>
                <w:highlight w:val="none"/>
                <w:lang w:eastAsia="zh-CN"/>
              </w:rPr>
              <w:t>购置数字教育资源</w:t>
            </w:r>
          </w:p>
          <w:p w14:paraId="20781846">
            <w:pPr>
              <w:pStyle w:val="18"/>
              <w:rPr>
                <w:rFonts w:hint="eastAsia" w:eastAsia="宋体"/>
                <w:color w:val="auto"/>
                <w:highlight w:val="none"/>
                <w:lang w:eastAsia="zh-CN"/>
              </w:rPr>
            </w:pPr>
            <w:r>
              <w:rPr>
                <w:rFonts w:hint="eastAsia"/>
                <w:color w:val="auto"/>
                <w:highlight w:val="none"/>
              </w:rPr>
              <w:t>   数量:1</w:t>
            </w:r>
          </w:p>
          <w:p w14:paraId="74030E98">
            <w:pPr>
              <w:pStyle w:val="18"/>
              <w:rPr>
                <w:rFonts w:hint="eastAsia" w:eastAsia="宋体"/>
                <w:color w:val="auto"/>
                <w:highlight w:val="none"/>
                <w:lang w:eastAsia="zh-CN"/>
              </w:rPr>
            </w:pPr>
            <w:r>
              <w:rPr>
                <w:rFonts w:hint="eastAsia"/>
                <w:color w:val="auto"/>
                <w:highlight w:val="none"/>
              </w:rPr>
              <w:t>   预算金额（元）:</w:t>
            </w:r>
            <w:r>
              <w:rPr>
                <w:rFonts w:hint="eastAsia"/>
                <w:color w:val="auto"/>
                <w:highlight w:val="none"/>
                <w:lang w:val="en-US" w:eastAsia="zh-CN"/>
              </w:rPr>
              <w:t>1290000</w:t>
            </w:r>
            <w:r>
              <w:rPr>
                <w:rFonts w:hint="eastAsia"/>
                <w:color w:val="auto"/>
                <w:highlight w:val="none"/>
              </w:rPr>
              <w:t xml:space="preserve"> </w:t>
            </w:r>
          </w:p>
          <w:p w14:paraId="6829908F">
            <w:pPr>
              <w:pStyle w:val="18"/>
              <w:rPr>
                <w:rFonts w:hint="eastAsia" w:eastAsia="宋体"/>
                <w:color w:val="auto"/>
                <w:highlight w:val="none"/>
                <w:lang w:eastAsia="zh-CN"/>
              </w:rPr>
            </w:pPr>
            <w:r>
              <w:rPr>
                <w:rFonts w:hint="eastAsia"/>
                <w:color w:val="auto"/>
                <w:highlight w:val="none"/>
              </w:rPr>
              <w:t xml:space="preserve">   简要规格描述或项目基本概况介绍、用途：详见采购文件 </w:t>
            </w:r>
          </w:p>
          <w:p w14:paraId="7D362A5C">
            <w:pPr>
              <w:pStyle w:val="18"/>
              <w:rPr>
                <w:rFonts w:hint="eastAsia"/>
                <w:color w:val="auto"/>
                <w:highlight w:val="none"/>
              </w:rPr>
            </w:pPr>
            <w:r>
              <w:rPr>
                <w:rFonts w:hint="eastAsia"/>
                <w:color w:val="auto"/>
                <w:highlight w:val="none"/>
              </w:rPr>
              <w:t>   备注：</w:t>
            </w:r>
          </w:p>
          <w:p w14:paraId="6A9D466C">
            <w:pPr>
              <w:pStyle w:val="18"/>
              <w:rPr>
                <w:rFonts w:hint="eastAsia" w:eastAsia="宋体"/>
                <w:color w:val="auto"/>
                <w:highlight w:val="none"/>
                <w:lang w:eastAsia="zh-CN"/>
              </w:rPr>
            </w:pPr>
            <w:r>
              <w:rPr>
                <w:rFonts w:hint="eastAsia"/>
                <w:color w:val="auto"/>
                <w:highlight w:val="none"/>
              </w:rPr>
              <w:t>标项二</w:t>
            </w:r>
          </w:p>
          <w:p w14:paraId="6197C37B">
            <w:pPr>
              <w:pStyle w:val="18"/>
              <w:rPr>
                <w:rFonts w:hint="eastAsia" w:eastAsia="宋体"/>
                <w:color w:val="auto"/>
                <w:highlight w:val="none"/>
                <w:lang w:val="en-US" w:eastAsia="zh-CN"/>
              </w:rPr>
            </w:pPr>
            <w:r>
              <w:rPr>
                <w:rFonts w:hint="eastAsia"/>
                <w:color w:val="auto"/>
                <w:highlight w:val="none"/>
              </w:rPr>
              <w:t xml:space="preserve">   标项名称: </w:t>
            </w:r>
            <w:r>
              <w:rPr>
                <w:rFonts w:hint="eastAsia"/>
                <w:color w:val="auto"/>
                <w:highlight w:val="none"/>
                <w:lang w:val="en-US" w:eastAsia="zh-CN"/>
              </w:rPr>
              <w:t>校园综合管理平台</w:t>
            </w:r>
          </w:p>
          <w:p w14:paraId="7BC95F7D">
            <w:pPr>
              <w:pStyle w:val="18"/>
              <w:rPr>
                <w:rFonts w:hint="eastAsia" w:eastAsia="宋体"/>
                <w:color w:val="auto"/>
                <w:highlight w:val="none"/>
                <w:lang w:eastAsia="zh-CN"/>
              </w:rPr>
            </w:pPr>
            <w:r>
              <w:rPr>
                <w:rFonts w:hint="eastAsia"/>
                <w:color w:val="auto"/>
                <w:highlight w:val="none"/>
              </w:rPr>
              <w:t>   数量:1</w:t>
            </w:r>
          </w:p>
          <w:p w14:paraId="5C3933E3">
            <w:pPr>
              <w:pStyle w:val="18"/>
              <w:rPr>
                <w:rFonts w:hint="eastAsia" w:eastAsia="宋体"/>
                <w:color w:val="auto"/>
                <w:highlight w:val="none"/>
                <w:lang w:eastAsia="zh-CN"/>
              </w:rPr>
            </w:pPr>
            <w:r>
              <w:rPr>
                <w:rFonts w:hint="eastAsia"/>
                <w:color w:val="auto"/>
                <w:highlight w:val="none"/>
              </w:rPr>
              <w:t>   预算金额（元）:</w:t>
            </w:r>
            <w:r>
              <w:rPr>
                <w:rFonts w:hint="eastAsia"/>
                <w:color w:val="auto"/>
                <w:highlight w:val="none"/>
                <w:lang w:val="en-US" w:eastAsia="zh-CN"/>
              </w:rPr>
              <w:t>136</w:t>
            </w:r>
            <w:r>
              <w:rPr>
                <w:rFonts w:hint="eastAsia"/>
                <w:color w:val="auto"/>
                <w:highlight w:val="none"/>
              </w:rPr>
              <w:t xml:space="preserve">0000 </w:t>
            </w:r>
          </w:p>
          <w:p w14:paraId="248EE208">
            <w:pPr>
              <w:pStyle w:val="18"/>
              <w:rPr>
                <w:rFonts w:hint="eastAsia" w:eastAsia="宋体"/>
                <w:color w:val="auto"/>
                <w:highlight w:val="none"/>
                <w:lang w:eastAsia="zh-CN"/>
              </w:rPr>
            </w:pPr>
            <w:r>
              <w:rPr>
                <w:rFonts w:hint="eastAsia"/>
                <w:color w:val="auto"/>
                <w:highlight w:val="none"/>
              </w:rPr>
              <w:t>   简要规格描述或项目基本概况介绍、用途：详见采购文件</w:t>
            </w:r>
          </w:p>
          <w:p w14:paraId="42058576">
            <w:pPr>
              <w:pStyle w:val="18"/>
              <w:rPr>
                <w:rFonts w:hint="eastAsia"/>
                <w:color w:val="auto"/>
                <w:highlight w:val="none"/>
              </w:rPr>
            </w:pPr>
            <w:r>
              <w:rPr>
                <w:rFonts w:hint="eastAsia"/>
                <w:color w:val="auto"/>
                <w:highlight w:val="none"/>
              </w:rPr>
              <w:t>   备注：</w:t>
            </w:r>
          </w:p>
          <w:p w14:paraId="447B6045">
            <w:pPr>
              <w:pStyle w:val="18"/>
              <w:rPr>
                <w:rFonts w:hint="eastAsia" w:eastAsia="宋体"/>
                <w:color w:val="auto"/>
                <w:highlight w:val="none"/>
                <w:lang w:eastAsia="zh-CN"/>
              </w:rPr>
            </w:pPr>
            <w:r>
              <w:rPr>
                <w:rFonts w:hint="eastAsia"/>
                <w:color w:val="auto"/>
                <w:highlight w:val="none"/>
              </w:rPr>
              <w:t>标项</w:t>
            </w:r>
            <w:r>
              <w:rPr>
                <w:rFonts w:hint="eastAsia"/>
                <w:color w:val="auto"/>
                <w:highlight w:val="none"/>
                <w:lang w:eastAsia="zh-CN"/>
              </w:rPr>
              <w:t>三</w:t>
            </w:r>
          </w:p>
          <w:p w14:paraId="067814E9">
            <w:pPr>
              <w:pStyle w:val="18"/>
              <w:rPr>
                <w:rFonts w:hint="eastAsia" w:eastAsia="宋体"/>
                <w:color w:val="auto"/>
                <w:highlight w:val="none"/>
                <w:lang w:eastAsia="zh-CN"/>
              </w:rPr>
            </w:pPr>
            <w:r>
              <w:rPr>
                <w:rFonts w:hint="eastAsia"/>
                <w:color w:val="auto"/>
                <w:highlight w:val="none"/>
              </w:rPr>
              <w:t>   标项名称:</w:t>
            </w:r>
            <w:r>
              <w:rPr>
                <w:rFonts w:hint="eastAsia"/>
                <w:color w:val="auto"/>
                <w:highlight w:val="none"/>
                <w:lang w:eastAsia="zh-CN"/>
              </w:rPr>
              <w:t>智慧黑板</w:t>
            </w:r>
          </w:p>
          <w:p w14:paraId="1007A926">
            <w:pPr>
              <w:pStyle w:val="18"/>
              <w:rPr>
                <w:rFonts w:hint="eastAsia" w:eastAsia="宋体"/>
                <w:color w:val="auto"/>
                <w:highlight w:val="none"/>
                <w:lang w:eastAsia="zh-CN"/>
              </w:rPr>
            </w:pPr>
            <w:r>
              <w:rPr>
                <w:rFonts w:hint="eastAsia"/>
                <w:color w:val="auto"/>
                <w:highlight w:val="none"/>
              </w:rPr>
              <w:t>   数量:1</w:t>
            </w:r>
          </w:p>
          <w:p w14:paraId="6C64AFF1">
            <w:pPr>
              <w:pStyle w:val="18"/>
              <w:rPr>
                <w:rFonts w:hint="eastAsia" w:eastAsia="宋体"/>
                <w:color w:val="auto"/>
                <w:highlight w:val="none"/>
                <w:lang w:val="en-US" w:eastAsia="zh-CN"/>
              </w:rPr>
            </w:pPr>
            <w:r>
              <w:rPr>
                <w:rFonts w:hint="eastAsia"/>
                <w:color w:val="auto"/>
                <w:highlight w:val="none"/>
              </w:rPr>
              <w:t>   预算金额（元）:</w:t>
            </w:r>
            <w:r>
              <w:rPr>
                <w:rFonts w:hint="eastAsia"/>
                <w:color w:val="auto"/>
                <w:highlight w:val="none"/>
                <w:lang w:val="en-US" w:eastAsia="zh-CN"/>
              </w:rPr>
              <w:t>1370000</w:t>
            </w:r>
          </w:p>
          <w:p w14:paraId="31E2A47A">
            <w:pPr>
              <w:pStyle w:val="18"/>
              <w:rPr>
                <w:rFonts w:hint="eastAsia" w:eastAsia="宋体"/>
                <w:color w:val="auto"/>
                <w:highlight w:val="none"/>
                <w:lang w:eastAsia="zh-CN"/>
              </w:rPr>
            </w:pPr>
            <w:r>
              <w:rPr>
                <w:rFonts w:hint="eastAsia"/>
                <w:color w:val="auto"/>
                <w:highlight w:val="none"/>
              </w:rPr>
              <w:t>   简要规格描述或项目基本概况介绍、用途：详见采购文件</w:t>
            </w:r>
          </w:p>
          <w:p w14:paraId="231F3E3E">
            <w:pPr>
              <w:pStyle w:val="18"/>
              <w:rPr>
                <w:rFonts w:hint="eastAsia"/>
                <w:color w:val="auto"/>
                <w:highlight w:val="none"/>
              </w:rPr>
            </w:pPr>
            <w:r>
              <w:rPr>
                <w:rFonts w:hint="eastAsia"/>
                <w:color w:val="auto"/>
                <w:highlight w:val="none"/>
              </w:rPr>
              <w:t>   备注：</w:t>
            </w:r>
          </w:p>
          <w:p w14:paraId="0F9D6A4C">
            <w:pPr>
              <w:pStyle w:val="18"/>
              <w:rPr>
                <w:rFonts w:hint="eastAsia" w:eastAsia="宋体"/>
                <w:color w:val="auto"/>
                <w:highlight w:val="none"/>
                <w:lang w:eastAsia="zh-CN"/>
              </w:rPr>
            </w:pPr>
            <w:r>
              <w:rPr>
                <w:rFonts w:hint="eastAsia"/>
                <w:color w:val="auto"/>
                <w:highlight w:val="none"/>
              </w:rPr>
              <w:t>标项</w:t>
            </w:r>
            <w:r>
              <w:rPr>
                <w:rFonts w:hint="eastAsia"/>
                <w:color w:val="auto"/>
                <w:highlight w:val="none"/>
                <w:lang w:eastAsia="zh-CN"/>
              </w:rPr>
              <w:t>四</w:t>
            </w:r>
          </w:p>
          <w:p w14:paraId="0BA1B236">
            <w:pPr>
              <w:pStyle w:val="18"/>
              <w:rPr>
                <w:rFonts w:hint="eastAsia" w:eastAsia="宋体"/>
                <w:color w:val="auto"/>
                <w:highlight w:val="none"/>
                <w:lang w:eastAsia="zh-CN"/>
              </w:rPr>
            </w:pPr>
            <w:r>
              <w:rPr>
                <w:rFonts w:hint="eastAsia"/>
                <w:color w:val="auto"/>
                <w:highlight w:val="none"/>
              </w:rPr>
              <w:t>   标项名称: 课堂反馈、精品录播教室</w:t>
            </w:r>
          </w:p>
          <w:p w14:paraId="74760CEB">
            <w:pPr>
              <w:pStyle w:val="18"/>
              <w:rPr>
                <w:rFonts w:hint="eastAsia" w:eastAsia="宋体"/>
                <w:color w:val="auto"/>
                <w:highlight w:val="none"/>
                <w:lang w:eastAsia="zh-CN"/>
              </w:rPr>
            </w:pPr>
            <w:r>
              <w:rPr>
                <w:rFonts w:hint="eastAsia"/>
                <w:color w:val="auto"/>
                <w:highlight w:val="none"/>
              </w:rPr>
              <w:t>   数量:1</w:t>
            </w:r>
          </w:p>
          <w:p w14:paraId="1038B4FA">
            <w:pPr>
              <w:pStyle w:val="18"/>
              <w:rPr>
                <w:rFonts w:hint="eastAsia" w:eastAsia="宋体"/>
                <w:color w:val="auto"/>
                <w:highlight w:val="none"/>
                <w:lang w:val="en-US" w:eastAsia="zh-CN"/>
              </w:rPr>
            </w:pPr>
            <w:r>
              <w:rPr>
                <w:rFonts w:hint="eastAsia"/>
                <w:color w:val="auto"/>
                <w:highlight w:val="none"/>
              </w:rPr>
              <w:t>   预算金额（元）:</w:t>
            </w:r>
            <w:r>
              <w:rPr>
                <w:rFonts w:hint="eastAsia"/>
                <w:color w:val="auto"/>
                <w:highlight w:val="none"/>
                <w:lang w:val="en-US" w:eastAsia="zh-CN"/>
              </w:rPr>
              <w:t>3080000</w:t>
            </w:r>
          </w:p>
          <w:p w14:paraId="1C9AF20C">
            <w:pPr>
              <w:pStyle w:val="18"/>
              <w:rPr>
                <w:rFonts w:hint="eastAsia" w:eastAsia="宋体"/>
                <w:color w:val="auto"/>
                <w:highlight w:val="none"/>
                <w:lang w:eastAsia="zh-CN"/>
              </w:rPr>
            </w:pPr>
            <w:r>
              <w:rPr>
                <w:rFonts w:hint="eastAsia"/>
                <w:color w:val="auto"/>
                <w:highlight w:val="none"/>
              </w:rPr>
              <w:t>   简要规格描述或项目基本概况介绍、用途：详见采购文件</w:t>
            </w:r>
          </w:p>
          <w:p w14:paraId="5B0795BE">
            <w:pPr>
              <w:pStyle w:val="18"/>
              <w:rPr>
                <w:rFonts w:hint="eastAsia"/>
                <w:color w:val="auto"/>
                <w:highlight w:val="none"/>
              </w:rPr>
            </w:pPr>
            <w:r>
              <w:rPr>
                <w:rFonts w:hint="eastAsia"/>
                <w:color w:val="auto"/>
                <w:highlight w:val="none"/>
              </w:rPr>
              <w:t>   备注：</w:t>
            </w:r>
          </w:p>
          <w:p w14:paraId="6253E1E6">
            <w:pPr>
              <w:pStyle w:val="18"/>
              <w:rPr>
                <w:rFonts w:hint="eastAsia" w:eastAsia="宋体"/>
                <w:color w:val="auto"/>
                <w:highlight w:val="none"/>
                <w:lang w:eastAsia="zh-CN"/>
              </w:rPr>
            </w:pPr>
            <w:r>
              <w:rPr>
                <w:rFonts w:hint="eastAsia"/>
                <w:color w:val="auto"/>
                <w:highlight w:val="none"/>
              </w:rPr>
              <w:t>标项</w:t>
            </w:r>
            <w:r>
              <w:rPr>
                <w:rFonts w:hint="eastAsia"/>
                <w:color w:val="auto"/>
                <w:highlight w:val="none"/>
                <w:lang w:eastAsia="zh-CN"/>
              </w:rPr>
              <w:t>五</w:t>
            </w:r>
          </w:p>
          <w:p w14:paraId="6C134120">
            <w:pPr>
              <w:pStyle w:val="18"/>
              <w:rPr>
                <w:rFonts w:hint="eastAsia" w:eastAsia="宋体"/>
                <w:color w:val="auto"/>
                <w:highlight w:val="none"/>
                <w:lang w:eastAsia="zh-CN"/>
              </w:rPr>
            </w:pPr>
            <w:r>
              <w:rPr>
                <w:rFonts w:hint="eastAsia"/>
                <w:color w:val="auto"/>
                <w:highlight w:val="none"/>
              </w:rPr>
              <w:t>   标项名称:</w:t>
            </w:r>
            <w:r>
              <w:rPr>
                <w:rFonts w:hint="eastAsia"/>
                <w:color w:val="auto"/>
                <w:highlight w:val="none"/>
                <w:lang w:eastAsia="zh-CN"/>
              </w:rPr>
              <w:t>计算机教室</w:t>
            </w:r>
          </w:p>
          <w:p w14:paraId="2D5B758D">
            <w:pPr>
              <w:pStyle w:val="18"/>
              <w:rPr>
                <w:rFonts w:hint="eastAsia" w:eastAsia="宋体"/>
                <w:color w:val="auto"/>
                <w:highlight w:val="none"/>
                <w:lang w:eastAsia="zh-CN"/>
              </w:rPr>
            </w:pPr>
            <w:r>
              <w:rPr>
                <w:rFonts w:hint="eastAsia"/>
                <w:color w:val="auto"/>
                <w:highlight w:val="none"/>
              </w:rPr>
              <w:t>   数量:1</w:t>
            </w:r>
          </w:p>
          <w:p w14:paraId="24964287">
            <w:pPr>
              <w:pStyle w:val="18"/>
              <w:rPr>
                <w:rFonts w:hint="eastAsia" w:eastAsia="宋体"/>
                <w:color w:val="auto"/>
                <w:highlight w:val="none"/>
                <w:lang w:val="en-US" w:eastAsia="zh-CN"/>
              </w:rPr>
            </w:pPr>
            <w:r>
              <w:rPr>
                <w:rFonts w:hint="eastAsia"/>
                <w:color w:val="auto"/>
                <w:highlight w:val="none"/>
              </w:rPr>
              <w:t>   预算金额（元）:</w:t>
            </w:r>
            <w:r>
              <w:rPr>
                <w:rFonts w:hint="eastAsia"/>
                <w:color w:val="auto"/>
                <w:highlight w:val="none"/>
                <w:lang w:val="en-US" w:eastAsia="zh-CN"/>
              </w:rPr>
              <w:t>1350000</w:t>
            </w:r>
          </w:p>
          <w:p w14:paraId="5EE77763">
            <w:pPr>
              <w:pStyle w:val="18"/>
              <w:rPr>
                <w:rFonts w:hint="eastAsia" w:eastAsia="宋体"/>
                <w:color w:val="auto"/>
                <w:highlight w:val="none"/>
                <w:lang w:eastAsia="zh-CN"/>
              </w:rPr>
            </w:pPr>
            <w:r>
              <w:rPr>
                <w:rFonts w:hint="eastAsia"/>
                <w:color w:val="auto"/>
                <w:highlight w:val="none"/>
              </w:rPr>
              <w:t>   简要规格描述或项目基本概况介绍、用途：详见采购文件</w:t>
            </w:r>
          </w:p>
          <w:p w14:paraId="457830C4">
            <w:pPr>
              <w:pStyle w:val="18"/>
              <w:rPr>
                <w:rFonts w:hint="eastAsia"/>
                <w:color w:val="auto"/>
                <w:highlight w:val="none"/>
              </w:rPr>
            </w:pPr>
            <w:r>
              <w:rPr>
                <w:rFonts w:hint="eastAsia"/>
                <w:color w:val="auto"/>
                <w:highlight w:val="none"/>
              </w:rPr>
              <w:t>   备注：</w:t>
            </w:r>
          </w:p>
          <w:p w14:paraId="0D7ED730">
            <w:pPr>
              <w:pStyle w:val="18"/>
              <w:rPr>
                <w:rFonts w:hint="eastAsia" w:eastAsia="宋体"/>
                <w:color w:val="auto"/>
                <w:highlight w:val="none"/>
                <w:lang w:eastAsia="zh-CN"/>
              </w:rPr>
            </w:pPr>
            <w:r>
              <w:rPr>
                <w:rFonts w:hint="eastAsia"/>
                <w:color w:val="auto"/>
                <w:highlight w:val="none"/>
              </w:rPr>
              <w:t>标项</w:t>
            </w:r>
            <w:r>
              <w:rPr>
                <w:rFonts w:hint="eastAsia"/>
                <w:color w:val="auto"/>
                <w:highlight w:val="none"/>
                <w:lang w:eastAsia="zh-CN"/>
              </w:rPr>
              <w:t>六</w:t>
            </w:r>
          </w:p>
          <w:p w14:paraId="512A337E">
            <w:pPr>
              <w:pStyle w:val="18"/>
              <w:rPr>
                <w:rFonts w:hint="eastAsia" w:eastAsia="宋体"/>
                <w:color w:val="auto"/>
                <w:highlight w:val="none"/>
                <w:lang w:val="en-US" w:eastAsia="zh-CN"/>
              </w:rPr>
            </w:pPr>
            <w:r>
              <w:rPr>
                <w:rFonts w:hint="eastAsia"/>
                <w:color w:val="auto"/>
                <w:highlight w:val="none"/>
              </w:rPr>
              <w:t xml:space="preserve">   标项名称: </w:t>
            </w:r>
            <w:r>
              <w:rPr>
                <w:rFonts w:hint="eastAsia"/>
                <w:color w:val="auto"/>
                <w:highlight w:val="none"/>
                <w:lang w:val="en-US" w:eastAsia="zh-CN"/>
              </w:rPr>
              <w:t>创客教室、化学吊装实验室、虚拟现实教室</w:t>
            </w:r>
          </w:p>
          <w:p w14:paraId="6464F49B">
            <w:pPr>
              <w:pStyle w:val="18"/>
              <w:rPr>
                <w:rFonts w:hint="eastAsia" w:eastAsia="宋体"/>
                <w:color w:val="auto"/>
                <w:highlight w:val="none"/>
                <w:lang w:eastAsia="zh-CN"/>
              </w:rPr>
            </w:pPr>
            <w:r>
              <w:rPr>
                <w:rFonts w:hint="eastAsia"/>
                <w:color w:val="auto"/>
                <w:highlight w:val="none"/>
              </w:rPr>
              <w:t>   数量:1</w:t>
            </w:r>
          </w:p>
          <w:p w14:paraId="54157FEC">
            <w:pPr>
              <w:pStyle w:val="18"/>
              <w:rPr>
                <w:rFonts w:hint="eastAsia" w:eastAsia="宋体"/>
                <w:color w:val="auto"/>
                <w:highlight w:val="none"/>
                <w:lang w:val="en-US" w:eastAsia="zh-CN"/>
              </w:rPr>
            </w:pPr>
            <w:r>
              <w:rPr>
                <w:rFonts w:hint="eastAsia"/>
                <w:color w:val="auto"/>
                <w:highlight w:val="none"/>
              </w:rPr>
              <w:t>   预算金额（元）:</w:t>
            </w:r>
            <w:r>
              <w:rPr>
                <w:rFonts w:hint="eastAsia"/>
                <w:color w:val="auto"/>
                <w:highlight w:val="none"/>
                <w:lang w:val="en-US" w:eastAsia="zh-CN"/>
              </w:rPr>
              <w:t>2370000</w:t>
            </w:r>
          </w:p>
          <w:p w14:paraId="1BE3F6DA">
            <w:pPr>
              <w:pStyle w:val="18"/>
              <w:rPr>
                <w:rFonts w:hint="eastAsia" w:eastAsia="宋体"/>
                <w:color w:val="auto"/>
                <w:highlight w:val="none"/>
                <w:lang w:eastAsia="zh-CN"/>
              </w:rPr>
            </w:pPr>
            <w:r>
              <w:rPr>
                <w:rFonts w:hint="eastAsia"/>
                <w:color w:val="auto"/>
                <w:highlight w:val="none"/>
              </w:rPr>
              <w:t>   简要规格描述或项目基本概况介绍、用途：详见采购文件</w:t>
            </w:r>
          </w:p>
          <w:p w14:paraId="001C67AE">
            <w:pPr>
              <w:pStyle w:val="18"/>
              <w:rPr>
                <w:rFonts w:hint="eastAsia"/>
                <w:color w:val="auto"/>
                <w:highlight w:val="none"/>
              </w:rPr>
            </w:pPr>
            <w:r>
              <w:rPr>
                <w:rFonts w:hint="eastAsia"/>
                <w:color w:val="auto"/>
                <w:highlight w:val="none"/>
              </w:rPr>
              <w:t>   备注：</w:t>
            </w:r>
          </w:p>
          <w:p w14:paraId="0EFA8956">
            <w:pPr>
              <w:pStyle w:val="18"/>
              <w:rPr>
                <w:rFonts w:hint="eastAsia" w:eastAsia="宋体"/>
                <w:color w:val="auto"/>
                <w:highlight w:val="none"/>
                <w:lang w:eastAsia="zh-CN"/>
              </w:rPr>
            </w:pPr>
            <w:r>
              <w:rPr>
                <w:rFonts w:hint="eastAsia"/>
                <w:color w:val="auto"/>
                <w:highlight w:val="none"/>
              </w:rPr>
              <w:t>标项</w:t>
            </w:r>
            <w:r>
              <w:rPr>
                <w:rFonts w:hint="eastAsia"/>
                <w:color w:val="auto"/>
                <w:highlight w:val="none"/>
                <w:lang w:eastAsia="zh-CN"/>
              </w:rPr>
              <w:t>七</w:t>
            </w:r>
          </w:p>
          <w:p w14:paraId="3EFA53A7">
            <w:pPr>
              <w:pStyle w:val="18"/>
              <w:rPr>
                <w:rFonts w:hint="eastAsia" w:eastAsia="宋体"/>
                <w:color w:val="auto"/>
                <w:highlight w:val="none"/>
                <w:lang w:val="en-US" w:eastAsia="zh-CN"/>
              </w:rPr>
            </w:pPr>
            <w:r>
              <w:rPr>
                <w:rFonts w:hint="eastAsia"/>
                <w:color w:val="auto"/>
                <w:highlight w:val="none"/>
              </w:rPr>
              <w:t xml:space="preserve">   标项名称: </w:t>
            </w:r>
            <w:r>
              <w:rPr>
                <w:rFonts w:hint="eastAsia"/>
                <w:color w:val="auto"/>
                <w:highlight w:val="none"/>
                <w:lang w:val="en-US" w:eastAsia="zh-CN"/>
              </w:rPr>
              <w:t>音美体器材</w:t>
            </w:r>
          </w:p>
          <w:p w14:paraId="190B3AF0">
            <w:pPr>
              <w:pStyle w:val="18"/>
              <w:rPr>
                <w:rFonts w:hint="eastAsia" w:eastAsia="宋体"/>
                <w:color w:val="auto"/>
                <w:highlight w:val="none"/>
                <w:lang w:eastAsia="zh-CN"/>
              </w:rPr>
            </w:pPr>
            <w:r>
              <w:rPr>
                <w:rFonts w:hint="eastAsia"/>
                <w:color w:val="auto"/>
                <w:highlight w:val="none"/>
              </w:rPr>
              <w:t>   数量:1</w:t>
            </w:r>
          </w:p>
          <w:p w14:paraId="59B2CC6E">
            <w:pPr>
              <w:pStyle w:val="18"/>
              <w:rPr>
                <w:rFonts w:hint="eastAsia" w:eastAsia="宋体"/>
                <w:color w:val="auto"/>
                <w:highlight w:val="none"/>
                <w:lang w:eastAsia="zh-CN"/>
              </w:rPr>
            </w:pPr>
            <w:r>
              <w:rPr>
                <w:rFonts w:hint="eastAsia"/>
                <w:color w:val="auto"/>
                <w:highlight w:val="none"/>
              </w:rPr>
              <w:t>   预算金额（元）:</w:t>
            </w:r>
            <w:r>
              <w:rPr>
                <w:rFonts w:hint="eastAsia"/>
                <w:color w:val="auto"/>
                <w:highlight w:val="none"/>
                <w:lang w:val="en-US" w:eastAsia="zh-CN"/>
              </w:rPr>
              <w:t>206</w:t>
            </w:r>
            <w:r>
              <w:rPr>
                <w:rFonts w:hint="eastAsia"/>
                <w:color w:val="auto"/>
                <w:highlight w:val="none"/>
              </w:rPr>
              <w:t xml:space="preserve">0000 </w:t>
            </w:r>
          </w:p>
          <w:p w14:paraId="7EAB0E2F">
            <w:pPr>
              <w:pStyle w:val="18"/>
              <w:rPr>
                <w:rFonts w:hint="eastAsia" w:eastAsia="宋体"/>
                <w:color w:val="auto"/>
                <w:highlight w:val="none"/>
                <w:lang w:eastAsia="zh-CN"/>
              </w:rPr>
            </w:pPr>
            <w:r>
              <w:rPr>
                <w:rFonts w:hint="eastAsia"/>
                <w:color w:val="auto"/>
                <w:highlight w:val="none"/>
              </w:rPr>
              <w:t>   简要规格描述或项目基本概况介绍、用途：详见采购文件</w:t>
            </w:r>
          </w:p>
          <w:p w14:paraId="7679D9C9">
            <w:pPr>
              <w:pStyle w:val="18"/>
              <w:rPr>
                <w:rFonts w:hint="eastAsia"/>
                <w:color w:val="auto"/>
                <w:highlight w:val="none"/>
              </w:rPr>
            </w:pPr>
            <w:r>
              <w:rPr>
                <w:rFonts w:hint="eastAsia"/>
                <w:color w:val="auto"/>
                <w:highlight w:val="none"/>
              </w:rPr>
              <w:t>   备注：</w:t>
            </w:r>
          </w:p>
          <w:p w14:paraId="4A70B7AA">
            <w:pPr>
              <w:pStyle w:val="18"/>
              <w:rPr>
                <w:rFonts w:hint="eastAsia" w:eastAsia="宋体"/>
                <w:color w:val="auto"/>
                <w:highlight w:val="none"/>
                <w:lang w:eastAsia="zh-CN"/>
              </w:rPr>
            </w:pPr>
            <w:r>
              <w:rPr>
                <w:rFonts w:hint="eastAsia"/>
                <w:color w:val="auto"/>
                <w:highlight w:val="none"/>
              </w:rPr>
              <w:t>标项</w:t>
            </w:r>
            <w:r>
              <w:rPr>
                <w:rFonts w:hint="eastAsia"/>
                <w:color w:val="auto"/>
                <w:highlight w:val="none"/>
                <w:lang w:eastAsia="zh-CN"/>
              </w:rPr>
              <w:t>八</w:t>
            </w:r>
          </w:p>
          <w:p w14:paraId="5F48A302">
            <w:pPr>
              <w:pStyle w:val="18"/>
              <w:rPr>
                <w:rFonts w:hint="eastAsia" w:eastAsia="宋体"/>
                <w:color w:val="auto"/>
                <w:highlight w:val="none"/>
                <w:lang w:val="en-US" w:eastAsia="zh-CN"/>
              </w:rPr>
            </w:pPr>
            <w:r>
              <w:rPr>
                <w:rFonts w:hint="eastAsia"/>
                <w:color w:val="auto"/>
                <w:highlight w:val="none"/>
              </w:rPr>
              <w:t xml:space="preserve">   标项名称: </w:t>
            </w:r>
            <w:r>
              <w:rPr>
                <w:rFonts w:hint="eastAsia"/>
                <w:color w:val="auto"/>
                <w:highlight w:val="none"/>
                <w:lang w:val="en-US" w:eastAsia="zh-CN"/>
              </w:rPr>
              <w:t>卫生保健室设备</w:t>
            </w:r>
          </w:p>
          <w:p w14:paraId="3E5B48BC">
            <w:pPr>
              <w:pStyle w:val="18"/>
              <w:rPr>
                <w:rFonts w:hint="eastAsia" w:eastAsia="宋体"/>
                <w:color w:val="auto"/>
                <w:highlight w:val="none"/>
                <w:lang w:eastAsia="zh-CN"/>
              </w:rPr>
            </w:pPr>
            <w:r>
              <w:rPr>
                <w:rFonts w:hint="eastAsia"/>
                <w:color w:val="auto"/>
                <w:highlight w:val="none"/>
              </w:rPr>
              <w:t>   数量:1</w:t>
            </w:r>
          </w:p>
          <w:p w14:paraId="2FBF9FBC">
            <w:pPr>
              <w:pStyle w:val="18"/>
              <w:rPr>
                <w:rFonts w:hint="eastAsia" w:eastAsia="宋体"/>
                <w:color w:val="auto"/>
                <w:highlight w:val="none"/>
                <w:lang w:eastAsia="zh-CN"/>
              </w:rPr>
            </w:pPr>
            <w:r>
              <w:rPr>
                <w:rFonts w:hint="eastAsia"/>
                <w:color w:val="auto"/>
                <w:highlight w:val="none"/>
              </w:rPr>
              <w:t>   预算金额（元）:</w:t>
            </w:r>
            <w:r>
              <w:rPr>
                <w:rFonts w:hint="eastAsia"/>
                <w:color w:val="auto"/>
                <w:highlight w:val="none"/>
                <w:lang w:val="en-US" w:eastAsia="zh-CN"/>
              </w:rPr>
              <w:t>11</w:t>
            </w:r>
            <w:r>
              <w:rPr>
                <w:rFonts w:hint="eastAsia"/>
                <w:color w:val="auto"/>
                <w:highlight w:val="none"/>
              </w:rPr>
              <w:t xml:space="preserve">0000 </w:t>
            </w:r>
          </w:p>
          <w:p w14:paraId="76B060F7">
            <w:pPr>
              <w:pStyle w:val="18"/>
              <w:rPr>
                <w:rFonts w:hint="eastAsia" w:eastAsia="宋体"/>
                <w:color w:val="auto"/>
                <w:highlight w:val="none"/>
                <w:lang w:eastAsia="zh-CN"/>
              </w:rPr>
            </w:pPr>
            <w:r>
              <w:rPr>
                <w:rFonts w:hint="eastAsia"/>
                <w:color w:val="auto"/>
                <w:highlight w:val="none"/>
              </w:rPr>
              <w:t>   简要规格描述或项目基本概况介绍、用途：详见采购文件</w:t>
            </w:r>
          </w:p>
          <w:p w14:paraId="6C8903F0">
            <w:pPr>
              <w:pStyle w:val="18"/>
              <w:rPr>
                <w:rFonts w:hint="eastAsia"/>
                <w:color w:val="auto"/>
                <w:highlight w:val="none"/>
              </w:rPr>
            </w:pPr>
            <w:r>
              <w:rPr>
                <w:rFonts w:hint="eastAsia"/>
                <w:color w:val="auto"/>
                <w:highlight w:val="none"/>
              </w:rPr>
              <w:t>   备注：</w:t>
            </w:r>
          </w:p>
          <w:p w14:paraId="02B621C1">
            <w:pPr>
              <w:pStyle w:val="18"/>
              <w:rPr>
                <w:color w:val="auto"/>
                <w:highlight w:val="none"/>
              </w:rPr>
            </w:pPr>
            <w:r>
              <w:rPr>
                <w:rFonts w:hint="eastAsia"/>
                <w:color w:val="auto"/>
                <w:highlight w:val="none"/>
              </w:rPr>
              <w:t>合同履行期限：自合同签订后30日</w:t>
            </w:r>
          </w:p>
        </w:tc>
      </w:tr>
      <w:tr w14:paraId="19800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6AAA976C">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第二章第1.3款</w:t>
            </w:r>
          </w:p>
        </w:tc>
        <w:tc>
          <w:tcPr>
            <w:tcW w:w="1701" w:type="dxa"/>
            <w:vAlign w:val="center"/>
          </w:tcPr>
          <w:p w14:paraId="403F4606">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采购方式</w:t>
            </w:r>
          </w:p>
        </w:tc>
        <w:tc>
          <w:tcPr>
            <w:tcW w:w="4864" w:type="dxa"/>
            <w:vAlign w:val="center"/>
          </w:tcPr>
          <w:p w14:paraId="0D01FA9E">
            <w:pPr>
              <w:spacing w:line="400" w:lineRule="exact"/>
              <w:jc w:val="left"/>
              <w:rPr>
                <w:rFonts w:ascii="宋体" w:hAnsi="宋体"/>
                <w:color w:val="auto"/>
                <w:szCs w:val="21"/>
                <w:highlight w:val="none"/>
              </w:rPr>
            </w:pPr>
            <w:r>
              <w:rPr>
                <w:rFonts w:hint="eastAsia" w:ascii="宋体" w:hAnsi="宋体"/>
                <w:color w:val="auto"/>
                <w:szCs w:val="21"/>
                <w:highlight w:val="none"/>
              </w:rPr>
              <w:t>公开招标</w:t>
            </w:r>
          </w:p>
        </w:tc>
      </w:tr>
      <w:tr w14:paraId="55B7E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6FA4FACE">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第二章第1.4款</w:t>
            </w:r>
          </w:p>
        </w:tc>
        <w:tc>
          <w:tcPr>
            <w:tcW w:w="1701" w:type="dxa"/>
            <w:vAlign w:val="center"/>
          </w:tcPr>
          <w:p w14:paraId="50C02963">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项目地点</w:t>
            </w:r>
          </w:p>
        </w:tc>
        <w:tc>
          <w:tcPr>
            <w:tcW w:w="4864" w:type="dxa"/>
            <w:vAlign w:val="center"/>
          </w:tcPr>
          <w:p w14:paraId="1986FC7F">
            <w:pPr>
              <w:spacing w:line="400" w:lineRule="exact"/>
              <w:jc w:val="left"/>
              <w:rPr>
                <w:rFonts w:ascii="宋体" w:hAnsi="宋体"/>
                <w:color w:val="auto"/>
                <w:szCs w:val="21"/>
                <w:highlight w:val="none"/>
              </w:rPr>
            </w:pPr>
            <w:r>
              <w:rPr>
                <w:rFonts w:hint="eastAsia" w:ascii="宋体" w:hAnsi="宋体" w:cs="宋体"/>
                <w:color w:val="auto"/>
                <w:kern w:val="0"/>
                <w:szCs w:val="21"/>
                <w:highlight w:val="none"/>
              </w:rPr>
              <w:t>采购人指定地点</w:t>
            </w:r>
          </w:p>
        </w:tc>
      </w:tr>
      <w:tr w14:paraId="4ECCA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0BB56B78">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第二章第1.5款</w:t>
            </w:r>
          </w:p>
        </w:tc>
        <w:tc>
          <w:tcPr>
            <w:tcW w:w="1701" w:type="dxa"/>
            <w:vAlign w:val="center"/>
          </w:tcPr>
          <w:p w14:paraId="3E33CA3E">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合同履行期限</w:t>
            </w:r>
          </w:p>
        </w:tc>
        <w:tc>
          <w:tcPr>
            <w:tcW w:w="4864" w:type="dxa"/>
            <w:vAlign w:val="center"/>
          </w:tcPr>
          <w:p w14:paraId="4349B3A5">
            <w:pPr>
              <w:spacing w:line="4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自合同签订后3</w:t>
            </w:r>
            <w:r>
              <w:rPr>
                <w:rFonts w:ascii="宋体" w:hAnsi="宋体" w:cs="宋体"/>
                <w:color w:val="auto"/>
                <w:kern w:val="0"/>
                <w:szCs w:val="21"/>
                <w:highlight w:val="none"/>
              </w:rPr>
              <w:t>0</w:t>
            </w:r>
            <w:r>
              <w:rPr>
                <w:rFonts w:hint="eastAsia" w:ascii="宋体" w:hAnsi="宋体" w:cs="宋体"/>
                <w:color w:val="auto"/>
                <w:kern w:val="0"/>
                <w:szCs w:val="21"/>
                <w:highlight w:val="none"/>
              </w:rPr>
              <w:t>日</w:t>
            </w:r>
          </w:p>
        </w:tc>
      </w:tr>
      <w:tr w14:paraId="24797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2224" w:type="dxa"/>
            <w:vAlign w:val="center"/>
          </w:tcPr>
          <w:p w14:paraId="65AF94AE">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第二章第2.1款</w:t>
            </w:r>
          </w:p>
        </w:tc>
        <w:tc>
          <w:tcPr>
            <w:tcW w:w="1701" w:type="dxa"/>
            <w:vAlign w:val="center"/>
          </w:tcPr>
          <w:p w14:paraId="6708BC66">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采购人</w:t>
            </w:r>
          </w:p>
        </w:tc>
        <w:tc>
          <w:tcPr>
            <w:tcW w:w="4864" w:type="dxa"/>
            <w:vAlign w:val="center"/>
          </w:tcPr>
          <w:p w14:paraId="6BA46BE0">
            <w:pPr>
              <w:pStyle w:val="18"/>
              <w:rPr>
                <w:color w:val="auto"/>
                <w:highlight w:val="none"/>
              </w:rPr>
            </w:pPr>
            <w:r>
              <w:rPr>
                <w:rFonts w:hint="eastAsia"/>
                <w:color w:val="auto"/>
                <w:highlight w:val="none"/>
              </w:rPr>
              <w:t>名 称：乌鲁木齐高新技术产业开发区（乌鲁木齐市新市区）教育局</w:t>
            </w:r>
          </w:p>
          <w:p w14:paraId="308A388A">
            <w:pPr>
              <w:pStyle w:val="18"/>
              <w:rPr>
                <w:color w:val="auto"/>
                <w:highlight w:val="none"/>
              </w:rPr>
            </w:pPr>
            <w:r>
              <w:rPr>
                <w:rFonts w:hint="eastAsia"/>
                <w:color w:val="auto"/>
                <w:highlight w:val="none"/>
              </w:rPr>
              <w:t>地址：乌鲁木齐市北京南路86号</w:t>
            </w:r>
          </w:p>
          <w:p w14:paraId="6D6CF8FE">
            <w:pPr>
              <w:pStyle w:val="18"/>
              <w:rPr>
                <w:color w:val="auto"/>
                <w:highlight w:val="none"/>
              </w:rPr>
            </w:pPr>
            <w:r>
              <w:rPr>
                <w:rFonts w:hint="eastAsia"/>
                <w:color w:val="auto"/>
                <w:highlight w:val="none"/>
              </w:rPr>
              <w:t>联系方式：0991-3831583</w:t>
            </w:r>
          </w:p>
        </w:tc>
      </w:tr>
      <w:tr w14:paraId="33020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2224" w:type="dxa"/>
            <w:vAlign w:val="center"/>
          </w:tcPr>
          <w:p w14:paraId="2777AAFE">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第二章第2.2款</w:t>
            </w:r>
          </w:p>
        </w:tc>
        <w:tc>
          <w:tcPr>
            <w:tcW w:w="1701" w:type="dxa"/>
            <w:vAlign w:val="center"/>
          </w:tcPr>
          <w:p w14:paraId="2C31C086">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采购代理机构</w:t>
            </w:r>
          </w:p>
        </w:tc>
        <w:tc>
          <w:tcPr>
            <w:tcW w:w="4864" w:type="dxa"/>
            <w:vAlign w:val="center"/>
          </w:tcPr>
          <w:p w14:paraId="51FD441E">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名称：中益招标有限公司新疆分公司</w:t>
            </w:r>
          </w:p>
          <w:p w14:paraId="056EBF5D">
            <w:pPr>
              <w:adjustRightInd w:val="0"/>
              <w:snapToGrid w:val="0"/>
              <w:spacing w:line="400" w:lineRule="exact"/>
              <w:rPr>
                <w:rFonts w:ascii="宋体" w:hAnsi="宋体" w:cs="宋体"/>
                <w:color w:val="auto"/>
                <w:szCs w:val="21"/>
                <w:highlight w:val="none"/>
              </w:rPr>
            </w:pPr>
            <w:r>
              <w:rPr>
                <w:rFonts w:hint="eastAsia" w:ascii="宋体" w:hAnsi="宋体"/>
                <w:color w:val="auto"/>
                <w:szCs w:val="21"/>
                <w:highlight w:val="none"/>
              </w:rPr>
              <w:t>地址：</w:t>
            </w:r>
            <w:r>
              <w:rPr>
                <w:rFonts w:hint="eastAsia" w:ascii="宋体" w:hAnsi="宋体" w:cs="宋体"/>
                <w:color w:val="auto"/>
                <w:szCs w:val="21"/>
                <w:highlight w:val="none"/>
              </w:rPr>
              <w:t>新市区北京南路416号盈科国际中心30楼3001室</w:t>
            </w:r>
          </w:p>
          <w:p w14:paraId="083C1639">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联系人：谢楠 高庆龙</w:t>
            </w:r>
          </w:p>
          <w:p w14:paraId="78D67AE3">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联系方式： </w:t>
            </w:r>
            <w:r>
              <w:rPr>
                <w:rFonts w:hint="eastAsia" w:ascii="宋体" w:hAnsi="宋体"/>
                <w:color w:val="auto"/>
                <w:szCs w:val="21"/>
                <w:highlight w:val="none"/>
                <w:lang w:eastAsia="zh-CN"/>
              </w:rPr>
              <w:t>18599192565</w:t>
            </w:r>
            <w:r>
              <w:rPr>
                <w:rFonts w:hint="eastAsia" w:ascii="宋体" w:hAnsi="宋体"/>
                <w:color w:val="auto"/>
                <w:szCs w:val="21"/>
                <w:highlight w:val="none"/>
              </w:rPr>
              <w:t xml:space="preserve"> </w:t>
            </w:r>
          </w:p>
        </w:tc>
      </w:tr>
      <w:tr w14:paraId="5899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2224" w:type="dxa"/>
            <w:vAlign w:val="center"/>
          </w:tcPr>
          <w:p w14:paraId="65971394">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第二章第3.1款</w:t>
            </w:r>
          </w:p>
        </w:tc>
        <w:tc>
          <w:tcPr>
            <w:tcW w:w="1701" w:type="dxa"/>
            <w:vAlign w:val="center"/>
          </w:tcPr>
          <w:p w14:paraId="01F7848A">
            <w:pPr>
              <w:adjustRightInd w:val="0"/>
              <w:snapToGrid w:val="0"/>
              <w:spacing w:line="400" w:lineRule="exact"/>
              <w:rPr>
                <w:rFonts w:ascii="宋体" w:hAnsi="宋体"/>
                <w:color w:val="auto"/>
                <w:szCs w:val="21"/>
                <w:highlight w:val="none"/>
              </w:rPr>
            </w:pPr>
            <w:r>
              <w:rPr>
                <w:rFonts w:hint="eastAsia" w:ascii="宋体" w:hAnsi="宋体"/>
                <w:bCs/>
                <w:color w:val="auto"/>
                <w:szCs w:val="21"/>
                <w:highlight w:val="none"/>
              </w:rPr>
              <w:t>投标人</w:t>
            </w:r>
            <w:r>
              <w:rPr>
                <w:rFonts w:hint="eastAsia" w:ascii="宋体" w:hAnsi="宋体"/>
                <w:color w:val="auto"/>
                <w:szCs w:val="21"/>
                <w:highlight w:val="none"/>
              </w:rPr>
              <w:t>资格条件</w:t>
            </w:r>
          </w:p>
        </w:tc>
        <w:tc>
          <w:tcPr>
            <w:tcW w:w="4864" w:type="dxa"/>
            <w:vAlign w:val="center"/>
          </w:tcPr>
          <w:p w14:paraId="1224D91F">
            <w:pPr>
              <w:adjustRightInd w:val="0"/>
              <w:snapToGrid w:val="0"/>
              <w:spacing w:line="400" w:lineRule="exact"/>
              <w:jc w:val="left"/>
              <w:rPr>
                <w:rFonts w:ascii="宋体" w:hAnsi="宋体"/>
                <w:color w:val="auto"/>
                <w:szCs w:val="21"/>
                <w:highlight w:val="none"/>
              </w:rPr>
            </w:pPr>
            <w:r>
              <w:rPr>
                <w:rFonts w:hint="eastAsia" w:ascii="宋体" w:hAnsi="宋体"/>
                <w:color w:val="auto"/>
                <w:szCs w:val="21"/>
                <w:highlight w:val="none"/>
              </w:rPr>
              <w:t>1.满足《中华人民共和国政府采购法》第二十二条规定；</w:t>
            </w:r>
          </w:p>
          <w:p w14:paraId="602C7A86">
            <w:pPr>
              <w:adjustRightInd w:val="0"/>
              <w:snapToGrid w:val="0"/>
              <w:spacing w:line="400" w:lineRule="exact"/>
              <w:jc w:val="left"/>
              <w:rPr>
                <w:rFonts w:ascii="宋体" w:hAnsi="宋体"/>
                <w:color w:val="auto"/>
                <w:szCs w:val="21"/>
                <w:highlight w:val="none"/>
              </w:rPr>
            </w:pPr>
            <w:r>
              <w:rPr>
                <w:rFonts w:hint="eastAsia" w:ascii="宋体" w:hAnsi="宋体"/>
                <w:color w:val="auto"/>
                <w:szCs w:val="21"/>
                <w:highlight w:val="none"/>
              </w:rPr>
              <w:t>2.落实政府采购政策需满足的资格要求：</w:t>
            </w:r>
          </w:p>
          <w:p w14:paraId="0CB6E2B6">
            <w:pPr>
              <w:adjustRightInd w:val="0"/>
              <w:snapToGrid w:val="0"/>
              <w:spacing w:line="400" w:lineRule="exact"/>
              <w:jc w:val="left"/>
              <w:rPr>
                <w:rFonts w:ascii="宋体" w:hAnsi="宋体"/>
                <w:color w:val="auto"/>
                <w:szCs w:val="21"/>
                <w:highlight w:val="none"/>
              </w:rPr>
            </w:pPr>
            <w:r>
              <w:rPr>
                <w:rFonts w:hint="eastAsia" w:ascii="宋体" w:hAnsi="宋体"/>
                <w:color w:val="auto"/>
                <w:szCs w:val="21"/>
                <w:highlight w:val="none"/>
              </w:rPr>
              <w:t>专门面向中小微企业采购</w:t>
            </w:r>
          </w:p>
          <w:p w14:paraId="2B92F9B2">
            <w:pPr>
              <w:spacing w:line="400" w:lineRule="atLeast"/>
              <w:rPr>
                <w:rFonts w:ascii="宋体" w:hAnsi="宋体"/>
                <w:color w:val="auto"/>
                <w:szCs w:val="21"/>
                <w:highlight w:val="none"/>
              </w:rPr>
            </w:pPr>
            <w:r>
              <w:rPr>
                <w:rFonts w:hint="eastAsia" w:ascii="宋体" w:hAnsi="宋体"/>
                <w:color w:val="auto"/>
                <w:szCs w:val="21"/>
                <w:highlight w:val="none"/>
              </w:rPr>
              <w:t>3.本项目的特定资格要求：无</w:t>
            </w:r>
          </w:p>
        </w:tc>
      </w:tr>
      <w:tr w14:paraId="7D545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2224" w:type="dxa"/>
            <w:vAlign w:val="center"/>
          </w:tcPr>
          <w:p w14:paraId="4EE7D1CF">
            <w:pPr>
              <w:adjustRightInd w:val="0"/>
              <w:snapToGrid w:val="0"/>
              <w:spacing w:line="320" w:lineRule="exact"/>
              <w:jc w:val="center"/>
              <w:rPr>
                <w:rFonts w:ascii="宋体" w:hAnsi="宋体"/>
                <w:color w:val="auto"/>
                <w:szCs w:val="21"/>
                <w:highlight w:val="none"/>
              </w:rPr>
            </w:pPr>
            <w:r>
              <w:rPr>
                <w:rFonts w:hint="eastAsia" w:ascii="宋体" w:hAnsi="宋体"/>
                <w:color w:val="auto"/>
                <w:szCs w:val="21"/>
                <w:highlight w:val="none"/>
              </w:rPr>
              <w:t>第二章第3.2款（4）</w:t>
            </w:r>
          </w:p>
        </w:tc>
        <w:tc>
          <w:tcPr>
            <w:tcW w:w="1701" w:type="dxa"/>
            <w:vAlign w:val="center"/>
          </w:tcPr>
          <w:p w14:paraId="03ACD688">
            <w:pPr>
              <w:adjustRightInd w:val="0"/>
              <w:snapToGrid w:val="0"/>
              <w:spacing w:line="280" w:lineRule="exact"/>
              <w:rPr>
                <w:rFonts w:ascii="宋体" w:hAnsi="宋体"/>
                <w:bCs/>
                <w:color w:val="auto"/>
                <w:szCs w:val="21"/>
                <w:highlight w:val="none"/>
              </w:rPr>
            </w:pPr>
            <w:r>
              <w:rPr>
                <w:rFonts w:hint="eastAsia" w:ascii="宋体" w:hAnsi="宋体"/>
                <w:bCs/>
                <w:color w:val="auto"/>
                <w:szCs w:val="21"/>
                <w:highlight w:val="none"/>
              </w:rPr>
              <w:t>信用查询时间</w:t>
            </w:r>
          </w:p>
        </w:tc>
        <w:tc>
          <w:tcPr>
            <w:tcW w:w="4864" w:type="dxa"/>
            <w:vAlign w:val="center"/>
          </w:tcPr>
          <w:p w14:paraId="543A03BD">
            <w:pPr>
              <w:adjustRightInd w:val="0"/>
              <w:snapToGrid w:val="0"/>
              <w:spacing w:line="280" w:lineRule="exact"/>
              <w:jc w:val="left"/>
              <w:rPr>
                <w:rFonts w:ascii="宋体" w:hAnsi="宋体"/>
                <w:color w:val="auto"/>
                <w:szCs w:val="21"/>
                <w:highlight w:val="none"/>
              </w:rPr>
            </w:pPr>
            <w:r>
              <w:rPr>
                <w:rFonts w:hint="eastAsia" w:ascii="宋体" w:hAnsi="宋体"/>
                <w:color w:val="auto"/>
                <w:szCs w:val="21"/>
                <w:highlight w:val="none"/>
              </w:rPr>
              <w:t xml:space="preserve"> 202</w:t>
            </w:r>
            <w:r>
              <w:rPr>
                <w:rFonts w:hint="eastAsia" w:ascii="宋体" w:hAnsi="宋体"/>
                <w:color w:val="auto"/>
                <w:szCs w:val="21"/>
                <w:highlight w:val="none"/>
                <w:lang w:val="en-US" w:eastAsia="zh-CN"/>
              </w:rPr>
              <w:t>5</w:t>
            </w:r>
            <w:r>
              <w:rPr>
                <w:rFonts w:hint="eastAsia" w:ascii="宋体" w:hAnsi="宋体"/>
                <w:color w:val="auto"/>
                <w:szCs w:val="21"/>
                <w:highlight w:val="none"/>
              </w:rPr>
              <w:t>年07月</w:t>
            </w:r>
            <w:r>
              <w:rPr>
                <w:rFonts w:hint="eastAsia" w:ascii="宋体" w:hAnsi="宋体"/>
                <w:color w:val="auto"/>
                <w:szCs w:val="21"/>
                <w:highlight w:val="none"/>
                <w:lang w:val="en-US" w:eastAsia="zh-CN"/>
              </w:rPr>
              <w:t>07</w:t>
            </w:r>
            <w:r>
              <w:rPr>
                <w:rFonts w:hint="eastAsia" w:ascii="宋体" w:hAnsi="宋体"/>
                <w:color w:val="auto"/>
                <w:szCs w:val="21"/>
                <w:highlight w:val="none"/>
              </w:rPr>
              <w:t>日-202</w:t>
            </w:r>
            <w:r>
              <w:rPr>
                <w:rFonts w:hint="eastAsia" w:ascii="宋体" w:hAnsi="宋体"/>
                <w:color w:val="auto"/>
                <w:szCs w:val="21"/>
                <w:highlight w:val="none"/>
                <w:lang w:val="en-US" w:eastAsia="zh-CN"/>
              </w:rPr>
              <w:t>5</w:t>
            </w:r>
            <w:r>
              <w:rPr>
                <w:rFonts w:hint="eastAsia" w:ascii="宋体" w:hAnsi="宋体"/>
                <w:color w:val="auto"/>
                <w:szCs w:val="21"/>
                <w:highlight w:val="none"/>
              </w:rPr>
              <w:t>年0</w:t>
            </w:r>
            <w:r>
              <w:rPr>
                <w:rFonts w:ascii="宋体" w:hAnsi="宋体"/>
                <w:color w:val="auto"/>
                <w:szCs w:val="21"/>
                <w:highlight w:val="none"/>
              </w:rPr>
              <w:t>7</w:t>
            </w:r>
            <w:r>
              <w:rPr>
                <w:rFonts w:hint="eastAsia" w:ascii="宋体" w:hAnsi="宋体"/>
                <w:color w:val="auto"/>
                <w:szCs w:val="21"/>
                <w:highlight w:val="none"/>
              </w:rPr>
              <w:t>月</w:t>
            </w:r>
            <w:r>
              <w:rPr>
                <w:rFonts w:hint="eastAsia" w:ascii="宋体" w:hAnsi="宋体"/>
                <w:color w:val="auto"/>
                <w:szCs w:val="21"/>
                <w:highlight w:val="none"/>
                <w:lang w:val="en-US" w:eastAsia="zh-CN"/>
              </w:rPr>
              <w:t>30</w:t>
            </w:r>
            <w:r>
              <w:rPr>
                <w:rFonts w:hint="eastAsia" w:ascii="宋体" w:hAnsi="宋体"/>
                <w:color w:val="auto"/>
                <w:szCs w:val="21"/>
                <w:highlight w:val="none"/>
              </w:rPr>
              <w:t>日查询</w:t>
            </w:r>
          </w:p>
        </w:tc>
      </w:tr>
      <w:tr w14:paraId="4FA55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0585BCB3">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第二章第6.1款</w:t>
            </w:r>
          </w:p>
        </w:tc>
        <w:tc>
          <w:tcPr>
            <w:tcW w:w="1701" w:type="dxa"/>
            <w:vAlign w:val="center"/>
          </w:tcPr>
          <w:p w14:paraId="19F612AC">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联合体形式</w:t>
            </w:r>
          </w:p>
        </w:tc>
        <w:tc>
          <w:tcPr>
            <w:tcW w:w="4864" w:type="dxa"/>
            <w:vAlign w:val="center"/>
          </w:tcPr>
          <w:p w14:paraId="0918B73B">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不接受</w:t>
            </w:r>
          </w:p>
        </w:tc>
      </w:tr>
      <w:tr w14:paraId="42C7D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610A06F1">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第二章第6.2（3）款</w:t>
            </w:r>
          </w:p>
        </w:tc>
        <w:tc>
          <w:tcPr>
            <w:tcW w:w="1701" w:type="dxa"/>
            <w:vAlign w:val="center"/>
          </w:tcPr>
          <w:p w14:paraId="5EB60AAA">
            <w:pPr>
              <w:spacing w:line="400" w:lineRule="exact"/>
              <w:rPr>
                <w:rFonts w:ascii="宋体" w:hAnsi="宋体"/>
                <w:color w:val="auto"/>
                <w:szCs w:val="21"/>
                <w:highlight w:val="none"/>
              </w:rPr>
            </w:pPr>
            <w:r>
              <w:rPr>
                <w:rFonts w:hint="eastAsia" w:ascii="宋体" w:hAnsi="宋体"/>
                <w:color w:val="auto"/>
                <w:szCs w:val="21"/>
                <w:highlight w:val="none"/>
              </w:rPr>
              <w:t>对联合体各方的要求</w:t>
            </w:r>
          </w:p>
        </w:tc>
        <w:tc>
          <w:tcPr>
            <w:tcW w:w="4864" w:type="dxa"/>
            <w:vAlign w:val="center"/>
          </w:tcPr>
          <w:p w14:paraId="218C3DB0">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不接受</w:t>
            </w:r>
          </w:p>
        </w:tc>
      </w:tr>
      <w:tr w14:paraId="415F7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6D3F1D87">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第二章第7.1款</w:t>
            </w:r>
          </w:p>
        </w:tc>
        <w:tc>
          <w:tcPr>
            <w:tcW w:w="1701" w:type="dxa"/>
            <w:vAlign w:val="center"/>
          </w:tcPr>
          <w:p w14:paraId="2F948561">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现场考察</w:t>
            </w:r>
          </w:p>
        </w:tc>
        <w:tc>
          <w:tcPr>
            <w:tcW w:w="4864" w:type="dxa"/>
            <w:vAlign w:val="center"/>
          </w:tcPr>
          <w:p w14:paraId="18C9E273">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不组织，若需要勘察自行与甲方联系。</w:t>
            </w:r>
          </w:p>
        </w:tc>
      </w:tr>
      <w:tr w14:paraId="45A8B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000DC425">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第二章第8.1款</w:t>
            </w:r>
          </w:p>
        </w:tc>
        <w:tc>
          <w:tcPr>
            <w:tcW w:w="1701" w:type="dxa"/>
            <w:vAlign w:val="center"/>
          </w:tcPr>
          <w:p w14:paraId="65F02DA3">
            <w:pPr>
              <w:spacing w:line="400" w:lineRule="exact"/>
              <w:rPr>
                <w:rFonts w:ascii="宋体" w:hAnsi="宋体"/>
                <w:color w:val="auto"/>
                <w:szCs w:val="21"/>
                <w:highlight w:val="none"/>
              </w:rPr>
            </w:pPr>
            <w:r>
              <w:rPr>
                <w:rFonts w:hint="eastAsia" w:ascii="宋体" w:hAnsi="宋体"/>
                <w:color w:val="auto"/>
                <w:szCs w:val="21"/>
                <w:highlight w:val="none"/>
              </w:rPr>
              <w:t>分包</w:t>
            </w:r>
          </w:p>
        </w:tc>
        <w:tc>
          <w:tcPr>
            <w:tcW w:w="4864" w:type="dxa"/>
            <w:vAlign w:val="center"/>
          </w:tcPr>
          <w:p w14:paraId="2FAE680D">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不允许</w:t>
            </w:r>
          </w:p>
        </w:tc>
      </w:tr>
      <w:tr w14:paraId="3594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Merge w:val="restart"/>
            <w:vAlign w:val="center"/>
          </w:tcPr>
          <w:p w14:paraId="5B4DAEA6">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第二章第9.1款</w:t>
            </w:r>
          </w:p>
        </w:tc>
        <w:tc>
          <w:tcPr>
            <w:tcW w:w="1701" w:type="dxa"/>
            <w:vAlign w:val="center"/>
          </w:tcPr>
          <w:p w14:paraId="2A59A8A7">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政府采购</w:t>
            </w:r>
            <w:r>
              <w:rPr>
                <w:rFonts w:hint="eastAsia" w:ascii="宋体" w:hAnsi="宋体" w:cs="宋体"/>
                <w:bCs/>
                <w:color w:val="auto"/>
                <w:kern w:val="0"/>
                <w:szCs w:val="21"/>
                <w:highlight w:val="none"/>
              </w:rPr>
              <w:t>支持</w:t>
            </w:r>
            <w:r>
              <w:rPr>
                <w:rFonts w:hint="eastAsia" w:ascii="宋体" w:hAnsi="宋体"/>
                <w:color w:val="auto"/>
                <w:szCs w:val="21"/>
                <w:highlight w:val="none"/>
              </w:rPr>
              <w:t>中小企业发展</w:t>
            </w:r>
          </w:p>
        </w:tc>
        <w:tc>
          <w:tcPr>
            <w:tcW w:w="4864" w:type="dxa"/>
            <w:vAlign w:val="center"/>
          </w:tcPr>
          <w:p w14:paraId="086853ED">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给予小型和微型企业产品的价格给予10%-20%的扣除，用扣除后的价格参与评审，监狱企业、残疾人福利性质单位视同为小微企业。本项目具体扣除比例为</w:t>
            </w:r>
            <w:r>
              <w:rPr>
                <w:rFonts w:hint="eastAsia" w:ascii="宋体" w:hAnsi="宋体"/>
                <w:color w:val="auto"/>
                <w:szCs w:val="21"/>
                <w:highlight w:val="none"/>
                <w:lang w:val="en-US" w:eastAsia="zh-CN"/>
              </w:rPr>
              <w:t>1</w:t>
            </w:r>
            <w:r>
              <w:rPr>
                <w:rFonts w:hint="eastAsia" w:ascii="宋体" w:hAnsi="宋体"/>
                <w:color w:val="auto"/>
                <w:szCs w:val="21"/>
                <w:highlight w:val="none"/>
              </w:rPr>
              <w:t>0%。本项目所属行业：工业制造业</w:t>
            </w:r>
          </w:p>
        </w:tc>
      </w:tr>
      <w:tr w14:paraId="512CD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2224" w:type="dxa"/>
            <w:vMerge w:val="continue"/>
            <w:vAlign w:val="center"/>
          </w:tcPr>
          <w:p w14:paraId="7D2D7680">
            <w:pPr>
              <w:adjustRightInd w:val="0"/>
              <w:snapToGrid w:val="0"/>
              <w:spacing w:line="400" w:lineRule="exact"/>
              <w:jc w:val="center"/>
              <w:rPr>
                <w:rFonts w:ascii="宋体" w:hAnsi="宋体"/>
                <w:color w:val="auto"/>
                <w:szCs w:val="21"/>
                <w:highlight w:val="none"/>
              </w:rPr>
            </w:pPr>
          </w:p>
        </w:tc>
        <w:tc>
          <w:tcPr>
            <w:tcW w:w="1701" w:type="dxa"/>
            <w:vAlign w:val="center"/>
          </w:tcPr>
          <w:p w14:paraId="0CA88540">
            <w:pPr>
              <w:adjustRightInd w:val="0"/>
              <w:snapToGrid w:val="0"/>
              <w:spacing w:line="400" w:lineRule="exact"/>
              <w:rPr>
                <w:rFonts w:ascii="宋体" w:hAnsi="宋体"/>
                <w:color w:val="auto"/>
                <w:szCs w:val="21"/>
                <w:highlight w:val="none"/>
              </w:rPr>
            </w:pPr>
            <w:r>
              <w:rPr>
                <w:rFonts w:ascii="宋体" w:hAnsi="宋体"/>
                <w:bCs/>
                <w:color w:val="auto"/>
                <w:kern w:val="0"/>
                <w:szCs w:val="21"/>
                <w:highlight w:val="none"/>
              </w:rPr>
              <w:t>政府采购支持中小企业融资</w:t>
            </w:r>
          </w:p>
        </w:tc>
        <w:tc>
          <w:tcPr>
            <w:tcW w:w="4864" w:type="dxa"/>
            <w:vMerge w:val="restart"/>
            <w:vAlign w:val="center"/>
          </w:tcPr>
          <w:p w14:paraId="665E682C">
            <w:pPr>
              <w:adjustRightInd w:val="0"/>
              <w:snapToGrid w:val="0"/>
              <w:spacing w:line="400" w:lineRule="exact"/>
              <w:rPr>
                <w:rFonts w:ascii="宋体" w:hAnsi="宋体"/>
                <w:color w:val="auto"/>
                <w:szCs w:val="21"/>
                <w:highlight w:val="none"/>
              </w:rPr>
            </w:pPr>
            <w:r>
              <w:rPr>
                <w:rFonts w:ascii="宋体" w:hAnsi="宋体"/>
                <w:color w:val="auto"/>
                <w:szCs w:val="21"/>
                <w:highlight w:val="none"/>
              </w:rPr>
              <w:t>中小企业在融资、</w:t>
            </w:r>
            <w:r>
              <w:rPr>
                <w:rFonts w:hint="eastAsia" w:ascii="宋体" w:hAnsi="宋体"/>
                <w:color w:val="auto"/>
                <w:szCs w:val="21"/>
                <w:highlight w:val="none"/>
              </w:rPr>
              <w:t>保证金</w:t>
            </w:r>
            <w:r>
              <w:rPr>
                <w:rFonts w:ascii="宋体" w:hAnsi="宋体"/>
                <w:color w:val="auto"/>
                <w:szCs w:val="21"/>
                <w:highlight w:val="none"/>
              </w:rPr>
              <w:t>、履约保证等方面有需求的，可查询当地政府采购管理部门相关政策，通过专业化的担保途径解决。</w:t>
            </w:r>
          </w:p>
        </w:tc>
      </w:tr>
      <w:tr w14:paraId="29081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Merge w:val="continue"/>
            <w:vAlign w:val="center"/>
          </w:tcPr>
          <w:p w14:paraId="2A847B05">
            <w:pPr>
              <w:adjustRightInd w:val="0"/>
              <w:snapToGrid w:val="0"/>
              <w:spacing w:line="400" w:lineRule="exact"/>
              <w:jc w:val="center"/>
              <w:rPr>
                <w:rFonts w:ascii="宋体" w:hAnsi="宋体"/>
                <w:color w:val="auto"/>
                <w:szCs w:val="21"/>
                <w:highlight w:val="none"/>
              </w:rPr>
            </w:pPr>
          </w:p>
        </w:tc>
        <w:tc>
          <w:tcPr>
            <w:tcW w:w="1701" w:type="dxa"/>
            <w:vAlign w:val="center"/>
          </w:tcPr>
          <w:p w14:paraId="6312A1B8">
            <w:pPr>
              <w:adjustRightInd w:val="0"/>
              <w:snapToGrid w:val="0"/>
              <w:spacing w:line="400" w:lineRule="exact"/>
              <w:rPr>
                <w:rFonts w:ascii="宋体" w:hAnsi="宋体"/>
                <w:color w:val="auto"/>
                <w:szCs w:val="21"/>
                <w:highlight w:val="none"/>
              </w:rPr>
            </w:pPr>
            <w:r>
              <w:rPr>
                <w:rFonts w:ascii="宋体" w:hAnsi="宋体"/>
                <w:bCs/>
                <w:color w:val="auto"/>
                <w:kern w:val="0"/>
                <w:szCs w:val="21"/>
                <w:highlight w:val="none"/>
              </w:rPr>
              <w:t>政府采购信用担保</w:t>
            </w:r>
          </w:p>
        </w:tc>
        <w:tc>
          <w:tcPr>
            <w:tcW w:w="4864" w:type="dxa"/>
            <w:vMerge w:val="continue"/>
            <w:vAlign w:val="center"/>
          </w:tcPr>
          <w:p w14:paraId="56A19007">
            <w:pPr>
              <w:adjustRightInd w:val="0"/>
              <w:snapToGrid w:val="0"/>
              <w:spacing w:line="400" w:lineRule="exact"/>
              <w:rPr>
                <w:rFonts w:ascii="宋体" w:hAnsi="宋体"/>
                <w:color w:val="auto"/>
                <w:szCs w:val="21"/>
                <w:highlight w:val="none"/>
              </w:rPr>
            </w:pPr>
          </w:p>
        </w:tc>
      </w:tr>
      <w:tr w14:paraId="1292B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25" w:type="dxa"/>
            <w:gridSpan w:val="2"/>
            <w:vAlign w:val="center"/>
          </w:tcPr>
          <w:p w14:paraId="518BB909">
            <w:pPr>
              <w:adjustRightInd w:val="0"/>
              <w:snapToGrid w:val="0"/>
              <w:spacing w:line="400" w:lineRule="exact"/>
              <w:jc w:val="center"/>
              <w:rPr>
                <w:rFonts w:ascii="宋体" w:hAnsi="宋体"/>
                <w:bCs/>
                <w:color w:val="auto"/>
                <w:kern w:val="0"/>
                <w:szCs w:val="21"/>
                <w:highlight w:val="none"/>
              </w:rPr>
            </w:pPr>
            <w:r>
              <w:rPr>
                <w:rFonts w:hint="eastAsia" w:ascii="宋体" w:hAnsi="宋体"/>
                <w:bCs/>
                <w:color w:val="auto"/>
                <w:kern w:val="0"/>
                <w:szCs w:val="21"/>
                <w:highlight w:val="none"/>
              </w:rPr>
              <w:t>付款方式</w:t>
            </w:r>
          </w:p>
        </w:tc>
        <w:tc>
          <w:tcPr>
            <w:tcW w:w="4864" w:type="dxa"/>
            <w:vAlign w:val="center"/>
          </w:tcPr>
          <w:p w14:paraId="04EA17E8">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送货完成验收合格后，将付款材料上交财政部门，待通知支付。</w:t>
            </w:r>
          </w:p>
        </w:tc>
      </w:tr>
      <w:tr w14:paraId="7695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jc w:val="center"/>
        </w:trPr>
        <w:tc>
          <w:tcPr>
            <w:tcW w:w="8789" w:type="dxa"/>
            <w:gridSpan w:val="3"/>
            <w:vAlign w:val="center"/>
          </w:tcPr>
          <w:p w14:paraId="37F062EF">
            <w:pPr>
              <w:adjustRightInd w:val="0"/>
              <w:snapToGrid w:val="0"/>
              <w:spacing w:line="400" w:lineRule="exact"/>
              <w:rPr>
                <w:rFonts w:ascii="宋体" w:hAnsi="宋体"/>
                <w:b/>
                <w:color w:val="auto"/>
                <w:szCs w:val="21"/>
                <w:highlight w:val="none"/>
              </w:rPr>
            </w:pPr>
            <w:r>
              <w:rPr>
                <w:rFonts w:hint="eastAsia" w:ascii="宋体" w:hAnsi="宋体"/>
                <w:b/>
                <w:color w:val="auto"/>
                <w:szCs w:val="21"/>
                <w:highlight w:val="none"/>
              </w:rPr>
              <w:t>二、公开招标文件</w:t>
            </w:r>
          </w:p>
        </w:tc>
      </w:tr>
      <w:tr w14:paraId="29AE2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05598379">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第二章第10.3款</w:t>
            </w:r>
          </w:p>
        </w:tc>
        <w:tc>
          <w:tcPr>
            <w:tcW w:w="1701" w:type="dxa"/>
            <w:vAlign w:val="center"/>
          </w:tcPr>
          <w:p w14:paraId="46EDFAEC">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采购文件的可能实质性变动内容</w:t>
            </w:r>
          </w:p>
        </w:tc>
        <w:tc>
          <w:tcPr>
            <w:tcW w:w="4864" w:type="dxa"/>
            <w:vAlign w:val="center"/>
          </w:tcPr>
          <w:p w14:paraId="38259320">
            <w:pPr>
              <w:adjustRightInd w:val="0"/>
              <w:snapToGrid w:val="0"/>
              <w:spacing w:line="400" w:lineRule="exact"/>
              <w:jc w:val="left"/>
              <w:rPr>
                <w:rFonts w:ascii="宋体" w:hAnsi="宋体"/>
                <w:color w:val="auto"/>
                <w:szCs w:val="21"/>
                <w:highlight w:val="none"/>
              </w:rPr>
            </w:pPr>
            <w:r>
              <w:rPr>
                <w:rFonts w:hint="eastAsia" w:ascii="宋体" w:hAnsi="宋体"/>
                <w:color w:val="auto"/>
                <w:szCs w:val="21"/>
                <w:highlight w:val="none"/>
              </w:rPr>
              <w:t>技术、服务要求以及合同草案条款</w:t>
            </w:r>
          </w:p>
        </w:tc>
      </w:tr>
      <w:tr w14:paraId="5800F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6F669114">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第二章第11.1款</w:t>
            </w:r>
          </w:p>
        </w:tc>
        <w:tc>
          <w:tcPr>
            <w:tcW w:w="1701" w:type="dxa"/>
            <w:vAlign w:val="center"/>
          </w:tcPr>
          <w:p w14:paraId="315CD8BE">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提交投标文件截止时间</w:t>
            </w:r>
          </w:p>
        </w:tc>
        <w:tc>
          <w:tcPr>
            <w:tcW w:w="4864" w:type="dxa"/>
            <w:vAlign w:val="center"/>
          </w:tcPr>
          <w:p w14:paraId="1C621426">
            <w:pPr>
              <w:adjustRightInd w:val="0"/>
              <w:snapToGrid w:val="0"/>
              <w:spacing w:line="400" w:lineRule="exact"/>
              <w:jc w:val="left"/>
              <w:rPr>
                <w:rFonts w:ascii="宋体" w:hAnsi="宋体"/>
                <w:color w:val="auto"/>
                <w:szCs w:val="21"/>
                <w:highlight w:val="none"/>
              </w:rPr>
            </w:pPr>
            <w:r>
              <w:rPr>
                <w:rFonts w:hint="eastAsia" w:ascii="宋体" w:hAnsi="宋体"/>
                <w:color w:val="auto"/>
                <w:szCs w:val="21"/>
                <w:highlight w:val="none"/>
              </w:rPr>
              <w:t>202</w:t>
            </w:r>
            <w:r>
              <w:rPr>
                <w:rFonts w:hint="eastAsia" w:ascii="宋体" w:hAnsi="宋体"/>
                <w:color w:val="auto"/>
                <w:szCs w:val="21"/>
                <w:highlight w:val="none"/>
                <w:lang w:val="en-US" w:eastAsia="zh-CN"/>
              </w:rPr>
              <w:t>5</w:t>
            </w:r>
            <w:r>
              <w:rPr>
                <w:rFonts w:hint="eastAsia" w:ascii="宋体" w:hAnsi="宋体"/>
                <w:color w:val="auto"/>
                <w:szCs w:val="21"/>
                <w:highlight w:val="none"/>
              </w:rPr>
              <w:t>年</w:t>
            </w:r>
            <w:r>
              <w:rPr>
                <w:rFonts w:ascii="宋体" w:hAnsi="宋体"/>
                <w:color w:val="auto"/>
                <w:szCs w:val="21"/>
                <w:highlight w:val="none"/>
              </w:rPr>
              <w:t>07</w:t>
            </w:r>
            <w:r>
              <w:rPr>
                <w:rFonts w:hint="eastAsia" w:ascii="宋体" w:hAnsi="宋体"/>
                <w:color w:val="auto"/>
                <w:szCs w:val="21"/>
                <w:highlight w:val="none"/>
              </w:rPr>
              <w:t>月</w:t>
            </w:r>
            <w:r>
              <w:rPr>
                <w:rFonts w:hint="eastAsia" w:ascii="宋体" w:hAnsi="宋体"/>
                <w:color w:val="auto"/>
                <w:szCs w:val="21"/>
                <w:highlight w:val="none"/>
                <w:lang w:val="en-US" w:eastAsia="zh-CN"/>
              </w:rPr>
              <w:t>31</w:t>
            </w:r>
            <w:r>
              <w:rPr>
                <w:rFonts w:hint="eastAsia" w:ascii="宋体" w:hAnsi="宋体"/>
                <w:color w:val="auto"/>
                <w:szCs w:val="21"/>
                <w:highlight w:val="none"/>
              </w:rPr>
              <w:t>日 1</w:t>
            </w:r>
            <w:r>
              <w:rPr>
                <w:rFonts w:ascii="宋体" w:hAnsi="宋体"/>
                <w:color w:val="auto"/>
                <w:szCs w:val="21"/>
                <w:highlight w:val="none"/>
              </w:rPr>
              <w:t>1</w:t>
            </w:r>
            <w:r>
              <w:rPr>
                <w:rFonts w:hint="eastAsia" w:ascii="宋体" w:hAnsi="宋体"/>
                <w:color w:val="auto"/>
                <w:szCs w:val="21"/>
                <w:highlight w:val="none"/>
              </w:rPr>
              <w:t>:00整</w:t>
            </w:r>
          </w:p>
        </w:tc>
      </w:tr>
      <w:tr w14:paraId="7EAEC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789" w:type="dxa"/>
            <w:gridSpan w:val="3"/>
            <w:vAlign w:val="center"/>
          </w:tcPr>
          <w:p w14:paraId="5615A042">
            <w:pPr>
              <w:adjustRightInd w:val="0"/>
              <w:snapToGrid w:val="0"/>
              <w:spacing w:line="400" w:lineRule="exact"/>
              <w:rPr>
                <w:rFonts w:ascii="宋体" w:hAnsi="宋体"/>
                <w:color w:val="auto"/>
                <w:szCs w:val="21"/>
                <w:highlight w:val="none"/>
              </w:rPr>
            </w:pPr>
            <w:r>
              <w:rPr>
                <w:rFonts w:hint="eastAsia" w:ascii="宋体" w:hAnsi="宋体"/>
                <w:b/>
                <w:color w:val="auto"/>
                <w:szCs w:val="21"/>
                <w:highlight w:val="none"/>
              </w:rPr>
              <w:t>三、投标文件的编写</w:t>
            </w:r>
          </w:p>
        </w:tc>
      </w:tr>
      <w:tr w14:paraId="5420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2224" w:type="dxa"/>
            <w:vAlign w:val="center"/>
          </w:tcPr>
          <w:p w14:paraId="40FDD35E">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第二章第15.5款</w:t>
            </w:r>
          </w:p>
        </w:tc>
        <w:tc>
          <w:tcPr>
            <w:tcW w:w="1701" w:type="dxa"/>
            <w:vAlign w:val="center"/>
          </w:tcPr>
          <w:p w14:paraId="4C66293A">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预算资金</w:t>
            </w:r>
          </w:p>
        </w:tc>
        <w:tc>
          <w:tcPr>
            <w:tcW w:w="4864" w:type="dxa"/>
            <w:vAlign w:val="center"/>
          </w:tcPr>
          <w:p w14:paraId="3EB40CE6">
            <w:pPr>
              <w:adjustRightInd w:val="0"/>
              <w:snapToGrid w:val="0"/>
              <w:spacing w:line="340" w:lineRule="exact"/>
              <w:jc w:val="left"/>
              <w:rPr>
                <w:rFonts w:ascii="宋体" w:hAnsi="宋体"/>
                <w:bCs/>
                <w:color w:val="auto"/>
                <w:szCs w:val="21"/>
                <w:highlight w:val="none"/>
              </w:rPr>
            </w:pPr>
            <w:r>
              <w:rPr>
                <w:rFonts w:hint="eastAsia" w:ascii="宋体" w:hAnsi="宋体"/>
                <w:bCs/>
                <w:color w:val="auto"/>
                <w:szCs w:val="21"/>
                <w:highlight w:val="none"/>
                <w:lang w:val="en-US" w:eastAsia="zh-CN"/>
              </w:rPr>
              <w:t>1299</w:t>
            </w:r>
            <w:r>
              <w:rPr>
                <w:rFonts w:ascii="宋体" w:hAnsi="宋体"/>
                <w:bCs/>
                <w:color w:val="auto"/>
                <w:szCs w:val="21"/>
                <w:highlight w:val="none"/>
              </w:rPr>
              <w:t>0000.00</w:t>
            </w:r>
            <w:r>
              <w:rPr>
                <w:rFonts w:hint="eastAsia" w:ascii="宋体" w:hAnsi="宋体"/>
                <w:bCs/>
                <w:color w:val="auto"/>
                <w:szCs w:val="21"/>
                <w:highlight w:val="none"/>
              </w:rPr>
              <w:t>（元）</w:t>
            </w:r>
          </w:p>
        </w:tc>
      </w:tr>
      <w:tr w14:paraId="560D8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38017EA2">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第二章第16.1.4款</w:t>
            </w:r>
          </w:p>
        </w:tc>
        <w:tc>
          <w:tcPr>
            <w:tcW w:w="1701" w:type="dxa"/>
            <w:vAlign w:val="center"/>
          </w:tcPr>
          <w:p w14:paraId="434F3CDA">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业绩</w:t>
            </w:r>
          </w:p>
        </w:tc>
        <w:tc>
          <w:tcPr>
            <w:tcW w:w="4864" w:type="dxa"/>
            <w:vAlign w:val="center"/>
          </w:tcPr>
          <w:p w14:paraId="54DB96F4">
            <w:pPr>
              <w:adjustRightInd w:val="0"/>
              <w:snapToGrid w:val="0"/>
              <w:spacing w:line="400" w:lineRule="exact"/>
              <w:jc w:val="left"/>
              <w:rPr>
                <w:rFonts w:ascii="宋体" w:hAnsi="宋体"/>
                <w:bCs/>
                <w:color w:val="auto"/>
                <w:szCs w:val="21"/>
                <w:highlight w:val="none"/>
              </w:rPr>
            </w:pPr>
            <w:r>
              <w:rPr>
                <w:rFonts w:hint="eastAsia" w:ascii="宋体" w:hAnsi="宋体"/>
                <w:bCs/>
                <w:color w:val="auto"/>
                <w:szCs w:val="21"/>
                <w:highlight w:val="none"/>
              </w:rPr>
              <w:t>提供202</w:t>
            </w:r>
            <w:r>
              <w:rPr>
                <w:rFonts w:hint="eastAsia" w:ascii="宋体" w:hAnsi="宋体"/>
                <w:bCs/>
                <w:color w:val="auto"/>
                <w:szCs w:val="21"/>
                <w:highlight w:val="none"/>
                <w:lang w:val="en-US" w:eastAsia="zh-CN"/>
              </w:rPr>
              <w:t>2</w:t>
            </w:r>
            <w:r>
              <w:rPr>
                <w:rFonts w:hint="eastAsia" w:ascii="宋体" w:hAnsi="宋体"/>
                <w:bCs/>
                <w:color w:val="auto"/>
                <w:szCs w:val="21"/>
                <w:highlight w:val="none"/>
              </w:rPr>
              <w:t>年</w:t>
            </w:r>
            <w:r>
              <w:rPr>
                <w:rFonts w:hint="eastAsia" w:ascii="宋体" w:hAnsi="宋体"/>
                <w:bCs/>
                <w:color w:val="auto"/>
                <w:szCs w:val="21"/>
                <w:highlight w:val="none"/>
                <w:lang w:val="en-US" w:eastAsia="zh-CN"/>
              </w:rPr>
              <w:t>6</w:t>
            </w:r>
            <w:r>
              <w:rPr>
                <w:rFonts w:hint="eastAsia" w:ascii="宋体" w:hAnsi="宋体"/>
                <w:bCs/>
                <w:color w:val="auto"/>
                <w:szCs w:val="21"/>
                <w:highlight w:val="none"/>
              </w:rPr>
              <w:t>月以来独立承担类似项目的相关业绩，需提供中标（成交）通知书或合同。</w:t>
            </w:r>
          </w:p>
          <w:p w14:paraId="5EEDCDA9">
            <w:pPr>
              <w:adjustRightInd w:val="0"/>
              <w:snapToGrid w:val="0"/>
              <w:spacing w:line="400" w:lineRule="exact"/>
              <w:jc w:val="left"/>
              <w:rPr>
                <w:rFonts w:ascii="宋体" w:hAnsi="宋体"/>
                <w:bCs/>
                <w:color w:val="auto"/>
                <w:szCs w:val="21"/>
                <w:highlight w:val="none"/>
              </w:rPr>
            </w:pPr>
            <w:r>
              <w:rPr>
                <w:rFonts w:hint="eastAsia" w:ascii="宋体" w:hAnsi="宋体"/>
                <w:bCs/>
                <w:color w:val="auto"/>
                <w:szCs w:val="21"/>
                <w:highlight w:val="none"/>
              </w:rPr>
              <w:t>注：业绩证明材料为：合同协议书及成交通知书等相关证明。合同需提供包含合同首页、标的内容及金额所在页、供货合同签字盖章页等关键页即可，需加盖公章。</w:t>
            </w:r>
          </w:p>
          <w:p w14:paraId="5C958AA2">
            <w:pPr>
              <w:adjustRightInd w:val="0"/>
              <w:snapToGrid w:val="0"/>
              <w:spacing w:line="400" w:lineRule="exact"/>
              <w:jc w:val="left"/>
              <w:rPr>
                <w:rFonts w:ascii="宋体" w:hAnsi="宋体"/>
                <w:color w:val="auto"/>
                <w:szCs w:val="21"/>
                <w:highlight w:val="none"/>
              </w:rPr>
            </w:pPr>
            <w:r>
              <w:rPr>
                <w:rFonts w:hint="eastAsia" w:ascii="宋体" w:hAnsi="宋体"/>
                <w:bCs/>
                <w:color w:val="auto"/>
                <w:szCs w:val="21"/>
                <w:highlight w:val="none"/>
              </w:rPr>
              <w:t>未提供业绩证明材料(或证明材料不齐全的或内容模糊不清的)，其业绩不予认定。</w:t>
            </w:r>
          </w:p>
        </w:tc>
      </w:tr>
      <w:tr w14:paraId="04B76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Merge w:val="restart"/>
            <w:vAlign w:val="center"/>
          </w:tcPr>
          <w:p w14:paraId="780F1420">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第二章第17.1款</w:t>
            </w:r>
          </w:p>
        </w:tc>
        <w:tc>
          <w:tcPr>
            <w:tcW w:w="1701" w:type="dxa"/>
            <w:vMerge w:val="restart"/>
            <w:vAlign w:val="center"/>
          </w:tcPr>
          <w:p w14:paraId="4F765FF7">
            <w:pPr>
              <w:adjustRightInd w:val="0"/>
              <w:snapToGrid w:val="0"/>
              <w:spacing w:line="400" w:lineRule="exact"/>
              <w:ind w:left="-533" w:leftChars="-254" w:firstLine="533" w:firstLineChars="254"/>
              <w:rPr>
                <w:rFonts w:ascii="宋体" w:hAnsi="宋体"/>
                <w:color w:val="auto"/>
                <w:szCs w:val="21"/>
                <w:highlight w:val="none"/>
              </w:rPr>
            </w:pPr>
            <w:r>
              <w:rPr>
                <w:rFonts w:hint="eastAsia" w:ascii="宋体" w:hAnsi="宋体"/>
                <w:color w:val="auto"/>
                <w:szCs w:val="21"/>
                <w:highlight w:val="none"/>
              </w:rPr>
              <w:t>投标保证金</w:t>
            </w:r>
          </w:p>
        </w:tc>
        <w:tc>
          <w:tcPr>
            <w:tcW w:w="4864" w:type="dxa"/>
            <w:vAlign w:val="center"/>
          </w:tcPr>
          <w:p w14:paraId="0BB0719E">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1、金额：</w:t>
            </w:r>
          </w:p>
          <w:p w14:paraId="46D29354">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标项1：</w:t>
            </w:r>
            <w:r>
              <w:rPr>
                <w:rFonts w:hint="eastAsia" w:ascii="宋体" w:hAnsi="宋体"/>
                <w:bCs/>
                <w:color w:val="auto"/>
                <w:szCs w:val="21"/>
                <w:highlight w:val="none"/>
                <w:lang w:eastAsia="zh-CN"/>
              </w:rPr>
              <w:t>贰万伍仟</w:t>
            </w:r>
            <w:r>
              <w:rPr>
                <w:rFonts w:hint="eastAsia" w:ascii="宋体" w:hAnsi="宋体"/>
                <w:bCs/>
                <w:color w:val="auto"/>
                <w:szCs w:val="21"/>
                <w:highlight w:val="none"/>
              </w:rPr>
              <w:t>元整（</w:t>
            </w:r>
            <w:r>
              <w:rPr>
                <w:rFonts w:hint="eastAsia" w:ascii="宋体" w:hAnsi="宋体"/>
                <w:bCs/>
                <w:color w:val="auto"/>
                <w:szCs w:val="21"/>
                <w:highlight w:val="none"/>
                <w:lang w:val="en-US" w:eastAsia="zh-CN"/>
              </w:rPr>
              <w:t>250</w:t>
            </w:r>
            <w:r>
              <w:rPr>
                <w:rFonts w:ascii="宋体" w:hAnsi="宋体"/>
                <w:bCs/>
                <w:color w:val="auto"/>
                <w:szCs w:val="21"/>
                <w:highlight w:val="none"/>
              </w:rPr>
              <w:t>00</w:t>
            </w:r>
            <w:r>
              <w:rPr>
                <w:rFonts w:hint="eastAsia" w:ascii="宋体" w:hAnsi="宋体"/>
                <w:bCs/>
                <w:color w:val="auto"/>
                <w:szCs w:val="21"/>
                <w:highlight w:val="none"/>
              </w:rPr>
              <w:t>元）</w:t>
            </w:r>
          </w:p>
          <w:p w14:paraId="3EF8823F">
            <w:pPr>
              <w:pStyle w:val="18"/>
              <w:rPr>
                <w:rFonts w:hint="eastAsia"/>
                <w:color w:val="auto"/>
                <w:highlight w:val="none"/>
              </w:rPr>
            </w:pPr>
            <w:r>
              <w:rPr>
                <w:rFonts w:hint="eastAsia"/>
                <w:color w:val="auto"/>
                <w:highlight w:val="none"/>
              </w:rPr>
              <w:t>标项2：</w:t>
            </w:r>
            <w:r>
              <w:rPr>
                <w:rFonts w:hint="eastAsia"/>
                <w:color w:val="auto"/>
                <w:highlight w:val="none"/>
                <w:lang w:eastAsia="zh-CN"/>
              </w:rPr>
              <w:t>贰万柒仟</w:t>
            </w:r>
            <w:r>
              <w:rPr>
                <w:rFonts w:hint="eastAsia"/>
                <w:color w:val="auto"/>
                <w:highlight w:val="none"/>
              </w:rPr>
              <w:t>元整（</w:t>
            </w:r>
            <w:r>
              <w:rPr>
                <w:rFonts w:hint="eastAsia"/>
                <w:color w:val="auto"/>
                <w:highlight w:val="none"/>
                <w:lang w:val="en-US" w:eastAsia="zh-CN"/>
              </w:rPr>
              <w:t>27</w:t>
            </w:r>
            <w:r>
              <w:rPr>
                <w:color w:val="auto"/>
                <w:highlight w:val="none"/>
              </w:rPr>
              <w:t>000</w:t>
            </w:r>
            <w:r>
              <w:rPr>
                <w:rFonts w:hint="eastAsia"/>
                <w:color w:val="auto"/>
                <w:highlight w:val="none"/>
              </w:rPr>
              <w:t>元）</w:t>
            </w:r>
          </w:p>
          <w:p w14:paraId="2FED8092">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标项</w:t>
            </w:r>
            <w:r>
              <w:rPr>
                <w:rFonts w:hint="eastAsia" w:ascii="宋体" w:hAnsi="宋体"/>
                <w:bCs/>
                <w:color w:val="auto"/>
                <w:szCs w:val="21"/>
                <w:highlight w:val="none"/>
                <w:lang w:val="en-US" w:eastAsia="zh-CN"/>
              </w:rPr>
              <w:t>3</w:t>
            </w:r>
            <w:r>
              <w:rPr>
                <w:rFonts w:hint="eastAsia" w:ascii="宋体" w:hAnsi="宋体"/>
                <w:bCs/>
                <w:color w:val="auto"/>
                <w:szCs w:val="21"/>
                <w:highlight w:val="none"/>
              </w:rPr>
              <w:t>：</w:t>
            </w:r>
            <w:r>
              <w:rPr>
                <w:rFonts w:hint="eastAsia"/>
                <w:color w:val="auto"/>
                <w:highlight w:val="none"/>
                <w:lang w:eastAsia="zh-CN"/>
              </w:rPr>
              <w:t>贰万柒仟</w:t>
            </w:r>
            <w:r>
              <w:rPr>
                <w:rFonts w:hint="eastAsia"/>
                <w:color w:val="auto"/>
                <w:highlight w:val="none"/>
              </w:rPr>
              <w:t>元整（</w:t>
            </w:r>
            <w:r>
              <w:rPr>
                <w:rFonts w:hint="eastAsia"/>
                <w:color w:val="auto"/>
                <w:highlight w:val="none"/>
                <w:lang w:val="en-US" w:eastAsia="zh-CN"/>
              </w:rPr>
              <w:t>27</w:t>
            </w:r>
            <w:r>
              <w:rPr>
                <w:color w:val="auto"/>
                <w:highlight w:val="none"/>
              </w:rPr>
              <w:t>000</w:t>
            </w:r>
            <w:r>
              <w:rPr>
                <w:rFonts w:hint="eastAsia"/>
                <w:color w:val="auto"/>
                <w:highlight w:val="none"/>
              </w:rPr>
              <w:t>元）</w:t>
            </w:r>
          </w:p>
          <w:p w14:paraId="4E3BD62B">
            <w:pPr>
              <w:pStyle w:val="18"/>
              <w:rPr>
                <w:rFonts w:hint="eastAsia"/>
                <w:color w:val="auto"/>
                <w:highlight w:val="none"/>
              </w:rPr>
            </w:pPr>
            <w:r>
              <w:rPr>
                <w:rFonts w:hint="eastAsia"/>
                <w:color w:val="auto"/>
                <w:highlight w:val="none"/>
              </w:rPr>
              <w:t>标项</w:t>
            </w:r>
            <w:r>
              <w:rPr>
                <w:rFonts w:hint="eastAsia"/>
                <w:color w:val="auto"/>
                <w:highlight w:val="none"/>
                <w:lang w:val="en-US" w:eastAsia="zh-CN"/>
              </w:rPr>
              <w:t>4</w:t>
            </w:r>
            <w:r>
              <w:rPr>
                <w:rFonts w:hint="eastAsia"/>
                <w:color w:val="auto"/>
                <w:highlight w:val="none"/>
              </w:rPr>
              <w:t>：</w:t>
            </w:r>
            <w:r>
              <w:rPr>
                <w:rFonts w:hint="eastAsia"/>
                <w:color w:val="auto"/>
                <w:highlight w:val="none"/>
                <w:lang w:eastAsia="zh-CN"/>
              </w:rPr>
              <w:t>陆万</w:t>
            </w:r>
            <w:r>
              <w:rPr>
                <w:rFonts w:hint="eastAsia"/>
                <w:color w:val="auto"/>
                <w:highlight w:val="none"/>
              </w:rPr>
              <w:t>元整（</w:t>
            </w:r>
            <w:r>
              <w:rPr>
                <w:rFonts w:hint="eastAsia"/>
                <w:color w:val="auto"/>
                <w:highlight w:val="none"/>
                <w:lang w:val="en-US" w:eastAsia="zh-CN"/>
              </w:rPr>
              <w:t>60</w:t>
            </w:r>
            <w:r>
              <w:rPr>
                <w:color w:val="auto"/>
                <w:highlight w:val="none"/>
              </w:rPr>
              <w:t>000</w:t>
            </w:r>
            <w:r>
              <w:rPr>
                <w:rFonts w:hint="eastAsia"/>
                <w:color w:val="auto"/>
                <w:highlight w:val="none"/>
              </w:rPr>
              <w:t>元）</w:t>
            </w:r>
          </w:p>
          <w:p w14:paraId="702C7E79">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标项</w:t>
            </w:r>
            <w:r>
              <w:rPr>
                <w:rFonts w:hint="eastAsia" w:ascii="宋体" w:hAnsi="宋体"/>
                <w:bCs/>
                <w:color w:val="auto"/>
                <w:szCs w:val="21"/>
                <w:highlight w:val="none"/>
                <w:lang w:val="en-US" w:eastAsia="zh-CN"/>
              </w:rPr>
              <w:t>5</w:t>
            </w:r>
            <w:r>
              <w:rPr>
                <w:rFonts w:hint="eastAsia" w:ascii="宋体" w:hAnsi="宋体"/>
                <w:bCs/>
                <w:color w:val="auto"/>
                <w:szCs w:val="21"/>
                <w:highlight w:val="none"/>
              </w:rPr>
              <w:t>：</w:t>
            </w:r>
            <w:r>
              <w:rPr>
                <w:rFonts w:hint="eastAsia"/>
                <w:color w:val="auto"/>
                <w:highlight w:val="none"/>
                <w:lang w:eastAsia="zh-CN"/>
              </w:rPr>
              <w:t>贰万柒仟</w:t>
            </w:r>
            <w:r>
              <w:rPr>
                <w:rFonts w:hint="eastAsia"/>
                <w:color w:val="auto"/>
                <w:highlight w:val="none"/>
              </w:rPr>
              <w:t>元整（</w:t>
            </w:r>
            <w:r>
              <w:rPr>
                <w:rFonts w:hint="eastAsia"/>
                <w:color w:val="auto"/>
                <w:highlight w:val="none"/>
                <w:lang w:val="en-US" w:eastAsia="zh-CN"/>
              </w:rPr>
              <w:t>27</w:t>
            </w:r>
            <w:r>
              <w:rPr>
                <w:color w:val="auto"/>
                <w:highlight w:val="none"/>
              </w:rPr>
              <w:t>000</w:t>
            </w:r>
            <w:r>
              <w:rPr>
                <w:rFonts w:hint="eastAsia"/>
                <w:color w:val="auto"/>
                <w:highlight w:val="none"/>
              </w:rPr>
              <w:t>元）</w:t>
            </w:r>
          </w:p>
          <w:p w14:paraId="7C7623A7">
            <w:pPr>
              <w:pStyle w:val="18"/>
              <w:rPr>
                <w:rFonts w:hint="eastAsia"/>
                <w:color w:val="auto"/>
                <w:highlight w:val="none"/>
              </w:rPr>
            </w:pPr>
            <w:r>
              <w:rPr>
                <w:rFonts w:hint="eastAsia"/>
                <w:color w:val="auto"/>
                <w:highlight w:val="none"/>
              </w:rPr>
              <w:t>标项</w:t>
            </w:r>
            <w:r>
              <w:rPr>
                <w:rFonts w:hint="eastAsia"/>
                <w:color w:val="auto"/>
                <w:highlight w:val="none"/>
                <w:lang w:val="en-US" w:eastAsia="zh-CN"/>
              </w:rPr>
              <w:t>6</w:t>
            </w:r>
            <w:r>
              <w:rPr>
                <w:rFonts w:hint="eastAsia"/>
                <w:color w:val="auto"/>
                <w:highlight w:val="none"/>
              </w:rPr>
              <w:t>：</w:t>
            </w:r>
            <w:r>
              <w:rPr>
                <w:rFonts w:hint="eastAsia"/>
                <w:color w:val="auto"/>
                <w:highlight w:val="none"/>
                <w:lang w:eastAsia="zh-CN"/>
              </w:rPr>
              <w:t>肆万柒仟</w:t>
            </w:r>
            <w:r>
              <w:rPr>
                <w:rFonts w:hint="eastAsia"/>
                <w:color w:val="auto"/>
                <w:highlight w:val="none"/>
              </w:rPr>
              <w:t>元整（</w:t>
            </w:r>
            <w:r>
              <w:rPr>
                <w:rFonts w:hint="eastAsia"/>
                <w:color w:val="auto"/>
                <w:highlight w:val="none"/>
                <w:lang w:val="en-US" w:eastAsia="zh-CN"/>
              </w:rPr>
              <w:t>470</w:t>
            </w:r>
            <w:r>
              <w:rPr>
                <w:color w:val="auto"/>
                <w:highlight w:val="none"/>
              </w:rPr>
              <w:t>00</w:t>
            </w:r>
            <w:r>
              <w:rPr>
                <w:rFonts w:hint="eastAsia"/>
                <w:color w:val="auto"/>
                <w:highlight w:val="none"/>
              </w:rPr>
              <w:t>元）</w:t>
            </w:r>
          </w:p>
          <w:p w14:paraId="79AA7F6D">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标项</w:t>
            </w:r>
            <w:r>
              <w:rPr>
                <w:rFonts w:hint="eastAsia" w:ascii="宋体" w:hAnsi="宋体"/>
                <w:bCs/>
                <w:color w:val="auto"/>
                <w:szCs w:val="21"/>
                <w:highlight w:val="none"/>
                <w:lang w:val="en-US" w:eastAsia="zh-CN"/>
              </w:rPr>
              <w:t>7</w:t>
            </w:r>
            <w:r>
              <w:rPr>
                <w:rFonts w:hint="eastAsia" w:ascii="宋体" w:hAnsi="宋体"/>
                <w:bCs/>
                <w:color w:val="auto"/>
                <w:szCs w:val="21"/>
                <w:highlight w:val="none"/>
              </w:rPr>
              <w:t>：</w:t>
            </w:r>
            <w:r>
              <w:rPr>
                <w:rFonts w:hint="eastAsia" w:ascii="宋体" w:hAnsi="宋体"/>
                <w:bCs/>
                <w:color w:val="auto"/>
                <w:szCs w:val="21"/>
                <w:highlight w:val="none"/>
                <w:lang w:eastAsia="zh-CN"/>
              </w:rPr>
              <w:t>肆万壹仟元</w:t>
            </w:r>
            <w:r>
              <w:rPr>
                <w:rFonts w:hint="eastAsia" w:ascii="宋体" w:hAnsi="宋体"/>
                <w:bCs/>
                <w:color w:val="auto"/>
                <w:szCs w:val="21"/>
                <w:highlight w:val="none"/>
              </w:rPr>
              <w:t>整（</w:t>
            </w:r>
            <w:r>
              <w:rPr>
                <w:rFonts w:hint="eastAsia" w:ascii="宋体" w:hAnsi="宋体"/>
                <w:bCs/>
                <w:color w:val="auto"/>
                <w:szCs w:val="21"/>
                <w:highlight w:val="none"/>
                <w:lang w:val="en-US" w:eastAsia="zh-CN"/>
              </w:rPr>
              <w:t>4100</w:t>
            </w:r>
            <w:r>
              <w:rPr>
                <w:rFonts w:ascii="宋体" w:hAnsi="宋体"/>
                <w:bCs/>
                <w:color w:val="auto"/>
                <w:szCs w:val="21"/>
                <w:highlight w:val="none"/>
              </w:rPr>
              <w:t>0</w:t>
            </w:r>
            <w:r>
              <w:rPr>
                <w:rFonts w:hint="eastAsia" w:ascii="宋体" w:hAnsi="宋体"/>
                <w:bCs/>
                <w:color w:val="auto"/>
                <w:szCs w:val="21"/>
                <w:highlight w:val="none"/>
              </w:rPr>
              <w:t>元）</w:t>
            </w:r>
          </w:p>
          <w:p w14:paraId="21F11D82">
            <w:pPr>
              <w:pStyle w:val="18"/>
              <w:rPr>
                <w:rFonts w:hint="eastAsia"/>
                <w:color w:val="auto"/>
                <w:highlight w:val="none"/>
              </w:rPr>
            </w:pPr>
            <w:r>
              <w:rPr>
                <w:rFonts w:hint="eastAsia"/>
                <w:color w:val="auto"/>
                <w:highlight w:val="none"/>
              </w:rPr>
              <w:t>标项</w:t>
            </w:r>
            <w:r>
              <w:rPr>
                <w:rFonts w:hint="eastAsia"/>
                <w:color w:val="auto"/>
                <w:highlight w:val="none"/>
                <w:lang w:val="en-US" w:eastAsia="zh-CN"/>
              </w:rPr>
              <w:t>8</w:t>
            </w:r>
            <w:r>
              <w:rPr>
                <w:rFonts w:hint="eastAsia"/>
                <w:color w:val="auto"/>
                <w:highlight w:val="none"/>
              </w:rPr>
              <w:t>：</w:t>
            </w:r>
            <w:r>
              <w:rPr>
                <w:rFonts w:hint="eastAsia"/>
                <w:color w:val="auto"/>
                <w:highlight w:val="none"/>
                <w:lang w:eastAsia="zh-CN"/>
              </w:rPr>
              <w:t>贰</w:t>
            </w:r>
            <w:r>
              <w:rPr>
                <w:rFonts w:hint="eastAsia"/>
                <w:color w:val="auto"/>
                <w:highlight w:val="none"/>
              </w:rPr>
              <w:t>元整（</w:t>
            </w:r>
            <w:r>
              <w:rPr>
                <w:rFonts w:hint="eastAsia"/>
                <w:color w:val="auto"/>
                <w:highlight w:val="none"/>
                <w:lang w:val="en-US" w:eastAsia="zh-CN"/>
              </w:rPr>
              <w:t>2</w:t>
            </w:r>
            <w:r>
              <w:rPr>
                <w:color w:val="auto"/>
                <w:highlight w:val="none"/>
              </w:rPr>
              <w:t>000</w:t>
            </w:r>
            <w:r>
              <w:rPr>
                <w:rFonts w:hint="eastAsia"/>
                <w:color w:val="auto"/>
                <w:highlight w:val="none"/>
              </w:rPr>
              <w:t>元）</w:t>
            </w:r>
          </w:p>
        </w:tc>
      </w:tr>
      <w:tr w14:paraId="3361E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jc w:val="center"/>
        </w:trPr>
        <w:tc>
          <w:tcPr>
            <w:tcW w:w="2224" w:type="dxa"/>
            <w:vMerge w:val="continue"/>
            <w:vAlign w:val="center"/>
          </w:tcPr>
          <w:p w14:paraId="31CE317D">
            <w:pPr>
              <w:adjustRightInd w:val="0"/>
              <w:snapToGrid w:val="0"/>
              <w:spacing w:line="400" w:lineRule="exact"/>
              <w:jc w:val="center"/>
              <w:rPr>
                <w:rFonts w:ascii="宋体" w:hAnsi="宋体"/>
                <w:color w:val="auto"/>
                <w:szCs w:val="21"/>
                <w:highlight w:val="none"/>
              </w:rPr>
            </w:pPr>
          </w:p>
        </w:tc>
        <w:tc>
          <w:tcPr>
            <w:tcW w:w="1701" w:type="dxa"/>
            <w:vMerge w:val="continue"/>
            <w:vAlign w:val="center"/>
          </w:tcPr>
          <w:p w14:paraId="67144DFD">
            <w:pPr>
              <w:adjustRightInd w:val="0"/>
              <w:snapToGrid w:val="0"/>
              <w:spacing w:line="400" w:lineRule="exact"/>
              <w:ind w:left="-533" w:leftChars="-254" w:firstLine="533" w:firstLineChars="254"/>
              <w:rPr>
                <w:rFonts w:ascii="宋体" w:hAnsi="宋体"/>
                <w:color w:val="auto"/>
                <w:szCs w:val="21"/>
                <w:highlight w:val="none"/>
              </w:rPr>
            </w:pPr>
          </w:p>
        </w:tc>
        <w:tc>
          <w:tcPr>
            <w:tcW w:w="4864" w:type="dxa"/>
            <w:vAlign w:val="center"/>
          </w:tcPr>
          <w:p w14:paraId="4E0F14F4">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2、形式：支票、汇票、保函、单位账户网银转账等非现金形式；</w:t>
            </w:r>
          </w:p>
          <w:p w14:paraId="7B3D8F76">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3、递交时间：在投标截止时间前递交（以到账时间为准）；</w:t>
            </w:r>
          </w:p>
          <w:p w14:paraId="14576CAB">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4、投标人递交的投标保证金到帐后，至代理机构处领取投标保证金收据（如需）：</w:t>
            </w:r>
          </w:p>
          <w:p w14:paraId="4F367FC8">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5、账户信息：</w:t>
            </w:r>
          </w:p>
          <w:p w14:paraId="56D3C638">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单位名称：中益招标有限公司新疆分公司</w:t>
            </w:r>
          </w:p>
          <w:p w14:paraId="782D40FD">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开户行：招商银行股份有限公司乌鲁木齐南湖东路支行</w:t>
            </w:r>
          </w:p>
          <w:p w14:paraId="6140B0D8">
            <w:pPr>
              <w:adjustRightInd w:val="0"/>
              <w:snapToGrid w:val="0"/>
              <w:spacing w:line="360" w:lineRule="auto"/>
              <w:jc w:val="left"/>
              <w:rPr>
                <w:rFonts w:ascii="宋体" w:hAnsi="宋体"/>
                <w:bCs/>
                <w:color w:val="auto"/>
                <w:szCs w:val="21"/>
                <w:highlight w:val="none"/>
              </w:rPr>
            </w:pPr>
            <w:r>
              <w:rPr>
                <w:rFonts w:hint="eastAsia" w:ascii="宋体" w:hAnsi="宋体"/>
                <w:bCs/>
                <w:color w:val="auto"/>
                <w:szCs w:val="21"/>
                <w:highlight w:val="none"/>
              </w:rPr>
              <w:t>帐 号：991905768210301</w:t>
            </w:r>
          </w:p>
          <w:p w14:paraId="529FA3B1">
            <w:pPr>
              <w:adjustRightInd w:val="0"/>
              <w:snapToGrid w:val="0"/>
              <w:spacing w:line="360" w:lineRule="auto"/>
              <w:jc w:val="left"/>
              <w:rPr>
                <w:rFonts w:ascii="宋体" w:hAnsi="宋体"/>
                <w:b/>
                <w:bCs/>
                <w:color w:val="auto"/>
                <w:kern w:val="0"/>
                <w:sz w:val="24"/>
                <w:highlight w:val="none"/>
              </w:rPr>
            </w:pPr>
            <w:r>
              <w:rPr>
                <w:rFonts w:hint="eastAsia" w:ascii="宋体" w:hAnsi="宋体"/>
                <w:b/>
                <w:bCs/>
                <w:color w:val="auto"/>
                <w:kern w:val="0"/>
                <w:sz w:val="24"/>
                <w:highlight w:val="none"/>
              </w:rPr>
              <w:t>注：</w:t>
            </w:r>
          </w:p>
          <w:p w14:paraId="3D5275CE">
            <w:pPr>
              <w:adjustRightInd w:val="0"/>
              <w:snapToGrid w:val="0"/>
              <w:spacing w:line="360" w:lineRule="auto"/>
              <w:jc w:val="left"/>
              <w:rPr>
                <w:rFonts w:ascii="宋体" w:hAnsi="宋体" w:cs="宋体"/>
                <w:bCs/>
                <w:color w:val="auto"/>
                <w:szCs w:val="21"/>
                <w:highlight w:val="none"/>
              </w:rPr>
            </w:pPr>
            <w:r>
              <w:rPr>
                <w:rFonts w:hint="eastAsia" w:ascii="宋体" w:hAnsi="宋体"/>
                <w:b/>
                <w:bCs/>
                <w:color w:val="auto"/>
                <w:kern w:val="0"/>
                <w:sz w:val="24"/>
                <w:highlight w:val="none"/>
              </w:rPr>
              <w:t>用网银转账提交保证金，应当从其基本账户转入招标代理机构银行账户；未按招标要求缴纳投标保证金的，视为非实质性响应。请各投标人在缴纳保证金时注明项目名称（若字数超标，可自行简写项目名称）及项目编号，如未注明，造成保证金无法查明的，责任由投标人承担。</w:t>
            </w:r>
          </w:p>
        </w:tc>
      </w:tr>
      <w:tr w14:paraId="1C303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46885FA6">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第二章第18.1款</w:t>
            </w:r>
          </w:p>
        </w:tc>
        <w:tc>
          <w:tcPr>
            <w:tcW w:w="1701" w:type="dxa"/>
            <w:vAlign w:val="center"/>
          </w:tcPr>
          <w:p w14:paraId="170D7670">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投标文件有效期</w:t>
            </w:r>
          </w:p>
        </w:tc>
        <w:tc>
          <w:tcPr>
            <w:tcW w:w="4864" w:type="dxa"/>
            <w:vAlign w:val="center"/>
          </w:tcPr>
          <w:p w14:paraId="4FA43B6E">
            <w:pPr>
              <w:adjustRightInd w:val="0"/>
              <w:snapToGrid w:val="0"/>
              <w:spacing w:line="400" w:lineRule="exact"/>
              <w:rPr>
                <w:rFonts w:ascii="宋体" w:hAnsi="宋体"/>
                <w:bCs/>
                <w:color w:val="auto"/>
                <w:szCs w:val="21"/>
                <w:highlight w:val="none"/>
              </w:rPr>
            </w:pPr>
            <w:r>
              <w:rPr>
                <w:rFonts w:hint="eastAsia" w:ascii="宋体" w:hAnsi="宋体"/>
                <w:color w:val="auto"/>
                <w:szCs w:val="21"/>
                <w:highlight w:val="none"/>
                <w:u w:val="single"/>
              </w:rPr>
              <w:t>90</w:t>
            </w:r>
            <w:r>
              <w:rPr>
                <w:rFonts w:hint="eastAsia" w:ascii="宋体" w:hAnsi="宋体"/>
                <w:color w:val="auto"/>
                <w:szCs w:val="21"/>
                <w:highlight w:val="none"/>
              </w:rPr>
              <w:t>日（日历日）</w:t>
            </w:r>
          </w:p>
        </w:tc>
      </w:tr>
      <w:tr w14:paraId="0F762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2224" w:type="dxa"/>
            <w:vAlign w:val="center"/>
          </w:tcPr>
          <w:p w14:paraId="31486C2A">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第二章第19.1款</w:t>
            </w:r>
          </w:p>
        </w:tc>
        <w:tc>
          <w:tcPr>
            <w:tcW w:w="1701" w:type="dxa"/>
            <w:vAlign w:val="center"/>
          </w:tcPr>
          <w:p w14:paraId="22BC6BC0">
            <w:pPr>
              <w:adjustRightInd w:val="0"/>
              <w:snapToGrid w:val="0"/>
              <w:spacing w:line="400" w:lineRule="exact"/>
              <w:rPr>
                <w:rFonts w:ascii="宋体" w:hAnsi="宋体"/>
                <w:color w:val="auto"/>
                <w:szCs w:val="21"/>
                <w:highlight w:val="none"/>
              </w:rPr>
            </w:pPr>
            <w:r>
              <w:rPr>
                <w:rFonts w:hint="eastAsia" w:ascii="宋体" w:hAnsi="宋体"/>
                <w:bCs/>
                <w:color w:val="auto"/>
                <w:szCs w:val="21"/>
                <w:highlight w:val="none"/>
              </w:rPr>
              <w:t>投标文件</w:t>
            </w:r>
            <w:r>
              <w:rPr>
                <w:rFonts w:hint="eastAsia" w:ascii="宋体" w:hAnsi="宋体"/>
                <w:color w:val="auto"/>
                <w:szCs w:val="21"/>
                <w:highlight w:val="none"/>
              </w:rPr>
              <w:t>份数</w:t>
            </w:r>
          </w:p>
        </w:tc>
        <w:tc>
          <w:tcPr>
            <w:tcW w:w="4864" w:type="dxa"/>
            <w:vAlign w:val="center"/>
          </w:tcPr>
          <w:p w14:paraId="75D54861">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经加密的电子版文件一份</w:t>
            </w:r>
          </w:p>
        </w:tc>
      </w:tr>
      <w:tr w14:paraId="38921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jc w:val="center"/>
        </w:trPr>
        <w:tc>
          <w:tcPr>
            <w:tcW w:w="8789" w:type="dxa"/>
            <w:gridSpan w:val="3"/>
            <w:vAlign w:val="center"/>
          </w:tcPr>
          <w:p w14:paraId="3521DB91">
            <w:pPr>
              <w:adjustRightInd w:val="0"/>
              <w:snapToGrid w:val="0"/>
              <w:spacing w:line="400" w:lineRule="exact"/>
              <w:rPr>
                <w:rFonts w:ascii="宋体" w:hAnsi="宋体"/>
                <w:b/>
                <w:bCs/>
                <w:color w:val="auto"/>
                <w:szCs w:val="21"/>
                <w:highlight w:val="none"/>
              </w:rPr>
            </w:pPr>
            <w:r>
              <w:rPr>
                <w:rFonts w:hint="eastAsia" w:ascii="宋体" w:hAnsi="宋体"/>
                <w:b/>
                <w:color w:val="auto"/>
                <w:szCs w:val="21"/>
                <w:highlight w:val="none"/>
              </w:rPr>
              <w:t>四、投标文件的递交</w:t>
            </w:r>
          </w:p>
        </w:tc>
      </w:tr>
      <w:tr w14:paraId="52651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2224" w:type="dxa"/>
            <w:vAlign w:val="center"/>
          </w:tcPr>
          <w:p w14:paraId="15135B0E">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第二章第20.2款</w:t>
            </w:r>
          </w:p>
        </w:tc>
        <w:tc>
          <w:tcPr>
            <w:tcW w:w="1701" w:type="dxa"/>
            <w:vAlign w:val="center"/>
          </w:tcPr>
          <w:p w14:paraId="4EEE75BB">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封套上应载明的信息</w:t>
            </w:r>
          </w:p>
        </w:tc>
        <w:tc>
          <w:tcPr>
            <w:tcW w:w="4864" w:type="dxa"/>
            <w:vAlign w:val="center"/>
          </w:tcPr>
          <w:p w14:paraId="20429D04">
            <w:pPr>
              <w:adjustRightInd w:val="0"/>
              <w:snapToGrid w:val="0"/>
              <w:spacing w:line="400" w:lineRule="exact"/>
              <w:jc w:val="left"/>
              <w:rPr>
                <w:rFonts w:ascii="宋体" w:hAnsi="宋体"/>
                <w:color w:val="auto"/>
                <w:szCs w:val="21"/>
                <w:highlight w:val="none"/>
              </w:rPr>
            </w:pPr>
            <w:r>
              <w:rPr>
                <w:rFonts w:hint="eastAsia" w:ascii="宋体" w:hAnsi="宋体"/>
                <w:color w:val="auto"/>
                <w:szCs w:val="21"/>
                <w:highlight w:val="none"/>
              </w:rPr>
              <w:t xml:space="preserve">收件人名称： </w:t>
            </w:r>
          </w:p>
          <w:p w14:paraId="2A8C843D">
            <w:pPr>
              <w:adjustRightInd w:val="0"/>
              <w:snapToGrid w:val="0"/>
              <w:spacing w:line="400" w:lineRule="exact"/>
              <w:jc w:val="left"/>
              <w:rPr>
                <w:rFonts w:ascii="宋体" w:hAnsi="宋体"/>
                <w:color w:val="auto"/>
                <w:szCs w:val="21"/>
                <w:highlight w:val="none"/>
              </w:rPr>
            </w:pPr>
            <w:r>
              <w:rPr>
                <w:rFonts w:hint="eastAsia" w:ascii="宋体" w:hAnsi="宋体"/>
                <w:color w:val="auto"/>
                <w:szCs w:val="21"/>
                <w:highlight w:val="none"/>
              </w:rPr>
              <w:t xml:space="preserve">项目编号：                                         </w:t>
            </w:r>
          </w:p>
          <w:p w14:paraId="2BE9D3E2">
            <w:pPr>
              <w:adjustRightInd w:val="0"/>
              <w:snapToGrid w:val="0"/>
              <w:spacing w:line="400" w:lineRule="exact"/>
              <w:jc w:val="left"/>
              <w:rPr>
                <w:rFonts w:ascii="宋体" w:hAnsi="宋体"/>
                <w:color w:val="auto"/>
                <w:szCs w:val="21"/>
                <w:highlight w:val="none"/>
              </w:rPr>
            </w:pPr>
            <w:r>
              <w:rPr>
                <w:rFonts w:hint="eastAsia" w:ascii="宋体" w:hAnsi="宋体"/>
                <w:color w:val="auto"/>
                <w:szCs w:val="21"/>
                <w:highlight w:val="none"/>
              </w:rPr>
              <w:t>项目名称：</w:t>
            </w:r>
            <w:r>
              <w:rPr>
                <w:rFonts w:ascii="宋体" w:hAnsi="宋体"/>
                <w:color w:val="auto"/>
                <w:szCs w:val="21"/>
                <w:highlight w:val="none"/>
              </w:rPr>
              <w:t xml:space="preserve"> </w:t>
            </w:r>
          </w:p>
          <w:p w14:paraId="349E4E7A">
            <w:pPr>
              <w:adjustRightInd w:val="0"/>
              <w:snapToGrid w:val="0"/>
              <w:spacing w:line="400" w:lineRule="exact"/>
              <w:jc w:val="left"/>
              <w:rPr>
                <w:rFonts w:ascii="宋体" w:hAnsi="宋体"/>
                <w:color w:val="auto"/>
                <w:szCs w:val="21"/>
                <w:highlight w:val="none"/>
              </w:rPr>
            </w:pPr>
            <w:r>
              <w:rPr>
                <w:rFonts w:hint="eastAsia" w:ascii="宋体" w:hAnsi="宋体"/>
                <w:color w:val="auto"/>
                <w:szCs w:val="21"/>
                <w:highlight w:val="none"/>
              </w:rPr>
              <w:t xml:space="preserve">投标人名称：                 </w:t>
            </w:r>
          </w:p>
          <w:p w14:paraId="79CDA021">
            <w:pPr>
              <w:adjustRightInd w:val="0"/>
              <w:snapToGrid w:val="0"/>
              <w:spacing w:line="400" w:lineRule="exact"/>
              <w:jc w:val="left"/>
              <w:rPr>
                <w:rFonts w:ascii="宋体" w:hAnsi="宋体"/>
                <w:color w:val="auto"/>
                <w:szCs w:val="21"/>
                <w:highlight w:val="none"/>
              </w:rPr>
            </w:pPr>
            <w:r>
              <w:rPr>
                <w:rFonts w:hint="eastAsia" w:ascii="宋体" w:hAnsi="宋体"/>
                <w:color w:val="auto"/>
                <w:szCs w:val="21"/>
                <w:highlight w:val="none"/>
              </w:rPr>
              <w:t xml:space="preserve">投标人地址：                 </w:t>
            </w:r>
          </w:p>
          <w:p w14:paraId="66AE2FB7">
            <w:pPr>
              <w:adjustRightInd w:val="0"/>
              <w:snapToGrid w:val="0"/>
              <w:spacing w:line="400" w:lineRule="exact"/>
              <w:jc w:val="left"/>
              <w:rPr>
                <w:rFonts w:ascii="宋体" w:hAnsi="宋体"/>
                <w:color w:val="auto"/>
                <w:szCs w:val="21"/>
                <w:highlight w:val="none"/>
              </w:rPr>
            </w:pPr>
            <w:r>
              <w:rPr>
                <w:rFonts w:hint="eastAsia" w:ascii="宋体" w:hAnsi="宋体"/>
                <w:color w:val="auto"/>
                <w:szCs w:val="21"/>
                <w:highlight w:val="none"/>
              </w:rPr>
              <w:t xml:space="preserve">联 系 人：                   </w:t>
            </w:r>
          </w:p>
          <w:p w14:paraId="46E0D4F3">
            <w:pPr>
              <w:adjustRightInd w:val="0"/>
              <w:snapToGrid w:val="0"/>
              <w:spacing w:line="400" w:lineRule="exact"/>
              <w:jc w:val="left"/>
              <w:rPr>
                <w:rFonts w:ascii="宋体" w:hAnsi="宋体"/>
                <w:color w:val="auto"/>
                <w:szCs w:val="21"/>
                <w:highlight w:val="none"/>
              </w:rPr>
            </w:pPr>
            <w:r>
              <w:rPr>
                <w:rFonts w:hint="eastAsia" w:ascii="宋体" w:hAnsi="宋体"/>
                <w:color w:val="auto"/>
                <w:szCs w:val="21"/>
                <w:highlight w:val="none"/>
              </w:rPr>
              <w:t xml:space="preserve">联系电话：                   </w:t>
            </w:r>
          </w:p>
          <w:p w14:paraId="3BDAF3B7">
            <w:pPr>
              <w:adjustRightInd w:val="0"/>
              <w:snapToGrid w:val="0"/>
              <w:spacing w:line="400" w:lineRule="exact"/>
              <w:jc w:val="left"/>
              <w:rPr>
                <w:rFonts w:ascii="宋体" w:hAnsi="宋体"/>
                <w:color w:val="auto"/>
                <w:szCs w:val="21"/>
                <w:highlight w:val="none"/>
              </w:rPr>
            </w:pPr>
            <w:r>
              <w:rPr>
                <w:rFonts w:hint="eastAsia" w:ascii="宋体" w:hAnsi="宋体"/>
                <w:color w:val="auto"/>
                <w:szCs w:val="21"/>
                <w:highlight w:val="none"/>
              </w:rPr>
              <w:t xml:space="preserve">传    真：                   </w:t>
            </w:r>
          </w:p>
          <w:p w14:paraId="7923B3C4">
            <w:pPr>
              <w:adjustRightInd w:val="0"/>
              <w:snapToGrid w:val="0"/>
              <w:spacing w:line="400" w:lineRule="exact"/>
              <w:jc w:val="left"/>
              <w:rPr>
                <w:rFonts w:ascii="宋体" w:hAnsi="宋体"/>
                <w:color w:val="auto"/>
                <w:szCs w:val="21"/>
                <w:highlight w:val="none"/>
              </w:rPr>
            </w:pPr>
            <w:r>
              <w:rPr>
                <w:rFonts w:hint="eastAsia" w:ascii="宋体" w:hAnsi="宋体"/>
                <w:color w:val="auto"/>
                <w:szCs w:val="21"/>
                <w:highlight w:val="none"/>
              </w:rPr>
              <w:t xml:space="preserve">在规定的开标时间 年 月 日 </w:t>
            </w:r>
            <w:r>
              <w:rPr>
                <w:rFonts w:ascii="宋体" w:hAnsi="宋体"/>
                <w:color w:val="auto"/>
                <w:szCs w:val="21"/>
                <w:highlight w:val="none"/>
              </w:rPr>
              <w:t xml:space="preserve"> </w:t>
            </w:r>
            <w:r>
              <w:rPr>
                <w:rFonts w:hint="eastAsia" w:ascii="宋体" w:hAnsi="宋体"/>
                <w:color w:val="auto"/>
                <w:szCs w:val="21"/>
                <w:highlight w:val="none"/>
              </w:rPr>
              <w:t>： 前不得启封</w:t>
            </w:r>
          </w:p>
        </w:tc>
      </w:tr>
      <w:tr w14:paraId="5494E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610C8DCC">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第二章第22.1款</w:t>
            </w:r>
          </w:p>
        </w:tc>
        <w:tc>
          <w:tcPr>
            <w:tcW w:w="1701" w:type="dxa"/>
            <w:vAlign w:val="center"/>
          </w:tcPr>
          <w:p w14:paraId="46B3630F">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投标文件的递交地点</w:t>
            </w:r>
          </w:p>
        </w:tc>
        <w:tc>
          <w:tcPr>
            <w:tcW w:w="4864" w:type="dxa"/>
            <w:vAlign w:val="center"/>
          </w:tcPr>
          <w:p w14:paraId="00134CE5">
            <w:pPr>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政采云平台</w:t>
            </w:r>
          </w:p>
        </w:tc>
      </w:tr>
      <w:tr w14:paraId="2433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8789" w:type="dxa"/>
            <w:gridSpan w:val="3"/>
            <w:vAlign w:val="center"/>
          </w:tcPr>
          <w:p w14:paraId="2C254301">
            <w:pPr>
              <w:adjustRightInd w:val="0"/>
              <w:snapToGrid w:val="0"/>
              <w:spacing w:line="400" w:lineRule="exact"/>
              <w:rPr>
                <w:rFonts w:ascii="宋体" w:hAnsi="宋体"/>
                <w:b/>
                <w:color w:val="auto"/>
                <w:szCs w:val="21"/>
                <w:highlight w:val="none"/>
              </w:rPr>
            </w:pPr>
            <w:r>
              <w:rPr>
                <w:rFonts w:hint="eastAsia" w:ascii="宋体" w:hAnsi="宋体"/>
                <w:b/>
                <w:color w:val="auto"/>
                <w:szCs w:val="21"/>
                <w:highlight w:val="none"/>
              </w:rPr>
              <w:t>五、投标文件的评审</w:t>
            </w:r>
          </w:p>
        </w:tc>
      </w:tr>
      <w:tr w14:paraId="51062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5A64E494">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第二章第29.1款</w:t>
            </w:r>
          </w:p>
        </w:tc>
        <w:tc>
          <w:tcPr>
            <w:tcW w:w="1701" w:type="dxa"/>
            <w:vAlign w:val="center"/>
          </w:tcPr>
          <w:p w14:paraId="1084BF2A">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评审办法</w:t>
            </w:r>
          </w:p>
        </w:tc>
        <w:tc>
          <w:tcPr>
            <w:tcW w:w="4864" w:type="dxa"/>
            <w:vAlign w:val="center"/>
          </w:tcPr>
          <w:p w14:paraId="35C53202">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综合评分法</w:t>
            </w:r>
          </w:p>
        </w:tc>
      </w:tr>
      <w:tr w14:paraId="21A1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1E69C323">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第二章第30.1款</w:t>
            </w:r>
          </w:p>
        </w:tc>
        <w:tc>
          <w:tcPr>
            <w:tcW w:w="1701" w:type="dxa"/>
            <w:vAlign w:val="center"/>
          </w:tcPr>
          <w:p w14:paraId="3BC21C07">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推荐的中标候选人数量</w:t>
            </w:r>
          </w:p>
        </w:tc>
        <w:tc>
          <w:tcPr>
            <w:tcW w:w="4864" w:type="dxa"/>
            <w:vAlign w:val="center"/>
          </w:tcPr>
          <w:p w14:paraId="6056B8B5">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3</w:t>
            </w:r>
          </w:p>
        </w:tc>
      </w:tr>
      <w:tr w14:paraId="4DF0E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8789" w:type="dxa"/>
            <w:gridSpan w:val="3"/>
            <w:vAlign w:val="center"/>
          </w:tcPr>
          <w:p w14:paraId="47120542">
            <w:pPr>
              <w:adjustRightInd w:val="0"/>
              <w:snapToGrid w:val="0"/>
              <w:spacing w:line="400" w:lineRule="exact"/>
              <w:rPr>
                <w:rFonts w:ascii="宋体" w:hAnsi="宋体"/>
                <w:b/>
                <w:color w:val="auto"/>
                <w:szCs w:val="21"/>
                <w:highlight w:val="none"/>
              </w:rPr>
            </w:pPr>
            <w:r>
              <w:rPr>
                <w:rFonts w:hint="eastAsia" w:ascii="宋体" w:hAnsi="宋体"/>
                <w:b/>
                <w:color w:val="auto"/>
                <w:szCs w:val="21"/>
                <w:highlight w:val="none"/>
              </w:rPr>
              <w:t>六、中标结果信息公布与授予合同</w:t>
            </w:r>
          </w:p>
        </w:tc>
      </w:tr>
      <w:tr w14:paraId="0DF24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2619A75A">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第二章第35.1款</w:t>
            </w:r>
          </w:p>
        </w:tc>
        <w:tc>
          <w:tcPr>
            <w:tcW w:w="1701" w:type="dxa"/>
            <w:vAlign w:val="center"/>
          </w:tcPr>
          <w:p w14:paraId="7D5226B1">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财政部门指定发布媒体</w:t>
            </w:r>
          </w:p>
        </w:tc>
        <w:tc>
          <w:tcPr>
            <w:tcW w:w="4864" w:type="dxa"/>
            <w:vAlign w:val="center"/>
          </w:tcPr>
          <w:p w14:paraId="7282020B">
            <w:pPr>
              <w:adjustRightInd w:val="0"/>
              <w:snapToGrid w:val="0"/>
              <w:spacing w:line="400" w:lineRule="exact"/>
              <w:jc w:val="left"/>
              <w:rPr>
                <w:rFonts w:ascii="宋体" w:hAnsi="宋体" w:cs="宋体"/>
                <w:b/>
                <w:bCs/>
                <w:color w:val="auto"/>
                <w:kern w:val="0"/>
                <w:szCs w:val="21"/>
                <w:highlight w:val="none"/>
              </w:rPr>
            </w:pPr>
            <w:r>
              <w:rPr>
                <w:rFonts w:hint="eastAsia" w:ascii="宋体" w:hAnsi="宋体"/>
                <w:b/>
                <w:bCs/>
                <w:color w:val="auto"/>
                <w:szCs w:val="21"/>
                <w:highlight w:val="none"/>
              </w:rPr>
              <w:t>新疆政府采购网</w:t>
            </w:r>
          </w:p>
        </w:tc>
      </w:tr>
      <w:tr w14:paraId="410F6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224" w:type="dxa"/>
            <w:vAlign w:val="center"/>
          </w:tcPr>
          <w:p w14:paraId="1B071968">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第二章第37.3款</w:t>
            </w:r>
          </w:p>
        </w:tc>
        <w:tc>
          <w:tcPr>
            <w:tcW w:w="1701" w:type="dxa"/>
            <w:vAlign w:val="center"/>
          </w:tcPr>
          <w:p w14:paraId="629713A4">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履约担保</w:t>
            </w:r>
          </w:p>
        </w:tc>
        <w:tc>
          <w:tcPr>
            <w:tcW w:w="4864" w:type="dxa"/>
            <w:vAlign w:val="center"/>
          </w:tcPr>
          <w:p w14:paraId="6C50A3D0">
            <w:pPr>
              <w:adjustRightInd w:val="0"/>
              <w:snapToGrid w:val="0"/>
              <w:spacing w:line="400" w:lineRule="exact"/>
              <w:jc w:val="left"/>
              <w:rPr>
                <w:rFonts w:ascii="宋体" w:hAnsi="宋体"/>
                <w:color w:val="auto"/>
                <w:szCs w:val="21"/>
                <w:highlight w:val="none"/>
              </w:rPr>
            </w:pPr>
            <w:r>
              <w:rPr>
                <w:rFonts w:hint="eastAsia" w:ascii="宋体" w:hAnsi="宋体"/>
                <w:color w:val="auto"/>
                <w:szCs w:val="21"/>
                <w:highlight w:val="none"/>
              </w:rPr>
              <w:t>自行协商</w:t>
            </w:r>
          </w:p>
        </w:tc>
      </w:tr>
      <w:tr w14:paraId="16EAB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8789" w:type="dxa"/>
            <w:gridSpan w:val="3"/>
            <w:vAlign w:val="center"/>
          </w:tcPr>
          <w:p w14:paraId="7C018176">
            <w:pPr>
              <w:adjustRightInd w:val="0"/>
              <w:snapToGrid w:val="0"/>
              <w:spacing w:line="400" w:lineRule="exact"/>
              <w:rPr>
                <w:rFonts w:ascii="宋体" w:hAnsi="宋体"/>
                <w:b/>
                <w:color w:val="auto"/>
                <w:szCs w:val="21"/>
                <w:highlight w:val="none"/>
              </w:rPr>
            </w:pPr>
            <w:r>
              <w:rPr>
                <w:rFonts w:hint="eastAsia" w:ascii="宋体" w:hAnsi="宋体"/>
                <w:b/>
                <w:color w:val="auto"/>
                <w:szCs w:val="21"/>
                <w:highlight w:val="none"/>
              </w:rPr>
              <w:t>七、其他规定</w:t>
            </w:r>
          </w:p>
        </w:tc>
      </w:tr>
      <w:tr w14:paraId="39E9F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2224" w:type="dxa"/>
            <w:vAlign w:val="center"/>
          </w:tcPr>
          <w:p w14:paraId="4A7AEEDC">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第二章第39.1款</w:t>
            </w:r>
          </w:p>
        </w:tc>
        <w:tc>
          <w:tcPr>
            <w:tcW w:w="1701" w:type="dxa"/>
            <w:vAlign w:val="center"/>
          </w:tcPr>
          <w:p w14:paraId="4B012E95">
            <w:pPr>
              <w:adjustRightInd w:val="0"/>
              <w:snapToGrid w:val="0"/>
              <w:spacing w:line="400" w:lineRule="exact"/>
              <w:jc w:val="center"/>
              <w:rPr>
                <w:rFonts w:ascii="宋体" w:hAnsi="宋体"/>
                <w:color w:val="auto"/>
                <w:szCs w:val="21"/>
                <w:highlight w:val="none"/>
              </w:rPr>
            </w:pPr>
            <w:r>
              <w:rPr>
                <w:rFonts w:hint="eastAsia" w:ascii="宋体" w:hAnsi="宋体"/>
                <w:color w:val="auto"/>
                <w:szCs w:val="21"/>
                <w:highlight w:val="none"/>
              </w:rPr>
              <w:t>代理服务费</w:t>
            </w:r>
          </w:p>
        </w:tc>
        <w:tc>
          <w:tcPr>
            <w:tcW w:w="4864" w:type="dxa"/>
            <w:vAlign w:val="center"/>
          </w:tcPr>
          <w:p w14:paraId="3269563A">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中标投标人在收到中标通知书后，须向中益招标有限公司新疆分公司支付代理服务费，参考国家发展计划委员会“计价格（2002）1980号”文件、“发改办价格[2003]857号”文及发改办价格〔2011〕534号文收取。</w:t>
            </w:r>
          </w:p>
        </w:tc>
      </w:tr>
      <w:tr w14:paraId="25D05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8789" w:type="dxa"/>
            <w:gridSpan w:val="3"/>
            <w:vAlign w:val="center"/>
          </w:tcPr>
          <w:p w14:paraId="551C6195">
            <w:pPr>
              <w:adjustRightInd w:val="0"/>
              <w:snapToGrid w:val="0"/>
              <w:spacing w:line="400" w:lineRule="exact"/>
              <w:rPr>
                <w:rFonts w:ascii="宋体" w:hAnsi="宋体"/>
                <w:color w:val="auto"/>
                <w:szCs w:val="21"/>
                <w:highlight w:val="none"/>
              </w:rPr>
            </w:pPr>
            <w:r>
              <w:rPr>
                <w:rFonts w:hint="eastAsia" w:ascii="宋体" w:hAnsi="宋体" w:cs="宋体"/>
                <w:b/>
                <w:color w:val="auto"/>
                <w:kern w:val="0"/>
                <w:szCs w:val="21"/>
                <w:highlight w:val="none"/>
              </w:rPr>
              <w:t>本采购文件规定的各项技术规格中出现的商标、名称或供应者等均不做特别指定的要求，仅作为对技术规格的描述要求，按“或相当于”理解，投标人在投标时不得低于此要求。</w:t>
            </w:r>
          </w:p>
        </w:tc>
      </w:tr>
    </w:tbl>
    <w:p w14:paraId="17A8AE84">
      <w:pPr>
        <w:pStyle w:val="3"/>
        <w:rPr>
          <w:rFonts w:ascii="宋体" w:hAnsi="宋体"/>
          <w:highlight w:val="none"/>
        </w:rPr>
      </w:pPr>
      <w:bookmarkStart w:id="16" w:name="_Toc420948007"/>
      <w:r>
        <w:rPr>
          <w:rFonts w:ascii="宋体" w:hAnsi="宋体"/>
          <w:highlight w:val="none"/>
        </w:rPr>
        <w:br w:type="page"/>
      </w:r>
      <w:r>
        <w:rPr>
          <w:rFonts w:hint="eastAsia" w:ascii="宋体" w:hAnsi="宋体"/>
          <w:highlight w:val="none"/>
        </w:rPr>
        <w:t xml:space="preserve">                               </w:t>
      </w:r>
      <w:bookmarkStart w:id="17" w:name="_Toc19077"/>
      <w:r>
        <w:rPr>
          <w:rFonts w:hint="eastAsia" w:ascii="宋体" w:hAnsi="宋体"/>
          <w:highlight w:val="none"/>
        </w:rPr>
        <w:t>投标须知正文</w:t>
      </w:r>
      <w:bookmarkEnd w:id="16"/>
      <w:bookmarkEnd w:id="17"/>
    </w:p>
    <w:p w14:paraId="60022B33">
      <w:pPr>
        <w:pStyle w:val="3"/>
        <w:rPr>
          <w:rFonts w:ascii="宋体" w:hAnsi="宋体"/>
          <w:sz w:val="21"/>
          <w:szCs w:val="21"/>
          <w:highlight w:val="none"/>
        </w:rPr>
      </w:pPr>
      <w:bookmarkStart w:id="18" w:name="_Toc29113"/>
      <w:bookmarkStart w:id="19" w:name="_Toc420948008"/>
      <w:r>
        <w:rPr>
          <w:rFonts w:hint="eastAsia" w:ascii="宋体" w:hAnsi="宋体"/>
          <w:sz w:val="21"/>
          <w:szCs w:val="21"/>
          <w:highlight w:val="none"/>
        </w:rPr>
        <w:t>一、总则</w:t>
      </w:r>
      <w:bookmarkEnd w:id="18"/>
    </w:p>
    <w:p w14:paraId="73CCF36F">
      <w:pPr>
        <w:adjustRightInd w:val="0"/>
        <w:snapToGrid w:val="0"/>
        <w:spacing w:line="360" w:lineRule="auto"/>
        <w:rPr>
          <w:rFonts w:ascii="宋体" w:hAnsi="宋体"/>
          <w:b/>
          <w:bCs/>
          <w:szCs w:val="21"/>
          <w:highlight w:val="none"/>
        </w:rPr>
      </w:pPr>
      <w:r>
        <w:rPr>
          <w:rFonts w:hint="eastAsia" w:ascii="宋体" w:hAnsi="宋体"/>
          <w:b/>
          <w:bCs/>
          <w:szCs w:val="21"/>
          <w:highlight w:val="none"/>
        </w:rPr>
        <w:t>1. 项目概况</w:t>
      </w:r>
    </w:p>
    <w:p w14:paraId="4E286EAA">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1.1项目名称：详见投标须知前附表；</w:t>
      </w:r>
    </w:p>
    <w:p w14:paraId="4ECACFC9">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1.2采购内容：详见投标须知前附表；</w:t>
      </w:r>
    </w:p>
    <w:p w14:paraId="585D18D6">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1.3采购方式：详见投标须知前附表；</w:t>
      </w:r>
    </w:p>
    <w:p w14:paraId="498C7488">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1.4项目地点：详见投标须知前附表；</w:t>
      </w:r>
    </w:p>
    <w:p w14:paraId="1CCBBBD9">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1.5服务期限：详见投标须知前附表。</w:t>
      </w:r>
      <w:bookmarkEnd w:id="19"/>
    </w:p>
    <w:p w14:paraId="7F0DE88A">
      <w:pPr>
        <w:adjustRightInd w:val="0"/>
        <w:snapToGrid w:val="0"/>
        <w:spacing w:line="360" w:lineRule="auto"/>
        <w:rPr>
          <w:rFonts w:ascii="宋体" w:hAnsi="宋体"/>
          <w:b/>
          <w:bCs/>
          <w:szCs w:val="21"/>
          <w:highlight w:val="none"/>
        </w:rPr>
      </w:pPr>
      <w:r>
        <w:rPr>
          <w:rFonts w:hint="eastAsia" w:ascii="宋体" w:hAnsi="宋体"/>
          <w:b/>
          <w:bCs/>
          <w:szCs w:val="21"/>
          <w:highlight w:val="none"/>
        </w:rPr>
        <w:t>2. 定义</w:t>
      </w:r>
    </w:p>
    <w:p w14:paraId="1A8FA522">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2.1 “采购人”是指依法进行政府采购的国家机关、事业单位、团体组织。本次政府采购的采购人名称、地址、电话、联系人见</w:t>
      </w:r>
      <w:r>
        <w:rPr>
          <w:rFonts w:hint="eastAsia" w:ascii="宋体" w:hAnsi="宋体"/>
          <w:b/>
          <w:szCs w:val="21"/>
          <w:highlight w:val="none"/>
        </w:rPr>
        <w:t>投标须知前附表</w:t>
      </w:r>
      <w:r>
        <w:rPr>
          <w:rFonts w:hint="eastAsia" w:ascii="宋体" w:hAnsi="宋体"/>
          <w:szCs w:val="21"/>
          <w:highlight w:val="none"/>
        </w:rPr>
        <w:t>。</w:t>
      </w:r>
    </w:p>
    <w:p w14:paraId="5668482D">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2.2 “采购代理机构”是指接受采购人委托，代理采购项目的采购代理机构。</w:t>
      </w:r>
    </w:p>
    <w:p w14:paraId="613BB21A">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2.3 “投标人”是指响应采购文件要求、参加公开招标采购的法人、其他组织或者自然人。</w:t>
      </w:r>
    </w:p>
    <w:p w14:paraId="5840C5DC">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2.4 “服务”是指除货物和工程以外的其他政府采购对象。</w:t>
      </w:r>
    </w:p>
    <w:p w14:paraId="525BE591">
      <w:pPr>
        <w:adjustRightInd w:val="0"/>
        <w:snapToGrid w:val="0"/>
        <w:spacing w:line="360" w:lineRule="auto"/>
        <w:ind w:firstLine="422"/>
        <w:rPr>
          <w:rFonts w:ascii="宋体" w:hAnsi="宋体" w:cs="宋体"/>
          <w:b/>
          <w:kern w:val="0"/>
          <w:szCs w:val="21"/>
          <w:highlight w:val="none"/>
        </w:rPr>
      </w:pPr>
      <w:r>
        <w:rPr>
          <w:rFonts w:hint="eastAsia" w:ascii="宋体" w:hAnsi="宋体" w:cs="宋体"/>
          <w:b/>
          <w:kern w:val="0"/>
          <w:szCs w:val="21"/>
          <w:highlight w:val="none"/>
        </w:rPr>
        <w:t>2.5偏离</w:t>
      </w:r>
    </w:p>
    <w:p w14:paraId="42F297DC">
      <w:pPr>
        <w:adjustRightInd w:val="0"/>
        <w:snapToGrid w:val="0"/>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2.5.1本条所称偏离为投标文件对采购文件的偏离，即不满足、或不响应采购文件的要求。偏离分为对采购文件的实质性要求条款偏离和对采购文件的一般商务和技术条款偏离。</w:t>
      </w:r>
    </w:p>
    <w:p w14:paraId="4A3AC290">
      <w:pPr>
        <w:adjustRightInd w:val="0"/>
        <w:snapToGrid w:val="0"/>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2.5.2除法律、法规和规章规定外，采购文件中用“拒绝”、“不接受”、“无效”、“不得”等文字规定或标注“★”符号的条款为实质性要求条款（即重要条款）。未用上述文字规定或符号标注的条款为非实质性要求条款(即一般条款)。</w:t>
      </w:r>
    </w:p>
    <w:p w14:paraId="06471349">
      <w:pPr>
        <w:adjustRightInd w:val="0"/>
        <w:snapToGrid w:val="0"/>
        <w:spacing w:line="360" w:lineRule="auto"/>
        <w:ind w:firstLine="422"/>
        <w:rPr>
          <w:rFonts w:ascii="宋体" w:hAnsi="宋体" w:cs="宋体"/>
          <w:b/>
          <w:kern w:val="0"/>
          <w:szCs w:val="21"/>
          <w:highlight w:val="none"/>
        </w:rPr>
      </w:pPr>
      <w:r>
        <w:rPr>
          <w:rFonts w:hint="eastAsia" w:ascii="宋体" w:hAnsi="宋体" w:cs="宋体"/>
          <w:b/>
          <w:kern w:val="0"/>
          <w:szCs w:val="21"/>
          <w:highlight w:val="none"/>
        </w:rPr>
        <w:t>2.6特别说明</w:t>
      </w:r>
    </w:p>
    <w:p w14:paraId="61127AAE">
      <w:pPr>
        <w:adjustRightInd w:val="0"/>
        <w:snapToGrid w:val="0"/>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2.6.1除采购文件内有特殊说明外，本次投标响应投标人所使用的资格、信誉、荣誉、业绩与企业认证等必须为投标单位法人所拥有。</w:t>
      </w:r>
    </w:p>
    <w:p w14:paraId="45014222">
      <w:pPr>
        <w:adjustRightInd w:val="0"/>
        <w:snapToGrid w:val="0"/>
        <w:spacing w:line="360" w:lineRule="auto"/>
        <w:ind w:firstLine="420" w:firstLineChars="200"/>
        <w:rPr>
          <w:rFonts w:ascii="宋体" w:hAnsi="宋体" w:cs="宋体"/>
          <w:b/>
          <w:kern w:val="0"/>
          <w:szCs w:val="21"/>
          <w:highlight w:val="none"/>
        </w:rPr>
      </w:pPr>
      <w:r>
        <w:rPr>
          <w:rFonts w:hint="eastAsia" w:ascii="宋体" w:hAnsi="宋体" w:cs="宋体"/>
          <w:kern w:val="0"/>
          <w:szCs w:val="21"/>
          <w:highlight w:val="none"/>
        </w:rPr>
        <w:t>2.6.2</w:t>
      </w:r>
      <w:r>
        <w:rPr>
          <w:rFonts w:hint="eastAsia" w:ascii="宋体" w:hAnsi="宋体"/>
          <w:szCs w:val="21"/>
          <w:highlight w:val="none"/>
        </w:rPr>
        <w:t>投标人</w:t>
      </w:r>
      <w:r>
        <w:rPr>
          <w:rFonts w:hint="eastAsia" w:ascii="宋体" w:hAnsi="宋体" w:cs="宋体"/>
          <w:kern w:val="0"/>
          <w:szCs w:val="21"/>
          <w:highlight w:val="none"/>
        </w:rPr>
        <w:t>应仔细阅读采购文件的所有内容，按照采购文件的要求编制、提交投标文件，并对所提供的全部资料的真实性承担法律责任。</w:t>
      </w:r>
    </w:p>
    <w:p w14:paraId="1220F629">
      <w:pPr>
        <w:adjustRightInd w:val="0"/>
        <w:snapToGrid w:val="0"/>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2.6.3投标人在投标活动中提供任何虚假材料, 其投标文件无效并承担相应法律责任。</w:t>
      </w:r>
    </w:p>
    <w:p w14:paraId="1A8ACC69">
      <w:pPr>
        <w:adjustRightInd w:val="0"/>
        <w:snapToGrid w:val="0"/>
        <w:spacing w:line="360" w:lineRule="auto"/>
        <w:rPr>
          <w:rFonts w:ascii="宋体" w:hAnsi="宋体"/>
          <w:b/>
          <w:bCs/>
          <w:szCs w:val="21"/>
          <w:highlight w:val="none"/>
        </w:rPr>
      </w:pPr>
      <w:r>
        <w:rPr>
          <w:rFonts w:hint="eastAsia" w:ascii="宋体" w:hAnsi="宋体"/>
          <w:b/>
          <w:bCs/>
          <w:szCs w:val="21"/>
          <w:highlight w:val="none"/>
        </w:rPr>
        <w:t>3.投标人的资格要求</w:t>
      </w:r>
    </w:p>
    <w:p w14:paraId="225AF32C">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3.1 投标人应当符合</w:t>
      </w:r>
      <w:r>
        <w:rPr>
          <w:rFonts w:hint="eastAsia" w:ascii="宋体" w:hAnsi="宋体"/>
          <w:b/>
          <w:szCs w:val="21"/>
          <w:highlight w:val="none"/>
        </w:rPr>
        <w:t>投标须知前附表</w:t>
      </w:r>
      <w:r>
        <w:rPr>
          <w:rFonts w:hint="eastAsia" w:ascii="宋体" w:hAnsi="宋体"/>
          <w:szCs w:val="21"/>
          <w:highlight w:val="none"/>
        </w:rPr>
        <w:t>中规定投标人资格条件。</w:t>
      </w:r>
    </w:p>
    <w:p w14:paraId="3ECEABA1">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3.2 投标人不得存在下列情形之一：</w:t>
      </w:r>
    </w:p>
    <w:p w14:paraId="1D38E95C">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（l）与采购人、代理机构存在</w:t>
      </w:r>
      <w:r>
        <w:rPr>
          <w:rFonts w:hint="eastAsia" w:ascii="宋体" w:hAnsi="宋体"/>
          <w:bCs/>
          <w:szCs w:val="21"/>
          <w:highlight w:val="none"/>
        </w:rPr>
        <w:t>利害关系</w:t>
      </w:r>
      <w:r>
        <w:rPr>
          <w:rFonts w:hint="eastAsia" w:ascii="宋体" w:hAnsi="宋体"/>
          <w:szCs w:val="21"/>
          <w:highlight w:val="none"/>
        </w:rPr>
        <w:t>。</w:t>
      </w:r>
    </w:p>
    <w:p w14:paraId="343A0082">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（2）单位负责人为同一人或者存在直接控股、管理关系的不同投标人，不得参加同一合同项下的政府采购活动。</w:t>
      </w:r>
    </w:p>
    <w:p w14:paraId="087B6D4F">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（3）除单一来源采购项目外，为采购项目提供整体设计、规范编制或者项目管理、监理、检测等服务的投标人，不得再参加该采购项目的其他采购活动。</w:t>
      </w:r>
    </w:p>
    <w:p w14:paraId="02224F7C">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4）投标人被列入失信被执行人、重大税收违法案件当事人名单、政府采购严重违法失信行为记录名单（处罚决定规定的时间和地域范围内）。采购人或采购代理机构将按投标人须知前附表中规定的时间查询投标人的信用记录。投标人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投标人将被认定为投标</w:t>
      </w:r>
      <w:r>
        <w:rPr>
          <w:rFonts w:hint="eastAsia" w:ascii="宋体" w:hAnsi="宋体"/>
          <w:b/>
          <w:szCs w:val="21"/>
          <w:highlight w:val="none"/>
        </w:rPr>
        <w:t>无效</w:t>
      </w:r>
      <w:r>
        <w:rPr>
          <w:rFonts w:hint="eastAsia" w:ascii="宋体" w:hAnsi="宋体"/>
          <w:szCs w:val="21"/>
          <w:highlight w:val="none"/>
        </w:rPr>
        <w:t>。以联合体形式参加投标的，联合体任何成员存在以上不良信用记录的，联合体投标人将被认定为投标</w:t>
      </w:r>
      <w:r>
        <w:rPr>
          <w:rFonts w:hint="eastAsia" w:ascii="宋体" w:hAnsi="宋体"/>
          <w:b/>
          <w:szCs w:val="21"/>
          <w:highlight w:val="none"/>
        </w:rPr>
        <w:t>无效</w:t>
      </w:r>
      <w:r>
        <w:rPr>
          <w:rFonts w:hint="eastAsia" w:ascii="宋体" w:hAnsi="宋体"/>
          <w:szCs w:val="21"/>
          <w:highlight w:val="none"/>
        </w:rPr>
        <w:t>。</w:t>
      </w:r>
    </w:p>
    <w:p w14:paraId="7C2139F9">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采购人</w:t>
      </w:r>
      <w:r>
        <w:rPr>
          <w:rFonts w:ascii="宋体" w:hAnsi="宋体"/>
          <w:szCs w:val="21"/>
          <w:highlight w:val="none"/>
        </w:rPr>
        <w:t>或采购代理机构</w:t>
      </w:r>
      <w:r>
        <w:rPr>
          <w:rFonts w:hint="eastAsia" w:ascii="宋体" w:hAnsi="宋体"/>
          <w:szCs w:val="21"/>
          <w:highlight w:val="none"/>
        </w:rPr>
        <w:t>经办人将查询网页打印、签字并存档备查。投标人不良信用记录以采购人</w:t>
      </w:r>
      <w:r>
        <w:rPr>
          <w:rFonts w:ascii="宋体" w:hAnsi="宋体"/>
          <w:szCs w:val="21"/>
          <w:highlight w:val="none"/>
        </w:rPr>
        <w:t>或采购代理机构</w:t>
      </w:r>
      <w:r>
        <w:rPr>
          <w:rFonts w:hint="eastAsia" w:ascii="宋体" w:hAnsi="宋体"/>
          <w:szCs w:val="21"/>
          <w:highlight w:val="none"/>
        </w:rPr>
        <w:t>查询结果为准。投标人自行提供的与网站信息不一致的其他证明材料亦不作为资格审查依据。在本采购文件</w:t>
      </w:r>
      <w:r>
        <w:rPr>
          <w:rFonts w:ascii="宋体" w:hAnsi="宋体"/>
          <w:szCs w:val="21"/>
          <w:highlight w:val="none"/>
        </w:rPr>
        <w:t>规定</w:t>
      </w:r>
      <w:r>
        <w:rPr>
          <w:rFonts w:hint="eastAsia" w:ascii="宋体" w:hAnsi="宋体"/>
          <w:szCs w:val="21"/>
          <w:highlight w:val="none"/>
        </w:rPr>
        <w:t>的查询时间之外，网站信息发生的任何变更均不作为资格审查依据。</w:t>
      </w:r>
    </w:p>
    <w:p w14:paraId="3E48AB2D">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3.3 投标人具有履行合同所必需的设备和专业技术能力，在人员、设备、资金等方面具有相应能力；投标人在项目地具有技术支持和后续服务等能力。</w:t>
      </w:r>
    </w:p>
    <w:p w14:paraId="1CACF2C2">
      <w:pPr>
        <w:adjustRightInd w:val="0"/>
        <w:snapToGrid w:val="0"/>
        <w:spacing w:line="360" w:lineRule="auto"/>
        <w:rPr>
          <w:rFonts w:ascii="宋体" w:hAnsi="宋体"/>
          <w:b/>
          <w:bCs/>
          <w:szCs w:val="21"/>
          <w:highlight w:val="none"/>
        </w:rPr>
      </w:pPr>
      <w:r>
        <w:rPr>
          <w:rFonts w:hint="eastAsia" w:ascii="宋体" w:hAnsi="宋体"/>
          <w:b/>
          <w:bCs/>
          <w:szCs w:val="21"/>
          <w:highlight w:val="none"/>
        </w:rPr>
        <w:t xml:space="preserve">4. 费用和知识产权 </w:t>
      </w:r>
    </w:p>
    <w:p w14:paraId="7FA0321A">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4.1投标人应承担其参加本采购活动自身所发生的费用。采购文件所提供的资料，是采购人现有的能被投标人利用的资料，采购人对投标人做出的任何推论、理解和结论均不负责任。</w:t>
      </w:r>
    </w:p>
    <w:p w14:paraId="6576A1B4">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4.2投标人应保证，在中华人民共和国境内使用成果、服务或其任何一部分时，不会产生因第三方提出侵犯其专利权或其它知识产权而引起的法律和经济纠纷。如投标人不拥有相应的知识产权，则在报价中须包括合法获取该知识产权的相关费用。</w:t>
      </w:r>
    </w:p>
    <w:p w14:paraId="76E04D1F">
      <w:pPr>
        <w:pStyle w:val="24"/>
        <w:adjustRightInd w:val="0"/>
        <w:snapToGrid w:val="0"/>
        <w:spacing w:line="360" w:lineRule="auto"/>
        <w:rPr>
          <w:rFonts w:ascii="宋体" w:hAnsi="宋体"/>
          <w:b/>
          <w:bCs/>
          <w:sz w:val="21"/>
          <w:szCs w:val="21"/>
          <w:highlight w:val="none"/>
        </w:rPr>
      </w:pPr>
      <w:r>
        <w:rPr>
          <w:rFonts w:hint="eastAsia" w:ascii="宋体" w:hAnsi="宋体"/>
          <w:b/>
          <w:sz w:val="21"/>
          <w:szCs w:val="21"/>
          <w:highlight w:val="none"/>
        </w:rPr>
        <w:t>5．</w:t>
      </w:r>
      <w:r>
        <w:rPr>
          <w:rFonts w:hint="eastAsia" w:ascii="宋体" w:hAnsi="宋体"/>
          <w:b/>
          <w:bCs/>
          <w:sz w:val="21"/>
          <w:szCs w:val="21"/>
          <w:highlight w:val="none"/>
        </w:rPr>
        <w:t>授权委托</w:t>
      </w:r>
    </w:p>
    <w:p w14:paraId="2246392E">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5.1投标人代表为投标人法定代表人的，应持有法定代表人身份证明。投标人代表不是投标人法定代表人的，应持有法定代表人授权书。</w:t>
      </w:r>
    </w:p>
    <w:p w14:paraId="5F8B4C8A">
      <w:pPr>
        <w:pStyle w:val="24"/>
        <w:adjustRightInd w:val="0"/>
        <w:snapToGrid w:val="0"/>
        <w:spacing w:line="360" w:lineRule="auto"/>
        <w:rPr>
          <w:rFonts w:ascii="宋体" w:hAnsi="宋体"/>
          <w:b/>
          <w:sz w:val="21"/>
          <w:szCs w:val="21"/>
          <w:highlight w:val="none"/>
        </w:rPr>
      </w:pPr>
      <w:r>
        <w:rPr>
          <w:rFonts w:hint="eastAsia" w:ascii="宋体" w:hAnsi="宋体"/>
          <w:b/>
          <w:sz w:val="21"/>
          <w:szCs w:val="21"/>
          <w:highlight w:val="none"/>
        </w:rPr>
        <w:t>6．联合体形式</w:t>
      </w:r>
      <w:r>
        <w:rPr>
          <w:rFonts w:hint="eastAsia" w:ascii="宋体" w:hAnsi="宋体"/>
          <w:sz w:val="21"/>
          <w:szCs w:val="21"/>
          <w:highlight w:val="none"/>
        </w:rPr>
        <w:t xml:space="preserve"> </w:t>
      </w:r>
    </w:p>
    <w:p w14:paraId="05014E16">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6.1除</w:t>
      </w:r>
      <w:r>
        <w:rPr>
          <w:rFonts w:hint="eastAsia" w:ascii="宋体" w:hAnsi="宋体"/>
          <w:b/>
          <w:sz w:val="21"/>
          <w:szCs w:val="21"/>
          <w:highlight w:val="none"/>
        </w:rPr>
        <w:t>投标须知前附表</w:t>
      </w:r>
      <w:r>
        <w:rPr>
          <w:rFonts w:hint="eastAsia" w:ascii="宋体" w:hAnsi="宋体"/>
          <w:sz w:val="21"/>
          <w:szCs w:val="21"/>
          <w:highlight w:val="none"/>
        </w:rPr>
        <w:t>中另有规定，本次投标不接受为联合体形式的投标人。</w:t>
      </w:r>
    </w:p>
    <w:p w14:paraId="146ACDA9">
      <w:pPr>
        <w:adjustRightInd w:val="0"/>
        <w:snapToGrid w:val="0"/>
        <w:spacing w:line="360" w:lineRule="auto"/>
        <w:ind w:firstLine="420" w:firstLineChars="200"/>
        <w:jc w:val="left"/>
        <w:rPr>
          <w:rFonts w:ascii="宋体" w:hAnsi="宋体"/>
          <w:szCs w:val="21"/>
          <w:highlight w:val="none"/>
        </w:rPr>
      </w:pPr>
      <w:r>
        <w:rPr>
          <w:rFonts w:hint="eastAsia" w:ascii="宋体" w:hAnsi="宋体"/>
          <w:szCs w:val="21"/>
          <w:highlight w:val="none"/>
        </w:rPr>
        <w:t>6.2投标人为联合体形式的，除应符合本章第3条规定外，还应遵守以下规定：</w:t>
      </w:r>
    </w:p>
    <w:p w14:paraId="11ECE7EB">
      <w:pPr>
        <w:adjustRightInd w:val="0"/>
        <w:snapToGrid w:val="0"/>
        <w:spacing w:line="360" w:lineRule="auto"/>
        <w:ind w:firstLine="420" w:firstLineChars="200"/>
        <w:jc w:val="left"/>
        <w:rPr>
          <w:rFonts w:ascii="宋体" w:hAnsi="宋体"/>
          <w:szCs w:val="21"/>
          <w:highlight w:val="none"/>
        </w:rPr>
      </w:pPr>
      <w:r>
        <w:rPr>
          <w:rFonts w:hint="eastAsia" w:ascii="宋体" w:hAnsi="宋体"/>
          <w:szCs w:val="21"/>
          <w:highlight w:val="none"/>
        </w:rPr>
        <w:t>（l）联合体各方必须签订联合体协议书，明确联合体牵头人和各方的义务、工作、合同工作量比例；</w:t>
      </w:r>
    </w:p>
    <w:p w14:paraId="6A9C041F">
      <w:pPr>
        <w:adjustRightInd w:val="0"/>
        <w:snapToGrid w:val="0"/>
        <w:spacing w:line="360" w:lineRule="auto"/>
        <w:ind w:firstLine="420" w:firstLineChars="200"/>
        <w:jc w:val="left"/>
        <w:rPr>
          <w:rFonts w:ascii="宋体" w:hAnsi="宋体"/>
          <w:szCs w:val="21"/>
          <w:highlight w:val="none"/>
        </w:rPr>
      </w:pPr>
      <w:r>
        <w:rPr>
          <w:rFonts w:hint="eastAsia" w:ascii="宋体" w:hAnsi="宋体"/>
          <w:szCs w:val="21"/>
          <w:highlight w:val="none"/>
        </w:rPr>
        <w:t>（2）联合体各方均应当符合本章第3.1</w:t>
      </w:r>
      <w:r>
        <w:rPr>
          <w:rFonts w:hint="eastAsia" w:ascii="宋体" w:hAnsi="宋体" w:cs="宋体"/>
          <w:kern w:val="0"/>
          <w:szCs w:val="21"/>
          <w:highlight w:val="none"/>
          <w:lang w:val="zh-CN"/>
        </w:rPr>
        <w:t>款</w:t>
      </w:r>
      <w:r>
        <w:rPr>
          <w:rFonts w:hint="eastAsia" w:ascii="宋体" w:hAnsi="宋体"/>
          <w:szCs w:val="21"/>
          <w:highlight w:val="none"/>
        </w:rPr>
        <w:t>规定的投标人基本资格条件；</w:t>
      </w:r>
    </w:p>
    <w:p w14:paraId="4FA33125">
      <w:pPr>
        <w:adjustRightInd w:val="0"/>
        <w:snapToGrid w:val="0"/>
        <w:spacing w:line="360" w:lineRule="auto"/>
        <w:ind w:firstLine="420" w:firstLineChars="200"/>
        <w:jc w:val="left"/>
        <w:rPr>
          <w:rFonts w:ascii="宋体" w:hAnsi="宋体"/>
          <w:szCs w:val="21"/>
          <w:highlight w:val="none"/>
        </w:rPr>
      </w:pPr>
      <w:r>
        <w:rPr>
          <w:rFonts w:hint="eastAsia" w:ascii="宋体" w:hAnsi="宋体"/>
          <w:szCs w:val="21"/>
          <w:highlight w:val="none"/>
        </w:rPr>
        <w:t>（3）除</w:t>
      </w:r>
      <w:r>
        <w:rPr>
          <w:rFonts w:hint="eastAsia" w:ascii="宋体" w:hAnsi="宋体"/>
          <w:b/>
          <w:szCs w:val="21"/>
          <w:highlight w:val="none"/>
        </w:rPr>
        <w:t>投标须知前附表</w:t>
      </w:r>
      <w:r>
        <w:rPr>
          <w:rFonts w:hint="eastAsia" w:ascii="宋体" w:hAnsi="宋体"/>
          <w:szCs w:val="21"/>
          <w:highlight w:val="none"/>
        </w:rPr>
        <w:t>中另有规定，联合体各方中至少有一方应当符合本章第3.1</w:t>
      </w:r>
      <w:r>
        <w:rPr>
          <w:rFonts w:hint="eastAsia" w:ascii="宋体" w:hAnsi="宋体" w:cs="宋体"/>
          <w:kern w:val="0"/>
          <w:szCs w:val="21"/>
          <w:highlight w:val="none"/>
          <w:lang w:val="zh-CN"/>
        </w:rPr>
        <w:t>款</w:t>
      </w:r>
      <w:r>
        <w:rPr>
          <w:rFonts w:hint="eastAsia" w:ascii="宋体" w:hAnsi="宋体"/>
          <w:szCs w:val="21"/>
          <w:highlight w:val="none"/>
        </w:rPr>
        <w:t>规定的投标人特定资格条件；</w:t>
      </w:r>
    </w:p>
    <w:p w14:paraId="20930C7C">
      <w:pPr>
        <w:adjustRightInd w:val="0"/>
        <w:snapToGrid w:val="0"/>
        <w:spacing w:line="360" w:lineRule="auto"/>
        <w:ind w:firstLine="420" w:firstLineChars="200"/>
        <w:jc w:val="left"/>
        <w:rPr>
          <w:rFonts w:ascii="宋体" w:hAnsi="宋体" w:cs="宋体"/>
          <w:kern w:val="0"/>
          <w:szCs w:val="21"/>
          <w:highlight w:val="none"/>
          <w:lang w:val="zh-CN"/>
        </w:rPr>
      </w:pPr>
      <w:r>
        <w:rPr>
          <w:rFonts w:hint="eastAsia" w:ascii="宋体" w:hAnsi="宋体"/>
          <w:szCs w:val="21"/>
          <w:highlight w:val="none"/>
        </w:rPr>
        <w:t>（4）</w:t>
      </w:r>
      <w:r>
        <w:rPr>
          <w:rFonts w:hint="eastAsia" w:ascii="宋体" w:hAnsi="宋体" w:cs="宋体"/>
          <w:kern w:val="0"/>
          <w:szCs w:val="21"/>
          <w:highlight w:val="none"/>
          <w:lang w:val="zh-CN"/>
        </w:rPr>
        <w:t>联合体各方不得再单独或与其他投标人组成新的联合体参加同一项目的采购活动。</w:t>
      </w:r>
    </w:p>
    <w:p w14:paraId="1BB773D0">
      <w:pPr>
        <w:adjustRightInd w:val="0"/>
        <w:snapToGrid w:val="0"/>
        <w:spacing w:line="360" w:lineRule="auto"/>
        <w:rPr>
          <w:rFonts w:ascii="宋体" w:hAnsi="宋体"/>
          <w:bCs/>
          <w:szCs w:val="21"/>
          <w:highlight w:val="none"/>
        </w:rPr>
      </w:pPr>
      <w:r>
        <w:rPr>
          <w:rFonts w:hint="eastAsia" w:ascii="宋体" w:hAnsi="宋体"/>
          <w:b/>
          <w:szCs w:val="21"/>
          <w:highlight w:val="none"/>
        </w:rPr>
        <w:t>7.现场勘察</w:t>
      </w:r>
    </w:p>
    <w:p w14:paraId="0C758ACF">
      <w:pPr>
        <w:adjustRightInd w:val="0"/>
        <w:snapToGrid w:val="0"/>
        <w:spacing w:line="360" w:lineRule="auto"/>
        <w:ind w:firstLine="420" w:firstLineChars="200"/>
        <w:rPr>
          <w:rFonts w:ascii="宋体" w:hAnsi="宋体"/>
          <w:szCs w:val="21"/>
          <w:highlight w:val="none"/>
        </w:rPr>
      </w:pPr>
      <w:r>
        <w:rPr>
          <w:rFonts w:hint="eastAsia" w:ascii="宋体" w:hAnsi="宋体"/>
          <w:bCs/>
          <w:szCs w:val="21"/>
          <w:highlight w:val="none"/>
        </w:rPr>
        <w:t>7.1投标人应按投标须知前附表中</w:t>
      </w:r>
      <w:r>
        <w:rPr>
          <w:rFonts w:hint="eastAsia" w:ascii="宋体" w:hAnsi="宋体"/>
          <w:szCs w:val="21"/>
          <w:highlight w:val="none"/>
        </w:rPr>
        <w:t>规定对采购项目现场和周围环境的现场考察。</w:t>
      </w:r>
    </w:p>
    <w:p w14:paraId="162DF7CC">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7.2考察现场的费用由投标人自己承担，考察期间所发生的人身伤害及财产损失由投标人自己负责。</w:t>
      </w:r>
    </w:p>
    <w:p w14:paraId="4DFE9F83">
      <w:pPr>
        <w:adjustRightInd w:val="0"/>
        <w:snapToGrid w:val="0"/>
        <w:spacing w:line="360" w:lineRule="auto"/>
        <w:ind w:firstLine="420" w:firstLineChars="200"/>
        <w:jc w:val="left"/>
        <w:rPr>
          <w:rFonts w:ascii="宋体" w:hAnsi="宋体"/>
          <w:b/>
          <w:szCs w:val="21"/>
          <w:highlight w:val="none"/>
        </w:rPr>
      </w:pPr>
      <w:r>
        <w:rPr>
          <w:rFonts w:hint="eastAsia" w:ascii="宋体" w:hAnsi="宋体"/>
          <w:szCs w:val="21"/>
          <w:highlight w:val="none"/>
        </w:rPr>
        <w:t>7.3采购人不对投标人据此而做出的推论、理解和结论负责。一旦中标，投标人不得以任何借口，而提出额外补偿，或延长合同期限的要求。</w:t>
      </w:r>
    </w:p>
    <w:p w14:paraId="45689D4F">
      <w:pPr>
        <w:adjustRightInd w:val="0"/>
        <w:snapToGrid w:val="0"/>
        <w:spacing w:line="360" w:lineRule="auto"/>
        <w:rPr>
          <w:rFonts w:ascii="宋体" w:hAnsi="宋体"/>
          <w:b/>
          <w:szCs w:val="21"/>
          <w:highlight w:val="none"/>
        </w:rPr>
      </w:pPr>
      <w:r>
        <w:rPr>
          <w:rFonts w:hint="eastAsia" w:ascii="宋体" w:hAnsi="宋体"/>
          <w:b/>
          <w:szCs w:val="21"/>
          <w:highlight w:val="none"/>
        </w:rPr>
        <w:t>8. 分包</w:t>
      </w:r>
    </w:p>
    <w:p w14:paraId="0D8DF559">
      <w:pPr>
        <w:adjustRightInd w:val="0"/>
        <w:snapToGrid w:val="0"/>
        <w:spacing w:line="360" w:lineRule="auto"/>
        <w:ind w:firstLine="420" w:firstLineChars="200"/>
        <w:jc w:val="left"/>
        <w:rPr>
          <w:rFonts w:ascii="宋体" w:hAnsi="宋体"/>
          <w:szCs w:val="21"/>
          <w:highlight w:val="none"/>
        </w:rPr>
      </w:pPr>
      <w:r>
        <w:rPr>
          <w:rFonts w:hint="eastAsia" w:ascii="宋体" w:hAnsi="宋体"/>
          <w:szCs w:val="21"/>
          <w:highlight w:val="none"/>
        </w:rPr>
        <w:t>不允许</w:t>
      </w:r>
    </w:p>
    <w:p w14:paraId="76F9B288">
      <w:pPr>
        <w:adjustRightInd w:val="0"/>
        <w:snapToGrid w:val="0"/>
        <w:spacing w:line="360" w:lineRule="auto"/>
        <w:jc w:val="left"/>
        <w:rPr>
          <w:rFonts w:ascii="宋体" w:hAnsi="宋体"/>
          <w:b/>
          <w:szCs w:val="21"/>
          <w:highlight w:val="none"/>
        </w:rPr>
      </w:pPr>
      <w:r>
        <w:rPr>
          <w:rFonts w:hint="eastAsia" w:ascii="宋体" w:hAnsi="宋体"/>
          <w:b/>
          <w:bCs/>
          <w:szCs w:val="21"/>
          <w:highlight w:val="none"/>
        </w:rPr>
        <w:t>9.</w:t>
      </w:r>
      <w:r>
        <w:rPr>
          <w:rFonts w:hint="eastAsia" w:ascii="宋体" w:hAnsi="宋体"/>
          <w:b/>
          <w:szCs w:val="21"/>
          <w:highlight w:val="none"/>
        </w:rPr>
        <w:t xml:space="preserve"> 政府采购政策支持</w:t>
      </w:r>
    </w:p>
    <w:p w14:paraId="7AFC481F">
      <w:pPr>
        <w:pStyle w:val="24"/>
        <w:adjustRightInd w:val="0"/>
        <w:snapToGrid w:val="0"/>
        <w:spacing w:line="360" w:lineRule="auto"/>
        <w:ind w:firstLine="420" w:firstLineChars="200"/>
        <w:rPr>
          <w:rFonts w:ascii="宋体" w:hAnsi="宋体"/>
          <w:sz w:val="21"/>
          <w:szCs w:val="21"/>
          <w:highlight w:val="none"/>
        </w:rPr>
      </w:pPr>
      <w:bookmarkStart w:id="20" w:name="_Toc420948009"/>
      <w:r>
        <w:rPr>
          <w:rFonts w:hint="eastAsia" w:ascii="宋体" w:hAnsi="宋体"/>
          <w:sz w:val="21"/>
          <w:szCs w:val="21"/>
          <w:highlight w:val="none"/>
        </w:rPr>
        <w:t>9.1投标人符合支持中小企业发展优惠政策的，报价可以优惠扣除。本项目价格扣除比例见</w:t>
      </w:r>
      <w:r>
        <w:rPr>
          <w:rFonts w:hint="eastAsia" w:ascii="宋体" w:hAnsi="宋体"/>
          <w:b/>
          <w:sz w:val="21"/>
          <w:szCs w:val="21"/>
          <w:highlight w:val="none"/>
        </w:rPr>
        <w:t>投标须知前附表</w:t>
      </w:r>
      <w:r>
        <w:rPr>
          <w:rFonts w:hint="eastAsia" w:ascii="宋体" w:hAnsi="宋体"/>
          <w:sz w:val="21"/>
          <w:szCs w:val="21"/>
          <w:highlight w:val="none"/>
        </w:rPr>
        <w:t>。</w:t>
      </w:r>
    </w:p>
    <w:p w14:paraId="534B5B9D">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9.2为推进政府采购诚信体系建设，投标人在签署相关承诺，提供相关信息前，应认真阅读财政部门相关政策规定。</w:t>
      </w:r>
    </w:p>
    <w:p w14:paraId="7DEEFABB">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9.3 中小企业在融资、投标保证、履约保证等方面有需求的，可查询当地政府采购管理部门相关政策，通过专业化的担保途径解决。</w:t>
      </w:r>
    </w:p>
    <w:p w14:paraId="7D7DC14D">
      <w:pPr>
        <w:pStyle w:val="3"/>
        <w:rPr>
          <w:rFonts w:ascii="宋体" w:hAnsi="宋体"/>
          <w:sz w:val="21"/>
          <w:szCs w:val="21"/>
          <w:highlight w:val="none"/>
        </w:rPr>
      </w:pPr>
      <w:bookmarkStart w:id="21" w:name="_Toc30130"/>
      <w:r>
        <w:rPr>
          <w:rFonts w:hint="eastAsia" w:ascii="宋体" w:hAnsi="宋体"/>
          <w:sz w:val="21"/>
          <w:szCs w:val="21"/>
          <w:highlight w:val="none"/>
        </w:rPr>
        <w:t>二、</w:t>
      </w:r>
      <w:bookmarkEnd w:id="20"/>
      <w:r>
        <w:rPr>
          <w:rFonts w:hint="eastAsia" w:ascii="宋体" w:hAnsi="宋体"/>
          <w:sz w:val="21"/>
          <w:szCs w:val="21"/>
          <w:highlight w:val="none"/>
        </w:rPr>
        <w:t>采购文件</w:t>
      </w:r>
      <w:bookmarkEnd w:id="21"/>
    </w:p>
    <w:p w14:paraId="6EF4CD2A">
      <w:pPr>
        <w:adjustRightInd w:val="0"/>
        <w:snapToGrid w:val="0"/>
        <w:spacing w:line="360" w:lineRule="auto"/>
        <w:rPr>
          <w:rFonts w:ascii="宋体" w:hAnsi="宋体"/>
          <w:b/>
          <w:bCs/>
          <w:szCs w:val="21"/>
          <w:highlight w:val="none"/>
        </w:rPr>
      </w:pPr>
      <w:r>
        <w:rPr>
          <w:rFonts w:hint="eastAsia" w:ascii="宋体" w:hAnsi="宋体"/>
          <w:b/>
          <w:bCs/>
          <w:szCs w:val="21"/>
          <w:highlight w:val="none"/>
        </w:rPr>
        <w:t>10．采购文件的组成</w:t>
      </w:r>
    </w:p>
    <w:p w14:paraId="4317DA5A">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10.1 采购文件由下列文件组成：</w:t>
      </w:r>
    </w:p>
    <w:p w14:paraId="13F4734D">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第一章 公开招标公告</w:t>
      </w:r>
    </w:p>
    <w:p w14:paraId="39827A88">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第二章 投标须知</w:t>
      </w:r>
    </w:p>
    <w:p w14:paraId="01D7FCB9">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第三章 合同协议书</w:t>
      </w:r>
    </w:p>
    <w:p w14:paraId="7C5856C5">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第四章 采购需求</w:t>
      </w:r>
    </w:p>
    <w:p w14:paraId="73049CF9">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第五章 投标文件格式</w:t>
      </w:r>
    </w:p>
    <w:p w14:paraId="4C7B3E5E">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10.2</w:t>
      </w:r>
      <w:r>
        <w:rPr>
          <w:rFonts w:hint="eastAsia" w:ascii="宋体" w:hAnsi="宋体"/>
          <w:bCs/>
          <w:sz w:val="21"/>
          <w:szCs w:val="21"/>
          <w:highlight w:val="none"/>
        </w:rPr>
        <w:t>本章第11.1</w:t>
      </w:r>
      <w:r>
        <w:rPr>
          <w:rFonts w:hint="eastAsia" w:ascii="宋体" w:hAnsi="宋体" w:cs="宋体"/>
          <w:kern w:val="0"/>
          <w:sz w:val="21"/>
          <w:szCs w:val="21"/>
          <w:highlight w:val="none"/>
          <w:lang w:val="zh-CN"/>
        </w:rPr>
        <w:t>款</w:t>
      </w:r>
      <w:r>
        <w:rPr>
          <w:rFonts w:hint="eastAsia" w:ascii="宋体" w:hAnsi="宋体"/>
          <w:bCs/>
          <w:sz w:val="21"/>
          <w:szCs w:val="21"/>
          <w:highlight w:val="none"/>
        </w:rPr>
        <w:t>规定的</w:t>
      </w:r>
      <w:r>
        <w:rPr>
          <w:rFonts w:hint="eastAsia" w:ascii="宋体" w:hAnsi="宋体" w:cs="宋体"/>
          <w:kern w:val="0"/>
          <w:sz w:val="21"/>
          <w:szCs w:val="21"/>
          <w:highlight w:val="none"/>
        </w:rPr>
        <w:t>提交</w:t>
      </w:r>
      <w:r>
        <w:rPr>
          <w:rFonts w:hint="eastAsia" w:ascii="宋体" w:hAnsi="宋体"/>
          <w:sz w:val="21"/>
          <w:szCs w:val="21"/>
          <w:highlight w:val="none"/>
        </w:rPr>
        <w:t>投标文件</w:t>
      </w:r>
      <w:r>
        <w:rPr>
          <w:rFonts w:hint="eastAsia" w:ascii="宋体" w:hAnsi="宋体" w:cs="宋体"/>
          <w:kern w:val="0"/>
          <w:sz w:val="21"/>
          <w:szCs w:val="21"/>
          <w:highlight w:val="none"/>
        </w:rPr>
        <w:t>截止时间前对</w:t>
      </w:r>
      <w:r>
        <w:rPr>
          <w:rFonts w:hint="eastAsia" w:ascii="宋体" w:hAnsi="宋体"/>
          <w:sz w:val="21"/>
          <w:szCs w:val="21"/>
          <w:highlight w:val="none"/>
        </w:rPr>
        <w:t>采购文件</w:t>
      </w:r>
      <w:r>
        <w:rPr>
          <w:rFonts w:hint="eastAsia" w:ascii="宋体" w:hAnsi="宋体" w:cs="宋体"/>
          <w:kern w:val="0"/>
          <w:sz w:val="21"/>
          <w:szCs w:val="21"/>
          <w:highlight w:val="none"/>
        </w:rPr>
        <w:t>澄清或者修改内容，为</w:t>
      </w:r>
      <w:r>
        <w:rPr>
          <w:rFonts w:hint="eastAsia" w:ascii="宋体" w:hAnsi="宋体"/>
          <w:sz w:val="21"/>
          <w:szCs w:val="21"/>
          <w:highlight w:val="none"/>
        </w:rPr>
        <w:t>采购文件</w:t>
      </w:r>
      <w:r>
        <w:rPr>
          <w:rFonts w:hint="eastAsia" w:ascii="宋体" w:hAnsi="宋体" w:cs="宋体"/>
          <w:kern w:val="0"/>
          <w:sz w:val="21"/>
          <w:szCs w:val="21"/>
          <w:highlight w:val="none"/>
        </w:rPr>
        <w:t>的组成部分。</w:t>
      </w:r>
    </w:p>
    <w:p w14:paraId="1E0890B5">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10.3 评审小组根据与投标人投标情况可能实质性变动的内容，包括采购需求中的技术、服务要求以及合同条款，在</w:t>
      </w:r>
      <w:r>
        <w:rPr>
          <w:rFonts w:hint="eastAsia" w:ascii="宋体" w:hAnsi="宋体"/>
          <w:b/>
          <w:szCs w:val="21"/>
          <w:highlight w:val="none"/>
        </w:rPr>
        <w:t>投标须知前附表</w:t>
      </w:r>
      <w:r>
        <w:rPr>
          <w:rFonts w:hint="eastAsia" w:ascii="宋体" w:hAnsi="宋体"/>
          <w:szCs w:val="21"/>
          <w:highlight w:val="none"/>
        </w:rPr>
        <w:t>中明确。</w:t>
      </w:r>
    </w:p>
    <w:p w14:paraId="3029AEF3">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10.4投标人应仔细阅读采购文件的全部内容，按照采购文件要求编制投标文件。任何对采购文件的忽略或误解不能作为投标文件存在缺陷或瑕疵的理由，其风险由投标人承担。</w:t>
      </w:r>
    </w:p>
    <w:p w14:paraId="2BD0B82E">
      <w:pPr>
        <w:pStyle w:val="24"/>
        <w:adjustRightInd w:val="0"/>
        <w:snapToGrid w:val="0"/>
        <w:spacing w:line="360" w:lineRule="auto"/>
        <w:rPr>
          <w:rFonts w:ascii="宋体" w:hAnsi="宋体"/>
          <w:sz w:val="21"/>
          <w:szCs w:val="21"/>
          <w:highlight w:val="none"/>
        </w:rPr>
      </w:pPr>
      <w:r>
        <w:rPr>
          <w:rFonts w:hint="eastAsia" w:ascii="宋体" w:hAnsi="宋体"/>
          <w:b/>
          <w:sz w:val="21"/>
          <w:szCs w:val="21"/>
          <w:highlight w:val="none"/>
        </w:rPr>
        <w:t>11.</w:t>
      </w:r>
      <w:r>
        <w:rPr>
          <w:rFonts w:hint="eastAsia" w:ascii="宋体" w:hAnsi="宋体" w:cs="宋体"/>
          <w:b/>
          <w:kern w:val="0"/>
          <w:sz w:val="21"/>
          <w:szCs w:val="21"/>
          <w:highlight w:val="none"/>
        </w:rPr>
        <w:t>提交投标文件</w:t>
      </w:r>
      <w:r>
        <w:rPr>
          <w:rFonts w:hint="eastAsia" w:ascii="宋体" w:hAnsi="宋体"/>
          <w:b/>
          <w:sz w:val="21"/>
          <w:szCs w:val="21"/>
          <w:highlight w:val="none"/>
        </w:rPr>
        <w:t>的</w:t>
      </w:r>
      <w:r>
        <w:rPr>
          <w:rFonts w:hint="eastAsia" w:ascii="宋体" w:hAnsi="宋体" w:cs="宋体"/>
          <w:b/>
          <w:kern w:val="0"/>
          <w:sz w:val="21"/>
          <w:szCs w:val="21"/>
          <w:highlight w:val="none"/>
        </w:rPr>
        <w:t>截止</w:t>
      </w:r>
      <w:r>
        <w:rPr>
          <w:rFonts w:hint="eastAsia" w:ascii="宋体" w:hAnsi="宋体"/>
          <w:b/>
          <w:sz w:val="21"/>
          <w:szCs w:val="21"/>
          <w:highlight w:val="none"/>
        </w:rPr>
        <w:t>时间</w:t>
      </w:r>
    </w:p>
    <w:p w14:paraId="1C9925CD">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11.1</w:t>
      </w:r>
      <w:r>
        <w:rPr>
          <w:rFonts w:hint="eastAsia" w:ascii="宋体" w:hAnsi="宋体" w:cs="宋体"/>
          <w:kern w:val="0"/>
          <w:sz w:val="21"/>
          <w:szCs w:val="21"/>
          <w:highlight w:val="none"/>
        </w:rPr>
        <w:t>投标人提交投标文件截止</w:t>
      </w:r>
      <w:r>
        <w:rPr>
          <w:rFonts w:hint="eastAsia" w:ascii="宋体" w:hAnsi="宋体"/>
          <w:sz w:val="21"/>
          <w:szCs w:val="21"/>
          <w:highlight w:val="none"/>
        </w:rPr>
        <w:t>时间见</w:t>
      </w:r>
      <w:r>
        <w:rPr>
          <w:rFonts w:hint="eastAsia" w:ascii="宋体" w:hAnsi="宋体"/>
          <w:b/>
          <w:sz w:val="21"/>
          <w:szCs w:val="21"/>
          <w:highlight w:val="none"/>
        </w:rPr>
        <w:t>投标须知前附表</w:t>
      </w:r>
      <w:r>
        <w:rPr>
          <w:rFonts w:hint="eastAsia" w:ascii="宋体" w:hAnsi="宋体"/>
          <w:sz w:val="21"/>
          <w:szCs w:val="21"/>
          <w:highlight w:val="none"/>
        </w:rPr>
        <w:t>。</w:t>
      </w:r>
    </w:p>
    <w:p w14:paraId="791D6457">
      <w:pPr>
        <w:adjustRightInd w:val="0"/>
        <w:snapToGrid w:val="0"/>
        <w:spacing w:line="360" w:lineRule="auto"/>
        <w:rPr>
          <w:rFonts w:ascii="宋体" w:hAnsi="宋体"/>
          <w:b/>
          <w:bCs/>
          <w:szCs w:val="21"/>
          <w:highlight w:val="none"/>
        </w:rPr>
      </w:pPr>
      <w:r>
        <w:rPr>
          <w:rFonts w:hint="eastAsia" w:ascii="宋体" w:hAnsi="宋体"/>
          <w:b/>
          <w:bCs/>
          <w:szCs w:val="21"/>
          <w:highlight w:val="none"/>
        </w:rPr>
        <w:t>12.</w:t>
      </w:r>
      <w:r>
        <w:rPr>
          <w:rFonts w:hint="eastAsia" w:ascii="宋体" w:hAnsi="宋体"/>
          <w:szCs w:val="21"/>
          <w:highlight w:val="none"/>
        </w:rPr>
        <w:t xml:space="preserve"> </w:t>
      </w:r>
      <w:r>
        <w:rPr>
          <w:rFonts w:hint="eastAsia" w:ascii="宋体" w:hAnsi="宋体"/>
          <w:b/>
          <w:bCs/>
          <w:szCs w:val="21"/>
          <w:highlight w:val="none"/>
        </w:rPr>
        <w:t>采购文件的澄清</w:t>
      </w:r>
      <w:r>
        <w:rPr>
          <w:rFonts w:hint="eastAsia" w:ascii="宋体" w:hAnsi="宋体"/>
          <w:b/>
          <w:kern w:val="0"/>
          <w:szCs w:val="21"/>
          <w:highlight w:val="none"/>
          <w:lang w:val="zh-CN"/>
        </w:rPr>
        <w:t>或者</w:t>
      </w:r>
      <w:r>
        <w:rPr>
          <w:rFonts w:hint="eastAsia" w:ascii="宋体" w:hAnsi="宋体"/>
          <w:b/>
          <w:bCs/>
          <w:szCs w:val="21"/>
          <w:highlight w:val="none"/>
        </w:rPr>
        <w:t>修改</w:t>
      </w:r>
    </w:p>
    <w:p w14:paraId="286A3308">
      <w:pPr>
        <w:adjustRightInd w:val="0"/>
        <w:snapToGrid w:val="0"/>
        <w:spacing w:line="360" w:lineRule="auto"/>
        <w:ind w:right="-105" w:rightChars="-50" w:firstLine="420" w:firstLineChars="200"/>
        <w:rPr>
          <w:rFonts w:ascii="宋体" w:hAnsi="宋体" w:cs="宋体"/>
          <w:kern w:val="0"/>
          <w:szCs w:val="21"/>
          <w:highlight w:val="none"/>
        </w:rPr>
      </w:pPr>
      <w:bookmarkStart w:id="22" w:name="_Toc420948010"/>
      <w:r>
        <w:rPr>
          <w:rFonts w:hint="eastAsia" w:ascii="宋体" w:hAnsi="宋体"/>
          <w:szCs w:val="21"/>
          <w:highlight w:val="none"/>
        </w:rPr>
        <w:t>12.1在</w:t>
      </w:r>
      <w:r>
        <w:rPr>
          <w:rFonts w:hint="eastAsia" w:ascii="宋体" w:hAnsi="宋体"/>
          <w:bCs/>
          <w:szCs w:val="21"/>
          <w:highlight w:val="none"/>
        </w:rPr>
        <w:t>本章第11.1</w:t>
      </w:r>
      <w:r>
        <w:rPr>
          <w:rFonts w:hint="eastAsia" w:ascii="宋体" w:hAnsi="宋体" w:cs="宋体"/>
          <w:kern w:val="0"/>
          <w:szCs w:val="21"/>
          <w:highlight w:val="none"/>
          <w:lang w:val="zh-CN"/>
        </w:rPr>
        <w:t>款</w:t>
      </w:r>
      <w:r>
        <w:rPr>
          <w:rFonts w:hint="eastAsia" w:ascii="宋体" w:hAnsi="宋体"/>
          <w:bCs/>
          <w:szCs w:val="21"/>
          <w:highlight w:val="none"/>
        </w:rPr>
        <w:t>规定的</w:t>
      </w:r>
      <w:r>
        <w:rPr>
          <w:rFonts w:hint="eastAsia" w:ascii="宋体" w:hAnsi="宋体" w:cs="宋体"/>
          <w:kern w:val="0"/>
          <w:szCs w:val="21"/>
          <w:highlight w:val="none"/>
        </w:rPr>
        <w:t xml:space="preserve">提交首次投标文件截止之日前，采购人、采购代理机构或者评审小组可以对已发出的采购文件进行必要的澄清或者修改。 </w:t>
      </w:r>
    </w:p>
    <w:p w14:paraId="52B0742C">
      <w:pPr>
        <w:adjustRightInd w:val="0"/>
        <w:snapToGrid w:val="0"/>
        <w:spacing w:line="360" w:lineRule="auto"/>
        <w:ind w:right="-105" w:rightChars="-50" w:firstLine="420" w:firstLineChars="200"/>
        <w:rPr>
          <w:rFonts w:ascii="宋体" w:hAnsi="宋体" w:cs="宋体"/>
          <w:kern w:val="0"/>
          <w:szCs w:val="21"/>
          <w:highlight w:val="none"/>
        </w:rPr>
      </w:pPr>
      <w:r>
        <w:rPr>
          <w:rFonts w:hint="eastAsia" w:ascii="宋体" w:hAnsi="宋体"/>
          <w:szCs w:val="21"/>
          <w:highlight w:val="none"/>
        </w:rPr>
        <w:t>12.2</w:t>
      </w:r>
      <w:r>
        <w:rPr>
          <w:rFonts w:hint="eastAsia" w:ascii="宋体" w:hAnsi="宋体" w:cs="宋体"/>
          <w:kern w:val="0"/>
          <w:szCs w:val="21"/>
          <w:highlight w:val="none"/>
        </w:rPr>
        <w:t>澄清或者修改的内容可能影响投标文件编制的，采购人、采购代理机构或者评审小组应当在</w:t>
      </w:r>
      <w:r>
        <w:rPr>
          <w:rFonts w:hint="eastAsia" w:ascii="宋体" w:hAnsi="宋体"/>
          <w:bCs/>
          <w:szCs w:val="21"/>
          <w:highlight w:val="none"/>
        </w:rPr>
        <w:t>本章第11.1</w:t>
      </w:r>
      <w:r>
        <w:rPr>
          <w:rFonts w:hint="eastAsia" w:ascii="宋体" w:hAnsi="宋体" w:cs="宋体"/>
          <w:kern w:val="0"/>
          <w:szCs w:val="21"/>
          <w:highlight w:val="none"/>
          <w:lang w:val="zh-CN"/>
        </w:rPr>
        <w:t>款</w:t>
      </w:r>
      <w:r>
        <w:rPr>
          <w:rFonts w:hint="eastAsia" w:ascii="宋体" w:hAnsi="宋体"/>
          <w:bCs/>
          <w:szCs w:val="21"/>
          <w:highlight w:val="none"/>
        </w:rPr>
        <w:t>规定的</w:t>
      </w:r>
      <w:r>
        <w:rPr>
          <w:rFonts w:hint="eastAsia" w:ascii="宋体" w:hAnsi="宋体" w:cs="宋体"/>
          <w:kern w:val="0"/>
          <w:szCs w:val="21"/>
          <w:highlight w:val="none"/>
        </w:rPr>
        <w:t>提交首次投标文件截止之日5日前，以书面形式通知所有接收采购文件的</w:t>
      </w:r>
      <w:r>
        <w:rPr>
          <w:rFonts w:hint="eastAsia" w:ascii="宋体" w:hAnsi="宋体"/>
          <w:szCs w:val="21"/>
          <w:highlight w:val="none"/>
        </w:rPr>
        <w:t>投标人</w:t>
      </w:r>
      <w:r>
        <w:rPr>
          <w:rFonts w:hint="eastAsia" w:ascii="宋体" w:hAnsi="宋体" w:cs="宋体"/>
          <w:kern w:val="0"/>
          <w:szCs w:val="21"/>
          <w:highlight w:val="none"/>
        </w:rPr>
        <w:t>，不足5日的，顺延</w:t>
      </w:r>
      <w:r>
        <w:rPr>
          <w:rFonts w:hint="eastAsia" w:ascii="宋体" w:hAnsi="宋体"/>
          <w:szCs w:val="21"/>
          <w:highlight w:val="none"/>
        </w:rPr>
        <w:t>投标人</w:t>
      </w:r>
      <w:r>
        <w:rPr>
          <w:rFonts w:hint="eastAsia" w:ascii="宋体" w:hAnsi="宋体" w:cs="宋体"/>
          <w:kern w:val="0"/>
          <w:szCs w:val="21"/>
          <w:highlight w:val="none"/>
        </w:rPr>
        <w:t>提交首次投标文件截止时间。</w:t>
      </w:r>
      <w:r>
        <w:rPr>
          <w:rFonts w:hint="eastAsia" w:ascii="宋体" w:hAnsi="宋体"/>
          <w:szCs w:val="21"/>
          <w:highlight w:val="none"/>
        </w:rPr>
        <w:t>澄清或者修改文件作为采购文件的组成部分对投标人具有约束力。</w:t>
      </w:r>
    </w:p>
    <w:p w14:paraId="6E352826">
      <w:pPr>
        <w:pStyle w:val="24"/>
        <w:adjustRightInd w:val="0"/>
        <w:snapToGrid w:val="0"/>
        <w:spacing w:line="360" w:lineRule="auto"/>
        <w:ind w:firstLine="420" w:firstLineChars="200"/>
        <w:rPr>
          <w:rFonts w:ascii="宋体" w:hAnsi="宋体" w:cs="宋体"/>
          <w:kern w:val="0"/>
          <w:sz w:val="21"/>
          <w:szCs w:val="21"/>
          <w:highlight w:val="none"/>
        </w:rPr>
      </w:pPr>
      <w:r>
        <w:rPr>
          <w:rFonts w:hint="eastAsia" w:ascii="宋体" w:hAnsi="宋体"/>
          <w:sz w:val="21"/>
          <w:szCs w:val="21"/>
          <w:highlight w:val="none"/>
        </w:rPr>
        <w:t>12.3</w:t>
      </w:r>
      <w:r>
        <w:rPr>
          <w:rFonts w:hint="eastAsia" w:ascii="宋体" w:hAnsi="宋体" w:cs="宋体"/>
          <w:kern w:val="0"/>
          <w:sz w:val="21"/>
          <w:szCs w:val="21"/>
          <w:highlight w:val="none"/>
        </w:rPr>
        <w:t>投标人认为采购文件存在歧视性条款的，应在收到采购文件之日或者采购文件公告期限届满之日起7个工作日内以书面形式向本代理机构提出。</w:t>
      </w:r>
    </w:p>
    <w:p w14:paraId="38031180">
      <w:pPr>
        <w:pStyle w:val="3"/>
        <w:rPr>
          <w:rFonts w:ascii="宋体" w:hAnsi="宋体"/>
          <w:sz w:val="21"/>
          <w:szCs w:val="21"/>
          <w:highlight w:val="none"/>
        </w:rPr>
      </w:pPr>
      <w:bookmarkStart w:id="23" w:name="_Toc10363"/>
      <w:r>
        <w:rPr>
          <w:rFonts w:hint="eastAsia" w:ascii="宋体" w:hAnsi="宋体"/>
          <w:sz w:val="21"/>
          <w:szCs w:val="21"/>
          <w:highlight w:val="none"/>
        </w:rPr>
        <w:t>三、</w:t>
      </w:r>
      <w:bookmarkEnd w:id="22"/>
      <w:r>
        <w:rPr>
          <w:rFonts w:hint="eastAsia" w:ascii="宋体" w:hAnsi="宋体"/>
          <w:sz w:val="21"/>
          <w:szCs w:val="21"/>
          <w:highlight w:val="none"/>
        </w:rPr>
        <w:t>投标文件</w:t>
      </w:r>
      <w:bookmarkEnd w:id="23"/>
    </w:p>
    <w:p w14:paraId="765236F1">
      <w:pPr>
        <w:adjustRightInd w:val="0"/>
        <w:snapToGrid w:val="0"/>
        <w:spacing w:line="360" w:lineRule="auto"/>
        <w:rPr>
          <w:rFonts w:ascii="宋体" w:hAnsi="宋体"/>
          <w:b/>
          <w:bCs/>
          <w:szCs w:val="21"/>
          <w:highlight w:val="none"/>
        </w:rPr>
      </w:pPr>
      <w:r>
        <w:rPr>
          <w:rFonts w:hint="eastAsia" w:ascii="宋体" w:hAnsi="宋体"/>
          <w:b/>
          <w:bCs/>
          <w:szCs w:val="21"/>
          <w:highlight w:val="none"/>
        </w:rPr>
        <w:t>13.一般要求</w:t>
      </w:r>
    </w:p>
    <w:p w14:paraId="6F471F34">
      <w:pPr>
        <w:adjustRightInd w:val="0"/>
        <w:snapToGrid w:val="0"/>
        <w:spacing w:line="360" w:lineRule="auto"/>
        <w:ind w:firstLine="420" w:firstLineChars="200"/>
        <w:rPr>
          <w:rFonts w:ascii="宋体" w:hAnsi="宋体"/>
          <w:bCs/>
          <w:szCs w:val="21"/>
          <w:highlight w:val="none"/>
        </w:rPr>
      </w:pPr>
      <w:r>
        <w:rPr>
          <w:rFonts w:hint="eastAsia" w:ascii="宋体" w:hAnsi="宋体"/>
          <w:bCs/>
          <w:szCs w:val="21"/>
          <w:highlight w:val="none"/>
        </w:rPr>
        <w:t>13.1 投标人应仔细阅读</w:t>
      </w:r>
      <w:r>
        <w:rPr>
          <w:rFonts w:hint="eastAsia" w:ascii="宋体" w:hAnsi="宋体"/>
          <w:szCs w:val="21"/>
          <w:highlight w:val="none"/>
        </w:rPr>
        <w:t>采购文件</w:t>
      </w:r>
      <w:r>
        <w:rPr>
          <w:rFonts w:hint="eastAsia" w:ascii="宋体" w:hAnsi="宋体"/>
          <w:bCs/>
          <w:szCs w:val="21"/>
          <w:highlight w:val="none"/>
        </w:rPr>
        <w:t>的所有内容，按</w:t>
      </w:r>
      <w:r>
        <w:rPr>
          <w:rFonts w:hint="eastAsia" w:ascii="宋体" w:hAnsi="宋体"/>
          <w:szCs w:val="21"/>
          <w:highlight w:val="none"/>
        </w:rPr>
        <w:t>采购文件</w:t>
      </w:r>
      <w:r>
        <w:rPr>
          <w:rFonts w:hint="eastAsia" w:ascii="宋体" w:hAnsi="宋体"/>
          <w:bCs/>
          <w:szCs w:val="21"/>
          <w:highlight w:val="none"/>
        </w:rPr>
        <w:t>的要求编制</w:t>
      </w:r>
      <w:r>
        <w:rPr>
          <w:rFonts w:hint="eastAsia" w:ascii="宋体" w:hAnsi="宋体"/>
          <w:szCs w:val="21"/>
          <w:highlight w:val="none"/>
        </w:rPr>
        <w:t>投标文件</w:t>
      </w:r>
      <w:r>
        <w:rPr>
          <w:rFonts w:hint="eastAsia" w:ascii="宋体" w:hAnsi="宋体"/>
          <w:bCs/>
          <w:szCs w:val="21"/>
          <w:highlight w:val="none"/>
        </w:rPr>
        <w:t>，并保证所提供的全部资料的真实性，以使其</w:t>
      </w:r>
      <w:r>
        <w:rPr>
          <w:rFonts w:hint="eastAsia" w:ascii="宋体" w:hAnsi="宋体"/>
          <w:szCs w:val="21"/>
          <w:highlight w:val="none"/>
        </w:rPr>
        <w:t>投标文件</w:t>
      </w:r>
      <w:r>
        <w:rPr>
          <w:rFonts w:hint="eastAsia" w:ascii="宋体" w:hAnsi="宋体"/>
          <w:bCs/>
          <w:szCs w:val="21"/>
          <w:highlight w:val="none"/>
        </w:rPr>
        <w:t>对</w:t>
      </w:r>
      <w:r>
        <w:rPr>
          <w:rFonts w:hint="eastAsia" w:ascii="宋体" w:hAnsi="宋体"/>
          <w:szCs w:val="21"/>
          <w:highlight w:val="none"/>
        </w:rPr>
        <w:t>采购文件</w:t>
      </w:r>
      <w:r>
        <w:rPr>
          <w:rFonts w:hint="eastAsia" w:ascii="宋体" w:hAnsi="宋体"/>
          <w:bCs/>
          <w:szCs w:val="21"/>
          <w:highlight w:val="none"/>
        </w:rPr>
        <w:t>做出实质性的响应。</w:t>
      </w:r>
    </w:p>
    <w:p w14:paraId="37BFBDF4">
      <w:pPr>
        <w:adjustRightInd w:val="0"/>
        <w:snapToGrid w:val="0"/>
        <w:spacing w:line="360" w:lineRule="auto"/>
        <w:ind w:firstLine="420" w:firstLineChars="200"/>
        <w:rPr>
          <w:rFonts w:ascii="宋体" w:hAnsi="宋体"/>
          <w:bCs/>
          <w:szCs w:val="21"/>
          <w:highlight w:val="none"/>
        </w:rPr>
      </w:pPr>
      <w:r>
        <w:rPr>
          <w:rFonts w:hint="eastAsia" w:ascii="宋体" w:hAnsi="宋体"/>
          <w:bCs/>
          <w:szCs w:val="21"/>
          <w:highlight w:val="none"/>
        </w:rPr>
        <w:t xml:space="preserve">13.2 </w:t>
      </w:r>
      <w:r>
        <w:rPr>
          <w:rFonts w:hint="eastAsia" w:ascii="宋体" w:hAnsi="宋体"/>
          <w:szCs w:val="21"/>
          <w:highlight w:val="none"/>
        </w:rPr>
        <w:t>投标人提交的投标文件及投标人与采购人或代理机构就有关投标的所有来往函电均使用中文。投标人可以提交其它语言的资料，但应附中文注释，在有差异时以中文为准。</w:t>
      </w:r>
    </w:p>
    <w:p w14:paraId="2E635F50">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bCs/>
          <w:sz w:val="21"/>
          <w:szCs w:val="21"/>
          <w:highlight w:val="none"/>
        </w:rPr>
        <w:t xml:space="preserve">13.3 </w:t>
      </w:r>
      <w:r>
        <w:rPr>
          <w:rFonts w:hint="eastAsia" w:ascii="宋体" w:hAnsi="宋体"/>
          <w:sz w:val="21"/>
          <w:szCs w:val="21"/>
          <w:highlight w:val="none"/>
        </w:rPr>
        <w:t>计量单位应使用我国法定计量单位，未列明时应默认为我国法定计量单位。</w:t>
      </w:r>
    </w:p>
    <w:p w14:paraId="0E2435BE">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13.4 投标文件应采用书面形式，传真、电子邮件形式的投标文件概不接受。</w:t>
      </w:r>
    </w:p>
    <w:p w14:paraId="387F605D">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13.5 投标人应按采购文件中提供的投标文件格式填写。</w:t>
      </w:r>
    </w:p>
    <w:p w14:paraId="723EBEF8">
      <w:pPr>
        <w:adjustRightInd w:val="0"/>
        <w:snapToGrid w:val="0"/>
        <w:spacing w:line="360" w:lineRule="auto"/>
        <w:rPr>
          <w:rFonts w:ascii="宋体" w:hAnsi="宋体"/>
          <w:b/>
          <w:bCs/>
          <w:szCs w:val="21"/>
          <w:highlight w:val="none"/>
        </w:rPr>
      </w:pPr>
      <w:r>
        <w:rPr>
          <w:rFonts w:hint="eastAsia" w:ascii="宋体" w:hAnsi="宋体"/>
          <w:b/>
          <w:bCs/>
          <w:szCs w:val="21"/>
          <w:highlight w:val="none"/>
        </w:rPr>
        <w:t>14.</w:t>
      </w:r>
      <w:r>
        <w:rPr>
          <w:rFonts w:hint="eastAsia" w:ascii="宋体" w:hAnsi="宋体"/>
          <w:b/>
          <w:szCs w:val="21"/>
          <w:highlight w:val="none"/>
        </w:rPr>
        <w:t>投标文件</w:t>
      </w:r>
      <w:r>
        <w:rPr>
          <w:rFonts w:hint="eastAsia" w:ascii="宋体" w:hAnsi="宋体"/>
          <w:b/>
          <w:bCs/>
          <w:szCs w:val="21"/>
          <w:highlight w:val="none"/>
        </w:rPr>
        <w:t>的组成</w:t>
      </w:r>
    </w:p>
    <w:p w14:paraId="293709A6">
      <w:pPr>
        <w:adjustRightInd w:val="0"/>
        <w:snapToGrid w:val="0"/>
        <w:spacing w:line="360" w:lineRule="auto"/>
        <w:ind w:firstLine="420" w:firstLineChars="200"/>
        <w:jc w:val="left"/>
        <w:rPr>
          <w:rFonts w:ascii="宋体" w:hAnsi="宋体"/>
          <w:szCs w:val="21"/>
          <w:highlight w:val="none"/>
        </w:rPr>
      </w:pPr>
      <w:bookmarkStart w:id="24" w:name="_Toc427862404"/>
      <w:bookmarkStart w:id="25" w:name="_Toc432175034"/>
      <w:bookmarkStart w:id="26" w:name="_Toc432242402"/>
      <w:bookmarkStart w:id="27" w:name="_Toc432175092"/>
      <w:bookmarkStart w:id="28" w:name="_Toc420948011"/>
      <w:bookmarkStart w:id="29" w:name="_Toc428285922"/>
      <w:bookmarkStart w:id="30" w:name="_Toc432242303"/>
      <w:bookmarkStart w:id="31" w:name="_Toc432175154"/>
      <w:r>
        <w:rPr>
          <w:rFonts w:hint="eastAsia" w:ascii="宋体" w:hAnsi="宋体"/>
          <w:szCs w:val="21"/>
          <w:highlight w:val="none"/>
        </w:rPr>
        <w:t>14.1 投标文件包括下列内容：</w:t>
      </w:r>
      <w:bookmarkEnd w:id="24"/>
      <w:bookmarkEnd w:id="25"/>
      <w:bookmarkEnd w:id="26"/>
      <w:bookmarkEnd w:id="27"/>
      <w:bookmarkEnd w:id="28"/>
      <w:bookmarkEnd w:id="29"/>
      <w:bookmarkEnd w:id="30"/>
      <w:bookmarkEnd w:id="31"/>
      <w:r>
        <w:rPr>
          <w:rFonts w:hint="eastAsia" w:ascii="宋体" w:hAnsi="宋体"/>
          <w:szCs w:val="21"/>
          <w:highlight w:val="none"/>
        </w:rPr>
        <w:t xml:space="preserve"> </w:t>
      </w:r>
    </w:p>
    <w:p w14:paraId="14623109">
      <w:pPr>
        <w:adjustRightInd w:val="0"/>
        <w:snapToGrid w:val="0"/>
        <w:spacing w:line="360" w:lineRule="auto"/>
        <w:ind w:firstLine="420" w:firstLineChars="200"/>
        <w:rPr>
          <w:rFonts w:ascii="宋体" w:hAnsi="宋体"/>
          <w:bCs/>
          <w:szCs w:val="21"/>
          <w:highlight w:val="none"/>
        </w:rPr>
      </w:pPr>
      <w:r>
        <w:rPr>
          <w:rFonts w:hint="eastAsia" w:ascii="宋体" w:hAnsi="宋体"/>
          <w:bCs/>
          <w:szCs w:val="21"/>
          <w:highlight w:val="none"/>
        </w:rPr>
        <w:t>（1）资格性自查表</w:t>
      </w:r>
    </w:p>
    <w:p w14:paraId="6E80919B">
      <w:pPr>
        <w:adjustRightInd w:val="0"/>
        <w:snapToGrid w:val="0"/>
        <w:spacing w:line="360" w:lineRule="auto"/>
        <w:ind w:firstLine="420" w:firstLineChars="200"/>
        <w:rPr>
          <w:rFonts w:ascii="宋体" w:hAnsi="宋体"/>
          <w:bCs/>
          <w:szCs w:val="21"/>
          <w:highlight w:val="none"/>
        </w:rPr>
      </w:pPr>
      <w:r>
        <w:rPr>
          <w:rFonts w:hint="eastAsia" w:ascii="宋体" w:hAnsi="宋体"/>
          <w:bCs/>
          <w:szCs w:val="21"/>
          <w:highlight w:val="none"/>
        </w:rPr>
        <w:t>（2）投标函、投标声明</w:t>
      </w:r>
    </w:p>
    <w:p w14:paraId="2B1940B6">
      <w:pPr>
        <w:adjustRightInd w:val="0"/>
        <w:snapToGrid w:val="0"/>
        <w:spacing w:line="360" w:lineRule="auto"/>
        <w:ind w:firstLine="420" w:firstLineChars="200"/>
        <w:rPr>
          <w:rFonts w:ascii="宋体" w:hAnsi="宋体"/>
          <w:bCs/>
          <w:szCs w:val="21"/>
          <w:highlight w:val="none"/>
        </w:rPr>
      </w:pPr>
      <w:r>
        <w:rPr>
          <w:rFonts w:hint="eastAsia" w:ascii="宋体" w:hAnsi="宋体"/>
          <w:bCs/>
          <w:szCs w:val="21"/>
          <w:highlight w:val="none"/>
        </w:rPr>
        <w:t>（3）投标保证金</w:t>
      </w:r>
    </w:p>
    <w:p w14:paraId="6E39F070">
      <w:pPr>
        <w:adjustRightInd w:val="0"/>
        <w:snapToGrid w:val="0"/>
        <w:spacing w:line="360" w:lineRule="auto"/>
        <w:ind w:firstLine="420" w:firstLineChars="200"/>
        <w:rPr>
          <w:rFonts w:ascii="宋体" w:hAnsi="宋体"/>
          <w:bCs/>
          <w:szCs w:val="21"/>
          <w:highlight w:val="none"/>
        </w:rPr>
      </w:pPr>
      <w:r>
        <w:rPr>
          <w:rFonts w:hint="eastAsia" w:ascii="宋体" w:hAnsi="宋体"/>
          <w:bCs/>
          <w:szCs w:val="21"/>
          <w:highlight w:val="none"/>
        </w:rPr>
        <w:t>（4）报价一览表、报价明细表及报价说明</w:t>
      </w:r>
    </w:p>
    <w:p w14:paraId="4734A4BF">
      <w:pPr>
        <w:adjustRightInd w:val="0"/>
        <w:snapToGrid w:val="0"/>
        <w:spacing w:line="360" w:lineRule="auto"/>
        <w:ind w:firstLine="420" w:firstLineChars="200"/>
        <w:rPr>
          <w:rFonts w:ascii="宋体" w:hAnsi="宋体"/>
          <w:bCs/>
          <w:szCs w:val="21"/>
          <w:highlight w:val="none"/>
        </w:rPr>
      </w:pPr>
      <w:r>
        <w:rPr>
          <w:rFonts w:hint="eastAsia" w:ascii="宋体" w:hAnsi="宋体"/>
          <w:bCs/>
          <w:szCs w:val="21"/>
          <w:highlight w:val="none"/>
        </w:rPr>
        <w:t>（5）投标人的资格审查材料</w:t>
      </w:r>
    </w:p>
    <w:p w14:paraId="6E75ACF1">
      <w:pPr>
        <w:adjustRightInd w:val="0"/>
        <w:snapToGrid w:val="0"/>
        <w:spacing w:line="360" w:lineRule="auto"/>
        <w:ind w:firstLine="420" w:firstLineChars="200"/>
        <w:rPr>
          <w:rFonts w:ascii="宋体" w:hAnsi="宋体"/>
          <w:bCs/>
          <w:szCs w:val="21"/>
          <w:highlight w:val="none"/>
        </w:rPr>
      </w:pPr>
      <w:r>
        <w:rPr>
          <w:rFonts w:hint="eastAsia" w:ascii="宋体" w:hAnsi="宋体"/>
          <w:bCs/>
          <w:szCs w:val="21"/>
          <w:highlight w:val="none"/>
        </w:rPr>
        <w:t>（6）项目方案</w:t>
      </w:r>
      <w:r>
        <w:rPr>
          <w:rFonts w:hint="eastAsia" w:ascii="宋体" w:hAnsi="宋体"/>
          <w:bCs/>
          <w:szCs w:val="21"/>
          <w:highlight w:val="none"/>
        </w:rPr>
        <w:tab/>
      </w:r>
    </w:p>
    <w:p w14:paraId="10D7B09D">
      <w:pPr>
        <w:adjustRightInd w:val="0"/>
        <w:snapToGrid w:val="0"/>
        <w:spacing w:line="360" w:lineRule="auto"/>
        <w:ind w:firstLine="420" w:firstLineChars="200"/>
        <w:rPr>
          <w:rFonts w:ascii="宋体" w:hAnsi="宋体"/>
          <w:bCs/>
          <w:szCs w:val="21"/>
          <w:highlight w:val="none"/>
        </w:rPr>
      </w:pPr>
      <w:r>
        <w:rPr>
          <w:rFonts w:hint="eastAsia" w:ascii="宋体" w:hAnsi="宋体"/>
          <w:bCs/>
          <w:szCs w:val="21"/>
          <w:highlight w:val="none"/>
        </w:rPr>
        <w:t>（7）响应/偏离表</w:t>
      </w:r>
      <w:r>
        <w:rPr>
          <w:rFonts w:hint="eastAsia" w:ascii="宋体" w:hAnsi="宋体"/>
          <w:bCs/>
          <w:szCs w:val="21"/>
          <w:highlight w:val="none"/>
        </w:rPr>
        <w:tab/>
      </w:r>
    </w:p>
    <w:p w14:paraId="606064A2">
      <w:pPr>
        <w:adjustRightInd w:val="0"/>
        <w:snapToGrid w:val="0"/>
        <w:spacing w:line="360" w:lineRule="auto"/>
        <w:ind w:firstLine="420" w:firstLineChars="200"/>
        <w:rPr>
          <w:rFonts w:ascii="宋体" w:hAnsi="宋体"/>
          <w:bCs/>
          <w:szCs w:val="21"/>
          <w:highlight w:val="none"/>
        </w:rPr>
      </w:pPr>
      <w:r>
        <w:rPr>
          <w:rFonts w:hint="eastAsia" w:ascii="宋体" w:hAnsi="宋体"/>
          <w:bCs/>
          <w:szCs w:val="21"/>
          <w:highlight w:val="none"/>
        </w:rPr>
        <w:t>（8）投标人认为需要提供的其它资料</w:t>
      </w:r>
      <w:r>
        <w:rPr>
          <w:rFonts w:hint="eastAsia" w:ascii="宋体" w:hAnsi="宋体"/>
          <w:bCs/>
          <w:szCs w:val="21"/>
          <w:highlight w:val="none"/>
        </w:rPr>
        <w:tab/>
      </w:r>
    </w:p>
    <w:p w14:paraId="781E1D57">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14.2根据《政府采购法》第四十二条的规定，投标人无论中标与否，其投标文件不予退还。</w:t>
      </w:r>
    </w:p>
    <w:p w14:paraId="5DBAF3A4">
      <w:pPr>
        <w:adjustRightInd w:val="0"/>
        <w:snapToGrid w:val="0"/>
        <w:spacing w:line="360" w:lineRule="auto"/>
        <w:rPr>
          <w:rFonts w:ascii="宋体" w:hAnsi="宋体"/>
          <w:b/>
          <w:bCs/>
          <w:szCs w:val="21"/>
          <w:highlight w:val="none"/>
        </w:rPr>
      </w:pPr>
      <w:r>
        <w:rPr>
          <w:rFonts w:hint="eastAsia" w:ascii="宋体" w:hAnsi="宋体"/>
          <w:b/>
          <w:bCs/>
          <w:szCs w:val="21"/>
          <w:highlight w:val="none"/>
        </w:rPr>
        <w:t>15.报价</w:t>
      </w:r>
    </w:p>
    <w:p w14:paraId="281C323A">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15.1投标人应当根据采购文件要求和采购内容，以</w:t>
      </w:r>
      <w:r>
        <w:rPr>
          <w:rFonts w:hint="eastAsia" w:ascii="宋体" w:hAnsi="宋体"/>
          <w:bCs/>
          <w:szCs w:val="21"/>
          <w:highlight w:val="none"/>
        </w:rPr>
        <w:t>人民币</w:t>
      </w:r>
      <w:r>
        <w:rPr>
          <w:rFonts w:hint="eastAsia" w:ascii="宋体" w:hAnsi="宋体"/>
          <w:szCs w:val="21"/>
          <w:highlight w:val="none"/>
        </w:rPr>
        <w:t>报价，以元为单位，保留小数点后两位。</w:t>
      </w:r>
    </w:p>
    <w:p w14:paraId="05E8A152">
      <w:pPr>
        <w:pStyle w:val="113"/>
        <w:adjustRightInd w:val="0"/>
        <w:snapToGrid w:val="0"/>
        <w:spacing w:line="360" w:lineRule="auto"/>
        <w:ind w:firstLine="420" w:firstLineChars="200"/>
        <w:rPr>
          <w:rFonts w:ascii="宋体" w:hAnsi="宋体"/>
          <w:highlight w:val="none"/>
        </w:rPr>
      </w:pPr>
      <w:r>
        <w:rPr>
          <w:rFonts w:hint="eastAsia" w:ascii="宋体" w:hAnsi="宋体"/>
          <w:highlight w:val="none"/>
        </w:rPr>
        <w:t>15.2投标报价是履行合同的最终价格，应包括为完成本项目采购范围内所有服务费的总和，投标人应结合市场状况、工作成本进行自主报价，投标报价应包括为履行本项目所必须所须发生的全部费用和投标人应承担的一切税费，包括完成满足实体检测、节能检测要求的一切费用(含税金)，包括但不限于仪器设备费、检测费、技术工作费、报告文本费、规费及税金等一切费用（包含为达到检测条件所需的其他费用）。各综合单价不因检测数量变化、位置、市场价格波动、政策变化及所有不可预见等因素改变而增减。投标人漏报的单价或每项单价报价中漏报、少报的费用，视为此项费用已包含在已标价分项报价的单价和合价中，中标后不予调整。</w:t>
      </w:r>
    </w:p>
    <w:p w14:paraId="665976E5">
      <w:pPr>
        <w:pStyle w:val="113"/>
        <w:adjustRightInd w:val="0"/>
        <w:snapToGrid w:val="0"/>
        <w:spacing w:line="360" w:lineRule="auto"/>
        <w:ind w:firstLine="420" w:firstLineChars="200"/>
        <w:rPr>
          <w:rFonts w:ascii="宋体" w:hAnsi="宋体"/>
          <w:highlight w:val="none"/>
        </w:rPr>
      </w:pPr>
      <w:r>
        <w:rPr>
          <w:rFonts w:hint="eastAsia" w:ascii="宋体" w:hAnsi="宋体"/>
          <w:highlight w:val="none"/>
        </w:rPr>
        <w:t>15.3投标人应按第四章“采购需求”要求及第五章“投标文件格式”格式填写。投标人在</w:t>
      </w:r>
      <w:r>
        <w:rPr>
          <w:rFonts w:hint="eastAsia" w:ascii="宋体" w:hAnsi="宋体"/>
          <w:bCs/>
          <w:highlight w:val="none"/>
        </w:rPr>
        <w:t>本章第11.1</w:t>
      </w:r>
      <w:r>
        <w:rPr>
          <w:rFonts w:hint="eastAsia" w:ascii="宋体" w:hAnsi="宋体" w:cs="宋体"/>
          <w:highlight w:val="none"/>
          <w:lang w:val="zh-CN"/>
        </w:rPr>
        <w:t>款</w:t>
      </w:r>
      <w:r>
        <w:rPr>
          <w:rFonts w:hint="eastAsia" w:ascii="宋体" w:hAnsi="宋体"/>
          <w:bCs/>
          <w:highlight w:val="none"/>
        </w:rPr>
        <w:t>规定的</w:t>
      </w:r>
      <w:r>
        <w:rPr>
          <w:rFonts w:hint="eastAsia" w:ascii="宋体" w:hAnsi="宋体" w:cs="宋体"/>
          <w:highlight w:val="none"/>
        </w:rPr>
        <w:t>提交</w:t>
      </w:r>
      <w:r>
        <w:rPr>
          <w:rFonts w:hint="eastAsia" w:ascii="宋体" w:hAnsi="宋体"/>
          <w:highlight w:val="none"/>
        </w:rPr>
        <w:t>投标文件</w:t>
      </w:r>
      <w:r>
        <w:rPr>
          <w:rFonts w:hint="eastAsia" w:ascii="宋体" w:hAnsi="宋体" w:cs="宋体"/>
          <w:highlight w:val="none"/>
        </w:rPr>
        <w:t>截止之日前</w:t>
      </w:r>
      <w:r>
        <w:rPr>
          <w:rFonts w:hint="eastAsia" w:ascii="宋体" w:hAnsi="宋体"/>
          <w:highlight w:val="none"/>
        </w:rPr>
        <w:t>修改报价，应同时修改其按第五章要求填写的相应表格中的报价。此修改须符合本章第21.1款的有关要求。</w:t>
      </w:r>
    </w:p>
    <w:p w14:paraId="411EDF7D">
      <w:pPr>
        <w:pStyle w:val="113"/>
        <w:adjustRightInd w:val="0"/>
        <w:snapToGrid w:val="0"/>
        <w:spacing w:line="360" w:lineRule="auto"/>
        <w:ind w:firstLine="420" w:firstLineChars="200"/>
        <w:rPr>
          <w:rFonts w:ascii="宋体" w:hAnsi="宋体"/>
          <w:highlight w:val="none"/>
        </w:rPr>
      </w:pPr>
      <w:r>
        <w:rPr>
          <w:rFonts w:hint="eastAsia" w:ascii="宋体" w:hAnsi="宋体"/>
          <w:highlight w:val="none"/>
        </w:rPr>
        <w:t>15.4投标文件中标明的价格在合同执行过程中是固定不变的，不得以任何理由予以变更。以可变动价格提交的报价将被认为是非实质响应而被拒绝。</w:t>
      </w:r>
    </w:p>
    <w:p w14:paraId="24600FFE">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15.5</w:t>
      </w:r>
      <w:r>
        <w:rPr>
          <w:rFonts w:hint="eastAsia" w:ascii="宋体" w:hAnsi="宋体" w:cs="宋体"/>
          <w:kern w:val="0"/>
          <w:sz w:val="21"/>
          <w:szCs w:val="21"/>
          <w:highlight w:val="none"/>
          <w:lang w:val="zh-CN"/>
        </w:rPr>
        <w:t>投标人</w:t>
      </w:r>
      <w:r>
        <w:rPr>
          <w:rFonts w:hint="eastAsia" w:ascii="宋体" w:hAnsi="宋体"/>
          <w:sz w:val="21"/>
          <w:szCs w:val="21"/>
          <w:highlight w:val="none"/>
        </w:rPr>
        <w:t>的报价不得超过采购项目预算，采购项目预算见</w:t>
      </w:r>
      <w:r>
        <w:rPr>
          <w:rFonts w:hint="eastAsia" w:ascii="宋体" w:hAnsi="宋体"/>
          <w:b/>
          <w:sz w:val="21"/>
          <w:szCs w:val="21"/>
          <w:highlight w:val="none"/>
        </w:rPr>
        <w:t>投标须知前附表</w:t>
      </w:r>
      <w:r>
        <w:rPr>
          <w:rFonts w:hint="eastAsia" w:ascii="宋体" w:hAnsi="宋体"/>
          <w:sz w:val="21"/>
          <w:szCs w:val="21"/>
          <w:highlight w:val="none"/>
        </w:rPr>
        <w:t>。</w:t>
      </w:r>
    </w:p>
    <w:p w14:paraId="1ED12872">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15.6采购人不保证将合同授予最低报价的投标人。</w:t>
      </w:r>
    </w:p>
    <w:p w14:paraId="3B45368D">
      <w:pPr>
        <w:pStyle w:val="24"/>
        <w:adjustRightInd w:val="0"/>
        <w:snapToGrid w:val="0"/>
        <w:spacing w:line="360" w:lineRule="auto"/>
        <w:rPr>
          <w:rFonts w:ascii="宋体" w:hAnsi="宋体"/>
          <w:b/>
          <w:sz w:val="21"/>
          <w:szCs w:val="21"/>
          <w:highlight w:val="none"/>
        </w:rPr>
      </w:pPr>
      <w:r>
        <w:rPr>
          <w:rFonts w:hint="eastAsia" w:ascii="宋体" w:hAnsi="宋体"/>
          <w:b/>
          <w:sz w:val="21"/>
          <w:szCs w:val="21"/>
          <w:highlight w:val="none"/>
        </w:rPr>
        <w:t>16.符合采购文件规定的证明文件</w:t>
      </w:r>
    </w:p>
    <w:p w14:paraId="1105D0CD">
      <w:pPr>
        <w:adjustRightInd w:val="0"/>
        <w:snapToGrid w:val="0"/>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16.1投标人</w:t>
      </w:r>
      <w:r>
        <w:rPr>
          <w:rFonts w:hint="eastAsia" w:ascii="宋体" w:hAnsi="宋体"/>
          <w:szCs w:val="21"/>
          <w:highlight w:val="none"/>
        </w:rPr>
        <w:t>符合采购文件规定的资格证明文件</w:t>
      </w:r>
    </w:p>
    <w:p w14:paraId="130F867C">
      <w:pPr>
        <w:adjustRightInd w:val="0"/>
        <w:snapToGrid w:val="0"/>
        <w:spacing w:line="360" w:lineRule="auto"/>
        <w:ind w:firstLine="420" w:firstLineChars="200"/>
        <w:rPr>
          <w:rFonts w:ascii="宋体" w:hAnsi="宋体"/>
          <w:szCs w:val="21"/>
          <w:highlight w:val="none"/>
        </w:rPr>
      </w:pPr>
      <w:r>
        <w:rPr>
          <w:rFonts w:hint="eastAsia" w:ascii="宋体" w:hAnsi="宋体" w:cs="宋体"/>
          <w:kern w:val="0"/>
          <w:szCs w:val="21"/>
          <w:highlight w:val="none"/>
          <w:lang w:val="zh-CN"/>
        </w:rPr>
        <w:t>16.1.1</w:t>
      </w:r>
      <w:r>
        <w:rPr>
          <w:rFonts w:hint="eastAsia" w:ascii="宋体" w:hAnsi="宋体"/>
          <w:szCs w:val="21"/>
          <w:highlight w:val="none"/>
        </w:rPr>
        <w:t>投标人应提供资格证明材料，以证实其各项条件能满足本章第3.1</w:t>
      </w:r>
      <w:r>
        <w:rPr>
          <w:rFonts w:hint="eastAsia" w:ascii="宋体" w:hAnsi="宋体" w:cs="宋体"/>
          <w:kern w:val="0"/>
          <w:szCs w:val="21"/>
          <w:highlight w:val="none"/>
          <w:lang w:val="zh-CN"/>
        </w:rPr>
        <w:t>款</w:t>
      </w:r>
      <w:r>
        <w:rPr>
          <w:rFonts w:hint="eastAsia" w:ascii="宋体" w:hAnsi="宋体"/>
          <w:szCs w:val="21"/>
          <w:highlight w:val="none"/>
        </w:rPr>
        <w:t>规定的投标人资格条件要求。</w:t>
      </w:r>
    </w:p>
    <w:p w14:paraId="00DDC157">
      <w:pPr>
        <w:adjustRightInd w:val="0"/>
        <w:snapToGrid w:val="0"/>
        <w:spacing w:line="360" w:lineRule="auto"/>
        <w:ind w:firstLine="420" w:firstLineChars="200"/>
        <w:jc w:val="left"/>
        <w:rPr>
          <w:rFonts w:ascii="宋体" w:hAnsi="宋体"/>
          <w:szCs w:val="21"/>
          <w:highlight w:val="none"/>
        </w:rPr>
      </w:pPr>
      <w:r>
        <w:rPr>
          <w:rFonts w:hint="eastAsia" w:ascii="宋体" w:hAnsi="宋体"/>
          <w:szCs w:val="21"/>
          <w:highlight w:val="none"/>
        </w:rPr>
        <w:t>16.1.2</w:t>
      </w:r>
      <w:r>
        <w:rPr>
          <w:rFonts w:hint="eastAsia" w:ascii="宋体" w:hAnsi="宋体" w:cs="宋体"/>
          <w:kern w:val="0"/>
          <w:szCs w:val="21"/>
          <w:highlight w:val="none"/>
          <w:lang w:val="zh-CN"/>
        </w:rPr>
        <w:t>投标人</w:t>
      </w:r>
      <w:r>
        <w:rPr>
          <w:rFonts w:hint="eastAsia" w:ascii="宋体" w:hAnsi="宋体"/>
          <w:szCs w:val="21"/>
          <w:highlight w:val="none"/>
        </w:rPr>
        <w:t>为联合体形式的，则应提交联合体各方资格文件、联合体协议，否则将视为非实质而被拒绝。</w:t>
      </w:r>
    </w:p>
    <w:p w14:paraId="40A71993">
      <w:pPr>
        <w:adjustRightInd w:val="0"/>
        <w:snapToGrid w:val="0"/>
        <w:spacing w:line="360" w:lineRule="auto"/>
        <w:ind w:firstLine="420" w:firstLineChars="200"/>
        <w:rPr>
          <w:rFonts w:ascii="宋体" w:hAnsi="宋体"/>
          <w:szCs w:val="21"/>
          <w:highlight w:val="none"/>
        </w:rPr>
      </w:pPr>
      <w:r>
        <w:rPr>
          <w:rFonts w:hint="eastAsia" w:ascii="宋体" w:hAnsi="宋体" w:cs="宋体"/>
          <w:kern w:val="0"/>
          <w:szCs w:val="21"/>
          <w:highlight w:val="none"/>
          <w:lang w:val="zh-CN"/>
        </w:rPr>
        <w:t>16.1.3</w:t>
      </w:r>
      <w:r>
        <w:rPr>
          <w:rFonts w:hint="eastAsia" w:ascii="宋体" w:hAnsi="宋体"/>
          <w:szCs w:val="21"/>
          <w:highlight w:val="none"/>
        </w:rPr>
        <w:t>至</w:t>
      </w:r>
      <w:r>
        <w:rPr>
          <w:rFonts w:hint="eastAsia" w:ascii="宋体" w:hAnsi="宋体" w:cs="宋体"/>
          <w:kern w:val="0"/>
          <w:szCs w:val="21"/>
          <w:highlight w:val="none"/>
        </w:rPr>
        <w:t>提交首次投标文件</w:t>
      </w:r>
      <w:r>
        <w:rPr>
          <w:rFonts w:hint="eastAsia" w:ascii="宋体" w:hAnsi="宋体"/>
          <w:szCs w:val="21"/>
          <w:highlight w:val="none"/>
        </w:rPr>
        <w:t>止，投标人资格条件发生重大变化，影响或者可能影响资格条件的，投标人应更新或者补充提供的资格证明材料，以证实其各项条件仍能继续满足本章第3.1</w:t>
      </w:r>
      <w:r>
        <w:rPr>
          <w:rFonts w:hint="eastAsia" w:ascii="宋体" w:hAnsi="宋体" w:cs="宋体"/>
          <w:kern w:val="0"/>
          <w:szCs w:val="21"/>
          <w:highlight w:val="none"/>
          <w:lang w:val="zh-CN"/>
        </w:rPr>
        <w:t>款</w:t>
      </w:r>
      <w:r>
        <w:rPr>
          <w:rFonts w:hint="eastAsia" w:ascii="宋体" w:hAnsi="宋体"/>
          <w:szCs w:val="21"/>
          <w:highlight w:val="none"/>
        </w:rPr>
        <w:t>规定的投标人资格条件要求。</w:t>
      </w:r>
    </w:p>
    <w:p w14:paraId="0450413E">
      <w:pPr>
        <w:adjustRightInd w:val="0"/>
        <w:snapToGrid w:val="0"/>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16.1.4投标人应当提交符合采购文件规定的业绩证明文件,该证明文件作为投标文件的一部分，业绩证明文件要求详见</w:t>
      </w:r>
      <w:r>
        <w:rPr>
          <w:rFonts w:hint="eastAsia" w:ascii="宋体" w:hAnsi="宋体"/>
          <w:b/>
          <w:szCs w:val="21"/>
          <w:highlight w:val="none"/>
        </w:rPr>
        <w:t>投标须知前附表</w:t>
      </w:r>
      <w:r>
        <w:rPr>
          <w:rFonts w:hint="eastAsia" w:ascii="宋体" w:hAnsi="宋体" w:cs="宋体"/>
          <w:kern w:val="0"/>
          <w:szCs w:val="21"/>
          <w:highlight w:val="none"/>
        </w:rPr>
        <w:t>。</w:t>
      </w:r>
    </w:p>
    <w:p w14:paraId="0CBA3857">
      <w:pPr>
        <w:adjustRightInd w:val="0"/>
        <w:snapToGrid w:val="0"/>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16.2投标人对本采购文件中加注星号（“</w:t>
      </w:r>
      <w:r>
        <w:rPr>
          <w:rFonts w:hint="eastAsia" w:ascii="宋体" w:hAnsi="宋体" w:cs="宋体"/>
          <w:b/>
          <w:kern w:val="0"/>
          <w:szCs w:val="21"/>
          <w:highlight w:val="none"/>
        </w:rPr>
        <w:t>★</w:t>
      </w:r>
      <w:r>
        <w:rPr>
          <w:rFonts w:hint="eastAsia" w:ascii="宋体" w:hAnsi="宋体" w:cs="宋体"/>
          <w:kern w:val="0"/>
          <w:szCs w:val="21"/>
          <w:highlight w:val="none"/>
        </w:rPr>
        <w:t>”）的重要技术条款或技术参数应当在投标文件中进行重点全面描述及承诺，并提供相应技术支持资料。技术支持资料以货物制造商公开发布的印刷资料或经国家机关认可的检测机构出具的检测报告为准。</w:t>
      </w:r>
    </w:p>
    <w:p w14:paraId="4E86F2C6">
      <w:pPr>
        <w:pStyle w:val="24"/>
        <w:adjustRightInd w:val="0"/>
        <w:snapToGrid w:val="0"/>
        <w:spacing w:line="360" w:lineRule="auto"/>
        <w:rPr>
          <w:rFonts w:ascii="宋体" w:hAnsi="宋体"/>
          <w:b/>
          <w:sz w:val="21"/>
          <w:szCs w:val="21"/>
          <w:highlight w:val="none"/>
        </w:rPr>
      </w:pPr>
      <w:r>
        <w:rPr>
          <w:rFonts w:hint="eastAsia" w:ascii="宋体" w:hAnsi="宋体"/>
          <w:b/>
          <w:sz w:val="21"/>
          <w:szCs w:val="21"/>
          <w:highlight w:val="none"/>
        </w:rPr>
        <w:t>17. 投标保证金</w:t>
      </w:r>
    </w:p>
    <w:p w14:paraId="59A31D76">
      <w:pPr>
        <w:pStyle w:val="24"/>
        <w:adjustRightInd w:val="0"/>
        <w:snapToGrid w:val="0"/>
        <w:spacing w:line="360" w:lineRule="auto"/>
        <w:ind w:firstLine="420" w:firstLineChars="200"/>
        <w:rPr>
          <w:rFonts w:ascii="宋体" w:hAnsi="宋体"/>
          <w:bCs/>
          <w:sz w:val="21"/>
          <w:szCs w:val="21"/>
          <w:highlight w:val="none"/>
        </w:rPr>
      </w:pPr>
      <w:r>
        <w:rPr>
          <w:rFonts w:hint="eastAsia" w:ascii="宋体" w:hAnsi="宋体"/>
          <w:sz w:val="21"/>
          <w:szCs w:val="21"/>
          <w:highlight w:val="none"/>
        </w:rPr>
        <w:t>17.1</w:t>
      </w:r>
      <w:r>
        <w:rPr>
          <w:rFonts w:hint="eastAsia" w:ascii="宋体" w:hAnsi="宋体"/>
          <w:b/>
          <w:sz w:val="21"/>
          <w:szCs w:val="21"/>
          <w:highlight w:val="none"/>
        </w:rPr>
        <w:t>投标须知前附表</w:t>
      </w:r>
      <w:r>
        <w:rPr>
          <w:rFonts w:hint="eastAsia" w:ascii="宋体" w:hAnsi="宋体"/>
          <w:sz w:val="21"/>
          <w:szCs w:val="21"/>
          <w:highlight w:val="none"/>
        </w:rPr>
        <w:t>规定提交投标保证金的，应按</w:t>
      </w:r>
      <w:r>
        <w:rPr>
          <w:rFonts w:hint="eastAsia" w:ascii="宋体" w:hAnsi="宋体"/>
          <w:b/>
          <w:sz w:val="21"/>
          <w:szCs w:val="21"/>
          <w:highlight w:val="none"/>
        </w:rPr>
        <w:t>投标须知前附表</w:t>
      </w:r>
      <w:r>
        <w:rPr>
          <w:rFonts w:hint="eastAsia" w:ascii="宋体" w:hAnsi="宋体"/>
          <w:sz w:val="21"/>
          <w:szCs w:val="21"/>
          <w:highlight w:val="none"/>
        </w:rPr>
        <w:t>规定的形式、金额，在本章第11.1</w:t>
      </w:r>
      <w:r>
        <w:rPr>
          <w:rFonts w:hint="eastAsia" w:ascii="宋体" w:hAnsi="宋体" w:cs="宋体"/>
          <w:kern w:val="0"/>
          <w:sz w:val="21"/>
          <w:szCs w:val="21"/>
          <w:highlight w:val="none"/>
          <w:lang w:val="zh-CN"/>
        </w:rPr>
        <w:t>款</w:t>
      </w:r>
      <w:r>
        <w:rPr>
          <w:rFonts w:hint="eastAsia" w:ascii="宋体" w:hAnsi="宋体"/>
          <w:sz w:val="21"/>
          <w:szCs w:val="21"/>
          <w:highlight w:val="none"/>
        </w:rPr>
        <w:t>规定的</w:t>
      </w:r>
      <w:r>
        <w:rPr>
          <w:rFonts w:hint="eastAsia" w:ascii="宋体" w:hAnsi="宋体" w:cs="宋体"/>
          <w:kern w:val="0"/>
          <w:sz w:val="21"/>
          <w:szCs w:val="21"/>
          <w:highlight w:val="none"/>
        </w:rPr>
        <w:t>提交</w:t>
      </w:r>
      <w:r>
        <w:rPr>
          <w:rFonts w:hint="eastAsia" w:ascii="宋体" w:hAnsi="宋体"/>
          <w:sz w:val="21"/>
          <w:szCs w:val="21"/>
          <w:highlight w:val="none"/>
        </w:rPr>
        <w:t>投标文件</w:t>
      </w:r>
      <w:r>
        <w:rPr>
          <w:rFonts w:hint="eastAsia" w:ascii="宋体" w:hAnsi="宋体" w:cs="宋体"/>
          <w:kern w:val="0"/>
          <w:sz w:val="21"/>
          <w:szCs w:val="21"/>
          <w:highlight w:val="none"/>
        </w:rPr>
        <w:t>截止时间</w:t>
      </w:r>
      <w:r>
        <w:rPr>
          <w:rFonts w:hint="eastAsia" w:ascii="宋体" w:hAnsi="宋体"/>
          <w:sz w:val="21"/>
          <w:szCs w:val="21"/>
          <w:highlight w:val="none"/>
        </w:rPr>
        <w:t>前，</w:t>
      </w:r>
      <w:r>
        <w:rPr>
          <w:rFonts w:hint="eastAsia" w:ascii="宋体" w:hAnsi="宋体"/>
          <w:bCs/>
          <w:sz w:val="21"/>
          <w:szCs w:val="21"/>
          <w:highlight w:val="none"/>
        </w:rPr>
        <w:t>提交投标保证金</w:t>
      </w:r>
      <w:r>
        <w:rPr>
          <w:rFonts w:hint="eastAsia" w:ascii="宋体" w:hAnsi="宋体"/>
          <w:sz w:val="21"/>
          <w:szCs w:val="21"/>
          <w:highlight w:val="none"/>
        </w:rPr>
        <w:t>。</w:t>
      </w:r>
      <w:r>
        <w:rPr>
          <w:rFonts w:hint="eastAsia" w:ascii="宋体" w:hAnsi="宋体"/>
          <w:bCs/>
          <w:sz w:val="21"/>
          <w:szCs w:val="21"/>
          <w:highlight w:val="none"/>
        </w:rPr>
        <w:t>投标保证金有效期应当与</w:t>
      </w:r>
      <w:r>
        <w:rPr>
          <w:rFonts w:hint="eastAsia" w:ascii="宋体" w:hAnsi="宋体"/>
          <w:sz w:val="21"/>
          <w:szCs w:val="21"/>
          <w:highlight w:val="none"/>
        </w:rPr>
        <w:t>本章第18.1</w:t>
      </w:r>
      <w:r>
        <w:rPr>
          <w:rFonts w:hint="eastAsia" w:ascii="宋体" w:hAnsi="宋体" w:cs="宋体"/>
          <w:kern w:val="0"/>
          <w:sz w:val="21"/>
          <w:szCs w:val="21"/>
          <w:highlight w:val="none"/>
          <w:lang w:val="zh-CN"/>
        </w:rPr>
        <w:t>款</w:t>
      </w:r>
      <w:r>
        <w:rPr>
          <w:rFonts w:hint="eastAsia" w:ascii="宋体" w:hAnsi="宋体"/>
          <w:sz w:val="21"/>
          <w:szCs w:val="21"/>
          <w:highlight w:val="none"/>
        </w:rPr>
        <w:t>规定的投标文件</w:t>
      </w:r>
      <w:r>
        <w:rPr>
          <w:rFonts w:hint="eastAsia" w:ascii="宋体" w:hAnsi="宋体"/>
          <w:bCs/>
          <w:sz w:val="21"/>
          <w:szCs w:val="21"/>
          <w:highlight w:val="none"/>
        </w:rPr>
        <w:t>有效期一致。</w:t>
      </w:r>
    </w:p>
    <w:p w14:paraId="3B19F1D1">
      <w:pPr>
        <w:adjustRightInd w:val="0"/>
        <w:snapToGrid w:val="0"/>
        <w:spacing w:line="360" w:lineRule="auto"/>
        <w:ind w:firstLine="420" w:firstLineChars="200"/>
        <w:rPr>
          <w:rFonts w:ascii="宋体" w:hAnsi="宋体"/>
          <w:b/>
          <w:szCs w:val="21"/>
          <w:highlight w:val="none"/>
        </w:rPr>
      </w:pPr>
      <w:r>
        <w:rPr>
          <w:rFonts w:hint="eastAsia" w:ascii="宋体" w:hAnsi="宋体"/>
          <w:szCs w:val="21"/>
          <w:highlight w:val="none"/>
        </w:rPr>
        <w:t>17.2</w:t>
      </w:r>
      <w:r>
        <w:rPr>
          <w:rFonts w:hint="eastAsia" w:ascii="宋体" w:hAnsi="宋体" w:cs="宋体"/>
          <w:kern w:val="0"/>
          <w:szCs w:val="21"/>
          <w:highlight w:val="none"/>
          <w:lang w:val="zh-CN"/>
        </w:rPr>
        <w:t>投标人为联合体的，可以由联合体中的一方或者共同交纳投标保证金，其交纳的投标保证金，对联合体各方均具有约束力。</w:t>
      </w:r>
    </w:p>
    <w:p w14:paraId="12003B89">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17.3 未按采购文件规定提交投标保证金的，</w:t>
      </w:r>
      <w:r>
        <w:rPr>
          <w:rFonts w:hint="eastAsia" w:ascii="宋体" w:hAnsi="宋体"/>
          <w:bCs/>
          <w:sz w:val="21"/>
          <w:szCs w:val="21"/>
          <w:highlight w:val="none"/>
        </w:rPr>
        <w:t>其</w:t>
      </w:r>
      <w:r>
        <w:rPr>
          <w:rFonts w:hint="eastAsia" w:ascii="宋体" w:hAnsi="宋体"/>
          <w:sz w:val="21"/>
          <w:szCs w:val="21"/>
          <w:highlight w:val="none"/>
        </w:rPr>
        <w:t>投标文件</w:t>
      </w:r>
      <w:r>
        <w:rPr>
          <w:rFonts w:hint="eastAsia" w:ascii="宋体" w:hAnsi="宋体"/>
          <w:bCs/>
          <w:sz w:val="21"/>
          <w:szCs w:val="21"/>
          <w:highlight w:val="none"/>
        </w:rPr>
        <w:t>无效</w:t>
      </w:r>
      <w:r>
        <w:rPr>
          <w:rFonts w:hint="eastAsia" w:ascii="宋体" w:hAnsi="宋体"/>
          <w:sz w:val="21"/>
          <w:szCs w:val="21"/>
          <w:highlight w:val="none"/>
        </w:rPr>
        <w:t>。</w:t>
      </w:r>
    </w:p>
    <w:p w14:paraId="4BFE1FB5">
      <w:pPr>
        <w:pStyle w:val="24"/>
        <w:tabs>
          <w:tab w:val="left" w:pos="6300"/>
        </w:tabs>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17.4代理机构在中标通知书发出后5个工作日内退还未中标投标人的投标保证金；在采购合同签定后5个工作日内退还中标投标人的投标保证金，但因投标人自身原因导致无法及时退还的除外。</w:t>
      </w:r>
    </w:p>
    <w:p w14:paraId="738459AD">
      <w:pPr>
        <w:pStyle w:val="24"/>
        <w:adjustRightInd w:val="0"/>
        <w:snapToGrid w:val="0"/>
        <w:spacing w:line="360" w:lineRule="auto"/>
        <w:ind w:firstLine="420" w:firstLineChars="200"/>
        <w:rPr>
          <w:rFonts w:ascii="宋体" w:hAnsi="宋体"/>
          <w:kern w:val="0"/>
          <w:sz w:val="21"/>
          <w:szCs w:val="21"/>
          <w:highlight w:val="none"/>
        </w:rPr>
      </w:pPr>
      <w:r>
        <w:rPr>
          <w:rFonts w:hint="eastAsia" w:ascii="宋体" w:hAnsi="宋体"/>
          <w:sz w:val="21"/>
          <w:szCs w:val="21"/>
          <w:highlight w:val="none"/>
        </w:rPr>
        <w:t xml:space="preserve">17.5 </w:t>
      </w:r>
      <w:r>
        <w:rPr>
          <w:rFonts w:hint="eastAsia" w:ascii="宋体" w:hAnsi="宋体"/>
          <w:kern w:val="0"/>
          <w:sz w:val="21"/>
          <w:szCs w:val="21"/>
          <w:highlight w:val="none"/>
        </w:rPr>
        <w:t>有下列情形之一的，投标保证金不予退还：</w:t>
      </w:r>
    </w:p>
    <w:p w14:paraId="54817FC0">
      <w:pPr>
        <w:pStyle w:val="24"/>
        <w:adjustRightInd w:val="0"/>
        <w:snapToGrid w:val="0"/>
        <w:spacing w:line="360" w:lineRule="auto"/>
        <w:ind w:firstLine="420" w:firstLineChars="200"/>
        <w:rPr>
          <w:rFonts w:ascii="宋体" w:hAnsi="宋体" w:cs="宋体"/>
          <w:kern w:val="0"/>
          <w:sz w:val="21"/>
          <w:szCs w:val="21"/>
          <w:highlight w:val="none"/>
        </w:rPr>
      </w:pPr>
      <w:r>
        <w:rPr>
          <w:rFonts w:hint="eastAsia" w:ascii="宋体" w:hAnsi="宋体" w:cs="宋体"/>
          <w:kern w:val="0"/>
          <w:sz w:val="21"/>
          <w:szCs w:val="21"/>
          <w:highlight w:val="none"/>
        </w:rPr>
        <w:t>（1）投标人在提交投标文件截止时间后撤回投标文件的；</w:t>
      </w:r>
    </w:p>
    <w:p w14:paraId="23DA4936">
      <w:pPr>
        <w:pStyle w:val="24"/>
        <w:adjustRightInd w:val="0"/>
        <w:snapToGrid w:val="0"/>
        <w:spacing w:line="360" w:lineRule="auto"/>
        <w:ind w:firstLine="420" w:firstLineChars="200"/>
        <w:rPr>
          <w:rFonts w:ascii="宋体" w:hAnsi="宋体" w:cs="宋体"/>
          <w:kern w:val="0"/>
          <w:sz w:val="21"/>
          <w:szCs w:val="21"/>
          <w:highlight w:val="none"/>
        </w:rPr>
      </w:pPr>
      <w:r>
        <w:rPr>
          <w:rFonts w:hint="eastAsia" w:ascii="宋体" w:hAnsi="宋体" w:cs="宋体"/>
          <w:kern w:val="0"/>
          <w:sz w:val="21"/>
          <w:szCs w:val="21"/>
          <w:highlight w:val="none"/>
        </w:rPr>
        <w:t>（2）投标人在投标文件中提供虚假材料的；</w:t>
      </w:r>
    </w:p>
    <w:p w14:paraId="21A11CAF">
      <w:pPr>
        <w:pStyle w:val="24"/>
        <w:adjustRightInd w:val="0"/>
        <w:snapToGrid w:val="0"/>
        <w:spacing w:line="360" w:lineRule="auto"/>
        <w:ind w:firstLine="420" w:firstLineChars="200"/>
        <w:rPr>
          <w:rFonts w:ascii="宋体" w:hAnsi="宋体" w:cs="宋体"/>
          <w:kern w:val="0"/>
          <w:sz w:val="21"/>
          <w:szCs w:val="21"/>
          <w:highlight w:val="none"/>
        </w:rPr>
      </w:pPr>
      <w:r>
        <w:rPr>
          <w:rFonts w:hint="eastAsia" w:ascii="宋体" w:hAnsi="宋体" w:cs="宋体"/>
          <w:kern w:val="0"/>
          <w:sz w:val="21"/>
          <w:szCs w:val="21"/>
          <w:highlight w:val="none"/>
        </w:rPr>
        <w:t>（3）除因不可抗力或采购文件认可的情形以外，中标投标人不与采购人签订合同的；</w:t>
      </w:r>
    </w:p>
    <w:p w14:paraId="079A5BB0">
      <w:pPr>
        <w:pStyle w:val="24"/>
        <w:adjustRightInd w:val="0"/>
        <w:snapToGrid w:val="0"/>
        <w:spacing w:line="360" w:lineRule="auto"/>
        <w:ind w:firstLine="420" w:firstLineChars="200"/>
        <w:rPr>
          <w:rFonts w:ascii="宋体" w:hAnsi="宋体" w:cs="宋体"/>
          <w:kern w:val="0"/>
          <w:sz w:val="21"/>
          <w:szCs w:val="21"/>
          <w:highlight w:val="none"/>
        </w:rPr>
      </w:pPr>
      <w:r>
        <w:rPr>
          <w:rFonts w:hint="eastAsia" w:ascii="宋体" w:hAnsi="宋体" w:cs="宋体"/>
          <w:kern w:val="0"/>
          <w:sz w:val="21"/>
          <w:szCs w:val="21"/>
          <w:highlight w:val="none"/>
        </w:rPr>
        <w:t>（4）投标人与采购人、其他投标人或者采购代理机构恶意串通的；</w:t>
      </w:r>
    </w:p>
    <w:p w14:paraId="02C52E13">
      <w:pPr>
        <w:pStyle w:val="24"/>
        <w:adjustRightInd w:val="0"/>
        <w:snapToGrid w:val="0"/>
        <w:spacing w:line="360" w:lineRule="auto"/>
        <w:ind w:firstLine="420" w:firstLineChars="200"/>
        <w:rPr>
          <w:rFonts w:ascii="宋体" w:hAnsi="宋体" w:cs="宋体"/>
          <w:kern w:val="0"/>
          <w:sz w:val="21"/>
          <w:szCs w:val="21"/>
          <w:highlight w:val="none"/>
        </w:rPr>
      </w:pPr>
      <w:r>
        <w:rPr>
          <w:rFonts w:hint="eastAsia" w:ascii="宋体" w:hAnsi="宋体" w:cs="宋体"/>
          <w:kern w:val="0"/>
          <w:sz w:val="21"/>
          <w:szCs w:val="21"/>
          <w:highlight w:val="none"/>
        </w:rPr>
        <w:t>（5）采购文件规定的其他情形。</w:t>
      </w:r>
    </w:p>
    <w:p w14:paraId="0058DA58">
      <w:pPr>
        <w:pStyle w:val="24"/>
        <w:adjustRightInd w:val="0"/>
        <w:snapToGrid w:val="0"/>
        <w:spacing w:line="360" w:lineRule="auto"/>
        <w:ind w:left="-2" w:leftChars="-1"/>
        <w:rPr>
          <w:rFonts w:ascii="宋体" w:hAnsi="宋体"/>
          <w:b/>
          <w:bCs/>
          <w:sz w:val="21"/>
          <w:szCs w:val="21"/>
          <w:highlight w:val="none"/>
        </w:rPr>
      </w:pPr>
      <w:r>
        <w:rPr>
          <w:rFonts w:hint="eastAsia" w:ascii="宋体" w:hAnsi="宋体"/>
          <w:b/>
          <w:bCs/>
          <w:sz w:val="21"/>
          <w:szCs w:val="21"/>
          <w:highlight w:val="none"/>
        </w:rPr>
        <w:t>18.</w:t>
      </w:r>
      <w:r>
        <w:rPr>
          <w:rFonts w:hint="eastAsia" w:ascii="宋体" w:hAnsi="宋体"/>
          <w:sz w:val="21"/>
          <w:szCs w:val="21"/>
          <w:highlight w:val="none"/>
        </w:rPr>
        <w:t xml:space="preserve"> </w:t>
      </w:r>
      <w:r>
        <w:rPr>
          <w:rFonts w:hint="eastAsia" w:ascii="宋体" w:hAnsi="宋体"/>
          <w:b/>
          <w:sz w:val="21"/>
          <w:szCs w:val="21"/>
          <w:highlight w:val="none"/>
        </w:rPr>
        <w:t>投标文件有效期</w:t>
      </w:r>
    </w:p>
    <w:p w14:paraId="2891C5D4">
      <w:pPr>
        <w:adjustRightInd w:val="0"/>
        <w:snapToGrid w:val="0"/>
        <w:spacing w:line="360" w:lineRule="auto"/>
        <w:ind w:firstLine="420" w:firstLineChars="200"/>
        <w:jc w:val="left"/>
        <w:rPr>
          <w:rFonts w:ascii="宋体" w:hAnsi="宋体"/>
          <w:szCs w:val="21"/>
          <w:highlight w:val="none"/>
        </w:rPr>
      </w:pPr>
      <w:r>
        <w:rPr>
          <w:rFonts w:hint="eastAsia" w:ascii="宋体" w:hAnsi="宋体"/>
          <w:szCs w:val="21"/>
          <w:highlight w:val="none"/>
        </w:rPr>
        <w:t>18.1投标文件有效期见</w:t>
      </w:r>
      <w:r>
        <w:rPr>
          <w:rFonts w:hint="eastAsia" w:ascii="宋体" w:hAnsi="宋体"/>
          <w:b/>
          <w:szCs w:val="21"/>
          <w:highlight w:val="none"/>
        </w:rPr>
        <w:t>投标须知前附表</w:t>
      </w:r>
      <w:r>
        <w:rPr>
          <w:rFonts w:hint="eastAsia" w:ascii="宋体" w:hAnsi="宋体"/>
          <w:szCs w:val="21"/>
          <w:highlight w:val="none"/>
        </w:rPr>
        <w:t>，在此期间投标文件对投标人具有法律约束力，</w:t>
      </w:r>
      <w:r>
        <w:rPr>
          <w:rFonts w:hint="eastAsia" w:ascii="宋体" w:hAnsi="宋体" w:cs="Arial"/>
          <w:szCs w:val="21"/>
          <w:highlight w:val="none"/>
        </w:rPr>
        <w:t>从</w:t>
      </w:r>
      <w:r>
        <w:rPr>
          <w:rFonts w:hint="eastAsia" w:ascii="宋体" w:hAnsi="宋体"/>
          <w:szCs w:val="21"/>
          <w:highlight w:val="none"/>
        </w:rPr>
        <w:t>本章第11.1</w:t>
      </w:r>
      <w:r>
        <w:rPr>
          <w:rFonts w:hint="eastAsia" w:ascii="宋体" w:hAnsi="宋体" w:cs="宋体"/>
          <w:kern w:val="0"/>
          <w:szCs w:val="21"/>
          <w:highlight w:val="none"/>
          <w:lang w:val="zh-CN"/>
        </w:rPr>
        <w:t>款</w:t>
      </w:r>
      <w:r>
        <w:rPr>
          <w:rFonts w:hint="eastAsia" w:ascii="宋体" w:hAnsi="宋体"/>
          <w:szCs w:val="21"/>
          <w:highlight w:val="none"/>
        </w:rPr>
        <w:t>规定的</w:t>
      </w:r>
      <w:r>
        <w:rPr>
          <w:rFonts w:hint="eastAsia" w:ascii="宋体" w:hAnsi="宋体" w:cs="宋体"/>
          <w:kern w:val="0"/>
          <w:szCs w:val="21"/>
          <w:highlight w:val="none"/>
        </w:rPr>
        <w:t>提交</w:t>
      </w:r>
      <w:r>
        <w:rPr>
          <w:rFonts w:hint="eastAsia" w:ascii="宋体" w:hAnsi="宋体"/>
          <w:szCs w:val="21"/>
          <w:highlight w:val="none"/>
        </w:rPr>
        <w:t>投标文件</w:t>
      </w:r>
      <w:r>
        <w:rPr>
          <w:rFonts w:hint="eastAsia" w:ascii="宋体" w:hAnsi="宋体" w:cs="宋体"/>
          <w:kern w:val="0"/>
          <w:szCs w:val="21"/>
          <w:highlight w:val="none"/>
        </w:rPr>
        <w:t>截止时间</w:t>
      </w:r>
      <w:r>
        <w:rPr>
          <w:rFonts w:hint="eastAsia" w:ascii="宋体" w:hAnsi="宋体"/>
          <w:szCs w:val="21"/>
          <w:highlight w:val="none"/>
        </w:rPr>
        <w:t>之日</w:t>
      </w:r>
      <w:r>
        <w:rPr>
          <w:rFonts w:hint="eastAsia" w:ascii="宋体" w:hAnsi="宋体" w:cs="Arial"/>
          <w:szCs w:val="21"/>
          <w:highlight w:val="none"/>
        </w:rPr>
        <w:t>起计算。</w:t>
      </w:r>
      <w:r>
        <w:rPr>
          <w:rFonts w:hint="eastAsia" w:ascii="宋体" w:hAnsi="宋体"/>
          <w:szCs w:val="21"/>
          <w:highlight w:val="none"/>
        </w:rPr>
        <w:t>投标文件有效期不足的将被视为无效文件。</w:t>
      </w:r>
    </w:p>
    <w:p w14:paraId="7790F326">
      <w:pPr>
        <w:adjustRightInd w:val="0"/>
        <w:snapToGrid w:val="0"/>
        <w:spacing w:line="360" w:lineRule="auto"/>
        <w:rPr>
          <w:rFonts w:ascii="宋体" w:hAnsi="宋体"/>
          <w:b/>
          <w:bCs/>
          <w:szCs w:val="21"/>
          <w:highlight w:val="none"/>
        </w:rPr>
      </w:pPr>
      <w:r>
        <w:rPr>
          <w:rFonts w:hint="eastAsia" w:ascii="宋体" w:hAnsi="宋体"/>
          <w:b/>
          <w:bCs/>
          <w:szCs w:val="21"/>
          <w:highlight w:val="none"/>
        </w:rPr>
        <w:t>19.</w:t>
      </w:r>
      <w:r>
        <w:rPr>
          <w:rFonts w:hint="eastAsia" w:ascii="宋体" w:hAnsi="宋体"/>
          <w:szCs w:val="21"/>
          <w:highlight w:val="none"/>
        </w:rPr>
        <w:t xml:space="preserve"> </w:t>
      </w:r>
      <w:r>
        <w:rPr>
          <w:rFonts w:hint="eastAsia" w:ascii="宋体" w:hAnsi="宋体"/>
          <w:b/>
          <w:bCs/>
          <w:szCs w:val="21"/>
          <w:highlight w:val="none"/>
        </w:rPr>
        <w:t>投标文件的签署及规定</w:t>
      </w:r>
    </w:p>
    <w:p w14:paraId="1E3BCE71">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19.1响应文件须上传政采云平台https://www.zcygov.cn/。</w:t>
      </w:r>
    </w:p>
    <w:p w14:paraId="30DD7FD6">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19.2 响应文件应按磋商文件要求签章处盖单位电子章和由法定代表人或其委托代理人签字；否则，将导致响应文件无效。</w:t>
      </w:r>
    </w:p>
    <w:p w14:paraId="6DBD05AF">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19.3 在磋商过程中，投标人按磋商文件规定和磋商小组要求提交的最后报价(或者重新提交的响应文件和最后报价)，投标人须登录政采云平台https://www.zcygov.cn/在线进行最终报价。否则，将导致最终报价无效。</w:t>
      </w:r>
    </w:p>
    <w:p w14:paraId="7A55A30A">
      <w:pPr>
        <w:pStyle w:val="3"/>
        <w:rPr>
          <w:highlight w:val="none"/>
        </w:rPr>
      </w:pPr>
      <w:bookmarkStart w:id="32" w:name="_Toc4533"/>
      <w:r>
        <w:rPr>
          <w:rFonts w:hint="eastAsia"/>
          <w:highlight w:val="none"/>
        </w:rPr>
        <w:t>四、响应文件的递交</w:t>
      </w:r>
      <w:bookmarkEnd w:id="32"/>
    </w:p>
    <w:p w14:paraId="3C769676">
      <w:pPr>
        <w:adjustRightInd w:val="0"/>
        <w:snapToGrid w:val="0"/>
        <w:spacing w:line="360" w:lineRule="auto"/>
        <w:ind w:firstLine="316" w:firstLineChars="150"/>
        <w:rPr>
          <w:rFonts w:ascii="宋体" w:hAnsi="宋体"/>
          <w:b/>
          <w:bCs/>
          <w:szCs w:val="21"/>
          <w:highlight w:val="none"/>
        </w:rPr>
      </w:pPr>
      <w:r>
        <w:rPr>
          <w:rFonts w:hint="eastAsia" w:ascii="宋体" w:hAnsi="宋体"/>
          <w:b/>
          <w:bCs/>
          <w:szCs w:val="21"/>
          <w:highlight w:val="none"/>
        </w:rPr>
        <w:t>20. 响应文件的密封和标记</w:t>
      </w:r>
    </w:p>
    <w:p w14:paraId="25EBB63A">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20.1响应文件“电子版”应通过政采云投标文件制作工具进行加密，在解密时间内（自开标时间起30分钟内），投标人登录政采云平台https://www.zcygov.cn/在线进行解密。</w:t>
      </w:r>
    </w:p>
    <w:p w14:paraId="197A7A5B">
      <w:pPr>
        <w:adjustRightInd w:val="0"/>
        <w:snapToGrid w:val="0"/>
        <w:spacing w:line="360" w:lineRule="auto"/>
        <w:ind w:firstLine="420" w:firstLineChars="200"/>
        <w:rPr>
          <w:rFonts w:ascii="宋体" w:hAnsi="宋体"/>
          <w:b/>
          <w:bCs/>
          <w:szCs w:val="21"/>
          <w:highlight w:val="none"/>
        </w:rPr>
      </w:pPr>
      <w:r>
        <w:rPr>
          <w:rFonts w:hint="eastAsia" w:ascii="宋体" w:hAnsi="宋体"/>
          <w:szCs w:val="21"/>
          <w:highlight w:val="none"/>
        </w:rPr>
        <w:t>20.2响应文件如果未按上述规定加密和解密，将导致代理机构无法接收响应文件。</w:t>
      </w:r>
      <w:r>
        <w:rPr>
          <w:rFonts w:hint="eastAsia" w:ascii="宋体" w:hAnsi="宋体"/>
          <w:b/>
          <w:bCs/>
          <w:szCs w:val="21"/>
          <w:highlight w:val="none"/>
        </w:rPr>
        <w:t>21.</w:t>
      </w:r>
      <w:r>
        <w:rPr>
          <w:rFonts w:hint="eastAsia" w:ascii="宋体" w:hAnsi="宋体"/>
          <w:szCs w:val="21"/>
          <w:highlight w:val="none"/>
        </w:rPr>
        <w:t xml:space="preserve"> </w:t>
      </w:r>
      <w:r>
        <w:rPr>
          <w:rFonts w:hint="eastAsia" w:ascii="宋体" w:hAnsi="宋体"/>
          <w:b/>
          <w:bCs/>
          <w:szCs w:val="21"/>
          <w:highlight w:val="none"/>
        </w:rPr>
        <w:t>投标文件的</w:t>
      </w:r>
      <w:r>
        <w:rPr>
          <w:rFonts w:hint="eastAsia" w:ascii="宋体" w:hAnsi="宋体" w:cs="宋体"/>
          <w:b/>
          <w:kern w:val="0"/>
          <w:szCs w:val="21"/>
          <w:highlight w:val="none"/>
          <w:lang w:val="zh-CN"/>
        </w:rPr>
        <w:t>补充、修改或者撤回</w:t>
      </w:r>
    </w:p>
    <w:p w14:paraId="277BBBC1">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21.1</w:t>
      </w:r>
      <w:r>
        <w:rPr>
          <w:rFonts w:hint="eastAsia" w:ascii="宋体" w:hAnsi="宋体" w:cs="宋体"/>
          <w:kern w:val="0"/>
          <w:sz w:val="21"/>
          <w:szCs w:val="21"/>
          <w:highlight w:val="none"/>
        </w:rPr>
        <w:t>投标人在</w:t>
      </w:r>
      <w:r>
        <w:rPr>
          <w:rFonts w:hint="eastAsia" w:ascii="宋体" w:hAnsi="宋体"/>
          <w:sz w:val="21"/>
          <w:szCs w:val="21"/>
          <w:highlight w:val="none"/>
        </w:rPr>
        <w:t>本章第11.1</w:t>
      </w:r>
      <w:r>
        <w:rPr>
          <w:rFonts w:hint="eastAsia" w:ascii="宋体" w:hAnsi="宋体" w:cs="宋体"/>
          <w:kern w:val="0"/>
          <w:sz w:val="21"/>
          <w:szCs w:val="21"/>
          <w:highlight w:val="none"/>
          <w:lang w:val="zh-CN"/>
        </w:rPr>
        <w:t>款</w:t>
      </w:r>
      <w:r>
        <w:rPr>
          <w:rFonts w:hint="eastAsia" w:ascii="宋体" w:hAnsi="宋体"/>
          <w:sz w:val="21"/>
          <w:szCs w:val="21"/>
          <w:highlight w:val="none"/>
        </w:rPr>
        <w:t>规定的</w:t>
      </w:r>
      <w:r>
        <w:rPr>
          <w:rFonts w:hint="eastAsia" w:ascii="宋体" w:hAnsi="宋体" w:cs="宋体"/>
          <w:kern w:val="0"/>
          <w:sz w:val="21"/>
          <w:szCs w:val="21"/>
          <w:highlight w:val="none"/>
        </w:rPr>
        <w:t>提交</w:t>
      </w:r>
      <w:r>
        <w:rPr>
          <w:rFonts w:hint="eastAsia" w:ascii="宋体" w:hAnsi="宋体"/>
          <w:sz w:val="21"/>
          <w:szCs w:val="21"/>
          <w:highlight w:val="none"/>
        </w:rPr>
        <w:t>投标文件</w:t>
      </w:r>
      <w:r>
        <w:rPr>
          <w:rFonts w:hint="eastAsia" w:ascii="宋体" w:hAnsi="宋体" w:cs="宋体"/>
          <w:kern w:val="0"/>
          <w:sz w:val="21"/>
          <w:szCs w:val="21"/>
          <w:highlight w:val="none"/>
        </w:rPr>
        <w:t>截止时间前，可以对所提交的</w:t>
      </w:r>
      <w:r>
        <w:rPr>
          <w:rFonts w:hint="eastAsia" w:ascii="宋体" w:hAnsi="宋体"/>
          <w:sz w:val="21"/>
          <w:szCs w:val="21"/>
          <w:highlight w:val="none"/>
        </w:rPr>
        <w:t>投标文件</w:t>
      </w:r>
      <w:r>
        <w:rPr>
          <w:rFonts w:hint="eastAsia" w:ascii="宋体" w:hAnsi="宋体" w:cs="宋体"/>
          <w:kern w:val="0"/>
          <w:sz w:val="21"/>
          <w:szCs w:val="21"/>
          <w:highlight w:val="none"/>
        </w:rPr>
        <w:t>进行补充、修改或者撤回，并书面通知采购人、代理机构。</w:t>
      </w:r>
      <w:r>
        <w:rPr>
          <w:rFonts w:hint="eastAsia" w:ascii="宋体" w:hAnsi="宋体"/>
          <w:sz w:val="21"/>
          <w:szCs w:val="21"/>
          <w:highlight w:val="none"/>
        </w:rPr>
        <w:t>该通知应有投标人法定代表人或其委托代理人签字。</w:t>
      </w:r>
    </w:p>
    <w:p w14:paraId="17E64884">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21.2</w:t>
      </w:r>
      <w:r>
        <w:rPr>
          <w:rFonts w:hint="eastAsia" w:ascii="宋体" w:hAnsi="宋体" w:cs="宋体"/>
          <w:kern w:val="0"/>
          <w:sz w:val="21"/>
          <w:szCs w:val="21"/>
          <w:highlight w:val="none"/>
          <w:lang w:val="zh-CN"/>
        </w:rPr>
        <w:t>补充、修改的内容与投标文件不一致时，以补充、修改的内容为准。</w:t>
      </w:r>
    </w:p>
    <w:p w14:paraId="17D131D6">
      <w:pPr>
        <w:adjustRightInd w:val="0"/>
        <w:snapToGrid w:val="0"/>
        <w:spacing w:line="360" w:lineRule="auto"/>
        <w:rPr>
          <w:rFonts w:ascii="宋体" w:hAnsi="宋体"/>
          <w:b/>
          <w:bCs/>
          <w:szCs w:val="21"/>
          <w:highlight w:val="none"/>
        </w:rPr>
      </w:pPr>
      <w:r>
        <w:rPr>
          <w:rFonts w:hint="eastAsia" w:ascii="宋体" w:hAnsi="宋体"/>
          <w:b/>
          <w:bCs/>
          <w:szCs w:val="21"/>
          <w:highlight w:val="none"/>
        </w:rPr>
        <w:t>22.</w:t>
      </w:r>
      <w:r>
        <w:rPr>
          <w:rFonts w:hint="eastAsia" w:ascii="宋体" w:hAnsi="宋体"/>
          <w:szCs w:val="21"/>
          <w:highlight w:val="none"/>
        </w:rPr>
        <w:t xml:space="preserve"> </w:t>
      </w:r>
      <w:r>
        <w:rPr>
          <w:rFonts w:hint="eastAsia" w:ascii="宋体" w:hAnsi="宋体"/>
          <w:b/>
          <w:bCs/>
          <w:szCs w:val="21"/>
          <w:highlight w:val="none"/>
        </w:rPr>
        <w:t>投标文件的递交与接收</w:t>
      </w:r>
    </w:p>
    <w:p w14:paraId="018941B4">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22.1 投标人应在本章第11.1</w:t>
      </w:r>
      <w:r>
        <w:rPr>
          <w:rFonts w:hint="eastAsia" w:ascii="宋体" w:hAnsi="宋体" w:cs="宋体"/>
          <w:kern w:val="0"/>
          <w:szCs w:val="21"/>
          <w:highlight w:val="none"/>
          <w:lang w:val="zh-CN"/>
        </w:rPr>
        <w:t>款</w:t>
      </w:r>
      <w:r>
        <w:rPr>
          <w:rFonts w:hint="eastAsia" w:ascii="宋体" w:hAnsi="宋体"/>
          <w:szCs w:val="21"/>
          <w:highlight w:val="none"/>
        </w:rPr>
        <w:t>规定的</w:t>
      </w:r>
      <w:r>
        <w:rPr>
          <w:rFonts w:hint="eastAsia" w:ascii="宋体" w:hAnsi="宋体" w:cs="宋体"/>
          <w:kern w:val="0"/>
          <w:szCs w:val="21"/>
          <w:highlight w:val="none"/>
        </w:rPr>
        <w:t>提交</w:t>
      </w:r>
      <w:r>
        <w:rPr>
          <w:rFonts w:hint="eastAsia" w:ascii="宋体" w:hAnsi="宋体"/>
          <w:szCs w:val="21"/>
          <w:highlight w:val="none"/>
        </w:rPr>
        <w:t>投标文件</w:t>
      </w:r>
      <w:r>
        <w:rPr>
          <w:rFonts w:hint="eastAsia" w:ascii="宋体" w:hAnsi="宋体" w:cs="宋体"/>
          <w:kern w:val="0"/>
          <w:szCs w:val="21"/>
          <w:highlight w:val="none"/>
        </w:rPr>
        <w:t>截止时间</w:t>
      </w:r>
      <w:r>
        <w:rPr>
          <w:rFonts w:hint="eastAsia" w:ascii="宋体" w:hAnsi="宋体"/>
          <w:szCs w:val="21"/>
          <w:highlight w:val="none"/>
        </w:rPr>
        <w:t>前，将投标文件送</w:t>
      </w:r>
      <w:r>
        <w:rPr>
          <w:rFonts w:hint="eastAsia" w:ascii="宋体" w:hAnsi="宋体" w:cs="Arial"/>
          <w:szCs w:val="21"/>
          <w:highlight w:val="none"/>
        </w:rPr>
        <w:t>达</w:t>
      </w:r>
      <w:r>
        <w:rPr>
          <w:rFonts w:hint="eastAsia" w:ascii="宋体" w:hAnsi="宋体"/>
          <w:b/>
          <w:szCs w:val="21"/>
          <w:highlight w:val="none"/>
        </w:rPr>
        <w:t>投标须知前附表</w:t>
      </w:r>
      <w:r>
        <w:rPr>
          <w:rFonts w:hint="eastAsia" w:ascii="宋体" w:hAnsi="宋体"/>
          <w:szCs w:val="21"/>
          <w:highlight w:val="none"/>
        </w:rPr>
        <w:t>中指定的地点。</w:t>
      </w:r>
      <w:r>
        <w:rPr>
          <w:rFonts w:hint="eastAsia" w:ascii="宋体" w:hAnsi="宋体" w:cs="宋体"/>
          <w:kern w:val="0"/>
          <w:szCs w:val="21"/>
          <w:highlight w:val="none"/>
        </w:rPr>
        <w:t>在截止时间后送达的</w:t>
      </w:r>
      <w:r>
        <w:rPr>
          <w:rFonts w:hint="eastAsia" w:ascii="宋体" w:hAnsi="宋体"/>
          <w:szCs w:val="21"/>
          <w:highlight w:val="none"/>
        </w:rPr>
        <w:t>投标文件</w:t>
      </w:r>
      <w:r>
        <w:rPr>
          <w:rFonts w:hint="eastAsia" w:ascii="宋体" w:hAnsi="宋体" w:cs="宋体"/>
          <w:kern w:val="0"/>
          <w:szCs w:val="21"/>
          <w:highlight w:val="none"/>
        </w:rPr>
        <w:t>，采购人、代理机构或者评审小组将拒收。</w:t>
      </w:r>
    </w:p>
    <w:p w14:paraId="3177E931">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22.2</w:t>
      </w:r>
      <w:r>
        <w:rPr>
          <w:rFonts w:hint="eastAsia" w:ascii="宋体" w:hAnsi="宋体" w:cs="宋体"/>
          <w:kern w:val="0"/>
          <w:sz w:val="21"/>
          <w:szCs w:val="21"/>
          <w:highlight w:val="none"/>
        </w:rPr>
        <w:t>在</w:t>
      </w:r>
      <w:r>
        <w:rPr>
          <w:rFonts w:hint="eastAsia" w:ascii="宋体" w:hAnsi="宋体"/>
          <w:sz w:val="21"/>
          <w:szCs w:val="21"/>
          <w:highlight w:val="none"/>
        </w:rPr>
        <w:t>本章第11.1</w:t>
      </w:r>
      <w:r>
        <w:rPr>
          <w:rFonts w:hint="eastAsia" w:ascii="宋体" w:hAnsi="宋体" w:cs="宋体"/>
          <w:kern w:val="0"/>
          <w:sz w:val="21"/>
          <w:szCs w:val="21"/>
          <w:highlight w:val="none"/>
          <w:lang w:val="zh-CN"/>
        </w:rPr>
        <w:t>款</w:t>
      </w:r>
      <w:r>
        <w:rPr>
          <w:rFonts w:hint="eastAsia" w:ascii="宋体" w:hAnsi="宋体"/>
          <w:sz w:val="21"/>
          <w:szCs w:val="21"/>
          <w:highlight w:val="none"/>
        </w:rPr>
        <w:t>规定的</w:t>
      </w:r>
      <w:r>
        <w:rPr>
          <w:rFonts w:hint="eastAsia" w:ascii="宋体" w:hAnsi="宋体" w:cs="宋体"/>
          <w:kern w:val="0"/>
          <w:sz w:val="21"/>
          <w:szCs w:val="21"/>
          <w:highlight w:val="none"/>
        </w:rPr>
        <w:t>提交</w:t>
      </w:r>
      <w:r>
        <w:rPr>
          <w:rFonts w:hint="eastAsia" w:ascii="宋体" w:hAnsi="宋体"/>
          <w:sz w:val="21"/>
          <w:szCs w:val="21"/>
          <w:highlight w:val="none"/>
        </w:rPr>
        <w:t>投标文件</w:t>
      </w:r>
      <w:r>
        <w:rPr>
          <w:rFonts w:hint="eastAsia" w:ascii="宋体" w:hAnsi="宋体" w:cs="宋体"/>
          <w:kern w:val="0"/>
          <w:sz w:val="21"/>
          <w:szCs w:val="21"/>
          <w:highlight w:val="none"/>
        </w:rPr>
        <w:t>截止时间后，</w:t>
      </w:r>
      <w:r>
        <w:rPr>
          <w:rFonts w:hint="eastAsia" w:ascii="宋体" w:hAnsi="宋体"/>
          <w:sz w:val="21"/>
          <w:szCs w:val="21"/>
          <w:highlight w:val="none"/>
        </w:rPr>
        <w:t>由</w:t>
      </w:r>
      <w:r>
        <w:rPr>
          <w:rFonts w:hint="eastAsia" w:ascii="宋体" w:hAnsi="宋体"/>
          <w:bCs/>
          <w:sz w:val="21"/>
          <w:szCs w:val="21"/>
          <w:highlight w:val="none"/>
        </w:rPr>
        <w:t>投标人代表</w:t>
      </w:r>
      <w:r>
        <w:rPr>
          <w:rFonts w:hint="eastAsia" w:ascii="宋体" w:hAnsi="宋体"/>
          <w:sz w:val="21"/>
          <w:szCs w:val="21"/>
          <w:highlight w:val="none"/>
        </w:rPr>
        <w:t>当场查验投标文件的密封状况，采购人或</w:t>
      </w:r>
      <w:r>
        <w:rPr>
          <w:rFonts w:hint="eastAsia" w:ascii="宋体" w:hAnsi="宋体"/>
          <w:bCs/>
          <w:sz w:val="21"/>
          <w:szCs w:val="21"/>
          <w:highlight w:val="none"/>
        </w:rPr>
        <w:t>代理机构</w:t>
      </w:r>
      <w:r>
        <w:rPr>
          <w:rFonts w:hint="eastAsia" w:ascii="宋体" w:hAnsi="宋体"/>
          <w:sz w:val="21"/>
          <w:szCs w:val="21"/>
          <w:highlight w:val="none"/>
        </w:rPr>
        <w:t>当场拆封投标文件。</w:t>
      </w:r>
    </w:p>
    <w:p w14:paraId="3C90A715">
      <w:pPr>
        <w:pStyle w:val="3"/>
        <w:rPr>
          <w:rFonts w:ascii="宋体" w:hAnsi="宋体"/>
          <w:sz w:val="21"/>
          <w:szCs w:val="21"/>
          <w:highlight w:val="none"/>
        </w:rPr>
      </w:pPr>
      <w:bookmarkStart w:id="33" w:name="_Toc420948013"/>
      <w:bookmarkStart w:id="34" w:name="_Toc22584"/>
      <w:r>
        <w:rPr>
          <w:rFonts w:hint="eastAsia" w:ascii="宋体" w:hAnsi="宋体"/>
          <w:sz w:val="21"/>
          <w:szCs w:val="21"/>
          <w:highlight w:val="none"/>
        </w:rPr>
        <w:t>五、投标文件的评审</w:t>
      </w:r>
      <w:bookmarkEnd w:id="33"/>
      <w:bookmarkEnd w:id="34"/>
    </w:p>
    <w:p w14:paraId="3A229114">
      <w:pPr>
        <w:tabs>
          <w:tab w:val="left" w:pos="0"/>
        </w:tabs>
        <w:adjustRightInd w:val="0"/>
        <w:snapToGrid w:val="0"/>
        <w:spacing w:line="360" w:lineRule="auto"/>
        <w:rPr>
          <w:rFonts w:ascii="宋体" w:hAnsi="宋体"/>
          <w:b/>
          <w:bCs/>
          <w:szCs w:val="21"/>
          <w:highlight w:val="none"/>
        </w:rPr>
      </w:pPr>
      <w:r>
        <w:rPr>
          <w:rFonts w:hint="eastAsia" w:ascii="宋体" w:hAnsi="宋体"/>
          <w:b/>
          <w:bCs/>
          <w:szCs w:val="21"/>
          <w:highlight w:val="none"/>
        </w:rPr>
        <w:t>23.</w:t>
      </w:r>
      <w:r>
        <w:rPr>
          <w:rFonts w:hint="eastAsia" w:ascii="宋体" w:hAnsi="宋体"/>
          <w:szCs w:val="21"/>
          <w:highlight w:val="none"/>
        </w:rPr>
        <w:t xml:space="preserve"> </w:t>
      </w:r>
      <w:r>
        <w:rPr>
          <w:rFonts w:hint="eastAsia" w:ascii="宋体" w:hAnsi="宋体"/>
          <w:b/>
          <w:bCs/>
          <w:szCs w:val="21"/>
          <w:highlight w:val="none"/>
        </w:rPr>
        <w:t>开标程序</w:t>
      </w:r>
    </w:p>
    <w:p w14:paraId="5CCDA094">
      <w:pPr>
        <w:tabs>
          <w:tab w:val="left" w:pos="0"/>
        </w:tabs>
        <w:adjustRightInd w:val="0"/>
        <w:snapToGrid w:val="0"/>
        <w:spacing w:line="360" w:lineRule="auto"/>
        <w:ind w:firstLine="420" w:firstLineChars="200"/>
        <w:rPr>
          <w:rFonts w:ascii="宋体" w:hAnsi="宋体"/>
          <w:bCs/>
          <w:szCs w:val="21"/>
          <w:highlight w:val="none"/>
        </w:rPr>
      </w:pPr>
      <w:r>
        <w:rPr>
          <w:rFonts w:hint="eastAsia" w:ascii="宋体" w:hAnsi="宋体" w:cs="宋体"/>
          <w:kern w:val="0"/>
          <w:szCs w:val="21"/>
          <w:highlight w:val="none"/>
        </w:rPr>
        <w:t>23.1开标程序：初步审查（资格性审查、符合性审查），澄清、磋商、综合评分、推荐候选投标人</w:t>
      </w:r>
      <w:r>
        <w:rPr>
          <w:rFonts w:hint="eastAsia" w:ascii="宋体" w:hAnsi="宋体"/>
          <w:bCs/>
          <w:szCs w:val="21"/>
          <w:highlight w:val="none"/>
        </w:rPr>
        <w:t>。</w:t>
      </w:r>
    </w:p>
    <w:p w14:paraId="45B20330">
      <w:pPr>
        <w:tabs>
          <w:tab w:val="left" w:pos="0"/>
        </w:tabs>
        <w:adjustRightInd w:val="0"/>
        <w:snapToGrid w:val="0"/>
        <w:spacing w:line="360" w:lineRule="auto"/>
        <w:ind w:firstLine="420" w:firstLineChars="200"/>
        <w:rPr>
          <w:rFonts w:ascii="宋体" w:hAnsi="宋体"/>
          <w:bCs/>
          <w:szCs w:val="21"/>
          <w:highlight w:val="none"/>
        </w:rPr>
      </w:pPr>
      <w:r>
        <w:rPr>
          <w:rFonts w:hint="eastAsia" w:ascii="宋体" w:hAnsi="宋体"/>
          <w:bCs/>
          <w:szCs w:val="21"/>
          <w:highlight w:val="none"/>
        </w:rPr>
        <w:t>23.2评审小组成员应当按照客观、公正、审慎的原则，根据采购文件规定的评审程序、评审方法和评审标准进行独立评审。</w:t>
      </w:r>
    </w:p>
    <w:p w14:paraId="06C21738">
      <w:pPr>
        <w:tabs>
          <w:tab w:val="left" w:pos="0"/>
        </w:tabs>
        <w:adjustRightInd w:val="0"/>
        <w:snapToGrid w:val="0"/>
        <w:spacing w:line="360" w:lineRule="auto"/>
        <w:ind w:firstLine="420" w:firstLineChars="200"/>
        <w:rPr>
          <w:rFonts w:ascii="宋体" w:hAnsi="宋体"/>
          <w:bCs/>
          <w:szCs w:val="21"/>
          <w:highlight w:val="none"/>
        </w:rPr>
      </w:pPr>
      <w:r>
        <w:rPr>
          <w:rFonts w:hint="eastAsia" w:ascii="宋体" w:hAnsi="宋体"/>
          <w:bCs/>
          <w:szCs w:val="21"/>
          <w:highlight w:val="none"/>
        </w:rPr>
        <w:t>23.2</w:t>
      </w:r>
      <w:r>
        <w:rPr>
          <w:rFonts w:hint="eastAsia" w:ascii="宋体" w:hAnsi="宋体" w:cs="宋体"/>
          <w:kern w:val="0"/>
          <w:szCs w:val="21"/>
          <w:highlight w:val="none"/>
        </w:rPr>
        <w:t>评审按</w:t>
      </w:r>
      <w:r>
        <w:rPr>
          <w:rFonts w:hint="eastAsia" w:ascii="宋体" w:hAnsi="宋体"/>
          <w:szCs w:val="21"/>
          <w:highlight w:val="none"/>
        </w:rPr>
        <w:t>本章第28.1</w:t>
      </w:r>
      <w:r>
        <w:rPr>
          <w:rFonts w:hint="eastAsia" w:ascii="宋体" w:hAnsi="宋体" w:cs="宋体"/>
          <w:kern w:val="0"/>
          <w:szCs w:val="21"/>
          <w:highlight w:val="none"/>
          <w:lang w:val="zh-CN"/>
        </w:rPr>
        <w:t>款或者</w:t>
      </w:r>
      <w:r>
        <w:rPr>
          <w:rFonts w:hint="eastAsia" w:ascii="宋体" w:hAnsi="宋体"/>
          <w:szCs w:val="21"/>
          <w:highlight w:val="none"/>
        </w:rPr>
        <w:t>第28.2</w:t>
      </w:r>
      <w:r>
        <w:rPr>
          <w:rFonts w:hint="eastAsia" w:ascii="宋体" w:hAnsi="宋体" w:cs="宋体"/>
          <w:kern w:val="0"/>
          <w:szCs w:val="21"/>
          <w:highlight w:val="none"/>
          <w:lang w:val="zh-CN"/>
        </w:rPr>
        <w:t>款</w:t>
      </w:r>
      <w:r>
        <w:rPr>
          <w:rFonts w:hint="eastAsia" w:ascii="宋体" w:hAnsi="宋体"/>
          <w:szCs w:val="21"/>
          <w:highlight w:val="none"/>
        </w:rPr>
        <w:t>情形</w:t>
      </w:r>
      <w:r>
        <w:rPr>
          <w:rFonts w:hint="eastAsia" w:ascii="宋体" w:hAnsi="宋体"/>
          <w:bCs/>
          <w:szCs w:val="21"/>
          <w:highlight w:val="none"/>
        </w:rPr>
        <w:t>进行。</w:t>
      </w:r>
    </w:p>
    <w:p w14:paraId="16D8C26A">
      <w:pPr>
        <w:tabs>
          <w:tab w:val="left" w:pos="0"/>
        </w:tabs>
        <w:adjustRightInd w:val="0"/>
        <w:snapToGrid w:val="0"/>
        <w:spacing w:line="360" w:lineRule="auto"/>
        <w:rPr>
          <w:rFonts w:ascii="宋体" w:hAnsi="宋体"/>
          <w:b/>
          <w:szCs w:val="21"/>
          <w:highlight w:val="none"/>
        </w:rPr>
      </w:pPr>
      <w:r>
        <w:rPr>
          <w:rFonts w:hint="eastAsia" w:ascii="宋体" w:hAnsi="宋体"/>
          <w:b/>
          <w:szCs w:val="21"/>
          <w:highlight w:val="none"/>
        </w:rPr>
        <w:t>24.初步审查</w:t>
      </w:r>
    </w:p>
    <w:p w14:paraId="24D2F6B4">
      <w:pPr>
        <w:adjustRightInd w:val="0"/>
        <w:snapToGrid w:val="0"/>
        <w:spacing w:line="360" w:lineRule="auto"/>
        <w:ind w:firstLine="420" w:firstLineChars="200"/>
        <w:rPr>
          <w:rFonts w:ascii="宋体" w:hAnsi="宋体" w:cs="宋体"/>
          <w:kern w:val="0"/>
          <w:szCs w:val="21"/>
          <w:highlight w:val="none"/>
        </w:rPr>
      </w:pPr>
      <w:r>
        <w:rPr>
          <w:rFonts w:hint="eastAsia" w:ascii="宋体" w:hAnsi="宋体"/>
          <w:szCs w:val="21"/>
          <w:highlight w:val="none"/>
        </w:rPr>
        <w:t>24.1评审小组对参加投标的单位提交的</w:t>
      </w:r>
      <w:r>
        <w:rPr>
          <w:rFonts w:hint="eastAsia" w:ascii="宋体" w:hAnsi="宋体" w:cs="宋体"/>
          <w:kern w:val="0"/>
          <w:szCs w:val="21"/>
          <w:highlight w:val="none"/>
        </w:rPr>
        <w:t>首次投标文件进行初步审查。</w:t>
      </w:r>
      <w:r>
        <w:rPr>
          <w:rFonts w:hint="eastAsia" w:ascii="宋体" w:hAnsi="宋体"/>
          <w:bCs/>
          <w:szCs w:val="21"/>
          <w:highlight w:val="none"/>
        </w:rPr>
        <w:t>投标文件不符合资格性审查及符合性审查条件的，</w:t>
      </w:r>
      <w:r>
        <w:rPr>
          <w:rFonts w:hint="eastAsia" w:ascii="宋体" w:hAnsi="宋体" w:cs="宋体"/>
          <w:kern w:val="0"/>
          <w:szCs w:val="21"/>
          <w:highlight w:val="none"/>
          <w:lang w:val="zh-CN"/>
        </w:rPr>
        <w:t>其投标文件无效，</w:t>
      </w:r>
      <w:r>
        <w:rPr>
          <w:rFonts w:hint="eastAsia" w:ascii="宋体" w:hAnsi="宋体" w:cs="宋体"/>
          <w:kern w:val="0"/>
          <w:szCs w:val="21"/>
          <w:highlight w:val="none"/>
        </w:rPr>
        <w:t>评审小组应当告知有关</w:t>
      </w:r>
      <w:r>
        <w:rPr>
          <w:rFonts w:hint="eastAsia" w:ascii="宋体" w:hAnsi="宋体"/>
          <w:szCs w:val="21"/>
          <w:highlight w:val="none"/>
        </w:rPr>
        <w:t>磋商单位</w:t>
      </w:r>
      <w:r>
        <w:rPr>
          <w:rFonts w:hint="eastAsia" w:ascii="宋体" w:hAnsi="宋体" w:cs="宋体"/>
          <w:kern w:val="0"/>
          <w:szCs w:val="21"/>
          <w:highlight w:val="none"/>
        </w:rPr>
        <w:t>。</w:t>
      </w:r>
    </w:p>
    <w:p w14:paraId="4ABC874D">
      <w:pPr>
        <w:widowControl/>
        <w:adjustRightInd w:val="0"/>
        <w:snapToGrid w:val="0"/>
        <w:spacing w:line="360" w:lineRule="auto"/>
        <w:rPr>
          <w:rFonts w:ascii="宋体" w:hAnsi="宋体" w:cs="宋体"/>
          <w:b/>
          <w:kern w:val="0"/>
          <w:szCs w:val="21"/>
          <w:highlight w:val="none"/>
        </w:rPr>
      </w:pPr>
      <w:r>
        <w:rPr>
          <w:rFonts w:hint="eastAsia" w:ascii="宋体" w:hAnsi="宋体" w:cs="宋体"/>
          <w:b/>
          <w:kern w:val="0"/>
          <w:szCs w:val="21"/>
          <w:highlight w:val="none"/>
        </w:rPr>
        <w:t>25.资格审查</w:t>
      </w:r>
    </w:p>
    <w:p w14:paraId="3F9CA625">
      <w:pPr>
        <w:adjustRightInd w:val="0"/>
        <w:snapToGrid w:val="0"/>
        <w:spacing w:line="360" w:lineRule="auto"/>
        <w:ind w:firstLine="420" w:firstLineChars="200"/>
        <w:jc w:val="left"/>
        <w:rPr>
          <w:rFonts w:ascii="宋体" w:hAnsi="宋体"/>
          <w:szCs w:val="21"/>
          <w:highlight w:val="none"/>
        </w:rPr>
      </w:pPr>
      <w:r>
        <w:rPr>
          <w:rFonts w:hint="eastAsia" w:ascii="宋体" w:hAnsi="宋体"/>
          <w:bCs/>
          <w:szCs w:val="21"/>
          <w:highlight w:val="none"/>
        </w:rPr>
        <w:t>25.1</w:t>
      </w:r>
      <w:r>
        <w:rPr>
          <w:rFonts w:hint="eastAsia" w:ascii="宋体" w:hAnsi="宋体"/>
          <w:szCs w:val="21"/>
          <w:highlight w:val="none"/>
        </w:rPr>
        <w:t>资格性检查。依据法律法规和采购文件的规定，对投标文件中的资格证明进行审查，以确定投标人是否具备投标资格。</w:t>
      </w:r>
    </w:p>
    <w:p w14:paraId="426CEFCD">
      <w:pPr>
        <w:pStyle w:val="18"/>
        <w:rPr>
          <w:highlight w:val="none"/>
        </w:rPr>
      </w:pPr>
      <w:bookmarkStart w:id="35" w:name="_Hlk170838999"/>
      <w:r>
        <w:rPr>
          <w:rFonts w:hint="eastAsia"/>
          <w:highlight w:val="none"/>
        </w:rPr>
        <w:t>标项1</w:t>
      </w:r>
      <w:r>
        <w:rPr>
          <w:highlight w:val="none"/>
        </w:rPr>
        <w:t xml:space="preserve"> </w:t>
      </w:r>
      <w:r>
        <w:rPr>
          <w:rFonts w:hint="eastAsia"/>
          <w:highlight w:val="none"/>
        </w:rPr>
        <w:t>、标项2</w:t>
      </w:r>
      <w:r>
        <w:rPr>
          <w:rFonts w:hint="eastAsia"/>
          <w:highlight w:val="none"/>
          <w:lang w:eastAsia="zh-CN"/>
        </w:rPr>
        <w:t>、标项</w:t>
      </w:r>
      <w:r>
        <w:rPr>
          <w:rFonts w:hint="eastAsia"/>
          <w:highlight w:val="none"/>
          <w:lang w:val="en-US" w:eastAsia="zh-CN"/>
        </w:rPr>
        <w:t>3标项4、标项5、标项6、标项7、标项8、</w:t>
      </w:r>
      <w:r>
        <w:rPr>
          <w:rFonts w:hint="eastAsia"/>
          <w:highlight w:val="none"/>
        </w:rPr>
        <w:t>：</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3490"/>
        <w:gridCol w:w="4351"/>
      </w:tblGrid>
      <w:tr w14:paraId="00C4D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blHeader/>
          <w:jc w:val="center"/>
        </w:trPr>
        <w:tc>
          <w:tcPr>
            <w:tcW w:w="403" w:type="pct"/>
            <w:vAlign w:val="center"/>
          </w:tcPr>
          <w:p w14:paraId="42E74E7B">
            <w:pPr>
              <w:jc w:val="center"/>
              <w:rPr>
                <w:rFonts w:ascii="宋体" w:hAnsi="宋体" w:cs="仿宋"/>
                <w:b/>
                <w:bCs/>
                <w:szCs w:val="21"/>
                <w:highlight w:val="none"/>
              </w:rPr>
            </w:pPr>
            <w:r>
              <w:rPr>
                <w:rFonts w:hint="eastAsia" w:ascii="宋体" w:hAnsi="宋体" w:cs="仿宋"/>
                <w:b/>
                <w:bCs/>
                <w:szCs w:val="21"/>
                <w:highlight w:val="none"/>
              </w:rPr>
              <w:t>序号</w:t>
            </w:r>
          </w:p>
        </w:tc>
        <w:tc>
          <w:tcPr>
            <w:tcW w:w="2046" w:type="pct"/>
            <w:vAlign w:val="center"/>
          </w:tcPr>
          <w:p w14:paraId="14747537">
            <w:pPr>
              <w:jc w:val="center"/>
              <w:rPr>
                <w:rFonts w:ascii="宋体" w:hAnsi="宋体" w:cs="仿宋"/>
                <w:b/>
                <w:bCs/>
                <w:szCs w:val="21"/>
                <w:highlight w:val="none"/>
              </w:rPr>
            </w:pPr>
            <w:r>
              <w:rPr>
                <w:rFonts w:hint="eastAsia" w:ascii="宋体" w:hAnsi="宋体" w:cs="仿宋"/>
                <w:b/>
                <w:bCs/>
                <w:szCs w:val="21"/>
                <w:highlight w:val="none"/>
              </w:rPr>
              <w:t>检查因素</w:t>
            </w:r>
          </w:p>
        </w:tc>
        <w:tc>
          <w:tcPr>
            <w:tcW w:w="2552" w:type="pct"/>
            <w:vAlign w:val="center"/>
          </w:tcPr>
          <w:p w14:paraId="3CF9D357">
            <w:pPr>
              <w:jc w:val="center"/>
              <w:rPr>
                <w:rFonts w:ascii="宋体" w:hAnsi="宋体" w:cs="仿宋"/>
                <w:b/>
                <w:bCs/>
                <w:szCs w:val="21"/>
                <w:highlight w:val="none"/>
              </w:rPr>
            </w:pPr>
            <w:r>
              <w:rPr>
                <w:rFonts w:hint="eastAsia" w:ascii="宋体" w:hAnsi="宋体" w:cs="仿宋"/>
                <w:b/>
                <w:bCs/>
                <w:szCs w:val="21"/>
                <w:highlight w:val="none"/>
              </w:rPr>
              <w:t>检查内容</w:t>
            </w:r>
          </w:p>
        </w:tc>
      </w:tr>
      <w:tr w14:paraId="3360F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9" w:hRule="atLeast"/>
          <w:jc w:val="center"/>
        </w:trPr>
        <w:tc>
          <w:tcPr>
            <w:tcW w:w="403" w:type="pct"/>
            <w:vAlign w:val="center"/>
          </w:tcPr>
          <w:p w14:paraId="6748E31D">
            <w:pPr>
              <w:spacing w:line="360" w:lineRule="exact"/>
              <w:rPr>
                <w:rFonts w:ascii="宋体" w:hAnsi="宋体"/>
                <w:szCs w:val="21"/>
                <w:highlight w:val="none"/>
              </w:rPr>
            </w:pPr>
            <w:r>
              <w:rPr>
                <w:rFonts w:hint="eastAsia" w:ascii="宋体" w:hAnsi="宋体"/>
                <w:szCs w:val="21"/>
                <w:highlight w:val="none"/>
              </w:rPr>
              <w:t>一</w:t>
            </w:r>
          </w:p>
        </w:tc>
        <w:tc>
          <w:tcPr>
            <w:tcW w:w="2046" w:type="pct"/>
            <w:vAlign w:val="center"/>
          </w:tcPr>
          <w:p w14:paraId="71B30B36">
            <w:pPr>
              <w:spacing w:line="360" w:lineRule="exact"/>
              <w:textAlignment w:val="baseline"/>
              <w:rPr>
                <w:rFonts w:ascii="宋体" w:hAnsi="宋体"/>
                <w:szCs w:val="21"/>
                <w:highlight w:val="none"/>
              </w:rPr>
            </w:pPr>
            <w:r>
              <w:rPr>
                <w:rFonts w:hint="eastAsia" w:ascii="宋体" w:hAnsi="宋体"/>
                <w:szCs w:val="21"/>
                <w:highlight w:val="none"/>
              </w:rPr>
              <w:t>符合《中华人民共和国政府采购法》第二十二条规定</w:t>
            </w:r>
          </w:p>
          <w:p w14:paraId="2731185A">
            <w:pPr>
              <w:spacing w:line="360" w:lineRule="exact"/>
              <w:textAlignment w:val="baseline"/>
              <w:rPr>
                <w:rFonts w:ascii="宋体" w:hAnsi="宋体"/>
                <w:szCs w:val="21"/>
                <w:highlight w:val="none"/>
              </w:rPr>
            </w:pPr>
            <w:r>
              <w:rPr>
                <w:rFonts w:hint="eastAsia" w:ascii="宋体" w:hAnsi="宋体"/>
                <w:szCs w:val="21"/>
                <w:highlight w:val="none"/>
              </w:rPr>
              <w:t>（1）具有独立承担民事责任的能力</w:t>
            </w:r>
          </w:p>
          <w:p w14:paraId="373918D4">
            <w:pPr>
              <w:spacing w:line="360" w:lineRule="exact"/>
              <w:rPr>
                <w:rFonts w:ascii="宋体" w:hAnsi="宋体"/>
                <w:szCs w:val="21"/>
                <w:highlight w:val="none"/>
              </w:rPr>
            </w:pPr>
            <w:r>
              <w:rPr>
                <w:rFonts w:hint="eastAsia" w:ascii="宋体" w:hAnsi="宋体"/>
                <w:szCs w:val="21"/>
                <w:highlight w:val="none"/>
              </w:rPr>
              <w:t>（2）具有良好的商业信誉和健全的财务会计制度</w:t>
            </w:r>
          </w:p>
          <w:p w14:paraId="17532673">
            <w:pPr>
              <w:spacing w:line="360" w:lineRule="exact"/>
              <w:rPr>
                <w:rFonts w:ascii="宋体" w:hAnsi="宋体"/>
                <w:szCs w:val="21"/>
                <w:highlight w:val="none"/>
              </w:rPr>
            </w:pPr>
            <w:r>
              <w:rPr>
                <w:rFonts w:hint="eastAsia" w:ascii="宋体" w:hAnsi="宋体"/>
                <w:szCs w:val="21"/>
                <w:highlight w:val="none"/>
              </w:rPr>
              <w:t>（3）具有履行合同所必需的设备和专业技术能力</w:t>
            </w:r>
          </w:p>
          <w:p w14:paraId="2F5FB7DF">
            <w:pPr>
              <w:spacing w:line="360" w:lineRule="exact"/>
              <w:rPr>
                <w:rFonts w:ascii="宋体" w:hAnsi="宋体"/>
                <w:szCs w:val="21"/>
                <w:highlight w:val="none"/>
              </w:rPr>
            </w:pPr>
            <w:r>
              <w:rPr>
                <w:rFonts w:hint="eastAsia" w:ascii="宋体" w:hAnsi="宋体"/>
                <w:szCs w:val="21"/>
                <w:highlight w:val="none"/>
              </w:rPr>
              <w:t>（4）有依法缴纳税收和社会保障资金的良好记录</w:t>
            </w:r>
          </w:p>
          <w:p w14:paraId="5E6C3914">
            <w:pPr>
              <w:spacing w:line="360" w:lineRule="exact"/>
              <w:rPr>
                <w:rFonts w:ascii="宋体" w:hAnsi="宋体"/>
                <w:szCs w:val="21"/>
                <w:highlight w:val="none"/>
              </w:rPr>
            </w:pPr>
            <w:r>
              <w:rPr>
                <w:rFonts w:hint="eastAsia" w:ascii="宋体" w:hAnsi="宋体"/>
                <w:szCs w:val="21"/>
                <w:highlight w:val="none"/>
              </w:rPr>
              <w:t>（5）参加政府采购活动前三年内，在经营活动中没有重大违法记录</w:t>
            </w:r>
          </w:p>
        </w:tc>
        <w:tc>
          <w:tcPr>
            <w:tcW w:w="2552" w:type="pct"/>
            <w:vAlign w:val="center"/>
          </w:tcPr>
          <w:p w14:paraId="004D3CF5">
            <w:pPr>
              <w:pStyle w:val="18"/>
              <w:rPr>
                <w:rFonts w:hint="eastAsia"/>
                <w:highlight w:val="none"/>
              </w:rPr>
            </w:pPr>
            <w:r>
              <w:rPr>
                <w:rFonts w:hint="eastAsia"/>
                <w:highlight w:val="none"/>
              </w:rPr>
              <w:t>（一）有效的营业执照或其他有独立承担民事责任能力的证明文件。</w:t>
            </w:r>
          </w:p>
          <w:p w14:paraId="345EDC4A">
            <w:pPr>
              <w:pStyle w:val="18"/>
              <w:rPr>
                <w:rFonts w:hint="eastAsia"/>
                <w:highlight w:val="none"/>
              </w:rPr>
            </w:pPr>
            <w:r>
              <w:rPr>
                <w:rFonts w:hint="eastAsia"/>
                <w:highlight w:val="none"/>
              </w:rPr>
              <w:t>（二）提供</w:t>
            </w:r>
            <w:r>
              <w:rPr>
                <w:rFonts w:hint="eastAsia"/>
                <w:highlight w:val="none"/>
                <w:lang w:val="en-US" w:eastAsia="zh-CN"/>
              </w:rPr>
              <w:t>2024年</w:t>
            </w:r>
            <w:r>
              <w:rPr>
                <w:rFonts w:hint="eastAsia"/>
                <w:highlight w:val="none"/>
              </w:rPr>
              <w:t>经第三方财务审计的审计报告，</w:t>
            </w:r>
            <w:r>
              <w:rPr>
                <w:rFonts w:hint="eastAsia"/>
                <w:highlight w:val="none"/>
                <w:lang w:eastAsia="zh-CN"/>
              </w:rPr>
              <w:t>（</w:t>
            </w:r>
            <w:r>
              <w:rPr>
                <w:rFonts w:hint="eastAsia"/>
                <w:highlight w:val="none"/>
              </w:rPr>
              <w:t>审计报告须包括现金流量表、</w:t>
            </w:r>
            <w:r>
              <w:rPr>
                <w:rFonts w:hint="eastAsia"/>
                <w:highlight w:val="none"/>
                <w:lang w:val="en-US" w:eastAsia="zh-CN"/>
              </w:rPr>
              <w:t>资</w:t>
            </w:r>
            <w:r>
              <w:rPr>
                <w:rFonts w:hint="eastAsia"/>
                <w:highlight w:val="none"/>
              </w:rPr>
              <w:t>产负债表、利润及利润分配表</w:t>
            </w:r>
            <w:r>
              <w:rPr>
                <w:rFonts w:hint="eastAsia"/>
                <w:highlight w:val="none"/>
                <w:lang w:val="en-US" w:eastAsia="zh-CN"/>
              </w:rPr>
              <w:t>及财务报告附注</w:t>
            </w:r>
            <w:r>
              <w:rPr>
                <w:rFonts w:hint="eastAsia"/>
                <w:highlight w:val="none"/>
              </w:rPr>
              <w:t>）</w:t>
            </w:r>
            <w:r>
              <w:rPr>
                <w:rFonts w:hint="eastAsia"/>
                <w:highlight w:val="none"/>
                <w:lang w:eastAsia="zh-CN"/>
              </w:rPr>
              <w:t>或近一年</w:t>
            </w:r>
            <w:r>
              <w:rPr>
                <w:rFonts w:hint="eastAsia"/>
                <w:highlight w:val="none"/>
              </w:rPr>
              <w:t>其基本开户银行出具的资信证明。</w:t>
            </w:r>
          </w:p>
          <w:p w14:paraId="3EADACEE">
            <w:pPr>
              <w:pStyle w:val="18"/>
              <w:rPr>
                <w:rFonts w:hint="eastAsia"/>
                <w:highlight w:val="none"/>
              </w:rPr>
            </w:pPr>
            <w:r>
              <w:rPr>
                <w:rFonts w:hint="eastAsia"/>
                <w:highlight w:val="none"/>
              </w:rPr>
              <w:t>202</w:t>
            </w:r>
            <w:r>
              <w:rPr>
                <w:rFonts w:hint="eastAsia"/>
                <w:highlight w:val="none"/>
                <w:lang w:val="en-US" w:eastAsia="zh-CN"/>
              </w:rPr>
              <w:t>5</w:t>
            </w:r>
            <w:r>
              <w:rPr>
                <w:rFonts w:hint="eastAsia"/>
                <w:highlight w:val="none"/>
              </w:rPr>
              <w:t>年成立的公司应提供成立之日至今其基本开户银行出具的资信证明。</w:t>
            </w:r>
          </w:p>
          <w:p w14:paraId="6F2C146A">
            <w:pPr>
              <w:pStyle w:val="18"/>
              <w:rPr>
                <w:rFonts w:hint="eastAsia"/>
                <w:highlight w:val="none"/>
              </w:rPr>
            </w:pPr>
            <w:r>
              <w:rPr>
                <w:rFonts w:hint="eastAsia"/>
                <w:highlight w:val="none"/>
              </w:rPr>
              <w:t>（三）履行合同所必须的设备和专业技术能力的证明材料或声明。</w:t>
            </w:r>
          </w:p>
          <w:p w14:paraId="728F9431">
            <w:pPr>
              <w:pStyle w:val="18"/>
              <w:rPr>
                <w:rFonts w:hint="eastAsia"/>
                <w:highlight w:val="none"/>
              </w:rPr>
            </w:pPr>
            <w:r>
              <w:rPr>
                <w:rFonts w:hint="eastAsia"/>
                <w:highlight w:val="none"/>
              </w:rPr>
              <w:t>（四）</w:t>
            </w:r>
          </w:p>
          <w:p w14:paraId="31132F80">
            <w:pPr>
              <w:pStyle w:val="18"/>
              <w:numPr>
                <w:ilvl w:val="0"/>
                <w:numId w:val="1"/>
              </w:numPr>
              <w:rPr>
                <w:rFonts w:hint="eastAsia"/>
                <w:highlight w:val="none"/>
              </w:rPr>
            </w:pPr>
            <w:r>
              <w:rPr>
                <w:rFonts w:hint="eastAsia"/>
                <w:highlight w:val="none"/>
              </w:rPr>
              <w:t>社会保障资金：</w:t>
            </w:r>
          </w:p>
          <w:p w14:paraId="5E901EDF">
            <w:pPr>
              <w:pStyle w:val="18"/>
              <w:numPr>
                <w:ilvl w:val="0"/>
                <w:numId w:val="0"/>
              </w:numPr>
              <w:rPr>
                <w:rFonts w:hint="eastAsia"/>
                <w:highlight w:val="none"/>
                <w:lang w:val="en-US" w:eastAsia="zh-CN"/>
              </w:rPr>
            </w:pPr>
            <w:r>
              <w:rPr>
                <w:rFonts w:hint="eastAsia"/>
                <w:highlight w:val="none"/>
              </w:rPr>
              <w:t>提供</w:t>
            </w:r>
            <w:r>
              <w:rPr>
                <w:rFonts w:hint="eastAsia"/>
                <w:highlight w:val="none"/>
                <w:lang w:eastAsia="zh-CN"/>
              </w:rPr>
              <w:t>开标日</w:t>
            </w:r>
            <w:r>
              <w:rPr>
                <w:rFonts w:hint="eastAsia"/>
                <w:highlight w:val="none"/>
              </w:rPr>
              <w:t>近六个月</w:t>
            </w:r>
            <w:r>
              <w:rPr>
                <w:rFonts w:hint="eastAsia"/>
                <w:highlight w:val="none"/>
                <w:lang w:eastAsia="zh-CN"/>
              </w:rPr>
              <w:t>任意一个月</w:t>
            </w:r>
            <w:r>
              <w:rPr>
                <w:rFonts w:hint="eastAsia"/>
                <w:highlight w:val="none"/>
              </w:rPr>
              <w:t>单位社保缴纳</w:t>
            </w:r>
            <w:r>
              <w:rPr>
                <w:rFonts w:hint="eastAsia"/>
                <w:highlight w:val="none"/>
                <w:lang w:val="en-US" w:eastAsia="zh-CN"/>
              </w:rPr>
              <w:t>证明</w:t>
            </w:r>
            <w:r>
              <w:rPr>
                <w:rFonts w:hint="eastAsia"/>
                <w:highlight w:val="none"/>
                <w:lang w:eastAsia="zh-CN"/>
              </w:rPr>
              <w:t>。</w:t>
            </w:r>
            <w:r>
              <w:rPr>
                <w:rFonts w:hint="eastAsia"/>
                <w:highlight w:val="none"/>
              </w:rPr>
              <w:t>如依法免税或不需要缴纳社会保障资金的,应提供相应文件证明。</w:t>
            </w:r>
            <w:r>
              <w:rPr>
                <w:rFonts w:hint="eastAsia"/>
                <w:highlight w:val="none"/>
                <w:lang w:val="en-US" w:eastAsia="zh-CN"/>
              </w:rPr>
              <w:t>新成立不足六个月的公司按实际时间提供。</w:t>
            </w:r>
          </w:p>
          <w:p w14:paraId="4DBDB58B">
            <w:pPr>
              <w:pStyle w:val="18"/>
              <w:rPr>
                <w:rFonts w:hint="eastAsia"/>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缴纳税收：</w:t>
            </w:r>
          </w:p>
          <w:p w14:paraId="18D7A1C7">
            <w:pPr>
              <w:pStyle w:val="18"/>
              <w:rPr>
                <w:rFonts w:hint="eastAsia"/>
                <w:highlight w:val="none"/>
              </w:rPr>
            </w:pPr>
            <w:r>
              <w:rPr>
                <w:rFonts w:hint="eastAsia"/>
                <w:highlight w:val="none"/>
              </w:rPr>
              <w:t>提供</w:t>
            </w:r>
            <w:r>
              <w:rPr>
                <w:rFonts w:hint="eastAsia"/>
                <w:highlight w:val="none"/>
                <w:lang w:eastAsia="zh-CN"/>
              </w:rPr>
              <w:t>开标日近</w:t>
            </w:r>
            <w:r>
              <w:rPr>
                <w:rFonts w:hint="eastAsia"/>
                <w:highlight w:val="none"/>
                <w:lang w:val="en-US" w:eastAsia="zh-CN"/>
              </w:rPr>
              <w:t>六个月内任意一个月投标人税务缴纳有效票据凭证或其他有效证明材料；依法免税的，应提供依法免税的相关证明文件。成立不足六个月的公司按实际时间提供。</w:t>
            </w:r>
          </w:p>
          <w:p w14:paraId="798B1A29">
            <w:pPr>
              <w:pStyle w:val="18"/>
              <w:rPr>
                <w:highlight w:val="none"/>
              </w:rPr>
            </w:pPr>
            <w:r>
              <w:rPr>
                <w:rFonts w:hint="eastAsia"/>
                <w:highlight w:val="none"/>
                <w:lang w:val="en-US" w:eastAsia="zh-CN"/>
              </w:rPr>
              <w:t>（五）参加政府采购活动前三年内，在经营活动中没有重大违法记录（提供承诺函）</w:t>
            </w:r>
          </w:p>
        </w:tc>
      </w:tr>
      <w:tr w14:paraId="44C1C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403" w:type="pct"/>
            <w:vAlign w:val="center"/>
          </w:tcPr>
          <w:p w14:paraId="06431180">
            <w:pPr>
              <w:spacing w:line="360" w:lineRule="exact"/>
              <w:rPr>
                <w:rFonts w:ascii="宋体" w:hAnsi="宋体"/>
                <w:szCs w:val="21"/>
                <w:highlight w:val="none"/>
              </w:rPr>
            </w:pPr>
            <w:r>
              <w:rPr>
                <w:rFonts w:hint="eastAsia" w:ascii="宋体" w:hAnsi="宋体"/>
                <w:szCs w:val="21"/>
                <w:highlight w:val="none"/>
              </w:rPr>
              <w:t>二</w:t>
            </w:r>
          </w:p>
        </w:tc>
        <w:tc>
          <w:tcPr>
            <w:tcW w:w="2046" w:type="pct"/>
            <w:vAlign w:val="center"/>
          </w:tcPr>
          <w:p w14:paraId="0FC1338A">
            <w:pPr>
              <w:spacing w:line="360" w:lineRule="exact"/>
              <w:rPr>
                <w:rFonts w:ascii="宋体" w:hAnsi="宋体"/>
                <w:szCs w:val="21"/>
                <w:highlight w:val="none"/>
              </w:rPr>
            </w:pPr>
            <w:r>
              <w:rPr>
                <w:rFonts w:hint="eastAsia" w:ascii="宋体" w:hAnsi="宋体"/>
                <w:szCs w:val="21"/>
                <w:highlight w:val="none"/>
              </w:rPr>
              <w:t>信誉情况</w:t>
            </w:r>
          </w:p>
        </w:tc>
        <w:tc>
          <w:tcPr>
            <w:tcW w:w="2552" w:type="pct"/>
            <w:vAlign w:val="center"/>
          </w:tcPr>
          <w:p w14:paraId="19AB8A75">
            <w:pPr>
              <w:spacing w:line="360" w:lineRule="exact"/>
              <w:textAlignment w:val="baseline"/>
              <w:rPr>
                <w:rFonts w:ascii="宋体" w:hAnsi="宋体"/>
                <w:szCs w:val="21"/>
                <w:highlight w:val="none"/>
              </w:rPr>
            </w:pPr>
            <w:r>
              <w:rPr>
                <w:rFonts w:hint="eastAsia" w:ascii="宋体" w:hAnsi="宋体"/>
                <w:szCs w:val="21"/>
                <w:highlight w:val="none"/>
              </w:rPr>
              <w:t>“信用中国”网站上未被列入（www.creditchina.gov.cn）失信被执行人、政府采购严重违法失信行为记录名单、重大税收违法失信主体网页查询截图；</w:t>
            </w:r>
          </w:p>
          <w:p w14:paraId="63FFBD4B">
            <w:pPr>
              <w:spacing w:line="360" w:lineRule="exact"/>
              <w:textAlignment w:val="baseline"/>
              <w:rPr>
                <w:rFonts w:ascii="宋体" w:hAnsi="宋体"/>
                <w:szCs w:val="21"/>
                <w:highlight w:val="none"/>
              </w:rPr>
            </w:pPr>
            <w:r>
              <w:rPr>
                <w:rFonts w:hint="eastAsia" w:ascii="宋体" w:hAnsi="宋体"/>
                <w:szCs w:val="21"/>
                <w:highlight w:val="none"/>
              </w:rPr>
              <w:t>“中国政府采购网（www.ccgp.gov.cn）”上未被列入</w:t>
            </w:r>
            <w:r>
              <w:rPr>
                <w:rFonts w:ascii="宋体" w:hAnsi="宋体"/>
                <w:szCs w:val="21"/>
                <w:highlight w:val="none"/>
              </w:rPr>
              <w:fldChar w:fldCharType="begin"/>
            </w:r>
            <w:r>
              <w:rPr>
                <w:rFonts w:ascii="宋体" w:hAnsi="宋体"/>
                <w:szCs w:val="21"/>
                <w:highlight w:val="none"/>
              </w:rPr>
              <w:instrText xml:space="preserve"> HYPERLINK "http://www.ccgp.gov.cn/search/cr/" \o "政府采购严重违法失信行为记录名单" </w:instrText>
            </w:r>
            <w:r>
              <w:rPr>
                <w:rFonts w:ascii="宋体" w:hAnsi="宋体"/>
                <w:szCs w:val="21"/>
                <w:highlight w:val="none"/>
              </w:rPr>
              <w:fldChar w:fldCharType="separate"/>
            </w:r>
            <w:r>
              <w:rPr>
                <w:rFonts w:hint="eastAsia" w:ascii="宋体" w:hAnsi="宋体"/>
                <w:szCs w:val="21"/>
                <w:highlight w:val="none"/>
              </w:rPr>
              <w:t>政府采购严重违法失信行为记录名单</w:t>
            </w:r>
            <w:r>
              <w:rPr>
                <w:rFonts w:ascii="宋体" w:hAnsi="宋体"/>
                <w:szCs w:val="21"/>
                <w:highlight w:val="none"/>
              </w:rPr>
              <w:fldChar w:fldCharType="end"/>
            </w:r>
            <w:r>
              <w:rPr>
                <w:rFonts w:hint="eastAsia" w:ascii="宋体" w:hAnsi="宋体"/>
                <w:szCs w:val="21"/>
                <w:highlight w:val="none"/>
              </w:rPr>
              <w:t>的网页查询截图；</w:t>
            </w:r>
          </w:p>
          <w:p w14:paraId="3005CCC9">
            <w:pPr>
              <w:spacing w:line="360" w:lineRule="exact"/>
              <w:textAlignment w:val="baseline"/>
              <w:rPr>
                <w:rFonts w:ascii="宋体" w:hAnsi="宋体"/>
                <w:szCs w:val="21"/>
                <w:highlight w:val="none"/>
              </w:rPr>
            </w:pPr>
            <w:r>
              <w:rPr>
                <w:rFonts w:hint="eastAsia" w:ascii="宋体" w:hAnsi="宋体"/>
                <w:szCs w:val="21"/>
                <w:highlight w:val="none"/>
              </w:rPr>
              <w:t>裁判文书网（https://wenshu.court.gov.cn/）近三年查询没有刑事案件，民事案件，行政案件等记录。</w:t>
            </w:r>
          </w:p>
        </w:tc>
      </w:tr>
      <w:tr w14:paraId="02CC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403" w:type="pct"/>
            <w:vAlign w:val="center"/>
          </w:tcPr>
          <w:p w14:paraId="65C78E67">
            <w:pPr>
              <w:spacing w:line="360" w:lineRule="exact"/>
              <w:rPr>
                <w:rFonts w:ascii="宋体" w:hAnsi="宋体"/>
                <w:szCs w:val="21"/>
                <w:highlight w:val="none"/>
              </w:rPr>
            </w:pPr>
            <w:r>
              <w:rPr>
                <w:rFonts w:hint="eastAsia" w:ascii="宋体" w:hAnsi="宋体"/>
                <w:szCs w:val="21"/>
                <w:highlight w:val="none"/>
              </w:rPr>
              <w:t>三</w:t>
            </w:r>
          </w:p>
        </w:tc>
        <w:tc>
          <w:tcPr>
            <w:tcW w:w="2046" w:type="pct"/>
            <w:vAlign w:val="center"/>
          </w:tcPr>
          <w:p w14:paraId="66209DE9">
            <w:pPr>
              <w:spacing w:line="360" w:lineRule="exact"/>
              <w:rPr>
                <w:rFonts w:ascii="宋体" w:hAnsi="宋体"/>
                <w:szCs w:val="21"/>
                <w:highlight w:val="none"/>
              </w:rPr>
            </w:pPr>
            <w:r>
              <w:rPr>
                <w:rFonts w:hint="eastAsia" w:ascii="宋体" w:hAnsi="宋体"/>
                <w:szCs w:val="21"/>
                <w:highlight w:val="none"/>
              </w:rPr>
              <w:t>小微企业声明</w:t>
            </w:r>
          </w:p>
        </w:tc>
        <w:tc>
          <w:tcPr>
            <w:tcW w:w="2552" w:type="pct"/>
            <w:vAlign w:val="center"/>
          </w:tcPr>
          <w:p w14:paraId="65E189F9">
            <w:pPr>
              <w:spacing w:line="360" w:lineRule="exact"/>
              <w:textAlignment w:val="baseline"/>
              <w:rPr>
                <w:rFonts w:hint="eastAsia" w:ascii="宋体" w:hAnsi="宋体"/>
                <w:szCs w:val="21"/>
                <w:highlight w:val="none"/>
              </w:rPr>
            </w:pPr>
            <w:r>
              <w:rPr>
                <w:rFonts w:hint="eastAsia" w:ascii="宋体" w:hAnsi="宋体"/>
                <w:szCs w:val="21"/>
                <w:highlight w:val="none"/>
              </w:rPr>
              <w:t>提供小微企业声明函</w:t>
            </w:r>
            <w:r>
              <w:rPr>
                <w:rFonts w:hint="eastAsia" w:ascii="宋体" w:hAnsi="宋体"/>
                <w:szCs w:val="21"/>
                <w:highlight w:val="none"/>
                <w:lang w:eastAsia="zh-CN"/>
              </w:rPr>
              <w:t>（如有）</w:t>
            </w:r>
            <w:r>
              <w:rPr>
                <w:rFonts w:hint="eastAsia" w:ascii="宋体" w:hAnsi="宋体"/>
                <w:szCs w:val="21"/>
                <w:highlight w:val="none"/>
              </w:rPr>
              <w:t>。</w:t>
            </w:r>
          </w:p>
        </w:tc>
      </w:tr>
      <w:tr w14:paraId="45F8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403" w:type="pct"/>
            <w:vAlign w:val="center"/>
          </w:tcPr>
          <w:p w14:paraId="5F1C4C86">
            <w:pPr>
              <w:spacing w:line="360" w:lineRule="exact"/>
              <w:rPr>
                <w:rFonts w:hint="eastAsia" w:ascii="宋体" w:hAnsi="宋体" w:eastAsia="宋体"/>
                <w:szCs w:val="21"/>
                <w:highlight w:val="none"/>
                <w:lang w:val="en-US" w:eastAsia="zh-CN"/>
              </w:rPr>
            </w:pPr>
            <w:r>
              <w:rPr>
                <w:rFonts w:hint="eastAsia" w:ascii="宋体" w:hAnsi="宋体"/>
                <w:szCs w:val="21"/>
                <w:highlight w:val="none"/>
                <w:lang w:val="en-US" w:eastAsia="zh-CN"/>
              </w:rPr>
              <w:t>四</w:t>
            </w:r>
          </w:p>
        </w:tc>
        <w:tc>
          <w:tcPr>
            <w:tcW w:w="2046" w:type="pct"/>
            <w:vAlign w:val="center"/>
          </w:tcPr>
          <w:p w14:paraId="2E2443F6">
            <w:pPr>
              <w:spacing w:line="360" w:lineRule="exact"/>
              <w:rPr>
                <w:rFonts w:hint="default" w:ascii="宋体" w:hAnsi="宋体" w:eastAsia="宋体"/>
                <w:szCs w:val="21"/>
                <w:highlight w:val="none"/>
                <w:lang w:val="en-US" w:eastAsia="zh-CN"/>
              </w:rPr>
            </w:pPr>
            <w:r>
              <w:rPr>
                <w:rFonts w:hint="eastAsia" w:ascii="宋体" w:hAnsi="宋体"/>
                <w:szCs w:val="21"/>
                <w:highlight w:val="none"/>
                <w:lang w:val="en-US" w:eastAsia="zh-CN"/>
              </w:rPr>
              <w:t>本项目特定资格条件（标项8提供）</w:t>
            </w:r>
          </w:p>
        </w:tc>
        <w:tc>
          <w:tcPr>
            <w:tcW w:w="2552" w:type="pct"/>
            <w:vAlign w:val="center"/>
          </w:tcPr>
          <w:p w14:paraId="5575BE94">
            <w:pPr>
              <w:spacing w:line="360" w:lineRule="exact"/>
              <w:textAlignment w:val="baseline"/>
              <w:rPr>
                <w:rFonts w:hint="default" w:ascii="宋体" w:hAnsi="宋体" w:eastAsia="宋体"/>
                <w:szCs w:val="21"/>
                <w:highlight w:val="none"/>
                <w:lang w:val="en-US" w:eastAsia="zh-CN"/>
              </w:rPr>
            </w:pPr>
            <w:r>
              <w:rPr>
                <w:rFonts w:hint="eastAsia" w:ascii="宋体" w:hAnsi="宋体"/>
                <w:szCs w:val="21"/>
                <w:highlight w:val="none"/>
                <w:lang w:val="en-US" w:eastAsia="zh-CN"/>
              </w:rPr>
              <w:t>具有有效的《医疗器械生产许可证》或《医疗器械经营许可证》</w:t>
            </w:r>
          </w:p>
        </w:tc>
      </w:tr>
    </w:tbl>
    <w:p w14:paraId="7FD5C436">
      <w:pPr>
        <w:pStyle w:val="18"/>
        <w:rPr>
          <w:highlight w:val="none"/>
        </w:rPr>
      </w:pPr>
    </w:p>
    <w:p w14:paraId="1B71BF08">
      <w:pPr>
        <w:pStyle w:val="24"/>
        <w:adjustRightInd w:val="0"/>
        <w:snapToGrid w:val="0"/>
        <w:spacing w:line="360" w:lineRule="auto"/>
        <w:rPr>
          <w:rFonts w:ascii="宋体" w:hAnsi="宋体" w:cs="宋体"/>
          <w:b/>
          <w:kern w:val="0"/>
          <w:sz w:val="21"/>
          <w:szCs w:val="21"/>
          <w:highlight w:val="none"/>
        </w:rPr>
      </w:pPr>
      <w:r>
        <w:rPr>
          <w:rFonts w:hint="eastAsia" w:ascii="宋体" w:hAnsi="宋体" w:cs="宋体"/>
          <w:b/>
          <w:kern w:val="0"/>
          <w:sz w:val="21"/>
          <w:szCs w:val="21"/>
          <w:highlight w:val="none"/>
        </w:rPr>
        <w:t>26.符合性审查</w:t>
      </w:r>
    </w:p>
    <w:p w14:paraId="1933B970">
      <w:pPr>
        <w:pStyle w:val="24"/>
        <w:adjustRightInd w:val="0"/>
        <w:snapToGrid w:val="0"/>
        <w:spacing w:line="360" w:lineRule="auto"/>
        <w:ind w:firstLine="420" w:firstLineChars="200"/>
        <w:rPr>
          <w:rFonts w:ascii="宋体" w:hAnsi="宋体" w:cs="宋体"/>
          <w:kern w:val="0"/>
          <w:sz w:val="21"/>
          <w:szCs w:val="21"/>
          <w:highlight w:val="none"/>
        </w:rPr>
      </w:pPr>
      <w:r>
        <w:rPr>
          <w:rFonts w:hint="eastAsia" w:ascii="宋体" w:hAnsi="宋体" w:cs="宋体"/>
          <w:kern w:val="0"/>
          <w:sz w:val="21"/>
          <w:szCs w:val="21"/>
          <w:highlight w:val="none"/>
        </w:rPr>
        <w:t>26.1</w:t>
      </w:r>
      <w:r>
        <w:rPr>
          <w:rFonts w:hint="eastAsia" w:ascii="宋体" w:hAnsi="宋体"/>
          <w:sz w:val="21"/>
          <w:szCs w:val="21"/>
          <w:highlight w:val="none"/>
        </w:rPr>
        <w:t xml:space="preserve">依据采购文件的规定，从投标文件的有效性、完整性和对采购文件的响应程度进行审查，以确定是否对采购文件的实质性要求作出响应 </w:t>
      </w:r>
      <w:r>
        <w:rPr>
          <w:rFonts w:hint="eastAsia" w:ascii="宋体" w:hAnsi="宋体" w:cs="宋体"/>
          <w:kern w:val="0"/>
          <w:sz w:val="21"/>
          <w:szCs w:val="21"/>
          <w:highlight w:val="none"/>
        </w:rPr>
        <w:t>(包括首次</w:t>
      </w:r>
      <w:r>
        <w:rPr>
          <w:rFonts w:hint="eastAsia" w:ascii="宋体" w:hAnsi="宋体"/>
          <w:sz w:val="21"/>
          <w:szCs w:val="21"/>
          <w:highlight w:val="none"/>
        </w:rPr>
        <w:t>提交的</w:t>
      </w:r>
      <w:r>
        <w:rPr>
          <w:rFonts w:hint="eastAsia" w:ascii="宋体" w:hAnsi="宋体" w:cs="宋体"/>
          <w:kern w:val="0"/>
          <w:sz w:val="21"/>
          <w:szCs w:val="21"/>
          <w:highlight w:val="none"/>
        </w:rPr>
        <w:t>投标文件、重新提交的投标文件)。</w:t>
      </w:r>
    </w:p>
    <w:p w14:paraId="3D4C4F15">
      <w:pPr>
        <w:pStyle w:val="18"/>
        <w:rPr>
          <w:highlight w:val="none"/>
        </w:rPr>
      </w:pPr>
      <w:r>
        <w:rPr>
          <w:rFonts w:hint="eastAsia"/>
          <w:highlight w:val="none"/>
        </w:rPr>
        <w:t>标项1</w:t>
      </w:r>
      <w:r>
        <w:rPr>
          <w:highlight w:val="none"/>
        </w:rPr>
        <w:t xml:space="preserve"> </w:t>
      </w:r>
      <w:r>
        <w:rPr>
          <w:rFonts w:hint="eastAsia"/>
          <w:highlight w:val="none"/>
        </w:rPr>
        <w:t>、标项2</w:t>
      </w:r>
      <w:r>
        <w:rPr>
          <w:rFonts w:hint="eastAsia"/>
          <w:highlight w:val="none"/>
          <w:lang w:eastAsia="zh-CN"/>
        </w:rPr>
        <w:t>、标项</w:t>
      </w:r>
      <w:r>
        <w:rPr>
          <w:rFonts w:hint="eastAsia"/>
          <w:highlight w:val="none"/>
          <w:lang w:val="en-US" w:eastAsia="zh-CN"/>
        </w:rPr>
        <w:t>3、</w:t>
      </w:r>
      <w:r>
        <w:rPr>
          <w:rFonts w:hint="eastAsia"/>
          <w:highlight w:val="none"/>
        </w:rPr>
        <w:t>标项</w:t>
      </w:r>
      <w:r>
        <w:rPr>
          <w:rFonts w:hint="eastAsia"/>
          <w:highlight w:val="none"/>
          <w:lang w:val="en-US" w:eastAsia="zh-CN"/>
        </w:rPr>
        <w:t>4</w:t>
      </w:r>
      <w:r>
        <w:rPr>
          <w:highlight w:val="none"/>
        </w:rPr>
        <w:t xml:space="preserve"> </w:t>
      </w:r>
      <w:r>
        <w:rPr>
          <w:rFonts w:hint="eastAsia"/>
          <w:highlight w:val="none"/>
        </w:rPr>
        <w:t>、标项</w:t>
      </w:r>
      <w:r>
        <w:rPr>
          <w:rFonts w:hint="eastAsia"/>
          <w:highlight w:val="none"/>
          <w:lang w:val="en-US" w:eastAsia="zh-CN"/>
        </w:rPr>
        <w:t>5</w:t>
      </w:r>
      <w:r>
        <w:rPr>
          <w:rFonts w:hint="eastAsia"/>
          <w:highlight w:val="none"/>
          <w:lang w:eastAsia="zh-CN"/>
        </w:rPr>
        <w:t>、标项</w:t>
      </w:r>
      <w:r>
        <w:rPr>
          <w:rFonts w:hint="eastAsia"/>
          <w:highlight w:val="none"/>
          <w:lang w:val="en-US" w:eastAsia="zh-CN"/>
        </w:rPr>
        <w:t>6、</w:t>
      </w:r>
      <w:r>
        <w:rPr>
          <w:rFonts w:hint="eastAsia"/>
          <w:highlight w:val="none"/>
        </w:rPr>
        <w:t>标项</w:t>
      </w:r>
      <w:r>
        <w:rPr>
          <w:rFonts w:hint="eastAsia"/>
          <w:highlight w:val="none"/>
          <w:lang w:val="en-US" w:eastAsia="zh-CN"/>
        </w:rPr>
        <w:t>7</w:t>
      </w:r>
      <w:r>
        <w:rPr>
          <w:rFonts w:hint="eastAsia"/>
          <w:highlight w:val="none"/>
          <w:lang w:eastAsia="zh-CN"/>
        </w:rPr>
        <w:t>、标项</w:t>
      </w:r>
      <w:r>
        <w:rPr>
          <w:rFonts w:hint="eastAsia"/>
          <w:highlight w:val="none"/>
          <w:lang w:val="en-US" w:eastAsia="zh-CN"/>
        </w:rPr>
        <w:t>8</w:t>
      </w:r>
      <w:r>
        <w:rPr>
          <w:rFonts w:hint="eastAsia"/>
          <w:highlight w:val="none"/>
        </w:rPr>
        <w:t>：</w:t>
      </w:r>
    </w:p>
    <w:tbl>
      <w:tblPr>
        <w:tblStyle w:val="46"/>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47"/>
        <w:gridCol w:w="7581"/>
      </w:tblGrid>
      <w:tr w14:paraId="18A879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blHeader/>
        </w:trPr>
        <w:tc>
          <w:tcPr>
            <w:tcW w:w="555" w:type="pct"/>
            <w:tcBorders>
              <w:top w:val="single" w:color="auto" w:sz="4" w:space="0"/>
              <w:bottom w:val="single" w:color="auto" w:sz="4" w:space="0"/>
              <w:right w:val="single" w:color="auto" w:sz="4" w:space="0"/>
            </w:tcBorders>
            <w:vAlign w:val="center"/>
          </w:tcPr>
          <w:p w14:paraId="545D7089">
            <w:pPr>
              <w:spacing w:line="360" w:lineRule="exact"/>
              <w:jc w:val="center"/>
              <w:rPr>
                <w:rFonts w:ascii="宋体" w:hAnsi="宋体"/>
                <w:b/>
                <w:szCs w:val="21"/>
                <w:highlight w:val="none"/>
              </w:rPr>
            </w:pPr>
            <w:r>
              <w:rPr>
                <w:rFonts w:hint="eastAsia" w:ascii="宋体" w:hAnsi="宋体"/>
                <w:b/>
                <w:szCs w:val="21"/>
                <w:highlight w:val="none"/>
              </w:rPr>
              <w:t>项目</w:t>
            </w:r>
          </w:p>
        </w:tc>
        <w:tc>
          <w:tcPr>
            <w:tcW w:w="4445" w:type="pct"/>
            <w:tcBorders>
              <w:top w:val="single" w:color="auto" w:sz="4" w:space="0"/>
              <w:left w:val="single" w:color="auto" w:sz="4" w:space="0"/>
              <w:bottom w:val="single" w:color="auto" w:sz="4" w:space="0"/>
              <w:right w:val="single" w:color="auto" w:sz="4" w:space="0"/>
            </w:tcBorders>
            <w:vAlign w:val="center"/>
          </w:tcPr>
          <w:p w14:paraId="76B29CD2">
            <w:pPr>
              <w:spacing w:line="360" w:lineRule="exact"/>
              <w:jc w:val="center"/>
              <w:rPr>
                <w:rFonts w:ascii="宋体" w:hAnsi="宋体"/>
                <w:b/>
                <w:szCs w:val="21"/>
                <w:highlight w:val="none"/>
              </w:rPr>
            </w:pPr>
            <w:r>
              <w:rPr>
                <w:rFonts w:ascii="宋体" w:hAnsi="宋体"/>
                <w:b/>
                <w:szCs w:val="21"/>
                <w:highlight w:val="none"/>
              </w:rPr>
              <w:t>评审因素</w:t>
            </w:r>
          </w:p>
        </w:tc>
      </w:tr>
      <w:tr w14:paraId="121147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555" w:type="pct"/>
            <w:vMerge w:val="restart"/>
            <w:tcBorders>
              <w:top w:val="single" w:color="auto" w:sz="4" w:space="0"/>
              <w:right w:val="single" w:color="auto" w:sz="4" w:space="0"/>
            </w:tcBorders>
            <w:vAlign w:val="center"/>
          </w:tcPr>
          <w:p w14:paraId="58A3E834">
            <w:pPr>
              <w:spacing w:line="360" w:lineRule="exact"/>
              <w:jc w:val="center"/>
              <w:rPr>
                <w:rFonts w:ascii="宋体" w:hAnsi="宋体"/>
                <w:szCs w:val="21"/>
                <w:highlight w:val="none"/>
              </w:rPr>
            </w:pPr>
            <w:r>
              <w:rPr>
                <w:rFonts w:hint="eastAsia" w:ascii="宋体" w:hAnsi="宋体"/>
                <w:szCs w:val="21"/>
                <w:highlight w:val="none"/>
              </w:rPr>
              <w:t>符合性检查</w:t>
            </w:r>
          </w:p>
        </w:tc>
        <w:tc>
          <w:tcPr>
            <w:tcW w:w="4445" w:type="pct"/>
            <w:tcBorders>
              <w:top w:val="single" w:color="auto" w:sz="4" w:space="0"/>
              <w:left w:val="single" w:color="auto" w:sz="4" w:space="0"/>
              <w:bottom w:val="single" w:color="auto" w:sz="4" w:space="0"/>
              <w:right w:val="single" w:color="auto" w:sz="4" w:space="0"/>
            </w:tcBorders>
            <w:vAlign w:val="center"/>
          </w:tcPr>
          <w:p w14:paraId="6348BD9B">
            <w:pPr>
              <w:spacing w:line="360" w:lineRule="exact"/>
              <w:rPr>
                <w:rFonts w:ascii="宋体" w:hAnsi="宋体"/>
                <w:szCs w:val="21"/>
                <w:highlight w:val="none"/>
              </w:rPr>
            </w:pPr>
            <w:r>
              <w:rPr>
                <w:rFonts w:hint="eastAsia" w:ascii="宋体" w:hAnsi="宋体"/>
                <w:szCs w:val="21"/>
                <w:highlight w:val="none"/>
              </w:rPr>
              <w:t>1、投标文件按照采购文件规定的内容、格式填写，字迹清晰可辨</w:t>
            </w:r>
          </w:p>
        </w:tc>
      </w:tr>
      <w:tr w14:paraId="596BD3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555" w:type="pct"/>
            <w:vMerge w:val="continue"/>
            <w:tcBorders>
              <w:right w:val="single" w:color="auto" w:sz="4" w:space="0"/>
            </w:tcBorders>
            <w:vAlign w:val="center"/>
          </w:tcPr>
          <w:p w14:paraId="785F3FEC">
            <w:pPr>
              <w:spacing w:line="360" w:lineRule="exact"/>
              <w:jc w:val="center"/>
              <w:rPr>
                <w:rFonts w:ascii="宋体" w:hAnsi="宋体"/>
                <w:szCs w:val="21"/>
                <w:highlight w:val="none"/>
              </w:rPr>
            </w:pPr>
          </w:p>
        </w:tc>
        <w:tc>
          <w:tcPr>
            <w:tcW w:w="4445" w:type="pct"/>
            <w:tcBorders>
              <w:top w:val="single" w:color="auto" w:sz="4" w:space="0"/>
              <w:left w:val="single" w:color="auto" w:sz="4" w:space="0"/>
              <w:bottom w:val="single" w:color="auto" w:sz="4" w:space="0"/>
              <w:right w:val="single" w:color="auto" w:sz="4" w:space="0"/>
            </w:tcBorders>
          </w:tcPr>
          <w:p w14:paraId="0DB44ADC">
            <w:pPr>
              <w:spacing w:line="360" w:lineRule="exact"/>
              <w:rPr>
                <w:rFonts w:ascii="宋体" w:hAnsi="宋体"/>
                <w:szCs w:val="21"/>
                <w:highlight w:val="none"/>
              </w:rPr>
            </w:pPr>
            <w:r>
              <w:rPr>
                <w:rFonts w:hint="eastAsia" w:ascii="宋体" w:hAnsi="宋体"/>
                <w:szCs w:val="21"/>
                <w:highlight w:val="none"/>
              </w:rPr>
              <w:t>2、投标文件提供法定代表人授权委托书或提供法定代表人身份证明</w:t>
            </w:r>
          </w:p>
        </w:tc>
      </w:tr>
      <w:tr w14:paraId="146D73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555" w:type="pct"/>
            <w:vMerge w:val="continue"/>
            <w:tcBorders>
              <w:right w:val="single" w:color="auto" w:sz="4" w:space="0"/>
            </w:tcBorders>
            <w:vAlign w:val="center"/>
          </w:tcPr>
          <w:p w14:paraId="3B223130">
            <w:pPr>
              <w:spacing w:line="360" w:lineRule="exact"/>
              <w:jc w:val="center"/>
              <w:rPr>
                <w:rFonts w:ascii="宋体" w:hAnsi="宋体"/>
                <w:szCs w:val="21"/>
                <w:highlight w:val="none"/>
              </w:rPr>
            </w:pPr>
          </w:p>
        </w:tc>
        <w:tc>
          <w:tcPr>
            <w:tcW w:w="4445" w:type="pct"/>
            <w:tcBorders>
              <w:top w:val="single" w:color="auto" w:sz="4" w:space="0"/>
              <w:left w:val="single" w:color="auto" w:sz="4" w:space="0"/>
              <w:bottom w:val="single" w:color="auto" w:sz="4" w:space="0"/>
              <w:right w:val="single" w:color="auto" w:sz="4" w:space="0"/>
            </w:tcBorders>
            <w:vAlign w:val="center"/>
          </w:tcPr>
          <w:p w14:paraId="581DEEB1">
            <w:pPr>
              <w:spacing w:line="360" w:lineRule="exact"/>
              <w:rPr>
                <w:rFonts w:ascii="宋体" w:hAnsi="宋体"/>
                <w:szCs w:val="21"/>
                <w:highlight w:val="none"/>
              </w:rPr>
            </w:pPr>
            <w:r>
              <w:rPr>
                <w:rFonts w:hint="eastAsia" w:ascii="宋体" w:hAnsi="宋体"/>
                <w:szCs w:val="21"/>
                <w:highlight w:val="none"/>
              </w:rPr>
              <w:t>3、投标文件上法定代表人或其授权代理人的签字、投标人的单位章齐全符合采购文件规定</w:t>
            </w:r>
          </w:p>
        </w:tc>
      </w:tr>
      <w:tr w14:paraId="589DD2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555" w:type="pct"/>
            <w:vMerge w:val="continue"/>
            <w:tcBorders>
              <w:right w:val="single" w:color="auto" w:sz="4" w:space="0"/>
            </w:tcBorders>
            <w:vAlign w:val="center"/>
          </w:tcPr>
          <w:p w14:paraId="565FD410">
            <w:pPr>
              <w:spacing w:line="360" w:lineRule="exact"/>
              <w:jc w:val="center"/>
              <w:rPr>
                <w:rFonts w:ascii="宋体" w:hAnsi="宋体"/>
                <w:szCs w:val="21"/>
                <w:highlight w:val="none"/>
              </w:rPr>
            </w:pPr>
          </w:p>
        </w:tc>
        <w:tc>
          <w:tcPr>
            <w:tcW w:w="4445" w:type="pct"/>
            <w:tcBorders>
              <w:top w:val="single" w:color="auto" w:sz="4" w:space="0"/>
              <w:left w:val="single" w:color="auto" w:sz="4" w:space="0"/>
              <w:bottom w:val="single" w:color="auto" w:sz="4" w:space="0"/>
              <w:right w:val="single" w:color="auto" w:sz="4" w:space="0"/>
            </w:tcBorders>
            <w:vAlign w:val="center"/>
          </w:tcPr>
          <w:p w14:paraId="7725827D">
            <w:pPr>
              <w:spacing w:line="360" w:lineRule="exact"/>
              <w:rPr>
                <w:rFonts w:ascii="宋体" w:hAnsi="宋体"/>
                <w:szCs w:val="21"/>
                <w:highlight w:val="none"/>
              </w:rPr>
            </w:pPr>
            <w:r>
              <w:rPr>
                <w:rFonts w:hint="eastAsia" w:ascii="宋体" w:hAnsi="宋体"/>
                <w:szCs w:val="21"/>
                <w:highlight w:val="none"/>
              </w:rPr>
              <w:t>4、按规定交纳投标保证金</w:t>
            </w:r>
          </w:p>
        </w:tc>
      </w:tr>
      <w:tr w14:paraId="3E0B1F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555" w:type="pct"/>
            <w:vMerge w:val="continue"/>
            <w:tcBorders>
              <w:right w:val="single" w:color="auto" w:sz="4" w:space="0"/>
            </w:tcBorders>
            <w:vAlign w:val="center"/>
          </w:tcPr>
          <w:p w14:paraId="27E52DF0">
            <w:pPr>
              <w:spacing w:line="360" w:lineRule="exact"/>
              <w:jc w:val="center"/>
              <w:rPr>
                <w:rFonts w:ascii="宋体" w:hAnsi="宋体"/>
                <w:szCs w:val="21"/>
                <w:highlight w:val="none"/>
              </w:rPr>
            </w:pPr>
          </w:p>
        </w:tc>
        <w:tc>
          <w:tcPr>
            <w:tcW w:w="4445" w:type="pct"/>
            <w:tcBorders>
              <w:top w:val="single" w:color="auto" w:sz="4" w:space="0"/>
              <w:left w:val="single" w:color="auto" w:sz="4" w:space="0"/>
              <w:bottom w:val="single" w:color="auto" w:sz="4" w:space="0"/>
              <w:right w:val="single" w:color="auto" w:sz="4" w:space="0"/>
            </w:tcBorders>
            <w:vAlign w:val="center"/>
          </w:tcPr>
          <w:p w14:paraId="759CF672">
            <w:pPr>
              <w:spacing w:line="360" w:lineRule="exact"/>
              <w:rPr>
                <w:rFonts w:ascii="宋体" w:hAnsi="宋体"/>
                <w:szCs w:val="21"/>
                <w:highlight w:val="none"/>
              </w:rPr>
            </w:pPr>
            <w:r>
              <w:rPr>
                <w:rFonts w:hint="eastAsia" w:ascii="宋体" w:hAnsi="宋体"/>
                <w:szCs w:val="21"/>
                <w:highlight w:val="none"/>
              </w:rPr>
              <w:t>5、投标文件承诺响应有效期满足采购文件要求</w:t>
            </w:r>
          </w:p>
        </w:tc>
      </w:tr>
      <w:tr w14:paraId="0A2059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555" w:type="pct"/>
            <w:vMerge w:val="continue"/>
            <w:tcBorders>
              <w:right w:val="single" w:color="auto" w:sz="4" w:space="0"/>
            </w:tcBorders>
            <w:vAlign w:val="center"/>
          </w:tcPr>
          <w:p w14:paraId="6F0597F2">
            <w:pPr>
              <w:spacing w:line="360" w:lineRule="exact"/>
              <w:jc w:val="center"/>
              <w:rPr>
                <w:rFonts w:ascii="宋体" w:hAnsi="宋体"/>
                <w:szCs w:val="21"/>
                <w:highlight w:val="none"/>
              </w:rPr>
            </w:pPr>
          </w:p>
        </w:tc>
        <w:tc>
          <w:tcPr>
            <w:tcW w:w="4445" w:type="pct"/>
            <w:tcBorders>
              <w:top w:val="single" w:color="auto" w:sz="4" w:space="0"/>
              <w:left w:val="single" w:color="auto" w:sz="4" w:space="0"/>
              <w:bottom w:val="single" w:color="auto" w:sz="4" w:space="0"/>
              <w:right w:val="single" w:color="auto" w:sz="4" w:space="0"/>
            </w:tcBorders>
            <w:vAlign w:val="center"/>
          </w:tcPr>
          <w:p w14:paraId="425AA0A1">
            <w:pPr>
              <w:spacing w:line="360" w:lineRule="exact"/>
              <w:rPr>
                <w:rFonts w:ascii="宋体" w:hAnsi="宋体"/>
                <w:szCs w:val="21"/>
                <w:highlight w:val="none"/>
              </w:rPr>
            </w:pPr>
            <w:r>
              <w:rPr>
                <w:rFonts w:hint="eastAsia" w:ascii="宋体" w:hAnsi="宋体"/>
                <w:szCs w:val="21"/>
                <w:highlight w:val="none"/>
              </w:rPr>
              <w:t>6、报价具有唯一性，未超过采购项目预算</w:t>
            </w:r>
          </w:p>
        </w:tc>
      </w:tr>
      <w:tr w14:paraId="2E75D5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555" w:type="pct"/>
            <w:vMerge w:val="continue"/>
            <w:tcBorders>
              <w:right w:val="single" w:color="auto" w:sz="4" w:space="0"/>
            </w:tcBorders>
            <w:vAlign w:val="center"/>
          </w:tcPr>
          <w:p w14:paraId="0A5B2EDC">
            <w:pPr>
              <w:spacing w:line="360" w:lineRule="exact"/>
              <w:jc w:val="center"/>
              <w:rPr>
                <w:rFonts w:ascii="宋体" w:hAnsi="宋体"/>
                <w:szCs w:val="21"/>
                <w:highlight w:val="none"/>
              </w:rPr>
            </w:pPr>
          </w:p>
        </w:tc>
        <w:tc>
          <w:tcPr>
            <w:tcW w:w="4445" w:type="pct"/>
            <w:tcBorders>
              <w:top w:val="single" w:color="auto" w:sz="4" w:space="0"/>
              <w:left w:val="single" w:color="auto" w:sz="4" w:space="0"/>
              <w:bottom w:val="single" w:color="auto" w:sz="4" w:space="0"/>
              <w:right w:val="single" w:color="auto" w:sz="4" w:space="0"/>
            </w:tcBorders>
            <w:vAlign w:val="center"/>
          </w:tcPr>
          <w:p w14:paraId="3D52F72C">
            <w:pPr>
              <w:spacing w:line="360" w:lineRule="exact"/>
              <w:rPr>
                <w:rFonts w:ascii="宋体" w:hAnsi="宋体"/>
                <w:szCs w:val="21"/>
                <w:highlight w:val="none"/>
              </w:rPr>
            </w:pPr>
            <w:r>
              <w:rPr>
                <w:rFonts w:hint="eastAsia" w:ascii="宋体" w:hAnsi="宋体"/>
                <w:szCs w:val="21"/>
                <w:highlight w:val="none"/>
              </w:rPr>
              <w:t>7、投标文件未附有采购人不能接受的条件或不符合采购文件的其他要求</w:t>
            </w:r>
          </w:p>
        </w:tc>
      </w:tr>
      <w:tr w14:paraId="534697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555" w:type="pct"/>
            <w:tcBorders>
              <w:top w:val="single" w:color="auto" w:sz="4" w:space="0"/>
              <w:bottom w:val="single" w:color="auto" w:sz="4" w:space="0"/>
              <w:right w:val="single" w:color="auto" w:sz="4" w:space="0"/>
            </w:tcBorders>
            <w:vAlign w:val="center"/>
          </w:tcPr>
          <w:p w14:paraId="2D658CDF">
            <w:pPr>
              <w:spacing w:line="360" w:lineRule="exact"/>
              <w:jc w:val="center"/>
              <w:rPr>
                <w:rFonts w:ascii="宋体" w:hAnsi="宋体"/>
                <w:b/>
                <w:szCs w:val="21"/>
                <w:highlight w:val="none"/>
              </w:rPr>
            </w:pPr>
            <w:r>
              <w:rPr>
                <w:rFonts w:hint="eastAsia" w:ascii="宋体" w:hAnsi="宋体"/>
                <w:b/>
                <w:szCs w:val="21"/>
                <w:highlight w:val="none"/>
              </w:rPr>
              <w:t>结论</w:t>
            </w:r>
          </w:p>
        </w:tc>
        <w:tc>
          <w:tcPr>
            <w:tcW w:w="4445" w:type="pct"/>
            <w:tcBorders>
              <w:top w:val="single" w:color="auto" w:sz="4" w:space="0"/>
              <w:left w:val="single" w:color="auto" w:sz="4" w:space="0"/>
              <w:bottom w:val="single" w:color="auto" w:sz="4" w:space="0"/>
              <w:right w:val="single" w:color="auto" w:sz="4" w:space="0"/>
            </w:tcBorders>
            <w:vAlign w:val="center"/>
          </w:tcPr>
          <w:p w14:paraId="076D92A7">
            <w:pPr>
              <w:spacing w:line="360" w:lineRule="exact"/>
              <w:rPr>
                <w:rFonts w:ascii="宋体" w:hAnsi="宋体"/>
                <w:szCs w:val="21"/>
                <w:highlight w:val="none"/>
              </w:rPr>
            </w:pPr>
            <w:r>
              <w:rPr>
                <w:rFonts w:hint="eastAsia" w:ascii="宋体" w:hAnsi="宋体"/>
                <w:szCs w:val="21"/>
                <w:highlight w:val="none"/>
              </w:rPr>
              <w:t>是否通过审查，进入下一阶段</w:t>
            </w:r>
          </w:p>
        </w:tc>
      </w:tr>
      <w:tr w14:paraId="575714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5000" w:type="pct"/>
            <w:gridSpan w:val="2"/>
            <w:tcBorders>
              <w:top w:val="single" w:color="auto" w:sz="4" w:space="0"/>
              <w:right w:val="single" w:color="auto" w:sz="4" w:space="0"/>
            </w:tcBorders>
            <w:vAlign w:val="center"/>
          </w:tcPr>
          <w:p w14:paraId="0FBC3747">
            <w:pPr>
              <w:tabs>
                <w:tab w:val="left" w:pos="0"/>
              </w:tabs>
              <w:adjustRightInd w:val="0"/>
              <w:snapToGrid w:val="0"/>
              <w:spacing w:line="360" w:lineRule="exact"/>
              <w:rPr>
                <w:rFonts w:ascii="宋体" w:hAnsi="宋体"/>
                <w:b/>
                <w:szCs w:val="21"/>
                <w:highlight w:val="none"/>
              </w:rPr>
            </w:pPr>
            <w:r>
              <w:rPr>
                <w:rFonts w:hint="eastAsia" w:ascii="宋体" w:hAnsi="宋体"/>
                <w:b/>
                <w:szCs w:val="21"/>
                <w:highlight w:val="none"/>
              </w:rPr>
              <w:t>1）“是否通过并进入下一阶段评审”一栏应写“通过”或“不通过”。</w:t>
            </w:r>
          </w:p>
          <w:p w14:paraId="794D13EC">
            <w:pPr>
              <w:tabs>
                <w:tab w:val="left" w:pos="0"/>
              </w:tabs>
              <w:adjustRightInd w:val="0"/>
              <w:snapToGrid w:val="0"/>
              <w:spacing w:line="360" w:lineRule="exact"/>
              <w:rPr>
                <w:rFonts w:ascii="宋体" w:hAnsi="宋体"/>
                <w:b/>
                <w:szCs w:val="21"/>
                <w:highlight w:val="none"/>
              </w:rPr>
            </w:pPr>
            <w:r>
              <w:rPr>
                <w:rFonts w:hint="eastAsia" w:ascii="宋体" w:hAnsi="宋体"/>
                <w:b/>
                <w:szCs w:val="21"/>
                <w:highlight w:val="none"/>
              </w:rPr>
              <w:t>2）出现一个“×”的结论为“不通过”。表中全部为“√”，同意进入下一阶段评审。</w:t>
            </w:r>
          </w:p>
          <w:p w14:paraId="268783BA">
            <w:pPr>
              <w:spacing w:line="360" w:lineRule="exact"/>
              <w:rPr>
                <w:rFonts w:ascii="宋体" w:hAnsi="宋体"/>
                <w:szCs w:val="21"/>
                <w:highlight w:val="none"/>
              </w:rPr>
            </w:pPr>
            <w:r>
              <w:rPr>
                <w:rFonts w:hint="eastAsia" w:ascii="宋体" w:hAnsi="宋体"/>
                <w:b/>
                <w:szCs w:val="21"/>
                <w:highlight w:val="none"/>
              </w:rPr>
              <w:t>3）若专家意见不一致时，则按少数服从多数的原则，由专家投票决定该投标人是否通过审查，进入下一阶段评审。</w:t>
            </w:r>
          </w:p>
        </w:tc>
      </w:tr>
    </w:tbl>
    <w:p w14:paraId="197C734D">
      <w:pPr>
        <w:tabs>
          <w:tab w:val="left" w:pos="0"/>
          <w:tab w:val="left" w:pos="7560"/>
          <w:tab w:val="left" w:pos="7740"/>
          <w:tab w:val="left" w:pos="7920"/>
        </w:tabs>
        <w:adjustRightInd w:val="0"/>
        <w:snapToGrid w:val="0"/>
        <w:spacing w:line="360" w:lineRule="auto"/>
        <w:ind w:right="23" w:rightChars="11"/>
        <w:rPr>
          <w:rFonts w:ascii="宋体" w:hAnsi="宋体" w:cs="宋体"/>
          <w:b/>
          <w:kern w:val="0"/>
          <w:szCs w:val="21"/>
          <w:highlight w:val="none"/>
        </w:rPr>
      </w:pPr>
      <w:r>
        <w:rPr>
          <w:rFonts w:hint="eastAsia" w:ascii="宋体" w:hAnsi="宋体" w:cs="宋体"/>
          <w:b/>
          <w:kern w:val="0"/>
          <w:szCs w:val="21"/>
          <w:highlight w:val="none"/>
        </w:rPr>
        <w:t>27.澄清</w:t>
      </w:r>
    </w:p>
    <w:p w14:paraId="78BDA234">
      <w:pPr>
        <w:widowControl/>
        <w:adjustRightInd w:val="0"/>
        <w:snapToGrid w:val="0"/>
        <w:spacing w:line="360" w:lineRule="auto"/>
        <w:ind w:firstLine="420"/>
        <w:jc w:val="left"/>
        <w:rPr>
          <w:rFonts w:ascii="宋体" w:hAnsi="宋体" w:cs="宋体"/>
          <w:kern w:val="0"/>
          <w:szCs w:val="21"/>
          <w:highlight w:val="none"/>
        </w:rPr>
      </w:pPr>
      <w:r>
        <w:rPr>
          <w:rFonts w:hint="eastAsia" w:ascii="宋体" w:hAnsi="宋体" w:cs="宋体"/>
          <w:kern w:val="0"/>
          <w:szCs w:val="21"/>
          <w:highlight w:val="none"/>
        </w:rPr>
        <w:t>27.1 评审小组在对投标文件(包括首次投标文件、重新提交的投标文件)的有效性、完整性和对采购文件的响应程度进行审查时，可以要求</w:t>
      </w:r>
      <w:r>
        <w:rPr>
          <w:rFonts w:hint="eastAsia" w:ascii="宋体" w:hAnsi="宋体"/>
          <w:szCs w:val="21"/>
          <w:highlight w:val="none"/>
        </w:rPr>
        <w:t>投标人</w:t>
      </w:r>
      <w:r>
        <w:rPr>
          <w:rFonts w:hint="eastAsia" w:ascii="宋体" w:hAnsi="宋体" w:cs="宋体"/>
          <w:kern w:val="0"/>
          <w:szCs w:val="21"/>
          <w:highlight w:val="none"/>
        </w:rPr>
        <w:t>对投标文件中含义不明确、同类问题表述不一致或者有明显文字和计算错误的内容等作出必要的澄清、说明或者更正。该要求应当以书面形式作出。投标人的澄清、说明或者更正不得超出投标文件的范围或者改变投标文件的实质性内容。</w:t>
      </w:r>
      <w:r>
        <w:rPr>
          <w:rFonts w:hint="eastAsia" w:ascii="宋体" w:hAnsi="宋体"/>
          <w:szCs w:val="21"/>
          <w:highlight w:val="none"/>
        </w:rPr>
        <w:t>投标人</w:t>
      </w:r>
      <w:r>
        <w:rPr>
          <w:rFonts w:hint="eastAsia" w:ascii="宋体" w:hAnsi="宋体" w:cs="宋体"/>
          <w:kern w:val="0"/>
          <w:szCs w:val="21"/>
          <w:highlight w:val="none"/>
        </w:rPr>
        <w:t>的澄清、说明或者更正应当采用书面形式，由其法定代表人或其委托代理人签字，</w:t>
      </w:r>
      <w:r>
        <w:rPr>
          <w:rFonts w:hint="eastAsia" w:ascii="宋体" w:hAnsi="宋体"/>
          <w:szCs w:val="21"/>
          <w:highlight w:val="none"/>
        </w:rPr>
        <w:t>投标人</w:t>
      </w:r>
      <w:r>
        <w:rPr>
          <w:rFonts w:hint="eastAsia" w:ascii="宋体" w:hAnsi="宋体" w:cs="宋体"/>
          <w:kern w:val="0"/>
          <w:szCs w:val="21"/>
          <w:highlight w:val="none"/>
        </w:rPr>
        <w:t>的澄清、说明或者更正不得超出投标文件的范围或者改变投标文件的实质性内容。</w:t>
      </w:r>
    </w:p>
    <w:p w14:paraId="54D4F599">
      <w:pPr>
        <w:widowControl/>
        <w:adjustRightInd w:val="0"/>
        <w:snapToGrid w:val="0"/>
        <w:spacing w:line="360" w:lineRule="auto"/>
        <w:ind w:firstLine="420"/>
        <w:jc w:val="left"/>
        <w:rPr>
          <w:rFonts w:ascii="宋体" w:hAnsi="宋体" w:cs="宋体"/>
          <w:b/>
          <w:kern w:val="0"/>
          <w:szCs w:val="21"/>
          <w:highlight w:val="none"/>
        </w:rPr>
      </w:pPr>
      <w:r>
        <w:rPr>
          <w:rFonts w:hint="eastAsia" w:ascii="宋体" w:hAnsi="宋体" w:cs="宋体"/>
          <w:kern w:val="0"/>
          <w:szCs w:val="21"/>
          <w:highlight w:val="none"/>
        </w:rPr>
        <w:t>27.2 报价计算错误修正的原则：报价</w:t>
      </w:r>
      <w:r>
        <w:rPr>
          <w:rFonts w:hint="eastAsia" w:ascii="宋体" w:hAnsi="宋体" w:cs="Arial"/>
          <w:kern w:val="0"/>
          <w:szCs w:val="21"/>
          <w:highlight w:val="none"/>
        </w:rPr>
        <w:t>的大写金额和小写金额不一致的，以大写金额为准；</w:t>
      </w:r>
      <w:r>
        <w:rPr>
          <w:rFonts w:hint="eastAsia" w:ascii="宋体" w:hAnsi="宋体"/>
          <w:szCs w:val="21"/>
          <w:highlight w:val="none"/>
        </w:rPr>
        <w:t>总价金额与按单价汇总金额不一致的，以单价金额计算结果为准；单价金额小数点有明显错位的，应以总价为准，并修改单价。若投标人拒绝接受上述修正，在评审时将其视为无效响应</w:t>
      </w:r>
      <w:r>
        <w:rPr>
          <w:rFonts w:hint="eastAsia" w:ascii="宋体" w:hAnsi="宋体" w:cs="Arial"/>
          <w:kern w:val="0"/>
          <w:szCs w:val="21"/>
          <w:highlight w:val="none"/>
        </w:rPr>
        <w:t>。</w:t>
      </w:r>
    </w:p>
    <w:p w14:paraId="336737C4">
      <w:pPr>
        <w:widowControl/>
        <w:adjustRightInd w:val="0"/>
        <w:snapToGrid w:val="0"/>
        <w:spacing w:line="360" w:lineRule="auto"/>
        <w:jc w:val="left"/>
        <w:rPr>
          <w:rFonts w:ascii="宋体" w:hAnsi="宋体" w:cs="宋体"/>
          <w:b/>
          <w:kern w:val="0"/>
          <w:szCs w:val="21"/>
          <w:highlight w:val="none"/>
        </w:rPr>
      </w:pPr>
      <w:r>
        <w:rPr>
          <w:rFonts w:hint="eastAsia" w:ascii="宋体" w:hAnsi="宋体" w:cs="宋体"/>
          <w:b/>
          <w:kern w:val="0"/>
          <w:szCs w:val="21"/>
          <w:highlight w:val="none"/>
        </w:rPr>
        <w:t>28.综合评分</w:t>
      </w:r>
    </w:p>
    <w:p w14:paraId="6246E9BD">
      <w:pPr>
        <w:adjustRightInd w:val="0"/>
        <w:snapToGrid w:val="0"/>
        <w:spacing w:line="360" w:lineRule="auto"/>
        <w:ind w:firstLine="420" w:firstLineChars="200"/>
        <w:rPr>
          <w:rFonts w:ascii="宋体" w:hAnsi="宋体" w:cs="宋体"/>
          <w:bCs/>
          <w:kern w:val="0"/>
          <w:szCs w:val="21"/>
          <w:highlight w:val="none"/>
        </w:rPr>
      </w:pPr>
      <w:r>
        <w:rPr>
          <w:rFonts w:hint="eastAsia" w:ascii="宋体" w:hAnsi="宋体" w:cs="宋体"/>
          <w:kern w:val="0"/>
          <w:szCs w:val="21"/>
          <w:highlight w:val="none"/>
        </w:rPr>
        <w:t>28.1经确定</w:t>
      </w:r>
      <w:r>
        <w:rPr>
          <w:rFonts w:hint="eastAsia" w:ascii="宋体" w:hAnsi="宋体" w:cs="宋体"/>
          <w:bCs/>
          <w:kern w:val="0"/>
          <w:szCs w:val="21"/>
          <w:highlight w:val="none"/>
        </w:rPr>
        <w:t>最终采购需求和提交最后报价的投标人后，由评审小组采用综合评分法对提交最后报价的投标人的投标文件和最后报价进行综合评分。</w:t>
      </w:r>
    </w:p>
    <w:p w14:paraId="77D4F4B8">
      <w:pPr>
        <w:adjustRightInd w:val="0"/>
        <w:snapToGrid w:val="0"/>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综合评分法，是指投标文件满足采购文件全部实质性要求且按评审因素的量化指标评审得分最高的投标人为中标候选投标人的评审方法。</w:t>
      </w:r>
    </w:p>
    <w:p w14:paraId="5798625D">
      <w:pPr>
        <w:adjustRightInd w:val="0"/>
        <w:snapToGrid w:val="0"/>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28.2评审时，评审小组各成员应当独立对每个有效响应的文件进行评价、打分，然后汇总每个投标人每项评分因素的得分。</w:t>
      </w:r>
    </w:p>
    <w:p w14:paraId="47312123">
      <w:pPr>
        <w:adjustRightInd w:val="0"/>
        <w:snapToGrid w:val="0"/>
        <w:spacing w:line="360" w:lineRule="auto"/>
        <w:ind w:firstLine="422" w:firstLineChars="200"/>
        <w:rPr>
          <w:rFonts w:ascii="宋体" w:hAnsi="宋体" w:cs="宋体"/>
          <w:kern w:val="0"/>
          <w:szCs w:val="21"/>
          <w:highlight w:val="none"/>
        </w:rPr>
      </w:pPr>
      <w:r>
        <w:rPr>
          <w:rFonts w:hint="eastAsia" w:ascii="宋体" w:hAnsi="宋体"/>
          <w:b/>
          <w:kern w:val="0"/>
          <w:szCs w:val="21"/>
          <w:highlight w:val="none"/>
        </w:rPr>
        <w:t>投标人最终得分=最终价格评分A（含E中小企业价格折扣</w:t>
      </w:r>
      <w:r>
        <w:rPr>
          <w:rFonts w:ascii="宋体" w:hAnsi="宋体"/>
          <w:b/>
          <w:kern w:val="0"/>
          <w:szCs w:val="21"/>
          <w:highlight w:val="none"/>
        </w:rPr>
        <w:t>）</w:t>
      </w:r>
      <w:r>
        <w:rPr>
          <w:rFonts w:hint="eastAsia" w:ascii="宋体" w:hAnsi="宋体"/>
          <w:b/>
          <w:kern w:val="0"/>
          <w:szCs w:val="21"/>
          <w:highlight w:val="none"/>
        </w:rPr>
        <w:t>+B+C+D</w:t>
      </w:r>
      <w:r>
        <w:rPr>
          <w:rFonts w:hint="eastAsia" w:ascii="宋体" w:hAnsi="宋体"/>
          <w:kern w:val="0"/>
          <w:szCs w:val="21"/>
          <w:highlight w:val="none"/>
        </w:rPr>
        <w:t>。</w:t>
      </w:r>
    </w:p>
    <w:p w14:paraId="6A6133D7">
      <w:pPr>
        <w:adjustRightInd w:val="0"/>
        <w:snapToGrid w:val="0"/>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28.3评分办法：综合评分法</w:t>
      </w:r>
    </w:p>
    <w:p w14:paraId="240A28FB">
      <w:pPr>
        <w:pStyle w:val="18"/>
        <w:rPr>
          <w:b/>
          <w:bCs/>
          <w:highlight w:val="none"/>
        </w:rPr>
      </w:pPr>
      <w:r>
        <w:rPr>
          <w:rFonts w:hint="eastAsia"/>
          <w:b/>
          <w:bCs/>
          <w:highlight w:val="none"/>
        </w:rPr>
        <w:t>标项</w:t>
      </w:r>
      <w:r>
        <w:rPr>
          <w:b/>
          <w:bCs/>
          <w:highlight w:val="none"/>
        </w:rPr>
        <w:t>1</w:t>
      </w:r>
      <w:r>
        <w:rPr>
          <w:rFonts w:hint="eastAsia"/>
          <w:b/>
          <w:bCs/>
          <w:highlight w:val="none"/>
        </w:rPr>
        <w:t>：</w:t>
      </w:r>
    </w:p>
    <w:tbl>
      <w:tblPr>
        <w:tblStyle w:val="46"/>
        <w:tblW w:w="10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2"/>
        <w:gridCol w:w="7135"/>
        <w:gridCol w:w="427"/>
      </w:tblGrid>
      <w:tr w14:paraId="761ED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672" w:type="dxa"/>
            <w:tcBorders>
              <w:top w:val="single" w:color="auto" w:sz="4" w:space="0"/>
              <w:left w:val="single" w:color="auto" w:sz="4" w:space="0"/>
              <w:bottom w:val="single" w:color="auto" w:sz="4" w:space="0"/>
              <w:right w:val="single" w:color="auto" w:sz="4" w:space="0"/>
            </w:tcBorders>
            <w:vAlign w:val="center"/>
          </w:tcPr>
          <w:p w14:paraId="6DC746FF">
            <w:pPr>
              <w:pStyle w:val="12"/>
              <w:snapToGrid w:val="0"/>
              <w:spacing w:line="360" w:lineRule="auto"/>
              <w:ind w:firstLine="0"/>
              <w:jc w:val="center"/>
              <w:rPr>
                <w:rFonts w:ascii="仿宋" w:hAnsi="仿宋" w:eastAsia="仿宋" w:cs="Courier New"/>
                <w:b/>
                <w:sz w:val="21"/>
                <w:szCs w:val="21"/>
                <w:highlight w:val="none"/>
              </w:rPr>
            </w:pPr>
            <w:r>
              <w:rPr>
                <w:rFonts w:hint="eastAsia" w:ascii="仿宋" w:hAnsi="仿宋" w:eastAsia="仿宋" w:cs="Courier New"/>
                <w:b/>
                <w:sz w:val="21"/>
                <w:szCs w:val="21"/>
                <w:highlight w:val="none"/>
              </w:rPr>
              <w:t>项目</w:t>
            </w:r>
          </w:p>
        </w:tc>
        <w:tc>
          <w:tcPr>
            <w:tcW w:w="7095" w:type="dxa"/>
            <w:tcBorders>
              <w:top w:val="single" w:color="auto" w:sz="4" w:space="0"/>
              <w:left w:val="single" w:color="auto" w:sz="4" w:space="0"/>
              <w:bottom w:val="single" w:color="auto" w:sz="4" w:space="0"/>
              <w:right w:val="single" w:color="auto" w:sz="4" w:space="0"/>
            </w:tcBorders>
            <w:vAlign w:val="center"/>
          </w:tcPr>
          <w:p w14:paraId="3B114B00">
            <w:pPr>
              <w:pStyle w:val="12"/>
              <w:snapToGrid w:val="0"/>
              <w:spacing w:line="360" w:lineRule="auto"/>
              <w:ind w:firstLine="0"/>
              <w:jc w:val="center"/>
              <w:rPr>
                <w:rFonts w:ascii="仿宋" w:hAnsi="仿宋" w:eastAsia="仿宋" w:cs="Courier New"/>
                <w:b/>
                <w:sz w:val="21"/>
                <w:szCs w:val="21"/>
                <w:highlight w:val="none"/>
              </w:rPr>
            </w:pPr>
            <w:r>
              <w:rPr>
                <w:rFonts w:hint="eastAsia" w:ascii="仿宋" w:hAnsi="仿宋" w:eastAsia="仿宋" w:cs="Courier New"/>
                <w:b/>
                <w:sz w:val="21"/>
                <w:szCs w:val="21"/>
                <w:highlight w:val="none"/>
              </w:rPr>
              <w:t>评审内容</w:t>
            </w:r>
          </w:p>
        </w:tc>
        <w:tc>
          <w:tcPr>
            <w:tcW w:w="0" w:type="auto"/>
            <w:tcBorders>
              <w:top w:val="single" w:color="auto" w:sz="4" w:space="0"/>
              <w:left w:val="single" w:color="auto" w:sz="4" w:space="0"/>
              <w:bottom w:val="single" w:color="auto" w:sz="4" w:space="0"/>
              <w:right w:val="single" w:color="auto" w:sz="4" w:space="0"/>
            </w:tcBorders>
            <w:vAlign w:val="center"/>
          </w:tcPr>
          <w:p w14:paraId="46C256FE">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分值</w:t>
            </w:r>
          </w:p>
        </w:tc>
      </w:tr>
      <w:tr w14:paraId="2FDCE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0087BA91">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A：价格评分30分</w:t>
            </w:r>
          </w:p>
        </w:tc>
      </w:tr>
      <w:tr w14:paraId="4BD23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14:paraId="48953CDD">
            <w:pPr>
              <w:pStyle w:val="12"/>
              <w:snapToGrid w:val="0"/>
              <w:spacing w:line="360" w:lineRule="auto"/>
              <w:ind w:firstLine="0"/>
              <w:jc w:val="center"/>
              <w:rPr>
                <w:rFonts w:ascii="仿宋" w:hAnsi="仿宋" w:eastAsia="仿宋" w:cs="Courier New"/>
                <w:sz w:val="21"/>
                <w:szCs w:val="21"/>
                <w:highlight w:val="none"/>
              </w:rPr>
            </w:pPr>
            <w:r>
              <w:rPr>
                <w:rFonts w:hint="eastAsia" w:ascii="仿宋" w:hAnsi="仿宋" w:eastAsia="仿宋" w:cs="Courier New"/>
                <w:sz w:val="21"/>
                <w:szCs w:val="21"/>
                <w:highlight w:val="none"/>
              </w:rPr>
              <w:t>价格</w:t>
            </w:r>
          </w:p>
        </w:tc>
        <w:tc>
          <w:tcPr>
            <w:tcW w:w="7095" w:type="dxa"/>
            <w:tcBorders>
              <w:top w:val="single" w:color="auto" w:sz="4" w:space="0"/>
              <w:left w:val="single" w:color="auto" w:sz="4" w:space="0"/>
              <w:bottom w:val="single" w:color="auto" w:sz="4" w:space="0"/>
              <w:right w:val="single" w:color="auto" w:sz="4" w:space="0"/>
            </w:tcBorders>
            <w:vAlign w:val="center"/>
          </w:tcPr>
          <w:p w14:paraId="66F39FD6">
            <w:pPr>
              <w:widowControl/>
              <w:spacing w:line="360" w:lineRule="auto"/>
              <w:jc w:val="left"/>
              <w:textAlignment w:val="center"/>
              <w:rPr>
                <w:rFonts w:ascii="仿宋" w:hAnsi="仿宋" w:eastAsia="仿宋" w:cs="宋体"/>
                <w:b/>
                <w:bCs/>
                <w:kern w:val="0"/>
                <w:szCs w:val="21"/>
                <w:highlight w:val="none"/>
              </w:rPr>
            </w:pPr>
            <w:r>
              <w:rPr>
                <w:rFonts w:hint="eastAsia" w:ascii="仿宋" w:hAnsi="仿宋" w:eastAsia="仿宋" w:cs="宋体"/>
                <w:b/>
                <w:bCs/>
                <w:kern w:val="0"/>
                <w:szCs w:val="21"/>
                <w:highlight w:val="none"/>
              </w:rPr>
              <w:t>基准值的确定：评标基准价=有效报价的最低值，</w:t>
            </w:r>
          </w:p>
          <w:p w14:paraId="246CE6BA">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宋体"/>
                <w:sz w:val="21"/>
                <w:szCs w:val="21"/>
                <w:highlight w:val="none"/>
              </w:rPr>
              <w:t>报价得分=（评标基准价/投标报价）</w:t>
            </w:r>
            <w:r>
              <w:rPr>
                <w:rFonts w:hint="eastAsia" w:ascii="仿宋" w:hAnsi="仿宋" w:eastAsia="仿宋"/>
                <w:b/>
                <w:sz w:val="21"/>
                <w:szCs w:val="21"/>
                <w:highlight w:val="none"/>
              </w:rPr>
              <w:t>×</w:t>
            </w:r>
            <w:r>
              <w:rPr>
                <w:rFonts w:hint="eastAsia" w:ascii="仿宋" w:hAnsi="仿宋" w:eastAsia="仿宋" w:cs="宋体"/>
                <w:sz w:val="21"/>
                <w:szCs w:val="21"/>
                <w:highlight w:val="none"/>
              </w:rPr>
              <w:t>30%</w:t>
            </w:r>
            <w:r>
              <w:rPr>
                <w:rFonts w:hint="eastAsia" w:ascii="仿宋" w:hAnsi="仿宋" w:eastAsia="仿宋"/>
                <w:b/>
                <w:sz w:val="21"/>
                <w:szCs w:val="21"/>
                <w:highlight w:val="none"/>
              </w:rPr>
              <w:t>×</w:t>
            </w:r>
            <w:r>
              <w:rPr>
                <w:rFonts w:hint="eastAsia" w:ascii="仿宋" w:hAnsi="仿宋" w:eastAsia="仿宋" w:cs="宋体"/>
                <w:sz w:val="21"/>
                <w:szCs w:val="21"/>
                <w:highlight w:val="none"/>
              </w:rPr>
              <w:t>100.有效报价为通过初步审查的供应商报价。有效报价等于基准值的得满分</w:t>
            </w:r>
          </w:p>
        </w:tc>
        <w:tc>
          <w:tcPr>
            <w:tcW w:w="0" w:type="auto"/>
            <w:tcBorders>
              <w:top w:val="single" w:color="auto" w:sz="4" w:space="0"/>
              <w:left w:val="single" w:color="auto" w:sz="4" w:space="0"/>
              <w:bottom w:val="single" w:color="auto" w:sz="4" w:space="0"/>
              <w:right w:val="single" w:color="auto" w:sz="4" w:space="0"/>
            </w:tcBorders>
            <w:vAlign w:val="center"/>
          </w:tcPr>
          <w:p w14:paraId="73C7838C">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rPr>
              <w:t>30分</w:t>
            </w:r>
          </w:p>
        </w:tc>
      </w:tr>
      <w:tr w14:paraId="11083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368CCB70">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B：商务部分评分1</w:t>
            </w:r>
            <w:r>
              <w:rPr>
                <w:rFonts w:hint="eastAsia" w:ascii="仿宋" w:hAnsi="仿宋" w:eastAsia="仿宋" w:cs="Courier New"/>
                <w:b/>
                <w:sz w:val="21"/>
                <w:szCs w:val="21"/>
                <w:highlight w:val="none"/>
                <w:lang w:val="en-US" w:eastAsia="zh-CN"/>
              </w:rPr>
              <w:t>5</w:t>
            </w:r>
            <w:r>
              <w:rPr>
                <w:rFonts w:hint="eastAsia" w:ascii="仿宋" w:hAnsi="仿宋" w:eastAsia="仿宋" w:cs="Courier New"/>
                <w:b/>
                <w:sz w:val="21"/>
                <w:szCs w:val="21"/>
                <w:highlight w:val="none"/>
              </w:rPr>
              <w:t>分</w:t>
            </w:r>
          </w:p>
        </w:tc>
      </w:tr>
      <w:tr w14:paraId="3278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14:paraId="7DE00F4E">
            <w:pPr>
              <w:pStyle w:val="12"/>
              <w:snapToGrid w:val="0"/>
              <w:spacing w:line="360" w:lineRule="auto"/>
              <w:ind w:firstLine="0"/>
              <w:jc w:val="center"/>
              <w:rPr>
                <w:rFonts w:ascii="仿宋" w:hAnsi="仿宋" w:eastAsia="仿宋" w:cs="宋体"/>
                <w:sz w:val="21"/>
                <w:szCs w:val="21"/>
                <w:highlight w:val="none"/>
              </w:rPr>
            </w:pPr>
            <w:r>
              <w:rPr>
                <w:rFonts w:hint="eastAsia" w:ascii="仿宋" w:hAnsi="仿宋" w:eastAsia="仿宋" w:cs="宋体"/>
                <w:sz w:val="21"/>
                <w:szCs w:val="21"/>
                <w:highlight w:val="none"/>
              </w:rPr>
              <w:t>相关业绩</w:t>
            </w:r>
          </w:p>
        </w:tc>
        <w:tc>
          <w:tcPr>
            <w:tcW w:w="7095" w:type="dxa"/>
            <w:tcBorders>
              <w:top w:val="single" w:color="auto" w:sz="4" w:space="0"/>
              <w:left w:val="single" w:color="auto" w:sz="4" w:space="0"/>
              <w:bottom w:val="single" w:color="auto" w:sz="4" w:space="0"/>
              <w:right w:val="single" w:color="auto" w:sz="4" w:space="0"/>
            </w:tcBorders>
            <w:vAlign w:val="center"/>
          </w:tcPr>
          <w:p w14:paraId="084208D0">
            <w:pPr>
              <w:pStyle w:val="12"/>
              <w:snapToGrid w:val="0"/>
              <w:spacing w:line="360" w:lineRule="auto"/>
              <w:ind w:firstLine="0"/>
              <w:rPr>
                <w:rFonts w:ascii="仿宋" w:hAnsi="仿宋" w:eastAsia="仿宋"/>
                <w:sz w:val="21"/>
                <w:szCs w:val="21"/>
                <w:highlight w:val="none"/>
              </w:rPr>
            </w:pPr>
            <w:r>
              <w:rPr>
                <w:rFonts w:hint="eastAsia" w:ascii="仿宋" w:hAnsi="仿宋" w:eastAsia="仿宋"/>
                <w:sz w:val="21"/>
                <w:szCs w:val="21"/>
                <w:highlight w:val="none"/>
              </w:rPr>
              <w:t>提供20</w:t>
            </w:r>
            <w:r>
              <w:rPr>
                <w:rFonts w:ascii="仿宋" w:hAnsi="仿宋" w:eastAsia="仿宋"/>
                <w:sz w:val="21"/>
                <w:szCs w:val="21"/>
                <w:highlight w:val="none"/>
              </w:rPr>
              <w:t>2</w:t>
            </w:r>
            <w:r>
              <w:rPr>
                <w:rFonts w:hint="eastAsia" w:ascii="仿宋" w:hAnsi="仿宋" w:eastAsia="仿宋"/>
                <w:sz w:val="21"/>
                <w:szCs w:val="21"/>
                <w:highlight w:val="none"/>
                <w:lang w:val="en-US" w:eastAsia="zh-CN"/>
              </w:rPr>
              <w:t>2</w:t>
            </w:r>
            <w:r>
              <w:rPr>
                <w:rFonts w:hint="eastAsia" w:ascii="仿宋" w:hAnsi="仿宋" w:eastAsia="仿宋"/>
                <w:sz w:val="21"/>
                <w:szCs w:val="21"/>
                <w:highlight w:val="none"/>
              </w:rPr>
              <w:t>年</w:t>
            </w:r>
            <w:r>
              <w:rPr>
                <w:rFonts w:hint="eastAsia" w:ascii="仿宋" w:hAnsi="仿宋" w:eastAsia="仿宋"/>
                <w:sz w:val="21"/>
                <w:szCs w:val="21"/>
                <w:highlight w:val="none"/>
                <w:lang w:val="en-US" w:eastAsia="zh-CN"/>
              </w:rPr>
              <w:t>6</w:t>
            </w:r>
            <w:r>
              <w:rPr>
                <w:rFonts w:hint="eastAsia" w:ascii="仿宋" w:hAnsi="仿宋" w:eastAsia="仿宋"/>
                <w:sz w:val="21"/>
                <w:szCs w:val="21"/>
                <w:highlight w:val="none"/>
              </w:rPr>
              <w:t>月以来独立承担类似项目经验情况，拥有类似的相关业绩（需提供中标（成交）通知书或合同），每个业绩计</w:t>
            </w:r>
            <w:r>
              <w:rPr>
                <w:rFonts w:hint="eastAsia" w:ascii="仿宋" w:hAnsi="仿宋" w:eastAsia="仿宋"/>
                <w:sz w:val="21"/>
                <w:szCs w:val="21"/>
                <w:highlight w:val="none"/>
                <w:lang w:val="en-US" w:eastAsia="zh-CN"/>
              </w:rPr>
              <w:t>1</w:t>
            </w:r>
            <w:r>
              <w:rPr>
                <w:rFonts w:hint="eastAsia" w:ascii="仿宋" w:hAnsi="仿宋" w:eastAsia="仿宋"/>
                <w:sz w:val="21"/>
                <w:szCs w:val="21"/>
                <w:highlight w:val="none"/>
              </w:rPr>
              <w:t>分，最高得</w:t>
            </w:r>
            <w:r>
              <w:rPr>
                <w:rFonts w:hint="eastAsia" w:ascii="仿宋" w:hAnsi="仿宋" w:eastAsia="仿宋"/>
                <w:sz w:val="21"/>
                <w:szCs w:val="21"/>
                <w:highlight w:val="none"/>
                <w:lang w:val="en-US" w:eastAsia="zh-CN"/>
              </w:rPr>
              <w:t>5</w:t>
            </w:r>
            <w:r>
              <w:rPr>
                <w:rFonts w:hint="eastAsia" w:ascii="仿宋" w:hAnsi="仿宋" w:eastAsia="仿宋"/>
                <w:sz w:val="21"/>
                <w:szCs w:val="21"/>
                <w:highlight w:val="none"/>
              </w:rPr>
              <w:t>分。</w:t>
            </w:r>
          </w:p>
          <w:p w14:paraId="1CDC1D8A">
            <w:pPr>
              <w:pStyle w:val="12"/>
              <w:snapToGrid w:val="0"/>
              <w:spacing w:line="360" w:lineRule="auto"/>
              <w:ind w:firstLine="0"/>
              <w:rPr>
                <w:rFonts w:ascii="仿宋" w:hAnsi="仿宋" w:eastAsia="仿宋"/>
                <w:sz w:val="21"/>
                <w:szCs w:val="21"/>
                <w:highlight w:val="none"/>
              </w:rPr>
            </w:pPr>
            <w:r>
              <w:rPr>
                <w:rFonts w:hint="eastAsia" w:ascii="仿宋" w:hAnsi="仿宋" w:eastAsia="仿宋"/>
                <w:sz w:val="21"/>
                <w:szCs w:val="21"/>
                <w:highlight w:val="none"/>
              </w:rPr>
              <w:t>注：以上材料需提供复印件并加盖公章</w:t>
            </w:r>
          </w:p>
        </w:tc>
        <w:tc>
          <w:tcPr>
            <w:tcW w:w="0" w:type="auto"/>
            <w:tcBorders>
              <w:top w:val="single" w:color="auto" w:sz="4" w:space="0"/>
              <w:left w:val="single" w:color="auto" w:sz="4" w:space="0"/>
              <w:bottom w:val="single" w:color="auto" w:sz="4" w:space="0"/>
              <w:right w:val="single" w:color="auto" w:sz="4" w:space="0"/>
            </w:tcBorders>
            <w:vAlign w:val="center"/>
          </w:tcPr>
          <w:p w14:paraId="69B5D594">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lang w:val="en-US" w:eastAsia="zh-CN"/>
              </w:rPr>
              <w:t>5</w:t>
            </w:r>
            <w:r>
              <w:rPr>
                <w:rFonts w:hint="eastAsia" w:ascii="仿宋" w:hAnsi="仿宋" w:eastAsia="仿宋" w:cs="Courier New"/>
                <w:sz w:val="21"/>
                <w:szCs w:val="21"/>
                <w:highlight w:val="none"/>
              </w:rPr>
              <w:t>分</w:t>
            </w:r>
          </w:p>
        </w:tc>
      </w:tr>
      <w:tr w14:paraId="3C1C5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14:paraId="7118BCAB">
            <w:pPr>
              <w:pStyle w:val="12"/>
              <w:snapToGrid w:val="0"/>
              <w:spacing w:line="360" w:lineRule="auto"/>
              <w:ind w:firstLine="0"/>
              <w:jc w:val="center"/>
              <w:rPr>
                <w:rFonts w:ascii="仿宋" w:hAnsi="仿宋" w:eastAsia="仿宋" w:cs="宋体"/>
                <w:sz w:val="21"/>
                <w:szCs w:val="21"/>
                <w:highlight w:val="none"/>
              </w:rPr>
            </w:pPr>
            <w:r>
              <w:rPr>
                <w:rFonts w:hint="eastAsia" w:ascii="宋体" w:hAnsi="宋体" w:cs="宋体"/>
                <w:color w:val="000000" w:themeColor="text1"/>
                <w:szCs w:val="24"/>
                <w:highlight w:val="none"/>
                <w14:textFill>
                  <w14:solidFill>
                    <w14:schemeClr w14:val="tx1"/>
                  </w14:solidFill>
                </w14:textFill>
              </w:rPr>
              <w:t>系统演示</w:t>
            </w:r>
          </w:p>
        </w:tc>
        <w:tc>
          <w:tcPr>
            <w:tcW w:w="7095" w:type="dxa"/>
            <w:tcBorders>
              <w:top w:val="single" w:color="auto" w:sz="4" w:space="0"/>
              <w:left w:val="single" w:color="auto" w:sz="4" w:space="0"/>
              <w:bottom w:val="single" w:color="auto" w:sz="4" w:space="0"/>
              <w:right w:val="single" w:color="auto" w:sz="4" w:space="0"/>
            </w:tcBorders>
            <w:vAlign w:val="center"/>
          </w:tcPr>
          <w:p w14:paraId="7F9D1442">
            <w:pPr>
              <w:pStyle w:val="12"/>
              <w:snapToGrid w:val="0"/>
              <w:spacing w:line="360" w:lineRule="auto"/>
              <w:ind w:firstLine="0"/>
              <w:rPr>
                <w:rFonts w:hint="eastAsia" w:ascii="仿宋" w:hAnsi="仿宋" w:eastAsia="仿宋"/>
                <w:sz w:val="21"/>
                <w:szCs w:val="21"/>
                <w:highlight w:val="none"/>
              </w:rPr>
            </w:pPr>
            <w:r>
              <w:rPr>
                <w:rFonts w:hint="eastAsia" w:ascii="仿宋" w:hAnsi="仿宋" w:eastAsia="仿宋"/>
                <w:sz w:val="21"/>
                <w:szCs w:val="21"/>
                <w:highlight w:val="none"/>
              </w:rPr>
              <w:t>需演示内容如下：</w:t>
            </w:r>
          </w:p>
          <w:p w14:paraId="18399CC5">
            <w:pPr>
              <w:pStyle w:val="12"/>
              <w:snapToGrid w:val="0"/>
              <w:spacing w:line="360" w:lineRule="auto"/>
              <w:ind w:firstLine="0"/>
              <w:rPr>
                <w:rFonts w:hint="eastAsia" w:ascii="仿宋" w:hAnsi="仿宋" w:eastAsia="仿宋"/>
                <w:sz w:val="21"/>
                <w:szCs w:val="21"/>
                <w:highlight w:val="none"/>
                <w:lang w:val="en-US" w:eastAsia="zh-CN"/>
              </w:rPr>
            </w:pPr>
            <w:r>
              <w:rPr>
                <w:rFonts w:hint="eastAsia" w:ascii="仿宋" w:hAnsi="仿宋" w:eastAsia="仿宋"/>
                <w:sz w:val="21"/>
                <w:szCs w:val="21"/>
                <w:highlight w:val="none"/>
                <w:lang w:val="en-US" w:eastAsia="zh-CN"/>
              </w:rPr>
              <w:t>第一项：精准题库</w:t>
            </w:r>
          </w:p>
          <w:p w14:paraId="764C55D6">
            <w:pPr>
              <w:pStyle w:val="12"/>
              <w:snapToGrid w:val="0"/>
              <w:spacing w:line="360" w:lineRule="auto"/>
              <w:ind w:firstLine="0"/>
              <w:rPr>
                <w:rFonts w:hint="eastAsia" w:ascii="仿宋" w:hAnsi="仿宋" w:eastAsia="仿宋"/>
                <w:sz w:val="21"/>
                <w:szCs w:val="21"/>
                <w:highlight w:val="none"/>
              </w:rPr>
            </w:pPr>
            <w:r>
              <w:rPr>
                <w:rFonts w:hint="eastAsia" w:ascii="仿宋" w:hAnsi="仿宋" w:eastAsia="仿宋"/>
                <w:sz w:val="21"/>
                <w:szCs w:val="21"/>
                <w:highlight w:val="none"/>
                <w:lang w:eastAsia="zh-CN"/>
              </w:rPr>
              <w:t>★</w:t>
            </w:r>
            <w:r>
              <w:rPr>
                <w:rFonts w:hint="eastAsia" w:ascii="仿宋" w:hAnsi="仿宋" w:eastAsia="仿宋"/>
                <w:sz w:val="21"/>
                <w:szCs w:val="21"/>
                <w:highlight w:val="none"/>
              </w:rPr>
              <w:t>2、题库需包含通用资源库、校本资源库、教师个人资源库。支持教师上传Word试卷或在线新建试题，初高中数学、物理、化学、生物、历史学科系统自动标注试题知识点，全学科支持教师自主标注知识点、答案、解析、难度，支持教师对自己的试卷及试题进行共享；</w:t>
            </w:r>
          </w:p>
          <w:p w14:paraId="2114EA9D">
            <w:pPr>
              <w:pStyle w:val="12"/>
              <w:snapToGrid w:val="0"/>
              <w:spacing w:line="360" w:lineRule="auto"/>
              <w:ind w:firstLine="0"/>
              <w:rPr>
                <w:rFonts w:hint="eastAsia" w:ascii="仿宋" w:hAnsi="仿宋" w:eastAsia="仿宋"/>
                <w:sz w:val="21"/>
                <w:szCs w:val="21"/>
                <w:highlight w:val="none"/>
                <w:lang w:val="en-US" w:eastAsia="zh-CN"/>
              </w:rPr>
            </w:pPr>
            <w:r>
              <w:rPr>
                <w:rFonts w:hint="eastAsia" w:ascii="仿宋" w:hAnsi="仿宋" w:eastAsia="仿宋"/>
                <w:sz w:val="21"/>
                <w:szCs w:val="21"/>
                <w:highlight w:val="none"/>
                <w:lang w:val="en-US" w:eastAsia="zh-CN"/>
              </w:rPr>
              <w:t>第二项：精准教学</w:t>
            </w:r>
          </w:p>
          <w:p w14:paraId="024626D6">
            <w:pPr>
              <w:pStyle w:val="12"/>
              <w:snapToGrid w:val="0"/>
              <w:spacing w:line="360" w:lineRule="auto"/>
              <w:ind w:firstLine="0"/>
              <w:rPr>
                <w:rFonts w:hint="eastAsia" w:ascii="仿宋" w:hAnsi="仿宋" w:eastAsia="仿宋"/>
                <w:sz w:val="21"/>
                <w:szCs w:val="21"/>
                <w:highlight w:val="none"/>
              </w:rPr>
            </w:pPr>
            <w:r>
              <w:rPr>
                <w:rFonts w:hint="eastAsia" w:ascii="仿宋" w:hAnsi="仿宋" w:eastAsia="仿宋"/>
                <w:sz w:val="21"/>
                <w:szCs w:val="21"/>
                <w:highlight w:val="none"/>
                <w:lang w:eastAsia="zh-CN"/>
              </w:rPr>
              <w:t>★</w:t>
            </w:r>
            <w:r>
              <w:rPr>
                <w:rFonts w:hint="eastAsia" w:ascii="仿宋" w:hAnsi="仿宋" w:eastAsia="仿宋"/>
                <w:sz w:val="21"/>
                <w:szCs w:val="21"/>
                <w:highlight w:val="none"/>
              </w:rPr>
              <w:t>2、需支持根据上届薄弱知识点关联错题进行错题强化训练，其中初高中数学、物理、化学学科根据班级错题提供错题拓展资源，支持智能组题和自选错题两种形式；其中智能组题需支持按照得分率范围筛选错题，提供错题重做和错题拓展（初高中数理化学科）两种练习方式，支持教师自定义试题题量；自选错题需支持教师自主添加班级共性错题，提供错题重做、错题拓展（初高中数理化学科）以及错题重做+错题拓展（初高中数理化学科）的三种练习方式。</w:t>
            </w:r>
          </w:p>
          <w:p w14:paraId="13FE9222">
            <w:pPr>
              <w:pStyle w:val="12"/>
              <w:snapToGrid w:val="0"/>
              <w:spacing w:line="360" w:lineRule="auto"/>
              <w:ind w:firstLine="0"/>
              <w:rPr>
                <w:rFonts w:hint="eastAsia" w:ascii="仿宋" w:hAnsi="仿宋" w:eastAsia="仿宋"/>
                <w:sz w:val="21"/>
                <w:szCs w:val="21"/>
                <w:highlight w:val="none"/>
                <w:lang w:val="en-US" w:eastAsia="zh-CN"/>
              </w:rPr>
            </w:pPr>
            <w:r>
              <w:rPr>
                <w:rFonts w:hint="eastAsia" w:ascii="仿宋" w:hAnsi="仿宋" w:eastAsia="仿宋"/>
                <w:sz w:val="21"/>
                <w:szCs w:val="21"/>
                <w:highlight w:val="none"/>
                <w:lang w:val="en-US" w:eastAsia="zh-CN"/>
              </w:rPr>
              <w:t>第三项：</w:t>
            </w:r>
            <w:r>
              <w:rPr>
                <w:rFonts w:hint="eastAsia" w:ascii="仿宋" w:hAnsi="仿宋" w:eastAsia="仿宋"/>
                <w:sz w:val="21"/>
                <w:szCs w:val="21"/>
                <w:highlight w:val="none"/>
              </w:rPr>
              <w:t>教学管理</w:t>
            </w:r>
          </w:p>
          <w:p w14:paraId="11FD0EC4">
            <w:pPr>
              <w:pStyle w:val="12"/>
              <w:snapToGrid w:val="0"/>
              <w:spacing w:line="360" w:lineRule="auto"/>
              <w:ind w:firstLine="0"/>
              <w:rPr>
                <w:rFonts w:hint="eastAsia" w:ascii="仿宋" w:hAnsi="仿宋" w:eastAsia="仿宋"/>
                <w:sz w:val="21"/>
                <w:szCs w:val="21"/>
                <w:highlight w:val="none"/>
              </w:rPr>
            </w:pPr>
            <w:r>
              <w:rPr>
                <w:rFonts w:hint="eastAsia" w:ascii="仿宋" w:hAnsi="仿宋" w:eastAsia="仿宋"/>
                <w:sz w:val="21"/>
                <w:szCs w:val="21"/>
                <w:highlight w:val="none"/>
                <w:lang w:eastAsia="zh-CN"/>
              </w:rPr>
              <w:t>★</w:t>
            </w:r>
            <w:r>
              <w:rPr>
                <w:rFonts w:hint="eastAsia" w:ascii="仿宋" w:hAnsi="仿宋" w:eastAsia="仿宋"/>
                <w:sz w:val="21"/>
                <w:szCs w:val="21"/>
                <w:highlight w:val="none"/>
              </w:rPr>
              <w:t>2、需支持设置学业进步、两极均衡、层级变化、优等生培养、后进生脱困五个维度权重比例；支持按照分数划分成绩层级；设置顶层和底层范围；支持优等生、后进生设置；</w:t>
            </w:r>
          </w:p>
          <w:p w14:paraId="21388FF1">
            <w:pPr>
              <w:pStyle w:val="12"/>
              <w:snapToGrid w:val="0"/>
              <w:spacing w:line="360" w:lineRule="auto"/>
              <w:ind w:firstLine="0"/>
              <w:rPr>
                <w:rFonts w:hint="eastAsia" w:ascii="仿宋" w:hAnsi="仿宋" w:eastAsia="仿宋"/>
                <w:sz w:val="21"/>
                <w:szCs w:val="21"/>
                <w:highlight w:val="none"/>
                <w:lang w:val="en-US" w:eastAsia="zh-CN"/>
              </w:rPr>
            </w:pPr>
            <w:r>
              <w:rPr>
                <w:rFonts w:hint="eastAsia" w:ascii="仿宋" w:hAnsi="仿宋" w:eastAsia="仿宋"/>
                <w:sz w:val="21"/>
                <w:szCs w:val="21"/>
                <w:highlight w:val="none"/>
                <w:lang w:val="en-US" w:eastAsia="zh-CN"/>
              </w:rPr>
              <w:t>第四项：</w:t>
            </w:r>
            <w:r>
              <w:rPr>
                <w:rFonts w:hint="eastAsia" w:ascii="仿宋" w:hAnsi="仿宋" w:eastAsia="仿宋"/>
                <w:sz w:val="21"/>
                <w:szCs w:val="21"/>
                <w:highlight w:val="none"/>
              </w:rPr>
              <w:t>AI听说课堂软件</w:t>
            </w:r>
          </w:p>
          <w:p w14:paraId="611CD84E">
            <w:pPr>
              <w:pStyle w:val="12"/>
              <w:snapToGrid w:val="0"/>
              <w:spacing w:line="360" w:lineRule="auto"/>
              <w:ind w:firstLine="0"/>
              <w:rPr>
                <w:rFonts w:hint="eastAsia" w:ascii="仿宋" w:hAnsi="仿宋" w:eastAsia="仿宋"/>
                <w:sz w:val="21"/>
                <w:szCs w:val="21"/>
                <w:highlight w:val="none"/>
              </w:rPr>
            </w:pPr>
            <w:r>
              <w:rPr>
                <w:rFonts w:hint="eastAsia" w:ascii="仿宋" w:hAnsi="仿宋" w:eastAsia="仿宋"/>
                <w:sz w:val="21"/>
                <w:szCs w:val="21"/>
                <w:highlight w:val="none"/>
                <w:lang w:eastAsia="zh-CN"/>
              </w:rPr>
              <w:t>★</w:t>
            </w:r>
            <w:r>
              <w:rPr>
                <w:rFonts w:hint="eastAsia" w:ascii="仿宋" w:hAnsi="仿宋" w:eastAsia="仿宋"/>
                <w:sz w:val="21"/>
                <w:szCs w:val="21"/>
                <w:highlight w:val="none"/>
              </w:rPr>
              <w:t>7、针对单词教学环节，需支持教师快速选取课本同步词汇、备考专题词汇、班级高频失分词等进行教学，支持结合单词、音标、释义、例句内容进行词汇讲解，支持进行单词标准音自动带读、听写、中英识意互选、单词PK游戏等功能。</w:t>
            </w:r>
          </w:p>
          <w:p w14:paraId="79A06E59">
            <w:pPr>
              <w:pStyle w:val="12"/>
              <w:snapToGrid w:val="0"/>
              <w:spacing w:line="360" w:lineRule="auto"/>
              <w:ind w:firstLine="0"/>
              <w:rPr>
                <w:rFonts w:hint="eastAsia" w:ascii="仿宋" w:hAnsi="仿宋" w:eastAsia="仿宋"/>
                <w:sz w:val="21"/>
                <w:szCs w:val="21"/>
                <w:highlight w:val="none"/>
                <w:lang w:val="en-US" w:eastAsia="zh-CN"/>
              </w:rPr>
            </w:pPr>
            <w:r>
              <w:rPr>
                <w:rFonts w:hint="eastAsia" w:ascii="仿宋" w:hAnsi="仿宋" w:eastAsia="仿宋"/>
                <w:sz w:val="21"/>
                <w:szCs w:val="21"/>
                <w:highlight w:val="none"/>
                <w:lang w:val="en-US" w:eastAsia="zh-CN"/>
              </w:rPr>
              <w:t>第五项：</w:t>
            </w:r>
            <w:r>
              <w:rPr>
                <w:rFonts w:hint="eastAsia" w:ascii="仿宋" w:hAnsi="仿宋" w:eastAsia="仿宋"/>
                <w:sz w:val="21"/>
                <w:szCs w:val="21"/>
                <w:highlight w:val="none"/>
              </w:rPr>
              <w:t>AI听说课堂软件</w:t>
            </w:r>
          </w:p>
          <w:p w14:paraId="1E0BFF0C">
            <w:pPr>
              <w:pStyle w:val="12"/>
              <w:snapToGrid w:val="0"/>
              <w:spacing w:line="360" w:lineRule="auto"/>
              <w:ind w:firstLine="0"/>
              <w:rPr>
                <w:rFonts w:hint="eastAsia" w:ascii="仿宋" w:hAnsi="仿宋" w:eastAsia="仿宋"/>
                <w:sz w:val="21"/>
                <w:szCs w:val="21"/>
                <w:highlight w:val="none"/>
              </w:rPr>
            </w:pPr>
            <w:r>
              <w:rPr>
                <w:rFonts w:hint="eastAsia" w:ascii="仿宋" w:hAnsi="仿宋" w:eastAsia="仿宋"/>
                <w:sz w:val="21"/>
                <w:szCs w:val="21"/>
                <w:highlight w:val="none"/>
                <w:lang w:eastAsia="zh-CN"/>
              </w:rPr>
              <w:t>★</w:t>
            </w:r>
            <w:r>
              <w:rPr>
                <w:rFonts w:hint="eastAsia" w:ascii="仿宋" w:hAnsi="仿宋" w:eastAsia="仿宋"/>
                <w:sz w:val="21"/>
                <w:szCs w:val="21"/>
                <w:highlight w:val="none"/>
              </w:rPr>
              <w:t>2、需支持配合学生语音答题器，在课上一键发起互动练习。支持全班下发，所有学生均可参与练习；支持随机模式，由系统随机抽选学生进行作答；支持抢答模式，学生通过语音答题器进行抢答；支持直接选人作答；支持小组间PK练习等。</w:t>
            </w:r>
          </w:p>
          <w:p w14:paraId="6F8865CF">
            <w:pPr>
              <w:pStyle w:val="12"/>
              <w:snapToGrid w:val="0"/>
              <w:spacing w:line="360" w:lineRule="auto"/>
              <w:ind w:firstLine="0"/>
              <w:rPr>
                <w:rFonts w:hint="eastAsia" w:ascii="仿宋" w:hAnsi="仿宋" w:eastAsia="仿宋"/>
                <w:sz w:val="21"/>
                <w:szCs w:val="21"/>
                <w:highlight w:val="none"/>
              </w:rPr>
            </w:pPr>
            <w:r>
              <w:rPr>
                <w:rFonts w:hint="eastAsia" w:ascii="仿宋" w:hAnsi="仿宋" w:eastAsia="仿宋"/>
                <w:sz w:val="21"/>
                <w:szCs w:val="21"/>
                <w:highlight w:val="none"/>
              </w:rPr>
              <w:t>备注：</w:t>
            </w:r>
          </w:p>
          <w:p w14:paraId="0BB5A474">
            <w:pPr>
              <w:pStyle w:val="12"/>
              <w:numPr>
                <w:ilvl w:val="0"/>
                <w:numId w:val="2"/>
              </w:numPr>
              <w:snapToGrid w:val="0"/>
              <w:spacing w:line="360" w:lineRule="auto"/>
              <w:ind w:firstLine="0"/>
              <w:rPr>
                <w:rFonts w:hint="eastAsia" w:ascii="仿宋" w:hAnsi="仿宋" w:eastAsia="仿宋"/>
                <w:sz w:val="21"/>
                <w:szCs w:val="21"/>
                <w:highlight w:val="none"/>
              </w:rPr>
            </w:pPr>
            <w:r>
              <w:rPr>
                <w:rFonts w:hint="eastAsia" w:ascii="仿宋" w:hAnsi="仿宋" w:eastAsia="仿宋"/>
                <w:sz w:val="21"/>
                <w:szCs w:val="21"/>
                <w:highlight w:val="none"/>
              </w:rPr>
              <w:t>每</w:t>
            </w:r>
            <w:r>
              <w:rPr>
                <w:rFonts w:hint="eastAsia" w:ascii="仿宋" w:hAnsi="仿宋" w:eastAsia="仿宋"/>
                <w:sz w:val="21"/>
                <w:szCs w:val="21"/>
                <w:highlight w:val="none"/>
                <w:lang w:val="en-US" w:eastAsia="zh-CN"/>
              </w:rPr>
              <w:t>项</w:t>
            </w:r>
            <w:r>
              <w:rPr>
                <w:rFonts w:hint="eastAsia" w:ascii="仿宋" w:hAnsi="仿宋" w:eastAsia="仿宋"/>
                <w:sz w:val="21"/>
                <w:szCs w:val="21"/>
                <w:highlight w:val="none"/>
              </w:rPr>
              <w:t>演示功能内容完整、全面、清晰且符合实际需求的得2分，演示内容缺项的得0.5分；采用demo演示、PPT演示、未提供演示则不得分）</w:t>
            </w:r>
          </w:p>
          <w:p w14:paraId="410A94DC">
            <w:pPr>
              <w:pStyle w:val="12"/>
              <w:numPr>
                <w:ilvl w:val="0"/>
                <w:numId w:val="0"/>
              </w:numPr>
              <w:snapToGrid w:val="0"/>
              <w:spacing w:line="360" w:lineRule="auto"/>
              <w:rPr>
                <w:rFonts w:hint="default" w:ascii="仿宋" w:hAnsi="仿宋" w:eastAsia="仿宋"/>
                <w:sz w:val="21"/>
                <w:szCs w:val="21"/>
                <w:highlight w:val="none"/>
                <w:lang w:val="en-US" w:eastAsia="zh-CN"/>
              </w:rPr>
            </w:pPr>
            <w:r>
              <w:rPr>
                <w:rFonts w:hint="eastAsia" w:ascii="仿宋" w:hAnsi="仿宋" w:eastAsia="仿宋"/>
                <w:sz w:val="21"/>
                <w:szCs w:val="21"/>
                <w:highlight w:val="none"/>
                <w:lang w:val="en-US" w:eastAsia="zh-CN"/>
              </w:rPr>
              <w:t>2.演示时长不超过15分钟。</w:t>
            </w:r>
          </w:p>
        </w:tc>
        <w:tc>
          <w:tcPr>
            <w:tcW w:w="0" w:type="auto"/>
            <w:tcBorders>
              <w:top w:val="single" w:color="auto" w:sz="4" w:space="0"/>
              <w:left w:val="single" w:color="auto" w:sz="4" w:space="0"/>
              <w:bottom w:val="single" w:color="auto" w:sz="4" w:space="0"/>
              <w:right w:val="single" w:color="auto" w:sz="4" w:space="0"/>
            </w:tcBorders>
            <w:vAlign w:val="center"/>
          </w:tcPr>
          <w:p w14:paraId="233DF0CF">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lang w:val="en-US" w:eastAsia="zh-CN"/>
              </w:rPr>
              <w:t>10</w:t>
            </w:r>
            <w:r>
              <w:rPr>
                <w:rFonts w:hint="eastAsia" w:ascii="仿宋" w:hAnsi="仿宋" w:eastAsia="仿宋" w:cs="宋体"/>
                <w:sz w:val="21"/>
                <w:szCs w:val="21"/>
                <w:highlight w:val="none"/>
              </w:rPr>
              <w:t>分</w:t>
            </w:r>
          </w:p>
        </w:tc>
      </w:tr>
      <w:tr w14:paraId="7A094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127B178D">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C：技术部分评分5</w:t>
            </w:r>
            <w:r>
              <w:rPr>
                <w:rFonts w:hint="eastAsia" w:ascii="仿宋" w:hAnsi="仿宋" w:eastAsia="仿宋" w:cs="Courier New"/>
                <w:b/>
                <w:sz w:val="21"/>
                <w:szCs w:val="21"/>
                <w:highlight w:val="none"/>
                <w:lang w:val="en-US" w:eastAsia="zh-CN"/>
              </w:rPr>
              <w:t>5</w:t>
            </w:r>
            <w:r>
              <w:rPr>
                <w:rFonts w:hint="eastAsia" w:ascii="仿宋" w:hAnsi="仿宋" w:eastAsia="仿宋" w:cs="Courier New"/>
                <w:b/>
                <w:sz w:val="21"/>
                <w:szCs w:val="21"/>
                <w:highlight w:val="none"/>
              </w:rPr>
              <w:t>分</w:t>
            </w:r>
          </w:p>
        </w:tc>
      </w:tr>
      <w:tr w14:paraId="43215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14:paraId="687B797A">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rPr>
              <w:t>技术响应</w:t>
            </w:r>
          </w:p>
        </w:tc>
        <w:tc>
          <w:tcPr>
            <w:tcW w:w="7095" w:type="dxa"/>
            <w:tcBorders>
              <w:top w:val="single" w:color="auto" w:sz="4" w:space="0"/>
              <w:left w:val="single" w:color="auto" w:sz="4" w:space="0"/>
              <w:bottom w:val="single" w:color="auto" w:sz="4" w:space="0"/>
              <w:right w:val="single" w:color="auto" w:sz="4" w:space="0"/>
            </w:tcBorders>
            <w:vAlign w:val="center"/>
          </w:tcPr>
          <w:p w14:paraId="14C65B5C">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rPr>
              <w:t>响应文件对采购文件 “采购需求”的响应程度，完全满足采购文件要求的得</w:t>
            </w:r>
            <w:r>
              <w:rPr>
                <w:rFonts w:hint="eastAsia" w:ascii="仿宋" w:hAnsi="仿宋" w:eastAsia="仿宋" w:cs="宋体"/>
                <w:sz w:val="21"/>
                <w:szCs w:val="21"/>
                <w:highlight w:val="none"/>
                <w:lang w:val="en-US" w:eastAsia="zh-CN"/>
              </w:rPr>
              <w:t>25</w:t>
            </w:r>
            <w:r>
              <w:rPr>
                <w:rFonts w:hint="eastAsia" w:ascii="仿宋" w:hAnsi="仿宋" w:eastAsia="仿宋" w:cs="宋体"/>
                <w:sz w:val="21"/>
                <w:szCs w:val="21"/>
                <w:highlight w:val="none"/>
              </w:rPr>
              <w:t>分；</w:t>
            </w:r>
          </w:p>
          <w:p w14:paraId="307CC326">
            <w:pPr>
              <w:widowControl/>
              <w:spacing w:line="360" w:lineRule="auto"/>
              <w:jc w:val="left"/>
              <w:rPr>
                <w:rFonts w:ascii="仿宋" w:hAnsi="仿宋" w:eastAsia="仿宋" w:cs="宋体"/>
                <w:kern w:val="0"/>
                <w:szCs w:val="21"/>
                <w:highlight w:val="none"/>
              </w:rPr>
            </w:pPr>
            <w:r>
              <w:rPr>
                <w:rFonts w:hint="eastAsia" w:ascii="仿宋" w:hAnsi="仿宋" w:eastAsia="仿宋" w:cs="宋体"/>
                <w:kern w:val="0"/>
                <w:szCs w:val="21"/>
                <w:highlight w:val="none"/>
              </w:rPr>
              <w:t>加“★”参数每项负偏离或未按要求提供响应的证明材料，扣2分，扣完为止；</w:t>
            </w:r>
          </w:p>
          <w:p w14:paraId="046D87D0">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rPr>
              <w:t>未加“★”参数每项负偏离或未按要求提供响应的证明材料，扣1分，扣完为止。</w:t>
            </w:r>
          </w:p>
          <w:p w14:paraId="2FD21C24">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rPr>
              <w:t>注：提供制造商公开发布的产品彩页或检测报告等证明材料。</w:t>
            </w:r>
          </w:p>
        </w:tc>
        <w:tc>
          <w:tcPr>
            <w:tcW w:w="0" w:type="auto"/>
            <w:tcBorders>
              <w:top w:val="single" w:color="auto" w:sz="4" w:space="0"/>
              <w:left w:val="single" w:color="auto" w:sz="4" w:space="0"/>
              <w:bottom w:val="single" w:color="auto" w:sz="4" w:space="0"/>
              <w:right w:val="single" w:color="auto" w:sz="4" w:space="0"/>
            </w:tcBorders>
            <w:vAlign w:val="center"/>
          </w:tcPr>
          <w:p w14:paraId="368D2FD6">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lang w:val="en-US" w:eastAsia="zh-CN"/>
              </w:rPr>
              <w:t>25</w:t>
            </w:r>
            <w:r>
              <w:rPr>
                <w:rFonts w:hint="eastAsia" w:ascii="仿宋" w:hAnsi="仿宋" w:eastAsia="仿宋" w:cs="Courier New"/>
                <w:sz w:val="21"/>
                <w:szCs w:val="21"/>
                <w:highlight w:val="none"/>
              </w:rPr>
              <w:t>分</w:t>
            </w:r>
          </w:p>
        </w:tc>
      </w:tr>
      <w:tr w14:paraId="4C763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2" w:type="dxa"/>
            <w:vMerge w:val="restart"/>
            <w:tcBorders>
              <w:top w:val="single" w:color="auto" w:sz="4" w:space="0"/>
              <w:left w:val="single" w:color="auto" w:sz="4" w:space="0"/>
              <w:right w:val="single" w:color="auto" w:sz="4" w:space="0"/>
            </w:tcBorders>
            <w:vAlign w:val="center"/>
          </w:tcPr>
          <w:p w14:paraId="70377567">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宋体"/>
                <w:sz w:val="21"/>
                <w:szCs w:val="21"/>
                <w:highlight w:val="none"/>
              </w:rPr>
              <w:t>实施方案</w:t>
            </w:r>
          </w:p>
        </w:tc>
        <w:tc>
          <w:tcPr>
            <w:tcW w:w="7095" w:type="dxa"/>
            <w:tcBorders>
              <w:top w:val="single" w:color="auto" w:sz="4" w:space="0"/>
              <w:left w:val="single" w:color="auto" w:sz="4" w:space="0"/>
              <w:bottom w:val="single" w:color="auto" w:sz="4" w:space="0"/>
              <w:right w:val="single" w:color="auto" w:sz="4" w:space="0"/>
            </w:tcBorders>
            <w:vAlign w:val="center"/>
          </w:tcPr>
          <w:p w14:paraId="181AFD7B">
            <w:pPr>
              <w:pStyle w:val="12"/>
              <w:snapToGrid w:val="0"/>
              <w:spacing w:line="360" w:lineRule="auto"/>
              <w:ind w:firstLine="0"/>
              <w:rPr>
                <w:rFonts w:ascii="仿宋" w:hAnsi="仿宋" w:eastAsia="仿宋"/>
                <w:sz w:val="21"/>
                <w:szCs w:val="21"/>
                <w:highlight w:val="none"/>
              </w:rPr>
            </w:pPr>
            <w:r>
              <w:rPr>
                <w:rFonts w:ascii="仿宋" w:hAnsi="仿宋" w:eastAsia="仿宋"/>
                <w:sz w:val="21"/>
                <w:szCs w:val="21"/>
                <w:highlight w:val="none"/>
              </w:rPr>
              <w:t>实施方案</w:t>
            </w:r>
            <w:r>
              <w:rPr>
                <w:rFonts w:hint="eastAsia" w:ascii="仿宋" w:hAnsi="仿宋" w:eastAsia="仿宋"/>
                <w:sz w:val="21"/>
                <w:szCs w:val="21"/>
                <w:highlight w:val="none"/>
              </w:rPr>
              <w:t>：</w:t>
            </w:r>
          </w:p>
          <w:p w14:paraId="0BC94002">
            <w:pPr>
              <w:pStyle w:val="12"/>
              <w:snapToGrid w:val="0"/>
              <w:spacing w:line="360" w:lineRule="auto"/>
              <w:ind w:firstLine="0"/>
              <w:rPr>
                <w:rFonts w:ascii="仿宋" w:hAnsi="仿宋" w:eastAsia="仿宋"/>
                <w:sz w:val="21"/>
                <w:szCs w:val="21"/>
                <w:highlight w:val="none"/>
              </w:rPr>
            </w:pPr>
            <w:r>
              <w:rPr>
                <w:rFonts w:ascii="仿宋" w:hAnsi="仿宋" w:eastAsia="仿宋"/>
                <w:sz w:val="21"/>
                <w:szCs w:val="21"/>
                <w:highlight w:val="none"/>
              </w:rPr>
              <w:t xml:space="preserve">应充分了解实施项目建设内容，在理解基础上进行深入分析，保证本次项目顺利实施，投标人根据货物交付时间节点，落实生产计划、送货安装时间， 确保按期交付使用。 </w:t>
            </w:r>
          </w:p>
          <w:p w14:paraId="1B577CE0">
            <w:pPr>
              <w:pStyle w:val="12"/>
              <w:snapToGrid w:val="0"/>
              <w:spacing w:line="360" w:lineRule="auto"/>
              <w:ind w:firstLine="0"/>
              <w:rPr>
                <w:rFonts w:ascii="仿宋" w:hAnsi="仿宋" w:eastAsia="仿宋"/>
                <w:sz w:val="21"/>
                <w:szCs w:val="21"/>
                <w:highlight w:val="none"/>
              </w:rPr>
            </w:pPr>
            <w:r>
              <w:rPr>
                <w:rFonts w:hint="eastAsia" w:ascii="仿宋" w:hAnsi="仿宋" w:eastAsia="仿宋" w:cs="Times New Roman"/>
                <w:sz w:val="21"/>
                <w:szCs w:val="21"/>
                <w:highlight w:val="none"/>
                <w:lang w:eastAsia="zh-CN"/>
              </w:rPr>
              <w:t>①</w:t>
            </w:r>
            <w:r>
              <w:rPr>
                <w:rFonts w:hint="default" w:ascii="仿宋" w:hAnsi="仿宋" w:eastAsia="仿宋" w:cs="Times New Roman"/>
                <w:sz w:val="21"/>
                <w:szCs w:val="21"/>
                <w:highlight w:val="none"/>
              </w:rPr>
              <w:t>供货方案</w:t>
            </w:r>
            <w:r>
              <w:rPr>
                <w:rFonts w:hint="eastAsia" w:ascii="仿宋" w:hAnsi="仿宋" w:eastAsia="仿宋" w:cs="Times New Roman"/>
                <w:sz w:val="21"/>
                <w:szCs w:val="21"/>
                <w:highlight w:val="none"/>
                <w:lang w:eastAsia="zh-CN"/>
              </w:rPr>
              <w:t>、②</w:t>
            </w:r>
            <w:r>
              <w:rPr>
                <w:rFonts w:hint="default" w:ascii="仿宋" w:hAnsi="仿宋" w:eastAsia="仿宋" w:cs="Times New Roman"/>
                <w:sz w:val="21"/>
                <w:szCs w:val="21"/>
                <w:highlight w:val="none"/>
              </w:rPr>
              <w:t>质量保障措施</w:t>
            </w:r>
            <w:r>
              <w:rPr>
                <w:rFonts w:hint="eastAsia" w:ascii="仿宋" w:hAnsi="仿宋" w:eastAsia="仿宋" w:cs="Times New Roman"/>
                <w:sz w:val="21"/>
                <w:szCs w:val="21"/>
                <w:highlight w:val="none"/>
                <w:lang w:eastAsia="zh-CN"/>
              </w:rPr>
              <w:t>、③</w:t>
            </w:r>
            <w:r>
              <w:rPr>
                <w:rFonts w:hint="default" w:ascii="仿宋" w:hAnsi="仿宋" w:eastAsia="仿宋" w:cs="Times New Roman"/>
                <w:sz w:val="21"/>
                <w:szCs w:val="21"/>
                <w:highlight w:val="none"/>
              </w:rPr>
              <w:t>进度计划与管控</w:t>
            </w:r>
            <w:r>
              <w:rPr>
                <w:rFonts w:hint="eastAsia" w:ascii="仿宋" w:hAnsi="仿宋" w:eastAsia="仿宋" w:cs="Times New Roman"/>
                <w:sz w:val="21"/>
                <w:szCs w:val="21"/>
                <w:highlight w:val="none"/>
                <w:lang w:eastAsia="zh-CN"/>
              </w:rPr>
              <w:t>、④</w:t>
            </w:r>
            <w:r>
              <w:rPr>
                <w:rFonts w:ascii="仿宋" w:hAnsi="仿宋" w:eastAsia="仿宋" w:cs="Times New Roman"/>
                <w:sz w:val="21"/>
                <w:szCs w:val="21"/>
                <w:highlight w:val="none"/>
              </w:rPr>
              <w:t>安装与调试</w:t>
            </w:r>
            <w:r>
              <w:rPr>
                <w:rFonts w:hint="eastAsia" w:ascii="仿宋" w:hAnsi="仿宋" w:eastAsia="仿宋" w:cs="Times New Roman"/>
                <w:sz w:val="21"/>
                <w:szCs w:val="21"/>
                <w:highlight w:val="none"/>
                <w:lang w:eastAsia="zh-CN"/>
              </w:rPr>
              <w:t>、⑤</w:t>
            </w:r>
            <w:r>
              <w:rPr>
                <w:rFonts w:ascii="仿宋" w:hAnsi="仿宋" w:eastAsia="仿宋" w:cs="Times New Roman"/>
                <w:sz w:val="21"/>
                <w:szCs w:val="21"/>
                <w:highlight w:val="none"/>
              </w:rPr>
              <w:t>培训服务</w:t>
            </w:r>
            <w:r>
              <w:rPr>
                <w:rFonts w:hint="eastAsia" w:ascii="仿宋" w:hAnsi="仿宋" w:eastAsia="仿宋" w:cs="Times New Roman"/>
                <w:sz w:val="21"/>
                <w:szCs w:val="21"/>
                <w:highlight w:val="none"/>
                <w:lang w:eastAsia="zh-CN"/>
              </w:rPr>
              <w:t xml:space="preserve">、⑥应急预案。提供相关方案的得 </w:t>
            </w:r>
            <w:r>
              <w:rPr>
                <w:rFonts w:hint="eastAsia" w:ascii="仿宋" w:hAnsi="仿宋" w:eastAsia="仿宋" w:cs="Times New Roman"/>
                <w:sz w:val="21"/>
                <w:szCs w:val="21"/>
                <w:highlight w:val="none"/>
                <w:lang w:val="en-US" w:eastAsia="zh-CN"/>
              </w:rPr>
              <w:t>12</w:t>
            </w:r>
            <w:r>
              <w:rPr>
                <w:rFonts w:hint="eastAsia" w:ascii="仿宋" w:hAnsi="仿宋" w:eastAsia="仿宋" w:cs="Times New Roman"/>
                <w:sz w:val="21"/>
                <w:szCs w:val="21"/>
                <w:highlight w:val="none"/>
                <w:lang w:eastAsia="zh-CN"/>
              </w:rPr>
              <w:t xml:space="preserve"> 分，以此为基础，</w:t>
            </w:r>
            <w:r>
              <w:rPr>
                <w:rFonts w:hint="eastAsia" w:ascii="仿宋" w:hAnsi="仿宋" w:eastAsia="仿宋" w:cs="Times New Roman"/>
                <w:sz w:val="21"/>
                <w:szCs w:val="21"/>
                <w:highlight w:val="none"/>
                <w:lang w:val="en-US" w:eastAsia="zh-CN"/>
              </w:rPr>
              <w:t>所提供的</w:t>
            </w:r>
            <w:r>
              <w:rPr>
                <w:rFonts w:hint="eastAsia" w:ascii="仿宋" w:hAnsi="仿宋" w:eastAsia="仿宋" w:cs="Times New Roman"/>
                <w:sz w:val="21"/>
                <w:szCs w:val="21"/>
                <w:highlight w:val="none"/>
                <w:lang w:eastAsia="zh-CN"/>
              </w:rPr>
              <w:t>方案</w:t>
            </w:r>
            <w:r>
              <w:rPr>
                <w:rFonts w:hint="eastAsia" w:ascii="仿宋" w:hAnsi="仿宋" w:eastAsia="仿宋" w:cs="Times New Roman"/>
                <w:sz w:val="21"/>
                <w:szCs w:val="21"/>
                <w:highlight w:val="none"/>
                <w:lang w:val="en-US" w:eastAsia="zh-CN"/>
              </w:rPr>
              <w:t>中</w:t>
            </w:r>
            <w:r>
              <w:rPr>
                <w:rFonts w:hint="eastAsia" w:ascii="仿宋" w:hAnsi="仿宋" w:eastAsia="仿宋" w:cs="Times New Roman"/>
                <w:sz w:val="21"/>
                <w:szCs w:val="21"/>
                <w:highlight w:val="none"/>
                <w:lang w:eastAsia="zh-CN"/>
              </w:rPr>
              <w:t>每有一项</w:t>
            </w:r>
            <w:r>
              <w:rPr>
                <w:rFonts w:hint="eastAsia" w:ascii="仿宋" w:hAnsi="仿宋" w:eastAsia="仿宋" w:cs="Times New Roman"/>
                <w:sz w:val="21"/>
                <w:szCs w:val="21"/>
                <w:highlight w:val="none"/>
                <w:lang w:val="en-US" w:eastAsia="zh-CN"/>
              </w:rPr>
              <w:t>内容</w:t>
            </w:r>
            <w:r>
              <w:rPr>
                <w:rFonts w:hint="eastAsia" w:ascii="仿宋" w:hAnsi="仿宋" w:eastAsia="仿宋" w:cs="Times New Roman"/>
                <w:sz w:val="21"/>
                <w:szCs w:val="21"/>
                <w:highlight w:val="none"/>
                <w:lang w:eastAsia="zh-CN"/>
              </w:rPr>
              <w:t>进行了深化、量化、拓展</w:t>
            </w:r>
            <w:r>
              <w:rPr>
                <w:rFonts w:hint="eastAsia" w:ascii="仿宋" w:hAnsi="仿宋" w:eastAsia="仿宋" w:cs="Times New Roman"/>
                <w:sz w:val="21"/>
                <w:szCs w:val="21"/>
                <w:highlight w:val="none"/>
                <w:lang w:val="en-US" w:eastAsia="zh-CN"/>
              </w:rPr>
              <w:t>或</w:t>
            </w:r>
            <w:r>
              <w:rPr>
                <w:rFonts w:hint="eastAsia" w:ascii="仿宋" w:hAnsi="仿宋" w:eastAsia="仿宋" w:cs="Times New Roman"/>
                <w:sz w:val="21"/>
                <w:szCs w:val="21"/>
                <w:highlight w:val="none"/>
                <w:lang w:eastAsia="zh-CN"/>
              </w:rPr>
              <w:t>提出经评审专家认可的合理化建议的加 1 分，加至</w:t>
            </w:r>
            <w:r>
              <w:rPr>
                <w:rFonts w:hint="eastAsia" w:ascii="仿宋" w:hAnsi="仿宋" w:eastAsia="仿宋" w:cs="Times New Roman"/>
                <w:sz w:val="21"/>
                <w:szCs w:val="21"/>
                <w:highlight w:val="none"/>
                <w:lang w:val="en-US" w:eastAsia="zh-CN"/>
              </w:rPr>
              <w:t>18分</w:t>
            </w:r>
            <w:r>
              <w:rPr>
                <w:rFonts w:hint="eastAsia" w:ascii="仿宋" w:hAnsi="仿宋" w:eastAsia="仿宋" w:cs="Times New Roman"/>
                <w:sz w:val="21"/>
                <w:szCs w:val="21"/>
                <w:highlight w:val="none"/>
                <w:lang w:eastAsia="zh-CN"/>
              </w:rPr>
              <w:t>为止；每缺失一条扣</w:t>
            </w:r>
            <w:r>
              <w:rPr>
                <w:rFonts w:hint="eastAsia" w:ascii="仿宋" w:hAnsi="仿宋" w:eastAsia="仿宋" w:cs="Times New Roman"/>
                <w:sz w:val="21"/>
                <w:szCs w:val="21"/>
                <w:highlight w:val="none"/>
                <w:lang w:val="en-US" w:eastAsia="zh-CN"/>
              </w:rPr>
              <w:t>2</w:t>
            </w:r>
            <w:r>
              <w:rPr>
                <w:rFonts w:hint="eastAsia" w:ascii="仿宋" w:hAnsi="仿宋" w:eastAsia="仿宋" w:cs="Times New Roman"/>
                <w:sz w:val="21"/>
                <w:szCs w:val="21"/>
                <w:highlight w:val="none"/>
                <w:lang w:eastAsia="zh-CN"/>
              </w:rPr>
              <w:t>分；每有一处描述不清或逻辑混乱有欠缺的扣</w:t>
            </w:r>
            <w:r>
              <w:rPr>
                <w:rFonts w:hint="eastAsia" w:ascii="仿宋" w:hAnsi="仿宋" w:eastAsia="仿宋" w:cs="Times New Roman"/>
                <w:sz w:val="21"/>
                <w:szCs w:val="21"/>
                <w:highlight w:val="none"/>
                <w:lang w:val="en-US" w:eastAsia="zh-CN"/>
              </w:rPr>
              <w:t>1</w:t>
            </w:r>
            <w:r>
              <w:rPr>
                <w:rFonts w:hint="eastAsia" w:ascii="仿宋" w:hAnsi="仿宋" w:eastAsia="仿宋" w:cs="Times New Roman"/>
                <w:sz w:val="21"/>
                <w:szCs w:val="21"/>
                <w:highlight w:val="none"/>
                <w:lang w:eastAsia="zh-CN"/>
              </w:rPr>
              <w:t>分，扣完为止。</w:t>
            </w:r>
          </w:p>
        </w:tc>
        <w:tc>
          <w:tcPr>
            <w:tcW w:w="0" w:type="auto"/>
            <w:tcBorders>
              <w:top w:val="single" w:color="auto" w:sz="4" w:space="0"/>
              <w:left w:val="single" w:color="auto" w:sz="4" w:space="0"/>
              <w:bottom w:val="single" w:color="auto" w:sz="4" w:space="0"/>
              <w:right w:val="single" w:color="auto" w:sz="4" w:space="0"/>
            </w:tcBorders>
            <w:vAlign w:val="center"/>
          </w:tcPr>
          <w:p w14:paraId="2D4C545E">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lang w:val="en-US" w:eastAsia="zh-CN"/>
              </w:rPr>
              <w:t>18</w:t>
            </w:r>
            <w:r>
              <w:rPr>
                <w:rFonts w:hint="eastAsia" w:ascii="仿宋" w:hAnsi="仿宋" w:eastAsia="仿宋" w:cs="Courier New"/>
                <w:sz w:val="21"/>
                <w:szCs w:val="21"/>
                <w:highlight w:val="none"/>
              </w:rPr>
              <w:t>分</w:t>
            </w:r>
          </w:p>
        </w:tc>
      </w:tr>
      <w:tr w14:paraId="105B5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2" w:type="dxa"/>
            <w:vMerge w:val="continue"/>
            <w:tcBorders>
              <w:left w:val="single" w:color="auto" w:sz="4" w:space="0"/>
              <w:bottom w:val="single" w:color="auto" w:sz="4" w:space="0"/>
              <w:right w:val="single" w:color="auto" w:sz="4" w:space="0"/>
            </w:tcBorders>
            <w:vAlign w:val="center"/>
          </w:tcPr>
          <w:p w14:paraId="2AEFE1E0">
            <w:pPr>
              <w:pStyle w:val="12"/>
              <w:snapToGrid w:val="0"/>
              <w:spacing w:line="360" w:lineRule="auto"/>
              <w:ind w:firstLine="0"/>
              <w:rPr>
                <w:rFonts w:ascii="仿宋" w:hAnsi="仿宋" w:eastAsia="仿宋" w:cs="宋体"/>
                <w:sz w:val="21"/>
                <w:szCs w:val="21"/>
                <w:highlight w:val="none"/>
              </w:rPr>
            </w:pPr>
          </w:p>
        </w:tc>
        <w:tc>
          <w:tcPr>
            <w:tcW w:w="7095" w:type="dxa"/>
            <w:tcBorders>
              <w:top w:val="single" w:color="auto" w:sz="4" w:space="0"/>
              <w:left w:val="single" w:color="auto" w:sz="4" w:space="0"/>
              <w:bottom w:val="single" w:color="auto" w:sz="4" w:space="0"/>
              <w:right w:val="single" w:color="auto" w:sz="4" w:space="0"/>
            </w:tcBorders>
            <w:vAlign w:val="center"/>
          </w:tcPr>
          <w:p w14:paraId="65944B9A">
            <w:pPr>
              <w:rPr>
                <w:rFonts w:ascii="仿宋" w:hAnsi="仿宋" w:eastAsia="仿宋" w:cs="宋体"/>
                <w:kern w:val="0"/>
                <w:szCs w:val="21"/>
                <w:highlight w:val="none"/>
              </w:rPr>
            </w:pPr>
            <w:r>
              <w:rPr>
                <w:rFonts w:hint="eastAsia" w:ascii="仿宋" w:hAnsi="仿宋" w:eastAsia="仿宋" w:cs="宋体"/>
                <w:kern w:val="0"/>
                <w:szCs w:val="21"/>
                <w:highlight w:val="none"/>
              </w:rPr>
              <w:t>售后方案：</w:t>
            </w:r>
          </w:p>
          <w:p w14:paraId="6CE6D4C6">
            <w:pPr>
              <w:rPr>
                <w:rFonts w:ascii="仿宋" w:hAnsi="仿宋" w:eastAsia="仿宋" w:cs="宋体"/>
                <w:kern w:val="0"/>
                <w:szCs w:val="21"/>
                <w:highlight w:val="none"/>
              </w:rPr>
            </w:pPr>
            <w:r>
              <w:rPr>
                <w:rFonts w:hint="eastAsia" w:ascii="仿宋" w:hAnsi="仿宋" w:eastAsia="仿宋" w:cs="宋体"/>
                <w:kern w:val="0"/>
                <w:szCs w:val="21"/>
                <w:highlight w:val="none"/>
              </w:rPr>
              <w:t>编制售后服务体系、方案，服务承诺等，内容需包含：</w:t>
            </w:r>
          </w:p>
          <w:p w14:paraId="2D1F0F9F">
            <w:pPr>
              <w:rPr>
                <w:rFonts w:ascii="仿宋" w:hAnsi="仿宋" w:eastAsia="仿宋" w:cs="宋体"/>
                <w:kern w:val="0"/>
                <w:szCs w:val="21"/>
                <w:highlight w:val="none"/>
              </w:rPr>
            </w:pPr>
            <w:r>
              <w:rPr>
                <w:rFonts w:hint="eastAsia" w:ascii="仿宋" w:hAnsi="仿宋" w:eastAsia="仿宋" w:cs="宋体"/>
                <w:kern w:val="0"/>
                <w:szCs w:val="21"/>
                <w:highlight w:val="none"/>
                <w:lang w:eastAsia="zh-CN"/>
              </w:rPr>
              <w:t>①</w:t>
            </w:r>
            <w:r>
              <w:rPr>
                <w:rFonts w:hint="eastAsia" w:ascii="仿宋" w:hAnsi="仿宋" w:eastAsia="仿宋" w:cs="宋体"/>
                <w:kern w:val="0"/>
                <w:szCs w:val="21"/>
                <w:highlight w:val="none"/>
              </w:rPr>
              <w:t>备品备件及耗材保障方案及承诺；</w:t>
            </w:r>
            <w:r>
              <w:rPr>
                <w:rFonts w:hint="eastAsia" w:ascii="仿宋" w:hAnsi="仿宋" w:eastAsia="仿宋" w:cs="宋体"/>
                <w:kern w:val="0"/>
                <w:szCs w:val="21"/>
                <w:highlight w:val="none"/>
                <w:lang w:eastAsia="zh-CN"/>
              </w:rPr>
              <w:t>②</w:t>
            </w:r>
            <w:r>
              <w:rPr>
                <w:rFonts w:hint="eastAsia" w:ascii="仿宋" w:hAnsi="仿宋" w:eastAsia="仿宋" w:cs="宋体"/>
                <w:kern w:val="0"/>
                <w:szCs w:val="21"/>
                <w:highlight w:val="none"/>
              </w:rPr>
              <w:t>质保期间的响应保障方案；</w:t>
            </w:r>
            <w:r>
              <w:rPr>
                <w:rFonts w:hint="eastAsia" w:ascii="仿宋" w:hAnsi="仿宋" w:eastAsia="仿宋" w:cs="宋体"/>
                <w:kern w:val="0"/>
                <w:szCs w:val="21"/>
                <w:highlight w:val="none"/>
                <w:lang w:eastAsia="zh-CN"/>
              </w:rPr>
              <w:t>③</w:t>
            </w:r>
            <w:r>
              <w:rPr>
                <w:rFonts w:hint="eastAsia" w:ascii="仿宋" w:hAnsi="仿宋" w:eastAsia="仿宋" w:cs="宋体"/>
                <w:kern w:val="0"/>
                <w:szCs w:val="21"/>
                <w:highlight w:val="none"/>
              </w:rPr>
              <w:t>相关服务承诺；</w:t>
            </w:r>
            <w:r>
              <w:rPr>
                <w:rFonts w:hint="eastAsia" w:ascii="仿宋" w:hAnsi="仿宋" w:eastAsia="仿宋" w:cs="宋体"/>
                <w:kern w:val="0"/>
                <w:szCs w:val="21"/>
                <w:highlight w:val="none"/>
                <w:lang w:eastAsia="zh-CN"/>
              </w:rPr>
              <w:t>④</w:t>
            </w:r>
            <w:r>
              <w:rPr>
                <w:rFonts w:hint="eastAsia" w:ascii="仿宋" w:hAnsi="仿宋" w:eastAsia="仿宋" w:cs="宋体"/>
                <w:kern w:val="0"/>
                <w:szCs w:val="21"/>
                <w:highlight w:val="none"/>
              </w:rPr>
              <w:t>售后人员保障等。</w:t>
            </w:r>
          </w:p>
          <w:p w14:paraId="61F686F3">
            <w:pPr>
              <w:rPr>
                <w:highlight w:val="none"/>
              </w:rPr>
            </w:pPr>
            <w:r>
              <w:rPr>
                <w:rFonts w:hint="eastAsia" w:ascii="仿宋" w:hAnsi="仿宋" w:eastAsia="仿宋" w:cs="Times New Roman"/>
                <w:sz w:val="21"/>
                <w:szCs w:val="21"/>
                <w:highlight w:val="none"/>
                <w:lang w:eastAsia="zh-CN"/>
              </w:rPr>
              <w:t xml:space="preserve">提供相关方案的得 </w:t>
            </w:r>
            <w:r>
              <w:rPr>
                <w:rFonts w:hint="eastAsia" w:ascii="仿宋" w:hAnsi="仿宋" w:eastAsia="仿宋" w:cs="Times New Roman"/>
                <w:sz w:val="21"/>
                <w:szCs w:val="21"/>
                <w:highlight w:val="none"/>
                <w:lang w:val="en-US" w:eastAsia="zh-CN"/>
              </w:rPr>
              <w:t>8</w:t>
            </w:r>
            <w:r>
              <w:rPr>
                <w:rFonts w:hint="eastAsia" w:ascii="仿宋" w:hAnsi="仿宋" w:eastAsia="仿宋" w:cs="Times New Roman"/>
                <w:sz w:val="21"/>
                <w:szCs w:val="21"/>
                <w:highlight w:val="none"/>
                <w:lang w:eastAsia="zh-CN"/>
              </w:rPr>
              <w:t xml:space="preserve"> 分，以此为基础，</w:t>
            </w:r>
            <w:r>
              <w:rPr>
                <w:rFonts w:hint="eastAsia" w:ascii="仿宋" w:hAnsi="仿宋" w:eastAsia="仿宋" w:cs="Times New Roman"/>
                <w:sz w:val="21"/>
                <w:szCs w:val="21"/>
                <w:highlight w:val="none"/>
                <w:lang w:val="en-US" w:eastAsia="zh-CN"/>
              </w:rPr>
              <w:t>所提供的</w:t>
            </w:r>
            <w:r>
              <w:rPr>
                <w:rFonts w:hint="eastAsia" w:ascii="仿宋" w:hAnsi="仿宋" w:eastAsia="仿宋" w:cs="Times New Roman"/>
                <w:sz w:val="21"/>
                <w:szCs w:val="21"/>
                <w:highlight w:val="none"/>
                <w:lang w:eastAsia="zh-CN"/>
              </w:rPr>
              <w:t>方案</w:t>
            </w:r>
            <w:r>
              <w:rPr>
                <w:rFonts w:hint="eastAsia" w:ascii="仿宋" w:hAnsi="仿宋" w:eastAsia="仿宋" w:cs="Times New Roman"/>
                <w:sz w:val="21"/>
                <w:szCs w:val="21"/>
                <w:highlight w:val="none"/>
                <w:lang w:val="en-US" w:eastAsia="zh-CN"/>
              </w:rPr>
              <w:t>中</w:t>
            </w:r>
            <w:r>
              <w:rPr>
                <w:rFonts w:hint="eastAsia" w:ascii="仿宋" w:hAnsi="仿宋" w:eastAsia="仿宋" w:cs="Times New Roman"/>
                <w:sz w:val="21"/>
                <w:szCs w:val="21"/>
                <w:highlight w:val="none"/>
                <w:lang w:eastAsia="zh-CN"/>
              </w:rPr>
              <w:t>每有一项</w:t>
            </w:r>
            <w:r>
              <w:rPr>
                <w:rFonts w:hint="eastAsia" w:ascii="仿宋" w:hAnsi="仿宋" w:eastAsia="仿宋" w:cs="Times New Roman"/>
                <w:sz w:val="21"/>
                <w:szCs w:val="21"/>
                <w:highlight w:val="none"/>
                <w:lang w:val="en-US" w:eastAsia="zh-CN"/>
              </w:rPr>
              <w:t>内容</w:t>
            </w:r>
            <w:r>
              <w:rPr>
                <w:rFonts w:hint="eastAsia" w:ascii="仿宋" w:hAnsi="仿宋" w:eastAsia="仿宋" w:cs="Times New Roman"/>
                <w:sz w:val="21"/>
                <w:szCs w:val="21"/>
                <w:highlight w:val="none"/>
                <w:lang w:eastAsia="zh-CN"/>
              </w:rPr>
              <w:t>进行了深化、量化、拓展</w:t>
            </w:r>
            <w:r>
              <w:rPr>
                <w:rFonts w:hint="eastAsia" w:ascii="仿宋" w:hAnsi="仿宋" w:eastAsia="仿宋" w:cs="Times New Roman"/>
                <w:sz w:val="21"/>
                <w:szCs w:val="21"/>
                <w:highlight w:val="none"/>
                <w:lang w:val="en-US" w:eastAsia="zh-CN"/>
              </w:rPr>
              <w:t>或</w:t>
            </w:r>
            <w:r>
              <w:rPr>
                <w:rFonts w:hint="eastAsia" w:ascii="仿宋" w:hAnsi="仿宋" w:eastAsia="仿宋" w:cs="Times New Roman"/>
                <w:sz w:val="21"/>
                <w:szCs w:val="21"/>
                <w:highlight w:val="none"/>
                <w:lang w:eastAsia="zh-CN"/>
              </w:rPr>
              <w:t>提出经评审专家认可的合理化建议的加 1 分，加至</w:t>
            </w:r>
            <w:r>
              <w:rPr>
                <w:rFonts w:hint="eastAsia" w:ascii="仿宋" w:hAnsi="仿宋" w:eastAsia="仿宋" w:cs="Times New Roman"/>
                <w:sz w:val="21"/>
                <w:szCs w:val="21"/>
                <w:highlight w:val="none"/>
                <w:lang w:val="en-US" w:eastAsia="zh-CN"/>
              </w:rPr>
              <w:t>12分</w:t>
            </w:r>
            <w:r>
              <w:rPr>
                <w:rFonts w:hint="eastAsia" w:ascii="仿宋" w:hAnsi="仿宋" w:eastAsia="仿宋" w:cs="Times New Roman"/>
                <w:sz w:val="21"/>
                <w:szCs w:val="21"/>
                <w:highlight w:val="none"/>
                <w:lang w:eastAsia="zh-CN"/>
              </w:rPr>
              <w:t>为止；每缺失一条扣</w:t>
            </w:r>
            <w:r>
              <w:rPr>
                <w:rFonts w:hint="eastAsia" w:ascii="仿宋" w:hAnsi="仿宋" w:eastAsia="仿宋" w:cs="Times New Roman"/>
                <w:sz w:val="21"/>
                <w:szCs w:val="21"/>
                <w:highlight w:val="none"/>
                <w:lang w:val="en-US" w:eastAsia="zh-CN"/>
              </w:rPr>
              <w:t>2</w:t>
            </w:r>
            <w:r>
              <w:rPr>
                <w:rFonts w:hint="eastAsia" w:ascii="仿宋" w:hAnsi="仿宋" w:eastAsia="仿宋" w:cs="Times New Roman"/>
                <w:sz w:val="21"/>
                <w:szCs w:val="21"/>
                <w:highlight w:val="none"/>
                <w:lang w:eastAsia="zh-CN"/>
              </w:rPr>
              <w:t>分；每有一处描述不清或逻辑混乱有欠缺的扣</w:t>
            </w:r>
            <w:r>
              <w:rPr>
                <w:rFonts w:hint="eastAsia" w:ascii="仿宋" w:hAnsi="仿宋" w:eastAsia="仿宋" w:cs="Times New Roman"/>
                <w:sz w:val="21"/>
                <w:szCs w:val="21"/>
                <w:highlight w:val="none"/>
                <w:lang w:val="en-US" w:eastAsia="zh-CN"/>
              </w:rPr>
              <w:t>1</w:t>
            </w:r>
            <w:r>
              <w:rPr>
                <w:rFonts w:hint="eastAsia" w:ascii="仿宋" w:hAnsi="仿宋" w:eastAsia="仿宋" w:cs="Times New Roman"/>
                <w:sz w:val="21"/>
                <w:szCs w:val="21"/>
                <w:highlight w:val="none"/>
                <w:lang w:eastAsia="zh-CN"/>
              </w:rPr>
              <w:t>分，扣完为止。</w:t>
            </w:r>
          </w:p>
        </w:tc>
        <w:tc>
          <w:tcPr>
            <w:tcW w:w="0" w:type="auto"/>
            <w:tcBorders>
              <w:top w:val="single" w:color="auto" w:sz="4" w:space="0"/>
              <w:left w:val="single" w:color="auto" w:sz="4" w:space="0"/>
              <w:bottom w:val="single" w:color="auto" w:sz="4" w:space="0"/>
              <w:right w:val="single" w:color="auto" w:sz="4" w:space="0"/>
            </w:tcBorders>
            <w:vAlign w:val="center"/>
          </w:tcPr>
          <w:p w14:paraId="6694DB5E">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lang w:val="en-US" w:eastAsia="zh-CN"/>
              </w:rPr>
              <w:t>12</w:t>
            </w:r>
            <w:r>
              <w:rPr>
                <w:rFonts w:hint="eastAsia" w:ascii="仿宋" w:hAnsi="仿宋" w:eastAsia="仿宋" w:cs="Courier New"/>
                <w:sz w:val="21"/>
                <w:szCs w:val="21"/>
                <w:highlight w:val="none"/>
              </w:rPr>
              <w:t>分</w:t>
            </w:r>
          </w:p>
        </w:tc>
      </w:tr>
      <w:tr w14:paraId="682AA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2BA76A0B">
            <w:pPr>
              <w:pStyle w:val="12"/>
              <w:snapToGrid w:val="0"/>
              <w:spacing w:line="360" w:lineRule="auto"/>
              <w:ind w:firstLine="0"/>
              <w:rPr>
                <w:rFonts w:ascii="仿宋" w:hAnsi="仿宋" w:eastAsia="仿宋" w:cs="Courier New"/>
                <w:b/>
                <w:sz w:val="21"/>
                <w:szCs w:val="21"/>
                <w:highlight w:val="none"/>
              </w:rPr>
            </w:pPr>
            <w:r>
              <w:rPr>
                <w:rFonts w:ascii="仿宋" w:hAnsi="仿宋" w:eastAsia="仿宋" w:cs="Courier New"/>
                <w:b/>
                <w:sz w:val="21"/>
                <w:szCs w:val="21"/>
                <w:highlight w:val="none"/>
              </w:rPr>
              <w:t>D</w:t>
            </w:r>
            <w:r>
              <w:rPr>
                <w:rFonts w:hint="eastAsia" w:ascii="仿宋" w:hAnsi="仿宋" w:eastAsia="仿宋" w:cs="Courier New"/>
                <w:b/>
                <w:sz w:val="21"/>
                <w:szCs w:val="21"/>
                <w:highlight w:val="none"/>
              </w:rPr>
              <w:t>:</w:t>
            </w:r>
            <w:r>
              <w:rPr>
                <w:rFonts w:hint="eastAsia" w:ascii="仿宋" w:hAnsi="仿宋" w:eastAsia="仿宋"/>
                <w:sz w:val="21"/>
                <w:szCs w:val="21"/>
                <w:highlight w:val="none"/>
              </w:rPr>
              <w:t xml:space="preserve"> </w:t>
            </w:r>
            <w:r>
              <w:rPr>
                <w:rFonts w:hint="eastAsia" w:ascii="仿宋" w:hAnsi="仿宋" w:eastAsia="仿宋" w:cs="Courier New"/>
                <w:b/>
                <w:sz w:val="21"/>
                <w:szCs w:val="21"/>
                <w:highlight w:val="none"/>
              </w:rPr>
              <w:t>属于中小企业评审优惠内容及价格扣除幅度</w:t>
            </w:r>
          </w:p>
        </w:tc>
      </w:tr>
      <w:tr w14:paraId="1868A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6705FDCC">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根据中华人民共和国财政部、中华人民共和国工业和信息化部《政府采购促进中小企业发展管理办法》（财库[2020]46号）、《关于进一步加大政府采购支持中小企业力度的通知》（财库〔2022〕19号）文件的规定，属于中小企业评审优惠内容及幅度如下：</w:t>
            </w:r>
          </w:p>
          <w:p w14:paraId="3BC36B8B">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（一）中小企业（含中型、小型、微型企业）应当同时符合以下条件：</w:t>
            </w:r>
          </w:p>
          <w:p w14:paraId="5BCCD9D6">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①符合中小企业划分标准（按《关于印发中小企业划型标准规定的通知》（工信部联企业〔2011〕300号）执行）；</w:t>
            </w:r>
          </w:p>
          <w:p w14:paraId="5FF6EC63">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②提供本企业制造的货物、承担的项目或者服务，或者提供其他中小企业制造的货物。本项所称货物不包括使用大型企业注册商标的货物；</w:t>
            </w:r>
          </w:p>
          <w:p w14:paraId="4660DDB1">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③小型、微型企业提供中型企业制造的货物的，视同为中型企业。</w:t>
            </w:r>
          </w:p>
          <w:p w14:paraId="3BE0E7A2">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监狱企业、残疾人福利性企业视同为小微企业。</w:t>
            </w:r>
          </w:p>
          <w:p w14:paraId="1F62C88B">
            <w:pPr>
              <w:pStyle w:val="12"/>
              <w:widowControl w:val="0"/>
              <w:numPr>
                <w:ilvl w:val="0"/>
                <w:numId w:val="3"/>
              </w:numPr>
              <w:snapToGrid w:val="0"/>
              <w:spacing w:line="360" w:lineRule="auto"/>
              <w:ind w:firstLine="0"/>
              <w:jc w:val="both"/>
              <w:rPr>
                <w:rFonts w:ascii="仿宋" w:hAnsi="仿宋" w:eastAsia="仿宋" w:cs="仿宋"/>
                <w:bCs/>
                <w:sz w:val="21"/>
                <w:szCs w:val="21"/>
                <w:highlight w:val="none"/>
              </w:rPr>
            </w:pPr>
            <w:r>
              <w:rPr>
                <w:rFonts w:hint="eastAsia" w:ascii="仿宋" w:hAnsi="仿宋" w:eastAsia="仿宋" w:cs="仿宋"/>
                <w:bCs/>
                <w:sz w:val="21"/>
                <w:szCs w:val="21"/>
                <w:highlight w:val="none"/>
              </w:rPr>
              <w:t>价格扣除办法：对于非专门面向中小企业的项目，对小型和微型企业（或联合体各方均为小型、微型企业的）产品的价格给予1</w:t>
            </w:r>
            <w:r>
              <w:rPr>
                <w:rFonts w:ascii="仿宋" w:hAnsi="仿宋" w:eastAsia="仿宋" w:cs="仿宋"/>
                <w:bCs/>
                <w:sz w:val="21"/>
                <w:szCs w:val="21"/>
                <w:highlight w:val="none"/>
              </w:rPr>
              <w:t>0</w:t>
            </w:r>
            <w:r>
              <w:rPr>
                <w:rFonts w:hint="eastAsia" w:ascii="仿宋" w:hAnsi="仿宋" w:eastAsia="仿宋" w:cs="仿宋"/>
                <w:bCs/>
                <w:sz w:val="21"/>
                <w:szCs w:val="21"/>
                <w:highlight w:val="none"/>
              </w:rPr>
              <w:t>%的扣除，用扣除后的价格参与价格分的评审。</w:t>
            </w:r>
          </w:p>
          <w:p w14:paraId="42B2F196">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仿宋"/>
                <w:bCs/>
                <w:sz w:val="21"/>
                <w:szCs w:val="21"/>
                <w:highlight w:val="none"/>
              </w:rPr>
              <w:t>（三）小型和微型企业适用价格扣除办法时应提供的相关资料：《中小企业声明函》。</w:t>
            </w:r>
          </w:p>
        </w:tc>
      </w:tr>
    </w:tbl>
    <w:p w14:paraId="5C77EA0A">
      <w:pPr>
        <w:rPr>
          <w:rFonts w:hint="eastAsia" w:ascii="宋体" w:hAnsi="宋体" w:cs="宋体"/>
          <w:b/>
          <w:bCs/>
          <w:kern w:val="0"/>
          <w:szCs w:val="21"/>
          <w:highlight w:val="none"/>
        </w:rPr>
      </w:pPr>
      <w:r>
        <w:rPr>
          <w:rFonts w:hint="eastAsia" w:ascii="宋体" w:hAnsi="宋体" w:cs="宋体"/>
          <w:b/>
          <w:bCs/>
          <w:kern w:val="0"/>
          <w:szCs w:val="21"/>
          <w:highlight w:val="none"/>
        </w:rPr>
        <w:br w:type="page"/>
      </w:r>
    </w:p>
    <w:p w14:paraId="67C96AAC">
      <w:pPr>
        <w:adjustRightInd w:val="0"/>
        <w:snapToGrid w:val="0"/>
        <w:spacing w:line="360" w:lineRule="auto"/>
        <w:rPr>
          <w:rFonts w:ascii="宋体" w:hAnsi="宋体" w:cs="宋体"/>
          <w:b/>
          <w:bCs/>
          <w:kern w:val="0"/>
          <w:szCs w:val="21"/>
          <w:highlight w:val="none"/>
        </w:rPr>
      </w:pPr>
      <w:r>
        <w:rPr>
          <w:rFonts w:hint="eastAsia" w:ascii="宋体" w:hAnsi="宋体" w:cs="宋体"/>
          <w:b/>
          <w:bCs/>
          <w:kern w:val="0"/>
          <w:szCs w:val="21"/>
          <w:highlight w:val="none"/>
        </w:rPr>
        <w:t>标项2：</w:t>
      </w:r>
    </w:p>
    <w:tbl>
      <w:tblPr>
        <w:tblStyle w:val="46"/>
        <w:tblW w:w="10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6"/>
        <w:gridCol w:w="7171"/>
        <w:gridCol w:w="427"/>
      </w:tblGrid>
      <w:tr w14:paraId="7CB81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672" w:type="dxa"/>
            <w:tcBorders>
              <w:top w:val="single" w:color="auto" w:sz="4" w:space="0"/>
              <w:left w:val="single" w:color="auto" w:sz="4" w:space="0"/>
              <w:bottom w:val="single" w:color="auto" w:sz="4" w:space="0"/>
              <w:right w:val="single" w:color="auto" w:sz="4" w:space="0"/>
            </w:tcBorders>
            <w:vAlign w:val="center"/>
          </w:tcPr>
          <w:p w14:paraId="2064B4C4">
            <w:pPr>
              <w:pStyle w:val="12"/>
              <w:snapToGrid w:val="0"/>
              <w:spacing w:line="360" w:lineRule="auto"/>
              <w:ind w:firstLine="0"/>
              <w:jc w:val="center"/>
              <w:rPr>
                <w:rFonts w:ascii="仿宋" w:hAnsi="仿宋" w:eastAsia="仿宋" w:cs="Courier New"/>
                <w:b/>
                <w:sz w:val="21"/>
                <w:szCs w:val="21"/>
                <w:highlight w:val="none"/>
              </w:rPr>
            </w:pPr>
            <w:r>
              <w:rPr>
                <w:rFonts w:hint="eastAsia" w:ascii="仿宋" w:hAnsi="仿宋" w:eastAsia="仿宋" w:cs="Courier New"/>
                <w:b/>
                <w:sz w:val="21"/>
                <w:szCs w:val="21"/>
                <w:highlight w:val="none"/>
              </w:rPr>
              <w:t>项目</w:t>
            </w:r>
          </w:p>
        </w:tc>
        <w:tc>
          <w:tcPr>
            <w:tcW w:w="7095" w:type="dxa"/>
            <w:tcBorders>
              <w:top w:val="single" w:color="auto" w:sz="4" w:space="0"/>
              <w:left w:val="single" w:color="auto" w:sz="4" w:space="0"/>
              <w:bottom w:val="single" w:color="auto" w:sz="4" w:space="0"/>
              <w:right w:val="single" w:color="auto" w:sz="4" w:space="0"/>
            </w:tcBorders>
            <w:vAlign w:val="center"/>
          </w:tcPr>
          <w:p w14:paraId="6BC0267F">
            <w:pPr>
              <w:pStyle w:val="12"/>
              <w:snapToGrid w:val="0"/>
              <w:spacing w:line="360" w:lineRule="auto"/>
              <w:ind w:firstLine="0"/>
              <w:jc w:val="center"/>
              <w:rPr>
                <w:rFonts w:ascii="仿宋" w:hAnsi="仿宋" w:eastAsia="仿宋" w:cs="Courier New"/>
                <w:b/>
                <w:sz w:val="21"/>
                <w:szCs w:val="21"/>
                <w:highlight w:val="none"/>
              </w:rPr>
            </w:pPr>
            <w:r>
              <w:rPr>
                <w:rFonts w:hint="eastAsia" w:ascii="仿宋" w:hAnsi="仿宋" w:eastAsia="仿宋" w:cs="Courier New"/>
                <w:b/>
                <w:sz w:val="21"/>
                <w:szCs w:val="21"/>
                <w:highlight w:val="none"/>
              </w:rPr>
              <w:t>评审内容</w:t>
            </w:r>
          </w:p>
        </w:tc>
        <w:tc>
          <w:tcPr>
            <w:tcW w:w="0" w:type="auto"/>
            <w:tcBorders>
              <w:top w:val="single" w:color="auto" w:sz="4" w:space="0"/>
              <w:left w:val="single" w:color="auto" w:sz="4" w:space="0"/>
              <w:bottom w:val="single" w:color="auto" w:sz="4" w:space="0"/>
              <w:right w:val="single" w:color="auto" w:sz="4" w:space="0"/>
            </w:tcBorders>
            <w:vAlign w:val="center"/>
          </w:tcPr>
          <w:p w14:paraId="6FED77E0">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分值</w:t>
            </w:r>
          </w:p>
        </w:tc>
      </w:tr>
      <w:tr w14:paraId="7972C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3AD53DAA">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A：价格评分30分</w:t>
            </w:r>
          </w:p>
        </w:tc>
      </w:tr>
      <w:tr w14:paraId="5B47E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14:paraId="47816A9C">
            <w:pPr>
              <w:pStyle w:val="12"/>
              <w:snapToGrid w:val="0"/>
              <w:spacing w:line="360" w:lineRule="auto"/>
              <w:ind w:firstLine="0"/>
              <w:jc w:val="center"/>
              <w:rPr>
                <w:rFonts w:ascii="仿宋" w:hAnsi="仿宋" w:eastAsia="仿宋" w:cs="Courier New"/>
                <w:sz w:val="21"/>
                <w:szCs w:val="21"/>
                <w:highlight w:val="none"/>
              </w:rPr>
            </w:pPr>
            <w:r>
              <w:rPr>
                <w:rFonts w:hint="eastAsia" w:ascii="仿宋" w:hAnsi="仿宋" w:eastAsia="仿宋" w:cs="Courier New"/>
                <w:sz w:val="21"/>
                <w:szCs w:val="21"/>
                <w:highlight w:val="none"/>
              </w:rPr>
              <w:t>价格</w:t>
            </w:r>
          </w:p>
        </w:tc>
        <w:tc>
          <w:tcPr>
            <w:tcW w:w="7095" w:type="dxa"/>
            <w:tcBorders>
              <w:top w:val="single" w:color="auto" w:sz="4" w:space="0"/>
              <w:left w:val="single" w:color="auto" w:sz="4" w:space="0"/>
              <w:bottom w:val="single" w:color="auto" w:sz="4" w:space="0"/>
              <w:right w:val="single" w:color="auto" w:sz="4" w:space="0"/>
            </w:tcBorders>
            <w:vAlign w:val="center"/>
          </w:tcPr>
          <w:p w14:paraId="14D71D4A">
            <w:pPr>
              <w:widowControl/>
              <w:spacing w:line="360" w:lineRule="auto"/>
              <w:jc w:val="left"/>
              <w:textAlignment w:val="center"/>
              <w:rPr>
                <w:rFonts w:ascii="仿宋" w:hAnsi="仿宋" w:eastAsia="仿宋" w:cs="宋体"/>
                <w:b/>
                <w:bCs/>
                <w:kern w:val="0"/>
                <w:szCs w:val="21"/>
                <w:highlight w:val="none"/>
              </w:rPr>
            </w:pPr>
            <w:r>
              <w:rPr>
                <w:rFonts w:hint="eastAsia" w:ascii="仿宋" w:hAnsi="仿宋" w:eastAsia="仿宋" w:cs="宋体"/>
                <w:b/>
                <w:bCs/>
                <w:kern w:val="0"/>
                <w:szCs w:val="21"/>
                <w:highlight w:val="none"/>
              </w:rPr>
              <w:t>基准值的确定：评标基准价=有效报价的最低值，</w:t>
            </w:r>
          </w:p>
          <w:p w14:paraId="7F33D383">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宋体"/>
                <w:sz w:val="21"/>
                <w:szCs w:val="21"/>
                <w:highlight w:val="none"/>
              </w:rPr>
              <w:t>报价得分=（评标基准价/投标报价）</w:t>
            </w:r>
            <w:r>
              <w:rPr>
                <w:rFonts w:hint="eastAsia" w:ascii="仿宋" w:hAnsi="仿宋" w:eastAsia="仿宋"/>
                <w:b/>
                <w:sz w:val="21"/>
                <w:szCs w:val="21"/>
                <w:highlight w:val="none"/>
              </w:rPr>
              <w:t>×</w:t>
            </w:r>
            <w:r>
              <w:rPr>
                <w:rFonts w:hint="eastAsia" w:ascii="仿宋" w:hAnsi="仿宋" w:eastAsia="仿宋" w:cs="宋体"/>
                <w:sz w:val="21"/>
                <w:szCs w:val="21"/>
                <w:highlight w:val="none"/>
              </w:rPr>
              <w:t>30%</w:t>
            </w:r>
            <w:r>
              <w:rPr>
                <w:rFonts w:hint="eastAsia" w:ascii="仿宋" w:hAnsi="仿宋" w:eastAsia="仿宋"/>
                <w:b/>
                <w:sz w:val="21"/>
                <w:szCs w:val="21"/>
                <w:highlight w:val="none"/>
              </w:rPr>
              <w:t>×</w:t>
            </w:r>
            <w:r>
              <w:rPr>
                <w:rFonts w:hint="eastAsia" w:ascii="仿宋" w:hAnsi="仿宋" w:eastAsia="仿宋" w:cs="宋体"/>
                <w:sz w:val="21"/>
                <w:szCs w:val="21"/>
                <w:highlight w:val="none"/>
              </w:rPr>
              <w:t>100.有效报价为通过初步审查的供应商报价。有效报价等于基准值的得满分</w:t>
            </w:r>
          </w:p>
        </w:tc>
        <w:tc>
          <w:tcPr>
            <w:tcW w:w="0" w:type="auto"/>
            <w:tcBorders>
              <w:top w:val="single" w:color="auto" w:sz="4" w:space="0"/>
              <w:left w:val="single" w:color="auto" w:sz="4" w:space="0"/>
              <w:bottom w:val="single" w:color="auto" w:sz="4" w:space="0"/>
              <w:right w:val="single" w:color="auto" w:sz="4" w:space="0"/>
            </w:tcBorders>
            <w:vAlign w:val="center"/>
          </w:tcPr>
          <w:p w14:paraId="1B96128B">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rPr>
              <w:t>30分</w:t>
            </w:r>
          </w:p>
        </w:tc>
      </w:tr>
      <w:tr w14:paraId="08E37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45AD5424">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B：商务部分评分1</w:t>
            </w:r>
            <w:r>
              <w:rPr>
                <w:rFonts w:hint="eastAsia" w:ascii="仿宋" w:hAnsi="仿宋" w:eastAsia="仿宋" w:cs="Courier New"/>
                <w:b/>
                <w:sz w:val="21"/>
                <w:szCs w:val="21"/>
                <w:highlight w:val="none"/>
                <w:lang w:val="en-US" w:eastAsia="zh-CN"/>
              </w:rPr>
              <w:t>0</w:t>
            </w:r>
            <w:r>
              <w:rPr>
                <w:rFonts w:hint="eastAsia" w:ascii="仿宋" w:hAnsi="仿宋" w:eastAsia="仿宋" w:cs="Courier New"/>
                <w:b/>
                <w:sz w:val="21"/>
                <w:szCs w:val="21"/>
                <w:highlight w:val="none"/>
              </w:rPr>
              <w:t>分</w:t>
            </w:r>
          </w:p>
        </w:tc>
      </w:tr>
      <w:tr w14:paraId="7E7F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14:paraId="16BDDA72">
            <w:pPr>
              <w:pStyle w:val="12"/>
              <w:snapToGrid w:val="0"/>
              <w:spacing w:line="360" w:lineRule="auto"/>
              <w:ind w:firstLine="0"/>
              <w:jc w:val="center"/>
              <w:rPr>
                <w:rFonts w:ascii="仿宋" w:hAnsi="仿宋" w:eastAsia="仿宋" w:cs="宋体"/>
                <w:sz w:val="21"/>
                <w:szCs w:val="21"/>
                <w:highlight w:val="none"/>
              </w:rPr>
            </w:pPr>
            <w:r>
              <w:rPr>
                <w:rFonts w:hint="eastAsia" w:ascii="仿宋" w:hAnsi="仿宋" w:eastAsia="仿宋" w:cs="宋体"/>
                <w:sz w:val="21"/>
                <w:szCs w:val="21"/>
                <w:highlight w:val="none"/>
              </w:rPr>
              <w:t>相关业绩</w:t>
            </w:r>
          </w:p>
        </w:tc>
        <w:tc>
          <w:tcPr>
            <w:tcW w:w="7095" w:type="dxa"/>
            <w:tcBorders>
              <w:top w:val="single" w:color="auto" w:sz="4" w:space="0"/>
              <w:left w:val="single" w:color="auto" w:sz="4" w:space="0"/>
              <w:bottom w:val="single" w:color="auto" w:sz="4" w:space="0"/>
              <w:right w:val="single" w:color="auto" w:sz="4" w:space="0"/>
            </w:tcBorders>
            <w:vAlign w:val="center"/>
          </w:tcPr>
          <w:p w14:paraId="0793282C">
            <w:pPr>
              <w:pStyle w:val="12"/>
              <w:snapToGrid w:val="0"/>
              <w:spacing w:line="360" w:lineRule="auto"/>
              <w:ind w:firstLine="0"/>
              <w:rPr>
                <w:rFonts w:ascii="仿宋" w:hAnsi="仿宋" w:eastAsia="仿宋"/>
                <w:sz w:val="21"/>
                <w:szCs w:val="21"/>
                <w:highlight w:val="none"/>
              </w:rPr>
            </w:pPr>
            <w:r>
              <w:rPr>
                <w:rFonts w:hint="eastAsia" w:ascii="仿宋" w:hAnsi="仿宋" w:eastAsia="仿宋"/>
                <w:sz w:val="21"/>
                <w:szCs w:val="21"/>
                <w:highlight w:val="none"/>
              </w:rPr>
              <w:t>提供20</w:t>
            </w:r>
            <w:r>
              <w:rPr>
                <w:rFonts w:ascii="仿宋" w:hAnsi="仿宋" w:eastAsia="仿宋"/>
                <w:sz w:val="21"/>
                <w:szCs w:val="21"/>
                <w:highlight w:val="none"/>
              </w:rPr>
              <w:t>2</w:t>
            </w:r>
            <w:r>
              <w:rPr>
                <w:rFonts w:hint="eastAsia" w:ascii="仿宋" w:hAnsi="仿宋" w:eastAsia="仿宋"/>
                <w:sz w:val="21"/>
                <w:szCs w:val="21"/>
                <w:highlight w:val="none"/>
                <w:lang w:val="en-US" w:eastAsia="zh-CN"/>
              </w:rPr>
              <w:t>2</w:t>
            </w:r>
            <w:r>
              <w:rPr>
                <w:rFonts w:hint="eastAsia" w:ascii="仿宋" w:hAnsi="仿宋" w:eastAsia="仿宋"/>
                <w:sz w:val="21"/>
                <w:szCs w:val="21"/>
                <w:highlight w:val="none"/>
              </w:rPr>
              <w:t>年</w:t>
            </w:r>
            <w:r>
              <w:rPr>
                <w:rFonts w:hint="eastAsia" w:ascii="仿宋" w:hAnsi="仿宋" w:eastAsia="仿宋"/>
                <w:sz w:val="21"/>
                <w:szCs w:val="21"/>
                <w:highlight w:val="none"/>
                <w:lang w:val="en-US" w:eastAsia="zh-CN"/>
              </w:rPr>
              <w:t>6</w:t>
            </w:r>
            <w:r>
              <w:rPr>
                <w:rFonts w:hint="eastAsia" w:ascii="仿宋" w:hAnsi="仿宋" w:eastAsia="仿宋"/>
                <w:sz w:val="21"/>
                <w:szCs w:val="21"/>
                <w:highlight w:val="none"/>
              </w:rPr>
              <w:t>月以来独立承担类似项目经验情况，拥有类似的相关业绩（需提供中标（成交）通知书或合同），每个业绩计</w:t>
            </w:r>
            <w:r>
              <w:rPr>
                <w:rFonts w:hint="eastAsia" w:ascii="仿宋" w:hAnsi="仿宋" w:eastAsia="仿宋"/>
                <w:sz w:val="21"/>
                <w:szCs w:val="21"/>
                <w:highlight w:val="none"/>
                <w:lang w:val="en-US" w:eastAsia="zh-CN"/>
              </w:rPr>
              <w:t>1</w:t>
            </w:r>
            <w:r>
              <w:rPr>
                <w:rFonts w:hint="eastAsia" w:ascii="仿宋" w:hAnsi="仿宋" w:eastAsia="仿宋"/>
                <w:sz w:val="21"/>
                <w:szCs w:val="21"/>
                <w:highlight w:val="none"/>
              </w:rPr>
              <w:t>分，最高得</w:t>
            </w:r>
            <w:r>
              <w:rPr>
                <w:rFonts w:hint="eastAsia" w:ascii="仿宋" w:hAnsi="仿宋" w:eastAsia="仿宋"/>
                <w:sz w:val="21"/>
                <w:szCs w:val="21"/>
                <w:highlight w:val="none"/>
                <w:lang w:val="en-US" w:eastAsia="zh-CN"/>
              </w:rPr>
              <w:t>5</w:t>
            </w:r>
            <w:r>
              <w:rPr>
                <w:rFonts w:hint="eastAsia" w:ascii="仿宋" w:hAnsi="仿宋" w:eastAsia="仿宋"/>
                <w:sz w:val="21"/>
                <w:szCs w:val="21"/>
                <w:highlight w:val="none"/>
              </w:rPr>
              <w:t>分。</w:t>
            </w:r>
          </w:p>
          <w:p w14:paraId="69B3128E">
            <w:pPr>
              <w:pStyle w:val="12"/>
              <w:snapToGrid w:val="0"/>
              <w:spacing w:line="360" w:lineRule="auto"/>
              <w:ind w:firstLine="0"/>
              <w:rPr>
                <w:rFonts w:ascii="仿宋" w:hAnsi="仿宋" w:eastAsia="仿宋"/>
                <w:sz w:val="21"/>
                <w:szCs w:val="21"/>
                <w:highlight w:val="none"/>
              </w:rPr>
            </w:pPr>
            <w:r>
              <w:rPr>
                <w:rFonts w:hint="eastAsia" w:ascii="仿宋" w:hAnsi="仿宋" w:eastAsia="仿宋"/>
                <w:sz w:val="21"/>
                <w:szCs w:val="21"/>
                <w:highlight w:val="none"/>
              </w:rPr>
              <w:t>注：以上材料需提供复印件并加盖公章</w:t>
            </w:r>
          </w:p>
        </w:tc>
        <w:tc>
          <w:tcPr>
            <w:tcW w:w="0" w:type="auto"/>
            <w:tcBorders>
              <w:top w:val="single" w:color="auto" w:sz="4" w:space="0"/>
              <w:left w:val="single" w:color="auto" w:sz="4" w:space="0"/>
              <w:bottom w:val="single" w:color="auto" w:sz="4" w:space="0"/>
              <w:right w:val="single" w:color="auto" w:sz="4" w:space="0"/>
            </w:tcBorders>
            <w:vAlign w:val="center"/>
          </w:tcPr>
          <w:p w14:paraId="31C38B25">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lang w:val="en-US" w:eastAsia="zh-CN"/>
              </w:rPr>
              <w:t>5</w:t>
            </w:r>
            <w:r>
              <w:rPr>
                <w:rFonts w:hint="eastAsia" w:ascii="仿宋" w:hAnsi="仿宋" w:eastAsia="仿宋" w:cs="Courier New"/>
                <w:sz w:val="21"/>
                <w:szCs w:val="21"/>
                <w:highlight w:val="none"/>
              </w:rPr>
              <w:t>分</w:t>
            </w:r>
          </w:p>
        </w:tc>
      </w:tr>
      <w:tr w14:paraId="5ACB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14:paraId="0BDC3D40">
            <w:pPr>
              <w:pStyle w:val="12"/>
              <w:snapToGrid w:val="0"/>
              <w:spacing w:line="360" w:lineRule="auto"/>
              <w:ind w:firstLine="0"/>
              <w:jc w:val="center"/>
              <w:rPr>
                <w:rFonts w:hint="eastAsia" w:ascii="仿宋" w:hAnsi="仿宋" w:eastAsia="仿宋" w:cs="Times New Roman"/>
                <w:sz w:val="21"/>
                <w:szCs w:val="21"/>
                <w:highlight w:val="none"/>
              </w:rPr>
            </w:pPr>
            <w:r>
              <w:rPr>
                <w:rFonts w:hint="eastAsia" w:ascii="仿宋" w:hAnsi="仿宋" w:eastAsia="仿宋" w:cs="Times New Roman"/>
                <w:sz w:val="21"/>
                <w:szCs w:val="21"/>
                <w:highlight w:val="none"/>
                <w:lang w:val="en-US" w:eastAsia="zh-CN"/>
              </w:rPr>
              <w:t>综合实力</w:t>
            </w:r>
          </w:p>
        </w:tc>
        <w:tc>
          <w:tcPr>
            <w:tcW w:w="7095" w:type="dxa"/>
            <w:tcBorders>
              <w:top w:val="single" w:color="auto" w:sz="4" w:space="0"/>
              <w:left w:val="single" w:color="auto" w:sz="4" w:space="0"/>
              <w:bottom w:val="single" w:color="auto" w:sz="4" w:space="0"/>
              <w:right w:val="single" w:color="auto" w:sz="4" w:space="0"/>
            </w:tcBorders>
            <w:vAlign w:val="center"/>
          </w:tcPr>
          <w:p w14:paraId="6849914B">
            <w:pPr>
              <w:pStyle w:val="12"/>
              <w:snapToGrid w:val="0"/>
              <w:spacing w:line="360" w:lineRule="auto"/>
              <w:ind w:firstLine="0"/>
              <w:rPr>
                <w:rFonts w:hint="eastAsia" w:ascii="仿宋" w:hAnsi="仿宋" w:eastAsia="仿宋" w:cs="Times New Roman"/>
                <w:sz w:val="21"/>
                <w:szCs w:val="21"/>
                <w:highlight w:val="none"/>
                <w:lang w:eastAsia="zh-CN"/>
              </w:rPr>
            </w:pPr>
            <w:r>
              <w:rPr>
                <w:rFonts w:hint="eastAsia" w:ascii="仿宋" w:hAnsi="仿宋" w:eastAsia="仿宋" w:cs="Times New Roman"/>
                <w:sz w:val="21"/>
                <w:szCs w:val="21"/>
                <w:highlight w:val="none"/>
                <w:lang w:val="en-US" w:eastAsia="zh-CN"/>
              </w:rPr>
              <w:t>投标供应商提供</w:t>
            </w:r>
            <w:r>
              <w:rPr>
                <w:rFonts w:hint="eastAsia" w:ascii="仿宋" w:hAnsi="仿宋" w:eastAsia="仿宋" w:cs="Times New Roman"/>
                <w:sz w:val="21"/>
                <w:szCs w:val="21"/>
                <w:highlight w:val="none"/>
              </w:rPr>
              <w:t>国家公安部监督认证的三级等保认证、ISO27001:2013信息安全管理体系认证、ISO27018公有云体系下的用户隐私认证</w:t>
            </w:r>
            <w:r>
              <w:rPr>
                <w:rFonts w:hint="eastAsia" w:ascii="仿宋" w:hAnsi="仿宋" w:eastAsia="仿宋" w:cs="Times New Roman"/>
                <w:sz w:val="21"/>
                <w:szCs w:val="21"/>
                <w:highlight w:val="none"/>
                <w:lang w:eastAsia="zh-CN"/>
              </w:rPr>
              <w:t>，</w:t>
            </w:r>
            <w:r>
              <w:rPr>
                <w:rFonts w:hint="eastAsia" w:ascii="仿宋" w:hAnsi="仿宋" w:eastAsia="仿宋" w:cs="Times New Roman"/>
                <w:sz w:val="21"/>
                <w:szCs w:val="21"/>
                <w:highlight w:val="none"/>
                <w:lang w:val="en-US" w:eastAsia="zh-CN"/>
              </w:rPr>
              <w:t>每提供一个证书得1分，最多得3分，未提供不得分</w:t>
            </w:r>
            <w:r>
              <w:rPr>
                <w:rFonts w:hint="eastAsia" w:ascii="仿宋" w:hAnsi="仿宋" w:eastAsia="仿宋" w:cs="Times New Roman"/>
                <w:sz w:val="21"/>
                <w:szCs w:val="21"/>
                <w:highlight w:val="none"/>
              </w:rPr>
              <w:t>。</w:t>
            </w:r>
          </w:p>
          <w:p w14:paraId="6124B3A6">
            <w:pPr>
              <w:pStyle w:val="12"/>
              <w:snapToGrid w:val="0"/>
              <w:spacing w:line="360" w:lineRule="auto"/>
              <w:ind w:firstLine="0"/>
              <w:rPr>
                <w:rFonts w:hint="eastAsia" w:ascii="仿宋" w:hAnsi="仿宋" w:eastAsia="仿宋" w:cs="Times New Roman"/>
                <w:sz w:val="21"/>
                <w:szCs w:val="21"/>
                <w:highlight w:val="none"/>
                <w:lang w:val="en-US" w:eastAsia="zh-CN"/>
              </w:rPr>
            </w:pPr>
            <w:r>
              <w:rPr>
                <w:rFonts w:hint="eastAsia" w:ascii="仿宋" w:hAnsi="仿宋" w:eastAsia="仿宋" w:cs="Times New Roman"/>
                <w:sz w:val="21"/>
                <w:szCs w:val="21"/>
                <w:highlight w:val="none"/>
                <w:lang w:val="en-US" w:eastAsia="zh-CN"/>
              </w:rPr>
              <w:t>2、投标厂商需提供需提供至少 5 人 的低代码平台开发证书，且同一人员拥有多个证书时 不重复计算（即按实际持证人数统计，而非证书数量）。提供团队成员相关项目简历、学考证书等相关证明材料、社保机构出具的开标前 6 个月内任一个月投标人为其缴纳的社保证明，未提供或提供不全不得分。满足得1分。</w:t>
            </w:r>
          </w:p>
          <w:p w14:paraId="0CC58F0B">
            <w:pPr>
              <w:pStyle w:val="12"/>
              <w:snapToGrid w:val="0"/>
              <w:spacing w:line="360" w:lineRule="auto"/>
              <w:ind w:firstLine="0"/>
              <w:rPr>
                <w:rFonts w:hint="default" w:ascii="仿宋" w:hAnsi="仿宋" w:eastAsia="仿宋" w:cs="Times New Roman"/>
                <w:sz w:val="21"/>
                <w:szCs w:val="21"/>
                <w:highlight w:val="none"/>
                <w:lang w:val="en-US" w:eastAsia="zh-CN"/>
              </w:rPr>
            </w:pPr>
            <w:r>
              <w:rPr>
                <w:rFonts w:hint="eastAsia" w:ascii="仿宋" w:hAnsi="仿宋" w:eastAsia="仿宋" w:cs="Times New Roman"/>
                <w:sz w:val="21"/>
                <w:szCs w:val="21"/>
                <w:highlight w:val="none"/>
                <w:lang w:val="en-US" w:eastAsia="zh-CN"/>
              </w:rPr>
              <w:t>3、</w:t>
            </w:r>
            <w:r>
              <w:rPr>
                <w:rFonts w:hint="eastAsia" w:ascii="仿宋" w:hAnsi="仿宋" w:eastAsia="仿宋" w:cs="Times New Roman"/>
                <w:sz w:val="21"/>
                <w:szCs w:val="21"/>
                <w:highlight w:val="none"/>
                <w:lang w:eastAsia="zh-CN"/>
              </w:rPr>
              <w:t>投标厂商需提供</w:t>
            </w:r>
            <w:r>
              <w:rPr>
                <w:rFonts w:hint="eastAsia" w:ascii="仿宋" w:hAnsi="仿宋" w:eastAsia="仿宋" w:cs="Times New Roman"/>
                <w:sz w:val="21"/>
                <w:szCs w:val="21"/>
                <w:highlight w:val="none"/>
                <w:lang w:val="en-US" w:eastAsia="zh-CN"/>
              </w:rPr>
              <w:t>本地学校证明函，每提供一个证书得1分，最多得2分，未提供不得分</w:t>
            </w:r>
            <w:r>
              <w:rPr>
                <w:rFonts w:hint="eastAsia" w:ascii="仿宋" w:hAnsi="仿宋" w:eastAsia="仿宋" w:cs="Times New Roman"/>
                <w:sz w:val="21"/>
                <w:szCs w:val="21"/>
                <w:highlight w:val="none"/>
              </w:rPr>
              <w:t>。</w:t>
            </w:r>
          </w:p>
        </w:tc>
        <w:tc>
          <w:tcPr>
            <w:tcW w:w="0" w:type="auto"/>
            <w:tcBorders>
              <w:top w:val="single" w:color="auto" w:sz="4" w:space="0"/>
              <w:left w:val="single" w:color="auto" w:sz="4" w:space="0"/>
              <w:bottom w:val="single" w:color="auto" w:sz="4" w:space="0"/>
              <w:right w:val="single" w:color="auto" w:sz="4" w:space="0"/>
            </w:tcBorders>
            <w:vAlign w:val="center"/>
          </w:tcPr>
          <w:p w14:paraId="1F5C2ECC">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lang w:val="en-US" w:eastAsia="zh-CN"/>
              </w:rPr>
              <w:t>5</w:t>
            </w:r>
            <w:r>
              <w:rPr>
                <w:rFonts w:hint="eastAsia" w:ascii="仿宋" w:hAnsi="仿宋" w:eastAsia="仿宋" w:cs="宋体"/>
                <w:sz w:val="21"/>
                <w:szCs w:val="21"/>
                <w:highlight w:val="none"/>
              </w:rPr>
              <w:t>分</w:t>
            </w:r>
          </w:p>
        </w:tc>
      </w:tr>
      <w:tr w14:paraId="0168B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13D5B6C6">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C：技术部分评分</w:t>
            </w:r>
            <w:r>
              <w:rPr>
                <w:rFonts w:hint="eastAsia" w:ascii="仿宋" w:hAnsi="仿宋" w:eastAsia="仿宋" w:cs="Courier New"/>
                <w:b/>
                <w:sz w:val="21"/>
                <w:szCs w:val="21"/>
                <w:highlight w:val="none"/>
                <w:lang w:val="en-US" w:eastAsia="zh-CN"/>
              </w:rPr>
              <w:t>60</w:t>
            </w:r>
            <w:r>
              <w:rPr>
                <w:rFonts w:hint="eastAsia" w:ascii="仿宋" w:hAnsi="仿宋" w:eastAsia="仿宋" w:cs="Courier New"/>
                <w:b/>
                <w:sz w:val="21"/>
                <w:szCs w:val="21"/>
                <w:highlight w:val="none"/>
              </w:rPr>
              <w:t>分</w:t>
            </w:r>
          </w:p>
        </w:tc>
      </w:tr>
      <w:tr w14:paraId="3BC9A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14:paraId="35C5F09C">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rPr>
              <w:t>技术响应</w:t>
            </w:r>
          </w:p>
        </w:tc>
        <w:tc>
          <w:tcPr>
            <w:tcW w:w="7095" w:type="dxa"/>
            <w:tcBorders>
              <w:top w:val="single" w:color="auto" w:sz="4" w:space="0"/>
              <w:left w:val="single" w:color="auto" w:sz="4" w:space="0"/>
              <w:bottom w:val="single" w:color="auto" w:sz="4" w:space="0"/>
              <w:right w:val="single" w:color="auto" w:sz="4" w:space="0"/>
            </w:tcBorders>
            <w:vAlign w:val="center"/>
          </w:tcPr>
          <w:p w14:paraId="19021B34">
            <w:pPr>
              <w:pStyle w:val="12"/>
              <w:snapToGrid w:val="0"/>
              <w:spacing w:line="360" w:lineRule="auto"/>
              <w:ind w:firstLine="0"/>
              <w:rPr>
                <w:rFonts w:hint="eastAsia" w:ascii="仿宋" w:hAnsi="仿宋" w:eastAsia="仿宋" w:cs="宋体"/>
                <w:sz w:val="21"/>
                <w:szCs w:val="21"/>
                <w:highlight w:val="none"/>
              </w:rPr>
            </w:pPr>
            <w:r>
              <w:rPr>
                <w:rFonts w:hint="eastAsia" w:ascii="仿宋" w:hAnsi="仿宋" w:eastAsia="仿宋" w:cs="宋体"/>
                <w:sz w:val="21"/>
                <w:szCs w:val="21"/>
                <w:highlight w:val="none"/>
              </w:rPr>
              <w:t>对照“项目需求”技术要求，根据投标人提供的产品配置及性能指标的响应情况进行评审：</w:t>
            </w:r>
          </w:p>
          <w:p w14:paraId="0FD75185">
            <w:pPr>
              <w:pStyle w:val="12"/>
              <w:snapToGrid w:val="0"/>
              <w:spacing w:line="360" w:lineRule="auto"/>
              <w:ind w:firstLine="0"/>
              <w:rPr>
                <w:rFonts w:hint="eastAsia" w:ascii="仿宋" w:hAnsi="仿宋" w:eastAsia="仿宋" w:cs="宋体"/>
                <w:sz w:val="21"/>
                <w:szCs w:val="21"/>
                <w:highlight w:val="none"/>
              </w:rPr>
            </w:pPr>
            <w:r>
              <w:rPr>
                <w:rFonts w:hint="eastAsia" w:ascii="仿宋" w:hAnsi="仿宋" w:eastAsia="仿宋" w:cs="宋体"/>
                <w:sz w:val="21"/>
                <w:szCs w:val="21"/>
                <w:highlight w:val="none"/>
              </w:rPr>
              <w:t>1.投标人提供的</w:t>
            </w:r>
            <w:r>
              <w:rPr>
                <w:rFonts w:hint="eastAsia" w:ascii="仿宋" w:hAnsi="仿宋" w:eastAsia="仿宋" w:cs="宋体"/>
                <w:sz w:val="21"/>
                <w:szCs w:val="21"/>
                <w:highlight w:val="none"/>
                <w:lang w:val="en-US" w:eastAsia="zh-CN"/>
              </w:rPr>
              <w:t>产品</w:t>
            </w:r>
            <w:r>
              <w:rPr>
                <w:rFonts w:hint="eastAsia" w:ascii="仿宋" w:hAnsi="仿宋" w:eastAsia="仿宋" w:cs="宋体"/>
                <w:sz w:val="21"/>
                <w:szCs w:val="21"/>
                <w:highlight w:val="none"/>
              </w:rPr>
              <w:t>技术参数完全响应采购需求的，得</w:t>
            </w:r>
            <w:r>
              <w:rPr>
                <w:rFonts w:hint="eastAsia" w:ascii="仿宋" w:hAnsi="仿宋" w:eastAsia="仿宋" w:cs="宋体"/>
                <w:sz w:val="21"/>
                <w:szCs w:val="21"/>
                <w:highlight w:val="none"/>
                <w:lang w:val="en-US" w:eastAsia="zh-CN"/>
              </w:rPr>
              <w:t>20</w:t>
            </w:r>
            <w:r>
              <w:rPr>
                <w:rFonts w:hint="eastAsia" w:ascii="仿宋" w:hAnsi="仿宋" w:eastAsia="仿宋" w:cs="宋体"/>
                <w:sz w:val="21"/>
                <w:szCs w:val="21"/>
                <w:highlight w:val="none"/>
              </w:rPr>
              <w:t>分。</w:t>
            </w:r>
          </w:p>
          <w:p w14:paraId="384BCB60">
            <w:pPr>
              <w:pStyle w:val="12"/>
              <w:snapToGrid w:val="0"/>
              <w:spacing w:line="360" w:lineRule="auto"/>
              <w:ind w:firstLine="0"/>
              <w:rPr>
                <w:rFonts w:hint="eastAsia" w:ascii="仿宋" w:hAnsi="仿宋" w:eastAsia="仿宋" w:cs="宋体"/>
                <w:sz w:val="21"/>
                <w:szCs w:val="21"/>
                <w:highlight w:val="none"/>
              </w:rPr>
            </w:pPr>
            <w:r>
              <w:rPr>
                <w:rFonts w:hint="eastAsia" w:ascii="仿宋" w:hAnsi="仿宋" w:eastAsia="仿宋" w:cs="宋体"/>
                <w:sz w:val="21"/>
                <w:szCs w:val="21"/>
                <w:highlight w:val="none"/>
              </w:rPr>
              <w:t>2.</w:t>
            </w:r>
            <w:r>
              <w:rPr>
                <w:rFonts w:hint="eastAsia" w:ascii="仿宋" w:hAnsi="仿宋" w:eastAsia="仿宋" w:cs="宋体"/>
                <w:sz w:val="21"/>
                <w:szCs w:val="21"/>
                <w:highlight w:val="none"/>
                <w:lang w:val="en-US" w:eastAsia="zh-CN"/>
              </w:rPr>
              <w:t>标注</w:t>
            </w:r>
            <w:r>
              <w:rPr>
                <w:rFonts w:hint="eastAsia" w:ascii="仿宋" w:hAnsi="仿宋" w:eastAsia="仿宋" w:cs="宋体"/>
                <w:sz w:val="21"/>
                <w:szCs w:val="21"/>
                <w:highlight w:val="none"/>
                <w:lang w:eastAsia="zh-CN"/>
              </w:rPr>
              <w:t>★</w:t>
            </w:r>
            <w:r>
              <w:rPr>
                <w:rFonts w:hint="eastAsia" w:ascii="仿宋" w:hAnsi="仿宋" w:eastAsia="仿宋" w:cs="宋体"/>
                <w:sz w:val="21"/>
                <w:szCs w:val="21"/>
                <w:highlight w:val="none"/>
                <w:lang w:val="en-US" w:eastAsia="zh-CN"/>
              </w:rPr>
              <w:t>的为主要技术参数（15条）需要提供本次产品（手机、电脑端）使用视频介绍和产品页面，存在负偏离的，每一条扣2分，扣完为止</w:t>
            </w:r>
            <w:r>
              <w:rPr>
                <w:rFonts w:hint="eastAsia" w:ascii="仿宋" w:hAnsi="仿宋" w:eastAsia="仿宋" w:cs="宋体"/>
                <w:sz w:val="21"/>
                <w:szCs w:val="21"/>
                <w:highlight w:val="none"/>
              </w:rPr>
              <w:t>。</w:t>
            </w:r>
          </w:p>
          <w:p w14:paraId="33D776F3">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lang w:val="en-US" w:eastAsia="en-US"/>
              </w:rPr>
              <w:t>注：负偏离评审依据：①所提供产品技术参数低于招标文件要求的，视为负偏离；②技术参数响应条款（以投标文件内技术偏离表为准）与招标文件对比有缺项、漏项的，视为负偏离；③投标文件内技术偏离表完全复制招标文件技术参数的（不涉及具体参数指标的描述性技术要求除外），视为负偏离；④投标人提供的投标文件中产品技术偏离表响应值不一致的，视为负偏离。</w:t>
            </w:r>
          </w:p>
        </w:tc>
        <w:tc>
          <w:tcPr>
            <w:tcW w:w="0" w:type="auto"/>
            <w:tcBorders>
              <w:top w:val="single" w:color="auto" w:sz="4" w:space="0"/>
              <w:left w:val="single" w:color="auto" w:sz="4" w:space="0"/>
              <w:bottom w:val="single" w:color="auto" w:sz="4" w:space="0"/>
              <w:right w:val="single" w:color="auto" w:sz="4" w:space="0"/>
            </w:tcBorders>
            <w:vAlign w:val="center"/>
          </w:tcPr>
          <w:p w14:paraId="7F70F476">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lang w:val="en-US" w:eastAsia="zh-CN"/>
              </w:rPr>
              <w:t>20</w:t>
            </w:r>
            <w:r>
              <w:rPr>
                <w:rFonts w:hint="eastAsia" w:ascii="仿宋" w:hAnsi="仿宋" w:eastAsia="仿宋" w:cs="Courier New"/>
                <w:sz w:val="21"/>
                <w:szCs w:val="21"/>
                <w:highlight w:val="none"/>
              </w:rPr>
              <w:t>分</w:t>
            </w:r>
          </w:p>
        </w:tc>
      </w:tr>
      <w:tr w14:paraId="1E1E9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2" w:type="dxa"/>
            <w:vMerge w:val="restart"/>
            <w:tcBorders>
              <w:top w:val="single" w:color="auto" w:sz="4" w:space="0"/>
              <w:left w:val="single" w:color="auto" w:sz="4" w:space="0"/>
              <w:right w:val="single" w:color="auto" w:sz="4" w:space="0"/>
            </w:tcBorders>
            <w:vAlign w:val="center"/>
          </w:tcPr>
          <w:p w14:paraId="40EA220D">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宋体"/>
                <w:sz w:val="21"/>
                <w:szCs w:val="21"/>
                <w:highlight w:val="none"/>
              </w:rPr>
              <w:t>实施方案</w:t>
            </w:r>
          </w:p>
        </w:tc>
        <w:tc>
          <w:tcPr>
            <w:tcW w:w="7095" w:type="dxa"/>
            <w:tcBorders>
              <w:top w:val="single" w:color="auto" w:sz="4" w:space="0"/>
              <w:left w:val="single" w:color="auto" w:sz="4" w:space="0"/>
              <w:bottom w:val="single" w:color="auto" w:sz="4" w:space="0"/>
              <w:right w:val="single" w:color="auto" w:sz="4" w:space="0"/>
            </w:tcBorders>
            <w:vAlign w:val="center"/>
          </w:tcPr>
          <w:p w14:paraId="499B1752">
            <w:pPr>
              <w:pStyle w:val="12"/>
              <w:snapToGrid w:val="0"/>
              <w:spacing w:line="360" w:lineRule="auto"/>
              <w:ind w:firstLine="0"/>
              <w:rPr>
                <w:rFonts w:hint="eastAsia" w:ascii="仿宋" w:hAnsi="仿宋" w:eastAsia="仿宋" w:cs="Times New Roman"/>
                <w:sz w:val="21"/>
                <w:szCs w:val="21"/>
                <w:highlight w:val="none"/>
                <w:lang w:eastAsia="zh-CN"/>
              </w:rPr>
            </w:pPr>
            <w:r>
              <w:rPr>
                <w:rFonts w:hint="eastAsia" w:ascii="仿宋" w:hAnsi="仿宋" w:eastAsia="仿宋" w:cs="Times New Roman"/>
                <w:sz w:val="21"/>
                <w:szCs w:val="21"/>
                <w:highlight w:val="none"/>
                <w:lang w:eastAsia="zh-CN"/>
              </w:rPr>
              <w:t>根据投标人提供的项目实施方案进行评分：</w:t>
            </w:r>
          </w:p>
          <w:p w14:paraId="45DAC850">
            <w:pPr>
              <w:pStyle w:val="12"/>
              <w:snapToGrid w:val="0"/>
              <w:spacing w:line="360" w:lineRule="auto"/>
              <w:ind w:firstLine="0"/>
              <w:rPr>
                <w:rFonts w:hint="eastAsia" w:ascii="仿宋" w:hAnsi="仿宋" w:eastAsia="仿宋" w:cs="Times New Roman"/>
                <w:sz w:val="21"/>
                <w:szCs w:val="21"/>
                <w:highlight w:val="none"/>
                <w:lang w:val="en-US" w:eastAsia="zh-CN"/>
              </w:rPr>
            </w:pPr>
            <w:r>
              <w:rPr>
                <w:rFonts w:hint="eastAsia" w:ascii="仿宋" w:hAnsi="仿宋" w:eastAsia="仿宋" w:cs="Times New Roman"/>
                <w:sz w:val="21"/>
                <w:szCs w:val="21"/>
                <w:highlight w:val="none"/>
                <w:lang w:eastAsia="zh-CN"/>
              </w:rPr>
              <w:t>项目</w:t>
            </w:r>
            <w:r>
              <w:rPr>
                <w:rFonts w:hint="eastAsia" w:ascii="仿宋" w:hAnsi="仿宋" w:eastAsia="仿宋" w:cs="Times New Roman"/>
                <w:sz w:val="21"/>
                <w:szCs w:val="21"/>
                <w:highlight w:val="none"/>
                <w:lang w:val="en-US" w:eastAsia="zh-CN"/>
              </w:rPr>
              <w:t>组织</w:t>
            </w:r>
            <w:r>
              <w:rPr>
                <w:rFonts w:hint="eastAsia" w:ascii="仿宋" w:hAnsi="仿宋" w:eastAsia="仿宋" w:cs="Times New Roman"/>
                <w:sz w:val="21"/>
                <w:szCs w:val="21"/>
                <w:highlight w:val="none"/>
                <w:lang w:eastAsia="zh-CN"/>
              </w:rPr>
              <w:t>方案包括但不限于：①项目人员安排（包含但不限于主要人员名单及基本情况介绍、在本项目中承担的职责等）、②</w:t>
            </w:r>
            <w:r>
              <w:rPr>
                <w:rFonts w:hint="eastAsia" w:ascii="仿宋" w:hAnsi="仿宋" w:eastAsia="仿宋" w:cs="Times New Roman"/>
                <w:sz w:val="21"/>
                <w:szCs w:val="21"/>
                <w:highlight w:val="none"/>
                <w:lang w:val="en-US" w:eastAsia="zh-CN"/>
              </w:rPr>
              <w:t>工期计划</w:t>
            </w:r>
            <w:r>
              <w:rPr>
                <w:rFonts w:hint="eastAsia" w:ascii="仿宋" w:hAnsi="仿宋" w:eastAsia="仿宋" w:cs="Times New Roman"/>
                <w:sz w:val="21"/>
                <w:szCs w:val="21"/>
                <w:highlight w:val="none"/>
                <w:lang w:eastAsia="zh-CN"/>
              </w:rPr>
              <w:t>（包含但不限于产品</w:t>
            </w:r>
            <w:r>
              <w:rPr>
                <w:rFonts w:hint="eastAsia" w:ascii="仿宋" w:hAnsi="仿宋" w:eastAsia="仿宋" w:cs="Times New Roman"/>
                <w:sz w:val="21"/>
                <w:szCs w:val="21"/>
                <w:highlight w:val="none"/>
                <w:lang w:val="en-US" w:eastAsia="zh-CN"/>
              </w:rPr>
              <w:t>定制开发</w:t>
            </w:r>
            <w:r>
              <w:rPr>
                <w:rFonts w:hint="eastAsia" w:ascii="仿宋" w:hAnsi="仿宋" w:eastAsia="仿宋" w:cs="Times New Roman"/>
                <w:sz w:val="21"/>
                <w:szCs w:val="21"/>
                <w:highlight w:val="none"/>
                <w:lang w:eastAsia="zh-CN"/>
              </w:rPr>
              <w:t>、</w:t>
            </w:r>
            <w:r>
              <w:rPr>
                <w:rFonts w:hint="eastAsia" w:ascii="仿宋" w:hAnsi="仿宋" w:eastAsia="仿宋" w:cs="Times New Roman"/>
                <w:sz w:val="21"/>
                <w:szCs w:val="21"/>
                <w:highlight w:val="none"/>
                <w:lang w:val="en-US" w:eastAsia="zh-CN"/>
              </w:rPr>
              <w:t>工期</w:t>
            </w:r>
            <w:r>
              <w:rPr>
                <w:rFonts w:hint="eastAsia" w:ascii="仿宋" w:hAnsi="仿宋" w:eastAsia="仿宋" w:cs="Times New Roman"/>
                <w:sz w:val="21"/>
                <w:szCs w:val="21"/>
                <w:highlight w:val="none"/>
                <w:lang w:eastAsia="zh-CN"/>
              </w:rPr>
              <w:t>计划、包装和运输方式等）、③质量管控方案（包括但不限于质量管控的标准、方法和程序等）、④</w:t>
            </w:r>
            <w:r>
              <w:rPr>
                <w:rFonts w:hint="eastAsia" w:ascii="仿宋" w:hAnsi="仿宋" w:eastAsia="仿宋" w:cs="Times New Roman"/>
                <w:sz w:val="21"/>
                <w:szCs w:val="21"/>
                <w:highlight w:val="none"/>
                <w:lang w:val="en-US" w:eastAsia="zh-CN"/>
              </w:rPr>
              <w:t>安装</w:t>
            </w:r>
            <w:r>
              <w:rPr>
                <w:rFonts w:hint="eastAsia" w:ascii="仿宋" w:hAnsi="仿宋" w:eastAsia="仿宋" w:cs="Times New Roman"/>
                <w:sz w:val="21"/>
                <w:szCs w:val="21"/>
                <w:highlight w:val="none"/>
                <w:lang w:eastAsia="zh-CN"/>
              </w:rPr>
              <w:t>（调试）方案（包含但不限于人员安排、</w:t>
            </w:r>
            <w:r>
              <w:rPr>
                <w:rFonts w:hint="eastAsia" w:ascii="仿宋" w:hAnsi="仿宋" w:eastAsia="仿宋" w:cs="Times New Roman"/>
                <w:sz w:val="21"/>
                <w:szCs w:val="21"/>
                <w:highlight w:val="none"/>
                <w:lang w:val="en-US" w:eastAsia="zh-CN"/>
              </w:rPr>
              <w:t>安装</w:t>
            </w:r>
            <w:r>
              <w:rPr>
                <w:rFonts w:hint="eastAsia" w:ascii="仿宋" w:hAnsi="仿宋" w:eastAsia="仿宋" w:cs="Times New Roman"/>
                <w:sz w:val="21"/>
                <w:szCs w:val="21"/>
                <w:highlight w:val="none"/>
                <w:lang w:eastAsia="zh-CN"/>
              </w:rPr>
              <w:t xml:space="preserve">步骤、测试标准等）等4项内容，提供相关方案的得 </w:t>
            </w:r>
            <w:r>
              <w:rPr>
                <w:rFonts w:hint="eastAsia" w:ascii="仿宋" w:hAnsi="仿宋" w:eastAsia="仿宋" w:cs="Times New Roman"/>
                <w:sz w:val="21"/>
                <w:szCs w:val="21"/>
                <w:highlight w:val="none"/>
                <w:lang w:val="en-US" w:eastAsia="zh-CN"/>
              </w:rPr>
              <w:t>16</w:t>
            </w:r>
            <w:r>
              <w:rPr>
                <w:rFonts w:hint="eastAsia" w:ascii="仿宋" w:hAnsi="仿宋" w:eastAsia="仿宋" w:cs="Times New Roman"/>
                <w:sz w:val="21"/>
                <w:szCs w:val="21"/>
                <w:highlight w:val="none"/>
                <w:lang w:eastAsia="zh-CN"/>
              </w:rPr>
              <w:t xml:space="preserve"> 分，以此为基础，</w:t>
            </w:r>
            <w:r>
              <w:rPr>
                <w:rFonts w:hint="eastAsia" w:ascii="仿宋" w:hAnsi="仿宋" w:eastAsia="仿宋" w:cs="Times New Roman"/>
                <w:sz w:val="21"/>
                <w:szCs w:val="21"/>
                <w:highlight w:val="none"/>
                <w:lang w:val="en-US" w:eastAsia="zh-CN"/>
              </w:rPr>
              <w:t>所提供的</w:t>
            </w:r>
            <w:r>
              <w:rPr>
                <w:rFonts w:hint="eastAsia" w:ascii="仿宋" w:hAnsi="仿宋" w:eastAsia="仿宋" w:cs="Times New Roman"/>
                <w:sz w:val="21"/>
                <w:szCs w:val="21"/>
                <w:highlight w:val="none"/>
                <w:lang w:eastAsia="zh-CN"/>
              </w:rPr>
              <w:t>方案</w:t>
            </w:r>
            <w:r>
              <w:rPr>
                <w:rFonts w:hint="eastAsia" w:ascii="仿宋" w:hAnsi="仿宋" w:eastAsia="仿宋" w:cs="Times New Roman"/>
                <w:sz w:val="21"/>
                <w:szCs w:val="21"/>
                <w:highlight w:val="none"/>
                <w:lang w:val="en-US" w:eastAsia="zh-CN"/>
              </w:rPr>
              <w:t>中</w:t>
            </w:r>
            <w:r>
              <w:rPr>
                <w:rFonts w:hint="eastAsia" w:ascii="仿宋" w:hAnsi="仿宋" w:eastAsia="仿宋" w:cs="Times New Roman"/>
                <w:sz w:val="21"/>
                <w:szCs w:val="21"/>
                <w:highlight w:val="none"/>
                <w:lang w:eastAsia="zh-CN"/>
              </w:rPr>
              <w:t>每有一项</w:t>
            </w:r>
            <w:r>
              <w:rPr>
                <w:rFonts w:hint="eastAsia" w:ascii="仿宋" w:hAnsi="仿宋" w:eastAsia="仿宋" w:cs="Times New Roman"/>
                <w:sz w:val="21"/>
                <w:szCs w:val="21"/>
                <w:highlight w:val="none"/>
                <w:lang w:val="en-US" w:eastAsia="zh-CN"/>
              </w:rPr>
              <w:t>内容</w:t>
            </w:r>
            <w:r>
              <w:rPr>
                <w:rFonts w:hint="eastAsia" w:ascii="仿宋" w:hAnsi="仿宋" w:eastAsia="仿宋" w:cs="Times New Roman"/>
                <w:sz w:val="21"/>
                <w:szCs w:val="21"/>
                <w:highlight w:val="none"/>
                <w:lang w:eastAsia="zh-CN"/>
              </w:rPr>
              <w:t>进行了深化、量化、拓展</w:t>
            </w:r>
            <w:r>
              <w:rPr>
                <w:rFonts w:hint="eastAsia" w:ascii="仿宋" w:hAnsi="仿宋" w:eastAsia="仿宋" w:cs="Times New Roman"/>
                <w:sz w:val="21"/>
                <w:szCs w:val="21"/>
                <w:highlight w:val="none"/>
                <w:lang w:val="en-US" w:eastAsia="zh-CN"/>
              </w:rPr>
              <w:t>或</w:t>
            </w:r>
            <w:r>
              <w:rPr>
                <w:rFonts w:hint="eastAsia" w:ascii="仿宋" w:hAnsi="仿宋" w:eastAsia="仿宋" w:cs="Times New Roman"/>
                <w:sz w:val="21"/>
                <w:szCs w:val="21"/>
                <w:highlight w:val="none"/>
                <w:lang w:eastAsia="zh-CN"/>
              </w:rPr>
              <w:t>提出经评审专家认可的合理化建议的加 1 分，加至</w:t>
            </w:r>
            <w:r>
              <w:rPr>
                <w:rFonts w:hint="eastAsia" w:ascii="仿宋" w:hAnsi="仿宋" w:eastAsia="仿宋" w:cs="Times New Roman"/>
                <w:sz w:val="21"/>
                <w:szCs w:val="21"/>
                <w:highlight w:val="none"/>
                <w:lang w:val="en-US" w:eastAsia="zh-CN"/>
              </w:rPr>
              <w:t>20 分</w:t>
            </w:r>
            <w:r>
              <w:rPr>
                <w:rFonts w:hint="eastAsia" w:ascii="仿宋" w:hAnsi="仿宋" w:eastAsia="仿宋" w:cs="Times New Roman"/>
                <w:sz w:val="21"/>
                <w:szCs w:val="21"/>
                <w:highlight w:val="none"/>
                <w:lang w:eastAsia="zh-CN"/>
              </w:rPr>
              <w:t>为止；每缺失一条扣</w:t>
            </w:r>
            <w:r>
              <w:rPr>
                <w:rFonts w:hint="eastAsia" w:ascii="仿宋" w:hAnsi="仿宋" w:eastAsia="仿宋" w:cs="Times New Roman"/>
                <w:sz w:val="21"/>
                <w:szCs w:val="21"/>
                <w:highlight w:val="none"/>
                <w:lang w:val="en-US" w:eastAsia="zh-CN"/>
              </w:rPr>
              <w:t>1</w:t>
            </w:r>
            <w:r>
              <w:rPr>
                <w:rFonts w:hint="eastAsia" w:ascii="仿宋" w:hAnsi="仿宋" w:eastAsia="仿宋" w:cs="Times New Roman"/>
                <w:sz w:val="21"/>
                <w:szCs w:val="21"/>
                <w:highlight w:val="none"/>
                <w:lang w:eastAsia="zh-CN"/>
              </w:rPr>
              <w:t>分；每有一处描述不清或逻辑混乱有欠缺的扣</w:t>
            </w:r>
            <w:r>
              <w:rPr>
                <w:rFonts w:hint="eastAsia" w:ascii="仿宋" w:hAnsi="仿宋" w:eastAsia="仿宋" w:cs="Times New Roman"/>
                <w:sz w:val="21"/>
                <w:szCs w:val="21"/>
                <w:highlight w:val="none"/>
                <w:lang w:val="en-US" w:eastAsia="zh-CN"/>
              </w:rPr>
              <w:t>0.5</w:t>
            </w:r>
            <w:r>
              <w:rPr>
                <w:rFonts w:hint="eastAsia" w:ascii="仿宋" w:hAnsi="仿宋" w:eastAsia="仿宋" w:cs="Times New Roman"/>
                <w:sz w:val="21"/>
                <w:szCs w:val="21"/>
                <w:highlight w:val="none"/>
                <w:lang w:eastAsia="zh-CN"/>
              </w:rPr>
              <w:t>分，扣完为止。</w:t>
            </w:r>
          </w:p>
          <w:p w14:paraId="6B49ED54">
            <w:pPr>
              <w:pStyle w:val="12"/>
              <w:snapToGrid w:val="0"/>
              <w:spacing w:line="360" w:lineRule="auto"/>
              <w:ind w:firstLine="0"/>
              <w:rPr>
                <w:rFonts w:ascii="仿宋" w:hAnsi="仿宋" w:eastAsia="仿宋"/>
                <w:sz w:val="21"/>
                <w:szCs w:val="21"/>
                <w:highlight w:val="none"/>
              </w:rPr>
            </w:pPr>
            <w:r>
              <w:rPr>
                <w:rFonts w:hint="eastAsia" w:ascii="仿宋" w:hAnsi="仿宋" w:eastAsia="仿宋" w:cs="Times New Roman"/>
                <w:sz w:val="21"/>
                <w:szCs w:val="21"/>
                <w:highlight w:val="none"/>
                <w:lang w:eastAsia="zh-CN"/>
              </w:rPr>
              <w:t>注：1.内容存在描述不清或逻辑混乱有欠缺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tc>
        <w:tc>
          <w:tcPr>
            <w:tcW w:w="0" w:type="auto"/>
            <w:tcBorders>
              <w:top w:val="single" w:color="auto" w:sz="4" w:space="0"/>
              <w:left w:val="single" w:color="auto" w:sz="4" w:space="0"/>
              <w:bottom w:val="single" w:color="auto" w:sz="4" w:space="0"/>
              <w:right w:val="single" w:color="auto" w:sz="4" w:space="0"/>
            </w:tcBorders>
            <w:vAlign w:val="center"/>
          </w:tcPr>
          <w:p w14:paraId="1A968000">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lang w:val="en-US" w:eastAsia="zh-CN"/>
              </w:rPr>
              <w:t>20</w:t>
            </w:r>
            <w:r>
              <w:rPr>
                <w:rFonts w:hint="eastAsia" w:ascii="仿宋" w:hAnsi="仿宋" w:eastAsia="仿宋" w:cs="Courier New"/>
                <w:sz w:val="21"/>
                <w:szCs w:val="21"/>
                <w:highlight w:val="none"/>
              </w:rPr>
              <w:t>分</w:t>
            </w:r>
          </w:p>
        </w:tc>
      </w:tr>
      <w:tr w14:paraId="0C157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2" w:type="dxa"/>
            <w:vMerge w:val="continue"/>
            <w:tcBorders>
              <w:left w:val="single" w:color="auto" w:sz="4" w:space="0"/>
              <w:bottom w:val="single" w:color="auto" w:sz="4" w:space="0"/>
              <w:right w:val="single" w:color="auto" w:sz="4" w:space="0"/>
            </w:tcBorders>
            <w:vAlign w:val="center"/>
          </w:tcPr>
          <w:p w14:paraId="76DA0B01">
            <w:pPr>
              <w:pStyle w:val="12"/>
              <w:snapToGrid w:val="0"/>
              <w:spacing w:line="360" w:lineRule="auto"/>
              <w:ind w:firstLine="0"/>
              <w:rPr>
                <w:rFonts w:ascii="仿宋" w:hAnsi="仿宋" w:eastAsia="仿宋" w:cs="宋体"/>
                <w:sz w:val="21"/>
                <w:szCs w:val="21"/>
                <w:highlight w:val="none"/>
              </w:rPr>
            </w:pPr>
          </w:p>
        </w:tc>
        <w:tc>
          <w:tcPr>
            <w:tcW w:w="7095" w:type="dxa"/>
            <w:tcBorders>
              <w:top w:val="single" w:color="auto" w:sz="4" w:space="0"/>
              <w:left w:val="single" w:color="auto" w:sz="4" w:space="0"/>
              <w:bottom w:val="single" w:color="auto" w:sz="4" w:space="0"/>
              <w:right w:val="single" w:color="auto" w:sz="4" w:space="0"/>
            </w:tcBorders>
            <w:vAlign w:val="center"/>
          </w:tcPr>
          <w:p w14:paraId="2C07F002">
            <w:pPr>
              <w:rPr>
                <w:rFonts w:ascii="仿宋" w:hAnsi="仿宋" w:eastAsia="仿宋" w:cs="宋体"/>
                <w:kern w:val="0"/>
                <w:szCs w:val="21"/>
                <w:highlight w:val="none"/>
              </w:rPr>
            </w:pPr>
            <w:r>
              <w:rPr>
                <w:rFonts w:hint="eastAsia" w:ascii="仿宋" w:hAnsi="仿宋" w:eastAsia="仿宋" w:cs="宋体"/>
                <w:kern w:val="0"/>
                <w:szCs w:val="21"/>
                <w:highlight w:val="none"/>
              </w:rPr>
              <w:t>售后方案：</w:t>
            </w:r>
          </w:p>
          <w:p w14:paraId="6D652B1E">
            <w:pPr>
              <w:rPr>
                <w:rFonts w:hint="eastAsia" w:ascii="仿宋" w:hAnsi="仿宋" w:eastAsia="仿宋" w:cs="Times New Roman"/>
                <w:sz w:val="21"/>
                <w:szCs w:val="21"/>
                <w:highlight w:val="none"/>
                <w:lang w:eastAsia="zh-CN"/>
              </w:rPr>
            </w:pPr>
            <w:r>
              <w:rPr>
                <w:rFonts w:hint="eastAsia" w:ascii="仿宋" w:hAnsi="仿宋" w:eastAsia="仿宋" w:cs="宋体"/>
                <w:kern w:val="0"/>
                <w:szCs w:val="21"/>
                <w:highlight w:val="none"/>
              </w:rPr>
              <w:t>编制售后服</w:t>
            </w:r>
            <w:r>
              <w:rPr>
                <w:rFonts w:hint="eastAsia" w:ascii="仿宋" w:hAnsi="仿宋" w:eastAsia="仿宋" w:cs="Times New Roman"/>
                <w:sz w:val="21"/>
                <w:szCs w:val="21"/>
                <w:highlight w:val="none"/>
                <w:lang w:eastAsia="zh-CN"/>
              </w:rPr>
              <w:t>务体系、方案，服务承诺等，内容需包含：</w:t>
            </w:r>
          </w:p>
          <w:p w14:paraId="6FFD2CAA">
            <w:pPr>
              <w:rPr>
                <w:rFonts w:hint="eastAsia" w:ascii="仿宋" w:hAnsi="仿宋" w:eastAsia="仿宋" w:cs="Times New Roman"/>
                <w:sz w:val="21"/>
                <w:szCs w:val="21"/>
                <w:highlight w:val="none"/>
                <w:lang w:eastAsia="zh-CN"/>
              </w:rPr>
            </w:pPr>
            <w:r>
              <w:rPr>
                <w:rFonts w:hint="eastAsia" w:ascii="仿宋" w:hAnsi="仿宋" w:eastAsia="仿宋" w:cs="Times New Roman"/>
                <w:sz w:val="21"/>
                <w:szCs w:val="21"/>
                <w:highlight w:val="none"/>
                <w:lang w:eastAsia="zh-CN"/>
              </w:rPr>
              <w:t>①</w:t>
            </w:r>
            <w:r>
              <w:rPr>
                <w:rFonts w:hint="eastAsia" w:ascii="仿宋" w:hAnsi="仿宋" w:eastAsia="仿宋" w:cs="Times New Roman"/>
                <w:sz w:val="21"/>
                <w:szCs w:val="21"/>
                <w:highlight w:val="none"/>
                <w:lang w:val="en-US" w:eastAsia="zh-CN"/>
              </w:rPr>
              <w:t>本地有完善的售后服务团队（</w:t>
            </w:r>
            <w:r>
              <w:rPr>
                <w:rFonts w:hint="eastAsia" w:ascii="仿宋" w:hAnsi="仿宋" w:eastAsia="仿宋" w:cs="Times New Roman"/>
                <w:sz w:val="21"/>
                <w:szCs w:val="21"/>
                <w:highlight w:val="none"/>
                <w:lang w:eastAsia="zh-CN"/>
              </w:rPr>
              <w:t>提供</w:t>
            </w:r>
            <w:r>
              <w:rPr>
                <w:rFonts w:hint="eastAsia" w:ascii="仿宋" w:hAnsi="仿宋" w:eastAsia="仿宋" w:cs="Times New Roman"/>
                <w:sz w:val="21"/>
                <w:szCs w:val="21"/>
                <w:highlight w:val="none"/>
                <w:lang w:val="en-US" w:eastAsia="zh-CN"/>
              </w:rPr>
              <w:t>本地办公</w:t>
            </w:r>
            <w:r>
              <w:rPr>
                <w:rFonts w:hint="eastAsia" w:ascii="仿宋" w:hAnsi="仿宋" w:eastAsia="仿宋" w:cs="Times New Roman"/>
                <w:sz w:val="21"/>
                <w:szCs w:val="21"/>
                <w:highlight w:val="none"/>
                <w:lang w:eastAsia="zh-CN"/>
              </w:rPr>
              <w:t>场所的购房或租赁合同及场所照片，</w:t>
            </w:r>
            <w:r>
              <w:rPr>
                <w:rFonts w:hint="eastAsia" w:ascii="仿宋" w:hAnsi="仿宋" w:eastAsia="仿宋" w:cs="Times New Roman"/>
                <w:sz w:val="21"/>
                <w:szCs w:val="21"/>
                <w:highlight w:val="none"/>
                <w:lang w:val="en-US" w:eastAsia="zh-CN"/>
              </w:rPr>
              <w:t>相关服务</w:t>
            </w:r>
            <w:r>
              <w:rPr>
                <w:rFonts w:hint="eastAsia" w:ascii="仿宋" w:hAnsi="仿宋" w:eastAsia="仿宋" w:cs="Times New Roman"/>
                <w:sz w:val="21"/>
                <w:szCs w:val="21"/>
                <w:highlight w:val="none"/>
                <w:lang w:eastAsia="zh-CN"/>
              </w:rPr>
              <w:t>人员配备）；②</w:t>
            </w:r>
            <w:r>
              <w:rPr>
                <w:rFonts w:hint="eastAsia" w:ascii="仿宋" w:hAnsi="仿宋" w:eastAsia="仿宋" w:cs="Times New Roman"/>
                <w:sz w:val="21"/>
                <w:szCs w:val="21"/>
                <w:highlight w:val="none"/>
                <w:lang w:val="en-US" w:eastAsia="zh-CN"/>
              </w:rPr>
              <w:t>软件定制开发产品功能清单</w:t>
            </w:r>
            <w:r>
              <w:rPr>
                <w:rFonts w:hint="eastAsia" w:ascii="仿宋" w:hAnsi="仿宋" w:eastAsia="仿宋" w:cs="Times New Roman"/>
                <w:sz w:val="21"/>
                <w:szCs w:val="21"/>
                <w:highlight w:val="none"/>
                <w:lang w:eastAsia="zh-CN"/>
              </w:rPr>
              <w:t>；③</w:t>
            </w:r>
            <w:r>
              <w:rPr>
                <w:rFonts w:hint="eastAsia" w:ascii="仿宋" w:hAnsi="仿宋" w:eastAsia="仿宋" w:cs="Times New Roman"/>
                <w:sz w:val="21"/>
                <w:szCs w:val="21"/>
                <w:highlight w:val="none"/>
                <w:lang w:val="en-US" w:eastAsia="zh-CN"/>
              </w:rPr>
              <w:t>项目</w:t>
            </w:r>
            <w:r>
              <w:rPr>
                <w:rFonts w:hint="eastAsia" w:ascii="仿宋" w:hAnsi="仿宋" w:eastAsia="仿宋" w:cs="Times New Roman"/>
                <w:sz w:val="21"/>
                <w:szCs w:val="21"/>
                <w:highlight w:val="none"/>
                <w:lang w:eastAsia="zh-CN"/>
              </w:rPr>
              <w:t>售后服务承诺；④服务故障响应方案等。</w:t>
            </w:r>
          </w:p>
          <w:p w14:paraId="7241E353">
            <w:pPr>
              <w:rPr>
                <w:highlight w:val="none"/>
              </w:rPr>
            </w:pPr>
            <w:r>
              <w:rPr>
                <w:rFonts w:hint="eastAsia" w:ascii="仿宋" w:hAnsi="仿宋" w:eastAsia="仿宋" w:cs="Times New Roman"/>
                <w:sz w:val="21"/>
                <w:szCs w:val="21"/>
                <w:highlight w:val="none"/>
                <w:lang w:eastAsia="zh-CN"/>
              </w:rPr>
              <w:t xml:space="preserve">提供相关方案的得 </w:t>
            </w:r>
            <w:r>
              <w:rPr>
                <w:rFonts w:hint="eastAsia" w:ascii="仿宋" w:hAnsi="仿宋" w:eastAsia="仿宋" w:cs="Times New Roman"/>
                <w:sz w:val="21"/>
                <w:szCs w:val="21"/>
                <w:highlight w:val="none"/>
                <w:lang w:val="en-US" w:eastAsia="zh-CN"/>
              </w:rPr>
              <w:t>16</w:t>
            </w:r>
            <w:r>
              <w:rPr>
                <w:rFonts w:hint="eastAsia" w:ascii="仿宋" w:hAnsi="仿宋" w:eastAsia="仿宋" w:cs="Times New Roman"/>
                <w:sz w:val="21"/>
                <w:szCs w:val="21"/>
                <w:highlight w:val="none"/>
                <w:lang w:eastAsia="zh-CN"/>
              </w:rPr>
              <w:t xml:space="preserve"> 分，以此为基础，</w:t>
            </w:r>
            <w:r>
              <w:rPr>
                <w:rFonts w:hint="eastAsia" w:ascii="仿宋" w:hAnsi="仿宋" w:eastAsia="仿宋" w:cs="Times New Roman"/>
                <w:sz w:val="21"/>
                <w:szCs w:val="21"/>
                <w:highlight w:val="none"/>
                <w:lang w:val="en-US" w:eastAsia="zh-CN"/>
              </w:rPr>
              <w:t>所提供的</w:t>
            </w:r>
            <w:r>
              <w:rPr>
                <w:rFonts w:hint="eastAsia" w:ascii="仿宋" w:hAnsi="仿宋" w:eastAsia="仿宋" w:cs="Times New Roman"/>
                <w:sz w:val="21"/>
                <w:szCs w:val="21"/>
                <w:highlight w:val="none"/>
                <w:lang w:eastAsia="zh-CN"/>
              </w:rPr>
              <w:t>方案</w:t>
            </w:r>
            <w:r>
              <w:rPr>
                <w:rFonts w:hint="eastAsia" w:ascii="仿宋" w:hAnsi="仿宋" w:eastAsia="仿宋" w:cs="Times New Roman"/>
                <w:sz w:val="21"/>
                <w:szCs w:val="21"/>
                <w:highlight w:val="none"/>
                <w:lang w:val="en-US" w:eastAsia="zh-CN"/>
              </w:rPr>
              <w:t>中</w:t>
            </w:r>
            <w:r>
              <w:rPr>
                <w:rFonts w:hint="eastAsia" w:ascii="仿宋" w:hAnsi="仿宋" w:eastAsia="仿宋" w:cs="Times New Roman"/>
                <w:sz w:val="21"/>
                <w:szCs w:val="21"/>
                <w:highlight w:val="none"/>
                <w:lang w:eastAsia="zh-CN"/>
              </w:rPr>
              <w:t>每有一项</w:t>
            </w:r>
            <w:r>
              <w:rPr>
                <w:rFonts w:hint="eastAsia" w:ascii="仿宋" w:hAnsi="仿宋" w:eastAsia="仿宋" w:cs="Times New Roman"/>
                <w:sz w:val="21"/>
                <w:szCs w:val="21"/>
                <w:highlight w:val="none"/>
                <w:lang w:val="en-US" w:eastAsia="zh-CN"/>
              </w:rPr>
              <w:t>内容</w:t>
            </w:r>
            <w:r>
              <w:rPr>
                <w:rFonts w:hint="eastAsia" w:ascii="仿宋" w:hAnsi="仿宋" w:eastAsia="仿宋" w:cs="Times New Roman"/>
                <w:sz w:val="21"/>
                <w:szCs w:val="21"/>
                <w:highlight w:val="none"/>
                <w:lang w:eastAsia="zh-CN"/>
              </w:rPr>
              <w:t>进行了深化、量化、拓展</w:t>
            </w:r>
            <w:r>
              <w:rPr>
                <w:rFonts w:hint="eastAsia" w:ascii="仿宋" w:hAnsi="仿宋" w:eastAsia="仿宋" w:cs="Times New Roman"/>
                <w:sz w:val="21"/>
                <w:szCs w:val="21"/>
                <w:highlight w:val="none"/>
                <w:lang w:val="en-US" w:eastAsia="zh-CN"/>
              </w:rPr>
              <w:t>或</w:t>
            </w:r>
            <w:r>
              <w:rPr>
                <w:rFonts w:hint="eastAsia" w:ascii="仿宋" w:hAnsi="仿宋" w:eastAsia="仿宋" w:cs="Times New Roman"/>
                <w:sz w:val="21"/>
                <w:szCs w:val="21"/>
                <w:highlight w:val="none"/>
                <w:lang w:eastAsia="zh-CN"/>
              </w:rPr>
              <w:t>提出经评审专家认可的合理化建议的加 1 分，加至</w:t>
            </w:r>
            <w:r>
              <w:rPr>
                <w:rFonts w:hint="eastAsia" w:ascii="仿宋" w:hAnsi="仿宋" w:eastAsia="仿宋" w:cs="Times New Roman"/>
                <w:sz w:val="21"/>
                <w:szCs w:val="21"/>
                <w:highlight w:val="none"/>
                <w:lang w:val="en-US" w:eastAsia="zh-CN"/>
              </w:rPr>
              <w:t>20分</w:t>
            </w:r>
            <w:r>
              <w:rPr>
                <w:rFonts w:hint="eastAsia" w:ascii="仿宋" w:hAnsi="仿宋" w:eastAsia="仿宋" w:cs="Times New Roman"/>
                <w:sz w:val="21"/>
                <w:szCs w:val="21"/>
                <w:highlight w:val="none"/>
                <w:lang w:eastAsia="zh-CN"/>
              </w:rPr>
              <w:t>为止；每缺失一条扣</w:t>
            </w:r>
            <w:r>
              <w:rPr>
                <w:rFonts w:hint="eastAsia" w:ascii="仿宋" w:hAnsi="仿宋" w:eastAsia="仿宋" w:cs="Times New Roman"/>
                <w:sz w:val="21"/>
                <w:szCs w:val="21"/>
                <w:highlight w:val="none"/>
                <w:lang w:val="en-US" w:eastAsia="zh-CN"/>
              </w:rPr>
              <w:t>4</w:t>
            </w:r>
            <w:r>
              <w:rPr>
                <w:rFonts w:hint="eastAsia" w:ascii="仿宋" w:hAnsi="仿宋" w:eastAsia="仿宋" w:cs="Times New Roman"/>
                <w:sz w:val="21"/>
                <w:szCs w:val="21"/>
                <w:highlight w:val="none"/>
                <w:lang w:eastAsia="zh-CN"/>
              </w:rPr>
              <w:t>分；每有一处描述不清或逻辑混乱有欠缺的扣</w:t>
            </w:r>
            <w:r>
              <w:rPr>
                <w:rFonts w:hint="eastAsia" w:ascii="仿宋" w:hAnsi="仿宋" w:eastAsia="仿宋" w:cs="Times New Roman"/>
                <w:sz w:val="21"/>
                <w:szCs w:val="21"/>
                <w:highlight w:val="none"/>
                <w:lang w:val="en-US" w:eastAsia="zh-CN"/>
              </w:rPr>
              <w:t>2</w:t>
            </w:r>
            <w:r>
              <w:rPr>
                <w:rFonts w:hint="eastAsia" w:ascii="仿宋" w:hAnsi="仿宋" w:eastAsia="仿宋" w:cs="Times New Roman"/>
                <w:sz w:val="21"/>
                <w:szCs w:val="21"/>
                <w:highlight w:val="none"/>
                <w:lang w:eastAsia="zh-CN"/>
              </w:rPr>
              <w:t>分，扣完为止。</w:t>
            </w:r>
          </w:p>
        </w:tc>
        <w:tc>
          <w:tcPr>
            <w:tcW w:w="0" w:type="auto"/>
            <w:tcBorders>
              <w:top w:val="single" w:color="auto" w:sz="4" w:space="0"/>
              <w:left w:val="single" w:color="auto" w:sz="4" w:space="0"/>
              <w:bottom w:val="single" w:color="auto" w:sz="4" w:space="0"/>
              <w:right w:val="single" w:color="auto" w:sz="4" w:space="0"/>
            </w:tcBorders>
            <w:vAlign w:val="center"/>
          </w:tcPr>
          <w:p w14:paraId="42ADDAC7">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lang w:val="en-US" w:eastAsia="zh-CN"/>
              </w:rPr>
              <w:t>20</w:t>
            </w:r>
            <w:r>
              <w:rPr>
                <w:rFonts w:hint="eastAsia" w:ascii="仿宋" w:hAnsi="仿宋" w:eastAsia="仿宋" w:cs="Courier New"/>
                <w:sz w:val="21"/>
                <w:szCs w:val="21"/>
                <w:highlight w:val="none"/>
              </w:rPr>
              <w:t>分</w:t>
            </w:r>
          </w:p>
        </w:tc>
      </w:tr>
      <w:tr w14:paraId="3EDD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78B74A66">
            <w:pPr>
              <w:pStyle w:val="12"/>
              <w:snapToGrid w:val="0"/>
              <w:spacing w:line="360" w:lineRule="auto"/>
              <w:ind w:firstLine="0"/>
              <w:rPr>
                <w:rFonts w:ascii="仿宋" w:hAnsi="仿宋" w:eastAsia="仿宋" w:cs="Courier New"/>
                <w:b/>
                <w:sz w:val="21"/>
                <w:szCs w:val="21"/>
                <w:highlight w:val="none"/>
              </w:rPr>
            </w:pPr>
            <w:r>
              <w:rPr>
                <w:rFonts w:ascii="仿宋" w:hAnsi="仿宋" w:eastAsia="仿宋" w:cs="Courier New"/>
                <w:b/>
                <w:sz w:val="21"/>
                <w:szCs w:val="21"/>
                <w:highlight w:val="none"/>
              </w:rPr>
              <w:t>D</w:t>
            </w:r>
            <w:r>
              <w:rPr>
                <w:rFonts w:hint="eastAsia" w:ascii="仿宋" w:hAnsi="仿宋" w:eastAsia="仿宋" w:cs="Courier New"/>
                <w:b/>
                <w:sz w:val="21"/>
                <w:szCs w:val="21"/>
                <w:highlight w:val="none"/>
              </w:rPr>
              <w:t>:</w:t>
            </w:r>
            <w:r>
              <w:rPr>
                <w:rFonts w:hint="eastAsia" w:ascii="仿宋" w:hAnsi="仿宋" w:eastAsia="仿宋"/>
                <w:sz w:val="21"/>
                <w:szCs w:val="21"/>
                <w:highlight w:val="none"/>
              </w:rPr>
              <w:t xml:space="preserve"> </w:t>
            </w:r>
            <w:r>
              <w:rPr>
                <w:rFonts w:hint="eastAsia" w:ascii="仿宋" w:hAnsi="仿宋" w:eastAsia="仿宋" w:cs="Courier New"/>
                <w:b/>
                <w:sz w:val="21"/>
                <w:szCs w:val="21"/>
                <w:highlight w:val="none"/>
              </w:rPr>
              <w:t>属于中小企业评审优惠内容及价格扣除幅度</w:t>
            </w:r>
          </w:p>
        </w:tc>
      </w:tr>
      <w:tr w14:paraId="622FC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0911B85A">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根据中华人民共和国财政部、中华人民共和国工业和信息化部《政府采购促进中小企业发展管理办法》（财库[2020]46号）、《关于进一步加大政府采购支持中小企业力度的通知》（财库〔2022〕19号）文件的规定，属于中小企业评审优惠内容及幅度如下：</w:t>
            </w:r>
          </w:p>
          <w:p w14:paraId="6C167662">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（一）中小企业（含中型、小型、微型企业）应当同时符合以下条件：</w:t>
            </w:r>
          </w:p>
          <w:p w14:paraId="43DCFE95">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①符合中小企业划分标准（按《关于印发中小企业划型标准规定的通知》（工信部联企业〔2011〕300号）执行）；</w:t>
            </w:r>
          </w:p>
          <w:p w14:paraId="1EEBFC61">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②提供本企业制造的货物、承担的项目或者服务，或者提供其他中小企业制造的货物。本项所称货物不包括使用大型企业注册商标的货物；</w:t>
            </w:r>
          </w:p>
          <w:p w14:paraId="7459E22B">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③小型、微型企业提供中型企业制造的货物的，视同为中型企业。</w:t>
            </w:r>
          </w:p>
          <w:p w14:paraId="47DB0070">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监狱企业、残疾人福利性企业视同为小微企业。</w:t>
            </w:r>
          </w:p>
          <w:p w14:paraId="6EE789BB">
            <w:pPr>
              <w:pStyle w:val="12"/>
              <w:widowControl w:val="0"/>
              <w:numPr>
                <w:ilvl w:val="0"/>
                <w:numId w:val="3"/>
              </w:numPr>
              <w:snapToGrid w:val="0"/>
              <w:spacing w:line="360" w:lineRule="auto"/>
              <w:ind w:firstLine="0"/>
              <w:jc w:val="both"/>
              <w:rPr>
                <w:rFonts w:ascii="仿宋" w:hAnsi="仿宋" w:eastAsia="仿宋" w:cs="仿宋"/>
                <w:bCs/>
                <w:sz w:val="21"/>
                <w:szCs w:val="21"/>
                <w:highlight w:val="none"/>
              </w:rPr>
            </w:pPr>
            <w:r>
              <w:rPr>
                <w:rFonts w:hint="eastAsia" w:ascii="仿宋" w:hAnsi="仿宋" w:eastAsia="仿宋" w:cs="仿宋"/>
                <w:bCs/>
                <w:sz w:val="21"/>
                <w:szCs w:val="21"/>
                <w:highlight w:val="none"/>
              </w:rPr>
              <w:t>价格扣除办法：对于非专门面向中小企业的项目，对小型和微型企业（或联合体各方均为小型、微型企业的）产品的价格给予1</w:t>
            </w:r>
            <w:r>
              <w:rPr>
                <w:rFonts w:ascii="仿宋" w:hAnsi="仿宋" w:eastAsia="仿宋" w:cs="仿宋"/>
                <w:bCs/>
                <w:sz w:val="21"/>
                <w:szCs w:val="21"/>
                <w:highlight w:val="none"/>
              </w:rPr>
              <w:t>0</w:t>
            </w:r>
            <w:r>
              <w:rPr>
                <w:rFonts w:hint="eastAsia" w:ascii="仿宋" w:hAnsi="仿宋" w:eastAsia="仿宋" w:cs="仿宋"/>
                <w:bCs/>
                <w:sz w:val="21"/>
                <w:szCs w:val="21"/>
                <w:highlight w:val="none"/>
              </w:rPr>
              <w:t>%的扣除，用扣除后的价格参与价格分的评审。</w:t>
            </w:r>
          </w:p>
          <w:p w14:paraId="63F8C376">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仿宋"/>
                <w:bCs/>
                <w:sz w:val="21"/>
                <w:szCs w:val="21"/>
                <w:highlight w:val="none"/>
              </w:rPr>
              <w:t>（三）小型和微型企业适用价格扣除办法时应提供的相关资料：《中小企业声明函》。</w:t>
            </w:r>
          </w:p>
        </w:tc>
      </w:tr>
    </w:tbl>
    <w:p w14:paraId="4B66BACE">
      <w:pPr>
        <w:pStyle w:val="18"/>
        <w:rPr>
          <w:rFonts w:hint="eastAsia"/>
          <w:b/>
          <w:bCs/>
          <w:highlight w:val="none"/>
          <w:lang w:val="en-US" w:eastAsia="zh-CN"/>
        </w:rPr>
      </w:pPr>
      <w:r>
        <w:rPr>
          <w:rFonts w:hint="eastAsia"/>
          <w:b/>
          <w:bCs/>
          <w:highlight w:val="none"/>
          <w:lang w:eastAsia="zh-CN"/>
        </w:rPr>
        <w:t>标项</w:t>
      </w:r>
      <w:r>
        <w:rPr>
          <w:rFonts w:hint="eastAsia"/>
          <w:b/>
          <w:bCs/>
          <w:highlight w:val="none"/>
          <w:lang w:val="en-US" w:eastAsia="zh-CN"/>
        </w:rPr>
        <w:t>3：</w:t>
      </w:r>
    </w:p>
    <w:tbl>
      <w:tblPr>
        <w:tblStyle w:val="46"/>
        <w:tblW w:w="10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2"/>
        <w:gridCol w:w="7135"/>
        <w:gridCol w:w="427"/>
      </w:tblGrid>
      <w:tr w14:paraId="5112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672" w:type="dxa"/>
            <w:tcBorders>
              <w:top w:val="single" w:color="auto" w:sz="4" w:space="0"/>
              <w:left w:val="single" w:color="auto" w:sz="4" w:space="0"/>
              <w:bottom w:val="single" w:color="auto" w:sz="4" w:space="0"/>
              <w:right w:val="single" w:color="auto" w:sz="4" w:space="0"/>
            </w:tcBorders>
            <w:vAlign w:val="center"/>
          </w:tcPr>
          <w:p w14:paraId="2F5DCF12">
            <w:pPr>
              <w:pStyle w:val="12"/>
              <w:snapToGrid w:val="0"/>
              <w:spacing w:line="360" w:lineRule="auto"/>
              <w:ind w:firstLine="0"/>
              <w:jc w:val="center"/>
              <w:rPr>
                <w:rFonts w:ascii="仿宋" w:hAnsi="仿宋" w:eastAsia="仿宋" w:cs="Courier New"/>
                <w:b/>
                <w:sz w:val="21"/>
                <w:szCs w:val="21"/>
                <w:highlight w:val="none"/>
              </w:rPr>
            </w:pPr>
            <w:r>
              <w:rPr>
                <w:rFonts w:hint="eastAsia" w:ascii="仿宋" w:hAnsi="仿宋" w:eastAsia="仿宋" w:cs="Courier New"/>
                <w:b/>
                <w:sz w:val="21"/>
                <w:szCs w:val="21"/>
                <w:highlight w:val="none"/>
              </w:rPr>
              <w:t>项目</w:t>
            </w:r>
          </w:p>
        </w:tc>
        <w:tc>
          <w:tcPr>
            <w:tcW w:w="7095" w:type="dxa"/>
            <w:tcBorders>
              <w:top w:val="single" w:color="auto" w:sz="4" w:space="0"/>
              <w:left w:val="single" w:color="auto" w:sz="4" w:space="0"/>
              <w:bottom w:val="single" w:color="auto" w:sz="4" w:space="0"/>
              <w:right w:val="single" w:color="auto" w:sz="4" w:space="0"/>
            </w:tcBorders>
            <w:vAlign w:val="center"/>
          </w:tcPr>
          <w:p w14:paraId="5A961521">
            <w:pPr>
              <w:pStyle w:val="12"/>
              <w:snapToGrid w:val="0"/>
              <w:spacing w:line="360" w:lineRule="auto"/>
              <w:ind w:firstLine="0"/>
              <w:jc w:val="center"/>
              <w:rPr>
                <w:rFonts w:ascii="仿宋" w:hAnsi="仿宋" w:eastAsia="仿宋" w:cs="Courier New"/>
                <w:b/>
                <w:sz w:val="21"/>
                <w:szCs w:val="21"/>
                <w:highlight w:val="none"/>
              </w:rPr>
            </w:pPr>
            <w:r>
              <w:rPr>
                <w:rFonts w:hint="eastAsia" w:ascii="仿宋" w:hAnsi="仿宋" w:eastAsia="仿宋" w:cs="Courier New"/>
                <w:b/>
                <w:sz w:val="21"/>
                <w:szCs w:val="21"/>
                <w:highlight w:val="none"/>
              </w:rPr>
              <w:t>评审内容</w:t>
            </w:r>
          </w:p>
        </w:tc>
        <w:tc>
          <w:tcPr>
            <w:tcW w:w="0" w:type="auto"/>
            <w:tcBorders>
              <w:top w:val="single" w:color="auto" w:sz="4" w:space="0"/>
              <w:left w:val="single" w:color="auto" w:sz="4" w:space="0"/>
              <w:bottom w:val="single" w:color="auto" w:sz="4" w:space="0"/>
              <w:right w:val="single" w:color="auto" w:sz="4" w:space="0"/>
            </w:tcBorders>
            <w:vAlign w:val="center"/>
          </w:tcPr>
          <w:p w14:paraId="1FB038E1">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分值</w:t>
            </w:r>
          </w:p>
        </w:tc>
      </w:tr>
      <w:tr w14:paraId="7B1BA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6713B490">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A：价格评分30分</w:t>
            </w:r>
          </w:p>
        </w:tc>
      </w:tr>
      <w:tr w14:paraId="51D1D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14:paraId="6E92107D">
            <w:pPr>
              <w:pStyle w:val="12"/>
              <w:snapToGrid w:val="0"/>
              <w:spacing w:line="360" w:lineRule="auto"/>
              <w:ind w:firstLine="0"/>
              <w:jc w:val="center"/>
              <w:rPr>
                <w:rFonts w:ascii="仿宋" w:hAnsi="仿宋" w:eastAsia="仿宋" w:cs="Courier New"/>
                <w:sz w:val="21"/>
                <w:szCs w:val="21"/>
                <w:highlight w:val="none"/>
              </w:rPr>
            </w:pPr>
            <w:r>
              <w:rPr>
                <w:rFonts w:hint="eastAsia" w:ascii="仿宋" w:hAnsi="仿宋" w:eastAsia="仿宋" w:cs="Courier New"/>
                <w:sz w:val="21"/>
                <w:szCs w:val="21"/>
                <w:highlight w:val="none"/>
              </w:rPr>
              <w:t>价格</w:t>
            </w:r>
          </w:p>
        </w:tc>
        <w:tc>
          <w:tcPr>
            <w:tcW w:w="7095" w:type="dxa"/>
            <w:tcBorders>
              <w:top w:val="single" w:color="auto" w:sz="4" w:space="0"/>
              <w:left w:val="single" w:color="auto" w:sz="4" w:space="0"/>
              <w:bottom w:val="single" w:color="auto" w:sz="4" w:space="0"/>
              <w:right w:val="single" w:color="auto" w:sz="4" w:space="0"/>
            </w:tcBorders>
            <w:vAlign w:val="center"/>
          </w:tcPr>
          <w:p w14:paraId="10D950D2">
            <w:pPr>
              <w:widowControl/>
              <w:spacing w:line="360" w:lineRule="auto"/>
              <w:jc w:val="left"/>
              <w:textAlignment w:val="center"/>
              <w:rPr>
                <w:rFonts w:ascii="仿宋" w:hAnsi="仿宋" w:eastAsia="仿宋" w:cs="宋体"/>
                <w:b/>
                <w:bCs/>
                <w:kern w:val="0"/>
                <w:szCs w:val="21"/>
                <w:highlight w:val="none"/>
              </w:rPr>
            </w:pPr>
            <w:r>
              <w:rPr>
                <w:rFonts w:hint="eastAsia" w:ascii="仿宋" w:hAnsi="仿宋" w:eastAsia="仿宋" w:cs="宋体"/>
                <w:b/>
                <w:bCs/>
                <w:kern w:val="0"/>
                <w:szCs w:val="21"/>
                <w:highlight w:val="none"/>
              </w:rPr>
              <w:t>基准值的确定：评标基准价=有效报价的最低值，</w:t>
            </w:r>
          </w:p>
          <w:p w14:paraId="37D46416">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宋体"/>
                <w:sz w:val="21"/>
                <w:szCs w:val="21"/>
                <w:highlight w:val="none"/>
              </w:rPr>
              <w:t>报价得分=（评标基准价/投标报价）</w:t>
            </w:r>
            <w:r>
              <w:rPr>
                <w:rFonts w:hint="eastAsia" w:ascii="仿宋" w:hAnsi="仿宋" w:eastAsia="仿宋"/>
                <w:b/>
                <w:sz w:val="21"/>
                <w:szCs w:val="21"/>
                <w:highlight w:val="none"/>
              </w:rPr>
              <w:t>×</w:t>
            </w:r>
            <w:r>
              <w:rPr>
                <w:rFonts w:hint="eastAsia" w:ascii="仿宋" w:hAnsi="仿宋" w:eastAsia="仿宋" w:cs="宋体"/>
                <w:sz w:val="21"/>
                <w:szCs w:val="21"/>
                <w:highlight w:val="none"/>
              </w:rPr>
              <w:t>30%</w:t>
            </w:r>
            <w:r>
              <w:rPr>
                <w:rFonts w:hint="eastAsia" w:ascii="仿宋" w:hAnsi="仿宋" w:eastAsia="仿宋"/>
                <w:b/>
                <w:sz w:val="21"/>
                <w:szCs w:val="21"/>
                <w:highlight w:val="none"/>
              </w:rPr>
              <w:t>×</w:t>
            </w:r>
            <w:r>
              <w:rPr>
                <w:rFonts w:hint="eastAsia" w:ascii="仿宋" w:hAnsi="仿宋" w:eastAsia="仿宋" w:cs="宋体"/>
                <w:sz w:val="21"/>
                <w:szCs w:val="21"/>
                <w:highlight w:val="none"/>
              </w:rPr>
              <w:t>100.有效报价为通过初步审查的供应商报价。有效报价等于基准值的得满分</w:t>
            </w:r>
          </w:p>
        </w:tc>
        <w:tc>
          <w:tcPr>
            <w:tcW w:w="0" w:type="auto"/>
            <w:tcBorders>
              <w:top w:val="single" w:color="auto" w:sz="4" w:space="0"/>
              <w:left w:val="single" w:color="auto" w:sz="4" w:space="0"/>
              <w:bottom w:val="single" w:color="auto" w:sz="4" w:space="0"/>
              <w:right w:val="single" w:color="auto" w:sz="4" w:space="0"/>
            </w:tcBorders>
            <w:vAlign w:val="center"/>
          </w:tcPr>
          <w:p w14:paraId="04C6C508">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rPr>
              <w:t>30分</w:t>
            </w:r>
          </w:p>
        </w:tc>
      </w:tr>
      <w:tr w14:paraId="4FB0A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08418B24">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B：商务部分评分1</w:t>
            </w:r>
            <w:r>
              <w:rPr>
                <w:rFonts w:hint="eastAsia" w:ascii="仿宋" w:hAnsi="仿宋" w:eastAsia="仿宋" w:cs="Courier New"/>
                <w:b/>
                <w:sz w:val="21"/>
                <w:szCs w:val="21"/>
                <w:highlight w:val="none"/>
                <w:lang w:val="en-US" w:eastAsia="zh-CN"/>
              </w:rPr>
              <w:t>5</w:t>
            </w:r>
            <w:r>
              <w:rPr>
                <w:rFonts w:hint="eastAsia" w:ascii="仿宋" w:hAnsi="仿宋" w:eastAsia="仿宋" w:cs="Courier New"/>
                <w:b/>
                <w:sz w:val="21"/>
                <w:szCs w:val="21"/>
                <w:highlight w:val="none"/>
              </w:rPr>
              <w:t>分</w:t>
            </w:r>
          </w:p>
        </w:tc>
      </w:tr>
      <w:tr w14:paraId="22587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14:paraId="07251D48">
            <w:pPr>
              <w:pStyle w:val="12"/>
              <w:snapToGrid w:val="0"/>
              <w:spacing w:line="360" w:lineRule="auto"/>
              <w:ind w:firstLine="0"/>
              <w:jc w:val="center"/>
              <w:rPr>
                <w:rFonts w:ascii="仿宋" w:hAnsi="仿宋" w:eastAsia="仿宋" w:cs="宋体"/>
                <w:sz w:val="21"/>
                <w:szCs w:val="21"/>
                <w:highlight w:val="none"/>
              </w:rPr>
            </w:pPr>
            <w:r>
              <w:rPr>
                <w:rFonts w:hint="eastAsia" w:ascii="仿宋" w:hAnsi="仿宋" w:eastAsia="仿宋" w:cs="宋体"/>
                <w:sz w:val="21"/>
                <w:szCs w:val="21"/>
                <w:highlight w:val="none"/>
              </w:rPr>
              <w:t>相关业绩</w:t>
            </w:r>
          </w:p>
        </w:tc>
        <w:tc>
          <w:tcPr>
            <w:tcW w:w="7095" w:type="dxa"/>
            <w:tcBorders>
              <w:top w:val="single" w:color="auto" w:sz="4" w:space="0"/>
              <w:left w:val="single" w:color="auto" w:sz="4" w:space="0"/>
              <w:bottom w:val="single" w:color="auto" w:sz="4" w:space="0"/>
              <w:right w:val="single" w:color="auto" w:sz="4" w:space="0"/>
            </w:tcBorders>
            <w:vAlign w:val="center"/>
          </w:tcPr>
          <w:p w14:paraId="48A19E92">
            <w:pPr>
              <w:pStyle w:val="12"/>
              <w:snapToGrid w:val="0"/>
              <w:spacing w:line="360" w:lineRule="auto"/>
              <w:ind w:firstLine="0"/>
              <w:rPr>
                <w:rFonts w:ascii="仿宋" w:hAnsi="仿宋" w:eastAsia="仿宋"/>
                <w:sz w:val="21"/>
                <w:szCs w:val="21"/>
                <w:highlight w:val="none"/>
              </w:rPr>
            </w:pPr>
            <w:r>
              <w:rPr>
                <w:rFonts w:hint="eastAsia" w:ascii="仿宋" w:hAnsi="仿宋" w:eastAsia="仿宋"/>
                <w:sz w:val="21"/>
                <w:szCs w:val="21"/>
                <w:highlight w:val="none"/>
              </w:rPr>
              <w:t>提供20</w:t>
            </w:r>
            <w:r>
              <w:rPr>
                <w:rFonts w:ascii="仿宋" w:hAnsi="仿宋" w:eastAsia="仿宋"/>
                <w:sz w:val="21"/>
                <w:szCs w:val="21"/>
                <w:highlight w:val="none"/>
              </w:rPr>
              <w:t>2</w:t>
            </w:r>
            <w:r>
              <w:rPr>
                <w:rFonts w:hint="eastAsia" w:ascii="仿宋" w:hAnsi="仿宋" w:eastAsia="仿宋"/>
                <w:sz w:val="21"/>
                <w:szCs w:val="21"/>
                <w:highlight w:val="none"/>
                <w:lang w:val="en-US" w:eastAsia="zh-CN"/>
              </w:rPr>
              <w:t>2</w:t>
            </w:r>
            <w:r>
              <w:rPr>
                <w:rFonts w:hint="eastAsia" w:ascii="仿宋" w:hAnsi="仿宋" w:eastAsia="仿宋"/>
                <w:sz w:val="21"/>
                <w:szCs w:val="21"/>
                <w:highlight w:val="none"/>
              </w:rPr>
              <w:t>年</w:t>
            </w:r>
            <w:r>
              <w:rPr>
                <w:rFonts w:hint="eastAsia" w:ascii="仿宋" w:hAnsi="仿宋" w:eastAsia="仿宋"/>
                <w:sz w:val="21"/>
                <w:szCs w:val="21"/>
                <w:highlight w:val="none"/>
                <w:lang w:val="en-US" w:eastAsia="zh-CN"/>
              </w:rPr>
              <w:t>6</w:t>
            </w:r>
            <w:r>
              <w:rPr>
                <w:rFonts w:hint="eastAsia" w:ascii="仿宋" w:hAnsi="仿宋" w:eastAsia="仿宋"/>
                <w:sz w:val="21"/>
                <w:szCs w:val="21"/>
                <w:highlight w:val="none"/>
              </w:rPr>
              <w:t>月以来独立承担类似项目经验情况，拥有类似的相关业绩（需提供中标（成交）通知书或合同），每个业绩计</w:t>
            </w:r>
            <w:r>
              <w:rPr>
                <w:rFonts w:hint="eastAsia" w:ascii="仿宋" w:hAnsi="仿宋" w:eastAsia="仿宋"/>
                <w:sz w:val="21"/>
                <w:szCs w:val="21"/>
                <w:highlight w:val="none"/>
                <w:lang w:val="en-US" w:eastAsia="zh-CN"/>
              </w:rPr>
              <w:t>1</w:t>
            </w:r>
            <w:r>
              <w:rPr>
                <w:rFonts w:hint="eastAsia" w:ascii="仿宋" w:hAnsi="仿宋" w:eastAsia="仿宋"/>
                <w:sz w:val="21"/>
                <w:szCs w:val="21"/>
                <w:highlight w:val="none"/>
              </w:rPr>
              <w:t>分，最高得</w:t>
            </w:r>
            <w:r>
              <w:rPr>
                <w:rFonts w:hint="eastAsia" w:ascii="仿宋" w:hAnsi="仿宋" w:eastAsia="仿宋"/>
                <w:sz w:val="21"/>
                <w:szCs w:val="21"/>
                <w:highlight w:val="none"/>
                <w:lang w:val="en-US" w:eastAsia="zh-CN"/>
              </w:rPr>
              <w:t>3</w:t>
            </w:r>
            <w:r>
              <w:rPr>
                <w:rFonts w:hint="eastAsia" w:ascii="仿宋" w:hAnsi="仿宋" w:eastAsia="仿宋"/>
                <w:sz w:val="21"/>
                <w:szCs w:val="21"/>
                <w:highlight w:val="none"/>
              </w:rPr>
              <w:t>分。</w:t>
            </w:r>
          </w:p>
          <w:p w14:paraId="3808BE6A">
            <w:pPr>
              <w:pStyle w:val="12"/>
              <w:snapToGrid w:val="0"/>
              <w:spacing w:line="360" w:lineRule="auto"/>
              <w:ind w:firstLine="0"/>
              <w:rPr>
                <w:rFonts w:ascii="仿宋" w:hAnsi="仿宋" w:eastAsia="仿宋"/>
                <w:sz w:val="21"/>
                <w:szCs w:val="21"/>
                <w:highlight w:val="none"/>
              </w:rPr>
            </w:pPr>
            <w:r>
              <w:rPr>
                <w:rFonts w:hint="eastAsia" w:ascii="仿宋" w:hAnsi="仿宋" w:eastAsia="仿宋"/>
                <w:sz w:val="21"/>
                <w:szCs w:val="21"/>
                <w:highlight w:val="none"/>
              </w:rPr>
              <w:t>注：以上材料需提供复印件并加盖公章</w:t>
            </w:r>
          </w:p>
        </w:tc>
        <w:tc>
          <w:tcPr>
            <w:tcW w:w="0" w:type="auto"/>
            <w:tcBorders>
              <w:top w:val="single" w:color="auto" w:sz="4" w:space="0"/>
              <w:left w:val="single" w:color="auto" w:sz="4" w:space="0"/>
              <w:bottom w:val="single" w:color="auto" w:sz="4" w:space="0"/>
              <w:right w:val="single" w:color="auto" w:sz="4" w:space="0"/>
            </w:tcBorders>
            <w:vAlign w:val="center"/>
          </w:tcPr>
          <w:p w14:paraId="71C10563">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lang w:val="en-US" w:eastAsia="zh-CN"/>
              </w:rPr>
              <w:t>3</w:t>
            </w:r>
            <w:r>
              <w:rPr>
                <w:rFonts w:hint="eastAsia" w:ascii="仿宋" w:hAnsi="仿宋" w:eastAsia="仿宋" w:cs="Courier New"/>
                <w:sz w:val="21"/>
                <w:szCs w:val="21"/>
                <w:highlight w:val="none"/>
              </w:rPr>
              <w:t>分</w:t>
            </w:r>
          </w:p>
        </w:tc>
      </w:tr>
      <w:tr w14:paraId="12EFB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14:paraId="1D1915EC">
            <w:pPr>
              <w:pStyle w:val="12"/>
              <w:snapToGrid w:val="0"/>
              <w:spacing w:line="360" w:lineRule="auto"/>
              <w:ind w:firstLine="0"/>
              <w:jc w:val="center"/>
              <w:rPr>
                <w:rFonts w:hint="eastAsia" w:ascii="仿宋" w:hAnsi="仿宋" w:eastAsia="仿宋" w:cs="Times New Roman"/>
                <w:sz w:val="21"/>
                <w:szCs w:val="21"/>
                <w:highlight w:val="none"/>
              </w:rPr>
            </w:pPr>
            <w:r>
              <w:rPr>
                <w:rFonts w:hint="eastAsia" w:ascii="仿宋" w:hAnsi="仿宋" w:eastAsia="仿宋" w:cs="Times New Roman"/>
                <w:sz w:val="21"/>
                <w:szCs w:val="21"/>
                <w:highlight w:val="none"/>
              </w:rPr>
              <w:t>视屏演示</w:t>
            </w:r>
          </w:p>
        </w:tc>
        <w:tc>
          <w:tcPr>
            <w:tcW w:w="7095" w:type="dxa"/>
            <w:tcBorders>
              <w:top w:val="single" w:color="auto" w:sz="4" w:space="0"/>
              <w:left w:val="single" w:color="auto" w:sz="4" w:space="0"/>
              <w:bottom w:val="single" w:color="auto" w:sz="4" w:space="0"/>
              <w:right w:val="single" w:color="auto" w:sz="4" w:space="0"/>
            </w:tcBorders>
            <w:vAlign w:val="center"/>
          </w:tcPr>
          <w:p w14:paraId="50A7FBDD">
            <w:pPr>
              <w:pStyle w:val="12"/>
              <w:snapToGrid w:val="0"/>
              <w:spacing w:line="360" w:lineRule="auto"/>
              <w:ind w:firstLine="0"/>
              <w:rPr>
                <w:rFonts w:hint="eastAsia" w:ascii="仿宋" w:hAnsi="仿宋" w:eastAsia="仿宋" w:cs="Times New Roman"/>
                <w:sz w:val="21"/>
                <w:szCs w:val="21"/>
                <w:highlight w:val="none"/>
              </w:rPr>
            </w:pPr>
            <w:r>
              <w:rPr>
                <w:rFonts w:hint="eastAsia" w:ascii="仿宋" w:hAnsi="仿宋" w:eastAsia="仿宋" w:cs="Times New Roman"/>
                <w:sz w:val="21"/>
                <w:szCs w:val="21"/>
                <w:highlight w:val="none"/>
              </w:rPr>
              <w:t>智慧黑板需提供以下功能演示视频：投标企业需自行录制演示视频，视频格式为MP4格式，时长不超过15分钟，评审现场须通过政采云平台视屏演示。</w:t>
            </w:r>
          </w:p>
          <w:p w14:paraId="014CE1C1">
            <w:pPr>
              <w:pStyle w:val="12"/>
              <w:snapToGrid w:val="0"/>
              <w:spacing w:line="360" w:lineRule="auto"/>
              <w:ind w:firstLine="0"/>
              <w:rPr>
                <w:rFonts w:hint="eastAsia" w:ascii="仿宋" w:hAnsi="仿宋" w:eastAsia="仿宋" w:cs="Times New Roman"/>
                <w:sz w:val="21"/>
                <w:szCs w:val="21"/>
                <w:highlight w:val="none"/>
              </w:rPr>
            </w:pPr>
            <w:r>
              <w:rPr>
                <w:rFonts w:hint="eastAsia" w:ascii="仿宋" w:hAnsi="仿宋" w:eastAsia="仿宋" w:cs="Times New Roman"/>
                <w:sz w:val="21"/>
                <w:szCs w:val="21"/>
                <w:highlight w:val="none"/>
              </w:rPr>
              <w:t>1、为有效、及时解决教学中故障，交互黑板整机须具备前置电脑系统还原按键，具有中文丝印标识便于识别，无需专业人员即可轻松解决电脑系统故障；</w:t>
            </w:r>
          </w:p>
          <w:p w14:paraId="6F20C7DB">
            <w:pPr>
              <w:pStyle w:val="12"/>
              <w:snapToGrid w:val="0"/>
              <w:spacing w:line="360" w:lineRule="auto"/>
              <w:ind w:firstLine="0"/>
              <w:rPr>
                <w:rFonts w:hint="eastAsia" w:ascii="仿宋" w:hAnsi="仿宋" w:eastAsia="仿宋" w:cs="Times New Roman"/>
                <w:sz w:val="21"/>
                <w:szCs w:val="21"/>
                <w:highlight w:val="none"/>
              </w:rPr>
            </w:pPr>
            <w:r>
              <w:rPr>
                <w:rFonts w:hint="eastAsia" w:ascii="仿宋" w:hAnsi="仿宋" w:eastAsia="仿宋" w:cs="Times New Roman"/>
                <w:sz w:val="21"/>
                <w:szCs w:val="21"/>
                <w:highlight w:val="none"/>
              </w:rPr>
              <w:t>2、交互黑板配备高清摄像头，像素不低于800万，支持AI教学应用，为满足教学应用摄像头具有角度物理调节功能，调节范围在±5°；全朝向双阵列拾音单元有效保真拾音半径不低于5米，全结构无外部连线；</w:t>
            </w:r>
          </w:p>
          <w:p w14:paraId="1BAFAD6C">
            <w:pPr>
              <w:pStyle w:val="12"/>
              <w:snapToGrid w:val="0"/>
              <w:spacing w:line="360" w:lineRule="auto"/>
              <w:ind w:firstLine="0"/>
              <w:rPr>
                <w:rFonts w:hint="eastAsia" w:ascii="仿宋" w:hAnsi="仿宋" w:eastAsia="仿宋" w:cs="Times New Roman"/>
                <w:sz w:val="21"/>
                <w:szCs w:val="21"/>
                <w:highlight w:val="none"/>
              </w:rPr>
            </w:pPr>
            <w:r>
              <w:rPr>
                <w:rFonts w:hint="eastAsia" w:ascii="仿宋" w:hAnsi="仿宋" w:eastAsia="仿宋" w:cs="Times New Roman"/>
                <w:sz w:val="21"/>
                <w:szCs w:val="21"/>
                <w:highlight w:val="none"/>
              </w:rPr>
              <w:t>3、设备支持双系统下均可实现20点触控，嵌入式系统版本不低于Android 11.0，内存≥2GB，存储空间≥8GB；安卓主页面提供不少于4个应用程序，并可根据教学需求随意替换；安卓教学辅助系统具备教学资源浏览功能，可实现教学资源分类，选定、全选、复制、粘贴、删除、一键发送及维码分享等功能；</w:t>
            </w:r>
          </w:p>
          <w:p w14:paraId="51A37564">
            <w:pPr>
              <w:pStyle w:val="12"/>
              <w:snapToGrid w:val="0"/>
              <w:spacing w:line="360" w:lineRule="auto"/>
              <w:ind w:firstLine="0"/>
              <w:rPr>
                <w:rFonts w:hint="eastAsia" w:ascii="仿宋" w:hAnsi="仿宋" w:eastAsia="仿宋" w:cs="Times New Roman"/>
                <w:sz w:val="21"/>
                <w:szCs w:val="21"/>
                <w:highlight w:val="none"/>
              </w:rPr>
            </w:pPr>
            <w:r>
              <w:rPr>
                <w:rFonts w:hint="eastAsia" w:ascii="仿宋" w:hAnsi="仿宋" w:eastAsia="仿宋" w:cs="Times New Roman"/>
                <w:sz w:val="21"/>
                <w:szCs w:val="21"/>
                <w:highlight w:val="none"/>
              </w:rPr>
              <w:t xml:space="preserve">4、为便于用户日常操作使用，交互黑板具有悬浮触控菜单，可通过多指快速调用到屏幕任意位置；悬浮触控菜单可进行自定义设置，实现一键切换电脑桌面、启动展台、自动点名、无线传屏、互动课堂、批注、擦除等功能； </w:t>
            </w:r>
          </w:p>
          <w:p w14:paraId="142126B0">
            <w:pPr>
              <w:pStyle w:val="12"/>
              <w:snapToGrid w:val="0"/>
              <w:spacing w:line="360" w:lineRule="auto"/>
              <w:ind w:firstLine="0"/>
              <w:rPr>
                <w:rFonts w:hint="eastAsia" w:ascii="仿宋" w:hAnsi="仿宋" w:eastAsia="仿宋" w:cs="Times New Roman"/>
                <w:sz w:val="21"/>
                <w:szCs w:val="21"/>
                <w:highlight w:val="none"/>
              </w:rPr>
            </w:pPr>
            <w:r>
              <w:rPr>
                <w:rFonts w:hint="eastAsia" w:ascii="仿宋" w:hAnsi="仿宋" w:eastAsia="仿宋" w:cs="Times New Roman"/>
                <w:sz w:val="21"/>
                <w:szCs w:val="21"/>
                <w:highlight w:val="none"/>
              </w:rPr>
              <w:t>每演示一条功能得3分，最多的12分；</w:t>
            </w:r>
          </w:p>
          <w:p w14:paraId="0BD6DD3E">
            <w:pPr>
              <w:pStyle w:val="12"/>
              <w:snapToGrid w:val="0"/>
              <w:spacing w:line="360" w:lineRule="auto"/>
              <w:ind w:firstLine="0"/>
              <w:rPr>
                <w:rFonts w:hint="eastAsia" w:ascii="仿宋" w:hAnsi="仿宋" w:eastAsia="仿宋" w:cs="Times New Roman"/>
                <w:sz w:val="21"/>
                <w:szCs w:val="21"/>
                <w:highlight w:val="none"/>
              </w:rPr>
            </w:pPr>
            <w:r>
              <w:rPr>
                <w:rFonts w:hint="eastAsia" w:ascii="仿宋" w:hAnsi="仿宋" w:eastAsia="仿宋" w:cs="Times New Roman"/>
                <w:sz w:val="21"/>
                <w:szCs w:val="21"/>
                <w:highlight w:val="none"/>
              </w:rPr>
              <w:t>每有一项功能全面高于采购文件要求加0.5分，最多加4分；</w:t>
            </w:r>
          </w:p>
          <w:p w14:paraId="4DA01C75">
            <w:pPr>
              <w:pStyle w:val="12"/>
              <w:snapToGrid w:val="0"/>
              <w:spacing w:line="360" w:lineRule="auto"/>
              <w:ind w:firstLine="0"/>
              <w:rPr>
                <w:rFonts w:hint="eastAsia" w:ascii="仿宋" w:hAnsi="仿宋" w:eastAsia="仿宋" w:cs="Times New Roman"/>
                <w:sz w:val="21"/>
                <w:szCs w:val="21"/>
                <w:highlight w:val="none"/>
              </w:rPr>
            </w:pPr>
            <w:r>
              <w:rPr>
                <w:rFonts w:hint="eastAsia" w:ascii="仿宋" w:hAnsi="仿宋" w:eastAsia="仿宋" w:cs="Times New Roman"/>
                <w:sz w:val="21"/>
                <w:szCs w:val="21"/>
                <w:highlight w:val="none"/>
              </w:rPr>
              <w:t>每有一项功能不全或不满足招标文件要求扣1分，最多扣12分。</w:t>
            </w:r>
          </w:p>
          <w:p w14:paraId="2C3F7F7F">
            <w:pPr>
              <w:pStyle w:val="12"/>
              <w:snapToGrid w:val="0"/>
              <w:spacing w:line="360" w:lineRule="auto"/>
              <w:ind w:firstLine="0"/>
              <w:rPr>
                <w:rFonts w:hint="eastAsia" w:ascii="仿宋" w:hAnsi="仿宋" w:eastAsia="仿宋" w:cs="Times New Roman"/>
                <w:sz w:val="21"/>
                <w:szCs w:val="21"/>
                <w:highlight w:val="none"/>
              </w:rPr>
            </w:pPr>
            <w:r>
              <w:rPr>
                <w:rFonts w:hint="eastAsia" w:ascii="仿宋" w:hAnsi="仿宋" w:eastAsia="仿宋" w:cs="Times New Roman"/>
                <w:sz w:val="21"/>
                <w:szCs w:val="21"/>
                <w:highlight w:val="none"/>
              </w:rPr>
              <w:t>不提供不得分。</w:t>
            </w:r>
          </w:p>
          <w:p w14:paraId="353E5EA9">
            <w:pPr>
              <w:pStyle w:val="12"/>
              <w:snapToGrid w:val="0"/>
              <w:spacing w:line="360" w:lineRule="auto"/>
              <w:ind w:firstLine="0"/>
              <w:rPr>
                <w:rFonts w:hint="eastAsia" w:ascii="仿宋" w:hAnsi="仿宋" w:eastAsia="仿宋" w:cs="Times New Roman"/>
                <w:sz w:val="21"/>
                <w:szCs w:val="21"/>
                <w:highlight w:val="none"/>
              </w:rPr>
            </w:pPr>
            <w:r>
              <w:rPr>
                <w:rFonts w:hint="eastAsia" w:ascii="仿宋" w:hAnsi="仿宋" w:eastAsia="仿宋" w:cs="Times New Roman"/>
                <w:sz w:val="21"/>
                <w:szCs w:val="21"/>
                <w:highlight w:val="none"/>
              </w:rPr>
              <w:t>注：演示所需的设备要求，win7及以上系统，IE浏览器须11以上版本，有拾音设备及摄像头。</w:t>
            </w:r>
          </w:p>
          <w:p w14:paraId="233B7441">
            <w:pPr>
              <w:pStyle w:val="12"/>
              <w:snapToGrid w:val="0"/>
              <w:spacing w:line="360" w:lineRule="auto"/>
              <w:ind w:firstLine="0"/>
              <w:rPr>
                <w:rFonts w:hint="default" w:ascii="仿宋" w:hAnsi="仿宋" w:eastAsia="仿宋" w:cs="Times New Roman"/>
                <w:sz w:val="21"/>
                <w:szCs w:val="21"/>
                <w:highlight w:val="none"/>
                <w:lang w:val="en-US" w:eastAsia="zh-CN"/>
              </w:rPr>
            </w:pPr>
            <w:r>
              <w:rPr>
                <w:rFonts w:hint="eastAsia" w:ascii="仿宋" w:hAnsi="仿宋" w:eastAsia="仿宋" w:cs="Times New Roman"/>
                <w:sz w:val="21"/>
                <w:szCs w:val="21"/>
                <w:highlight w:val="none"/>
              </w:rPr>
              <w:t>演示视频须准备备份一份，如开标现场遇无法播放可将备份的视频发送给代理机构。</w:t>
            </w:r>
          </w:p>
        </w:tc>
        <w:tc>
          <w:tcPr>
            <w:tcW w:w="0" w:type="auto"/>
            <w:tcBorders>
              <w:top w:val="single" w:color="auto" w:sz="4" w:space="0"/>
              <w:left w:val="single" w:color="auto" w:sz="4" w:space="0"/>
              <w:bottom w:val="single" w:color="auto" w:sz="4" w:space="0"/>
              <w:right w:val="single" w:color="auto" w:sz="4" w:space="0"/>
            </w:tcBorders>
            <w:vAlign w:val="center"/>
          </w:tcPr>
          <w:p w14:paraId="70DA0B9E">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lang w:val="en-US" w:eastAsia="zh-CN"/>
              </w:rPr>
              <w:t>12</w:t>
            </w:r>
            <w:r>
              <w:rPr>
                <w:rFonts w:hint="eastAsia" w:ascii="仿宋" w:hAnsi="仿宋" w:eastAsia="仿宋" w:cs="宋体"/>
                <w:sz w:val="21"/>
                <w:szCs w:val="21"/>
                <w:highlight w:val="none"/>
              </w:rPr>
              <w:t>分</w:t>
            </w:r>
          </w:p>
        </w:tc>
      </w:tr>
      <w:tr w14:paraId="650B3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4CB1BEF1">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C：技术部分评分</w:t>
            </w:r>
            <w:r>
              <w:rPr>
                <w:rFonts w:hint="eastAsia" w:ascii="仿宋" w:hAnsi="仿宋" w:eastAsia="仿宋" w:cs="Courier New"/>
                <w:b/>
                <w:sz w:val="21"/>
                <w:szCs w:val="21"/>
                <w:highlight w:val="none"/>
                <w:lang w:val="en-US" w:eastAsia="zh-CN"/>
              </w:rPr>
              <w:t>55</w:t>
            </w:r>
            <w:r>
              <w:rPr>
                <w:rFonts w:hint="eastAsia" w:ascii="仿宋" w:hAnsi="仿宋" w:eastAsia="仿宋" w:cs="Courier New"/>
                <w:b/>
                <w:sz w:val="21"/>
                <w:szCs w:val="21"/>
                <w:highlight w:val="none"/>
              </w:rPr>
              <w:t>分</w:t>
            </w:r>
          </w:p>
        </w:tc>
      </w:tr>
      <w:tr w14:paraId="61B8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14:paraId="7B4B3860">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rPr>
              <w:t>技术响应</w:t>
            </w:r>
          </w:p>
        </w:tc>
        <w:tc>
          <w:tcPr>
            <w:tcW w:w="7095" w:type="dxa"/>
            <w:tcBorders>
              <w:top w:val="single" w:color="auto" w:sz="4" w:space="0"/>
              <w:left w:val="single" w:color="auto" w:sz="4" w:space="0"/>
              <w:bottom w:val="single" w:color="auto" w:sz="4" w:space="0"/>
              <w:right w:val="single" w:color="auto" w:sz="4" w:space="0"/>
            </w:tcBorders>
            <w:vAlign w:val="center"/>
          </w:tcPr>
          <w:p w14:paraId="515ADE45">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rPr>
              <w:t>响应文件对采购文件 “采购需求”的响应程度，完全满足采购文件要求的得</w:t>
            </w:r>
            <w:r>
              <w:rPr>
                <w:rFonts w:hint="eastAsia" w:ascii="仿宋" w:hAnsi="仿宋" w:eastAsia="仿宋" w:cs="宋体"/>
                <w:sz w:val="21"/>
                <w:szCs w:val="21"/>
                <w:highlight w:val="none"/>
                <w:lang w:val="en-US" w:eastAsia="zh-CN"/>
              </w:rPr>
              <w:t>25</w:t>
            </w:r>
            <w:r>
              <w:rPr>
                <w:rFonts w:hint="eastAsia" w:ascii="仿宋" w:hAnsi="仿宋" w:eastAsia="仿宋" w:cs="宋体"/>
                <w:sz w:val="21"/>
                <w:szCs w:val="21"/>
                <w:highlight w:val="none"/>
              </w:rPr>
              <w:t>分；</w:t>
            </w:r>
          </w:p>
          <w:p w14:paraId="65AC4892">
            <w:pPr>
              <w:widowControl/>
              <w:spacing w:line="360" w:lineRule="auto"/>
              <w:jc w:val="left"/>
              <w:rPr>
                <w:rFonts w:ascii="仿宋" w:hAnsi="仿宋" w:eastAsia="仿宋" w:cs="宋体"/>
                <w:kern w:val="0"/>
                <w:szCs w:val="21"/>
                <w:highlight w:val="none"/>
              </w:rPr>
            </w:pPr>
            <w:r>
              <w:rPr>
                <w:rFonts w:hint="eastAsia" w:ascii="仿宋" w:hAnsi="仿宋" w:eastAsia="仿宋" w:cs="宋体"/>
                <w:kern w:val="0"/>
                <w:szCs w:val="21"/>
                <w:highlight w:val="none"/>
              </w:rPr>
              <w:t>加“★”参数每项负偏离或未按要求提供响应的证明材料，扣2分，扣完为止；</w:t>
            </w:r>
          </w:p>
          <w:p w14:paraId="56A905BC">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rPr>
              <w:t>未加“★”参数每项负偏离或未按要求提供响应的证明材料，扣1分，扣完为止。</w:t>
            </w:r>
          </w:p>
          <w:p w14:paraId="7D3E110E">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rPr>
              <w:t>注：提供制造商公开发布的产品彩页或检测报告等证明材料。</w:t>
            </w:r>
          </w:p>
        </w:tc>
        <w:tc>
          <w:tcPr>
            <w:tcW w:w="0" w:type="auto"/>
            <w:tcBorders>
              <w:top w:val="single" w:color="auto" w:sz="4" w:space="0"/>
              <w:left w:val="single" w:color="auto" w:sz="4" w:space="0"/>
              <w:bottom w:val="single" w:color="auto" w:sz="4" w:space="0"/>
              <w:right w:val="single" w:color="auto" w:sz="4" w:space="0"/>
            </w:tcBorders>
            <w:vAlign w:val="center"/>
          </w:tcPr>
          <w:p w14:paraId="068D7A82">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lang w:val="en-US" w:eastAsia="zh-CN"/>
              </w:rPr>
              <w:t>25</w:t>
            </w:r>
            <w:r>
              <w:rPr>
                <w:rFonts w:hint="eastAsia" w:ascii="仿宋" w:hAnsi="仿宋" w:eastAsia="仿宋" w:cs="Courier New"/>
                <w:sz w:val="21"/>
                <w:szCs w:val="21"/>
                <w:highlight w:val="none"/>
              </w:rPr>
              <w:t>分</w:t>
            </w:r>
          </w:p>
        </w:tc>
      </w:tr>
      <w:tr w14:paraId="7F132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2" w:type="dxa"/>
            <w:vMerge w:val="restart"/>
            <w:tcBorders>
              <w:top w:val="single" w:color="auto" w:sz="4" w:space="0"/>
              <w:left w:val="single" w:color="auto" w:sz="4" w:space="0"/>
              <w:right w:val="single" w:color="auto" w:sz="4" w:space="0"/>
            </w:tcBorders>
            <w:vAlign w:val="center"/>
          </w:tcPr>
          <w:p w14:paraId="6325B182">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宋体"/>
                <w:sz w:val="21"/>
                <w:szCs w:val="21"/>
                <w:highlight w:val="none"/>
              </w:rPr>
              <w:t>实施方案</w:t>
            </w:r>
          </w:p>
        </w:tc>
        <w:tc>
          <w:tcPr>
            <w:tcW w:w="7095" w:type="dxa"/>
            <w:tcBorders>
              <w:top w:val="single" w:color="auto" w:sz="4" w:space="0"/>
              <w:left w:val="single" w:color="auto" w:sz="4" w:space="0"/>
              <w:bottom w:val="single" w:color="auto" w:sz="4" w:space="0"/>
              <w:right w:val="single" w:color="auto" w:sz="4" w:space="0"/>
            </w:tcBorders>
            <w:vAlign w:val="center"/>
          </w:tcPr>
          <w:p w14:paraId="54E87C07">
            <w:pPr>
              <w:pStyle w:val="12"/>
              <w:snapToGrid w:val="0"/>
              <w:spacing w:line="360" w:lineRule="auto"/>
              <w:ind w:firstLine="0"/>
              <w:rPr>
                <w:rFonts w:ascii="仿宋" w:hAnsi="仿宋" w:eastAsia="仿宋"/>
                <w:sz w:val="21"/>
                <w:szCs w:val="21"/>
                <w:highlight w:val="none"/>
              </w:rPr>
            </w:pPr>
            <w:r>
              <w:rPr>
                <w:rFonts w:ascii="仿宋" w:hAnsi="仿宋" w:eastAsia="仿宋"/>
                <w:sz w:val="21"/>
                <w:szCs w:val="21"/>
                <w:highlight w:val="none"/>
              </w:rPr>
              <w:t>实施方案</w:t>
            </w:r>
            <w:r>
              <w:rPr>
                <w:rFonts w:hint="eastAsia" w:ascii="仿宋" w:hAnsi="仿宋" w:eastAsia="仿宋"/>
                <w:sz w:val="21"/>
                <w:szCs w:val="21"/>
                <w:highlight w:val="none"/>
              </w:rPr>
              <w:t>：</w:t>
            </w:r>
          </w:p>
          <w:p w14:paraId="6F111385">
            <w:pPr>
              <w:pStyle w:val="12"/>
              <w:snapToGrid w:val="0"/>
              <w:spacing w:line="360" w:lineRule="auto"/>
              <w:ind w:firstLine="0"/>
              <w:rPr>
                <w:rFonts w:ascii="仿宋" w:hAnsi="仿宋" w:eastAsia="仿宋"/>
                <w:sz w:val="21"/>
                <w:szCs w:val="21"/>
                <w:highlight w:val="none"/>
              </w:rPr>
            </w:pPr>
            <w:r>
              <w:rPr>
                <w:rFonts w:ascii="仿宋" w:hAnsi="仿宋" w:eastAsia="仿宋"/>
                <w:sz w:val="21"/>
                <w:szCs w:val="21"/>
                <w:highlight w:val="none"/>
              </w:rPr>
              <w:t xml:space="preserve">应充分了解实施项目建设内容，在理解基础上进行深入分析，保证本次项目顺利实施，投标人根据货物交付时间节点，落实生产计划、送货安装时间， 确保按期交付使用。 </w:t>
            </w:r>
          </w:p>
          <w:p w14:paraId="193B2B0C">
            <w:pPr>
              <w:pStyle w:val="12"/>
              <w:snapToGrid w:val="0"/>
              <w:spacing w:line="360" w:lineRule="auto"/>
              <w:ind w:firstLine="0"/>
              <w:rPr>
                <w:rFonts w:ascii="仿宋" w:hAnsi="仿宋" w:eastAsia="仿宋"/>
                <w:sz w:val="21"/>
                <w:szCs w:val="21"/>
                <w:highlight w:val="none"/>
              </w:rPr>
            </w:pPr>
            <w:r>
              <w:rPr>
                <w:rFonts w:hint="eastAsia" w:ascii="仿宋" w:hAnsi="仿宋" w:eastAsia="仿宋" w:cs="Times New Roman"/>
                <w:sz w:val="21"/>
                <w:szCs w:val="21"/>
                <w:highlight w:val="none"/>
                <w:lang w:eastAsia="zh-CN"/>
              </w:rPr>
              <w:t>①</w:t>
            </w:r>
            <w:r>
              <w:rPr>
                <w:rFonts w:hint="default" w:ascii="仿宋" w:hAnsi="仿宋" w:eastAsia="仿宋" w:cs="Times New Roman"/>
                <w:sz w:val="21"/>
                <w:szCs w:val="21"/>
                <w:highlight w:val="none"/>
              </w:rPr>
              <w:t>供货方案</w:t>
            </w:r>
            <w:r>
              <w:rPr>
                <w:rFonts w:hint="eastAsia" w:ascii="仿宋" w:hAnsi="仿宋" w:eastAsia="仿宋" w:cs="Times New Roman"/>
                <w:sz w:val="21"/>
                <w:szCs w:val="21"/>
                <w:highlight w:val="none"/>
                <w:lang w:eastAsia="zh-CN"/>
              </w:rPr>
              <w:t>、②</w:t>
            </w:r>
            <w:r>
              <w:rPr>
                <w:rFonts w:hint="default" w:ascii="仿宋" w:hAnsi="仿宋" w:eastAsia="仿宋" w:cs="Times New Roman"/>
                <w:sz w:val="21"/>
                <w:szCs w:val="21"/>
                <w:highlight w:val="none"/>
              </w:rPr>
              <w:t>质量保障措施</w:t>
            </w:r>
            <w:r>
              <w:rPr>
                <w:rFonts w:hint="eastAsia" w:ascii="仿宋" w:hAnsi="仿宋" w:eastAsia="仿宋" w:cs="Times New Roman"/>
                <w:sz w:val="21"/>
                <w:szCs w:val="21"/>
                <w:highlight w:val="none"/>
                <w:lang w:eastAsia="zh-CN"/>
              </w:rPr>
              <w:t>、③</w:t>
            </w:r>
            <w:r>
              <w:rPr>
                <w:rFonts w:hint="default" w:ascii="仿宋" w:hAnsi="仿宋" w:eastAsia="仿宋" w:cs="Times New Roman"/>
                <w:sz w:val="21"/>
                <w:szCs w:val="21"/>
                <w:highlight w:val="none"/>
              </w:rPr>
              <w:t>进度计划与管控</w:t>
            </w:r>
            <w:r>
              <w:rPr>
                <w:rFonts w:hint="eastAsia" w:ascii="仿宋" w:hAnsi="仿宋" w:eastAsia="仿宋" w:cs="Times New Roman"/>
                <w:sz w:val="21"/>
                <w:szCs w:val="21"/>
                <w:highlight w:val="none"/>
                <w:lang w:eastAsia="zh-CN"/>
              </w:rPr>
              <w:t>、④</w:t>
            </w:r>
            <w:r>
              <w:rPr>
                <w:rFonts w:ascii="仿宋" w:hAnsi="仿宋" w:eastAsia="仿宋" w:cs="Times New Roman"/>
                <w:sz w:val="21"/>
                <w:szCs w:val="21"/>
                <w:highlight w:val="none"/>
              </w:rPr>
              <w:t>安装与调试</w:t>
            </w:r>
            <w:r>
              <w:rPr>
                <w:rFonts w:hint="eastAsia" w:ascii="仿宋" w:hAnsi="仿宋" w:eastAsia="仿宋" w:cs="Times New Roman"/>
                <w:sz w:val="21"/>
                <w:szCs w:val="21"/>
                <w:highlight w:val="none"/>
                <w:lang w:eastAsia="zh-CN"/>
              </w:rPr>
              <w:t>、⑤</w:t>
            </w:r>
            <w:r>
              <w:rPr>
                <w:rFonts w:ascii="仿宋" w:hAnsi="仿宋" w:eastAsia="仿宋" w:cs="Times New Roman"/>
                <w:sz w:val="21"/>
                <w:szCs w:val="21"/>
                <w:highlight w:val="none"/>
              </w:rPr>
              <w:t>培训服务</w:t>
            </w:r>
            <w:r>
              <w:rPr>
                <w:rFonts w:hint="eastAsia" w:ascii="仿宋" w:hAnsi="仿宋" w:eastAsia="仿宋" w:cs="Times New Roman"/>
                <w:sz w:val="21"/>
                <w:szCs w:val="21"/>
                <w:highlight w:val="none"/>
                <w:lang w:eastAsia="zh-CN"/>
              </w:rPr>
              <w:t xml:space="preserve">、⑥应急预案。提供相关方案的得 </w:t>
            </w:r>
            <w:r>
              <w:rPr>
                <w:rFonts w:hint="eastAsia" w:ascii="仿宋" w:hAnsi="仿宋" w:eastAsia="仿宋" w:cs="Times New Roman"/>
                <w:sz w:val="21"/>
                <w:szCs w:val="21"/>
                <w:highlight w:val="none"/>
                <w:lang w:val="en-US" w:eastAsia="zh-CN"/>
              </w:rPr>
              <w:t>12</w:t>
            </w:r>
            <w:r>
              <w:rPr>
                <w:rFonts w:hint="eastAsia" w:ascii="仿宋" w:hAnsi="仿宋" w:eastAsia="仿宋" w:cs="Times New Roman"/>
                <w:sz w:val="21"/>
                <w:szCs w:val="21"/>
                <w:highlight w:val="none"/>
                <w:lang w:eastAsia="zh-CN"/>
              </w:rPr>
              <w:t xml:space="preserve"> 分，以此为基础，</w:t>
            </w:r>
            <w:r>
              <w:rPr>
                <w:rFonts w:hint="eastAsia" w:ascii="仿宋" w:hAnsi="仿宋" w:eastAsia="仿宋" w:cs="Times New Roman"/>
                <w:sz w:val="21"/>
                <w:szCs w:val="21"/>
                <w:highlight w:val="none"/>
                <w:lang w:val="en-US" w:eastAsia="zh-CN"/>
              </w:rPr>
              <w:t>所提供的</w:t>
            </w:r>
            <w:r>
              <w:rPr>
                <w:rFonts w:hint="eastAsia" w:ascii="仿宋" w:hAnsi="仿宋" w:eastAsia="仿宋" w:cs="Times New Roman"/>
                <w:sz w:val="21"/>
                <w:szCs w:val="21"/>
                <w:highlight w:val="none"/>
                <w:lang w:eastAsia="zh-CN"/>
              </w:rPr>
              <w:t>方案</w:t>
            </w:r>
            <w:r>
              <w:rPr>
                <w:rFonts w:hint="eastAsia" w:ascii="仿宋" w:hAnsi="仿宋" w:eastAsia="仿宋" w:cs="Times New Roman"/>
                <w:sz w:val="21"/>
                <w:szCs w:val="21"/>
                <w:highlight w:val="none"/>
                <w:lang w:val="en-US" w:eastAsia="zh-CN"/>
              </w:rPr>
              <w:t>中</w:t>
            </w:r>
            <w:r>
              <w:rPr>
                <w:rFonts w:hint="eastAsia" w:ascii="仿宋" w:hAnsi="仿宋" w:eastAsia="仿宋" w:cs="Times New Roman"/>
                <w:sz w:val="21"/>
                <w:szCs w:val="21"/>
                <w:highlight w:val="none"/>
                <w:lang w:eastAsia="zh-CN"/>
              </w:rPr>
              <w:t>每有一项</w:t>
            </w:r>
            <w:r>
              <w:rPr>
                <w:rFonts w:hint="eastAsia" w:ascii="仿宋" w:hAnsi="仿宋" w:eastAsia="仿宋" w:cs="Times New Roman"/>
                <w:sz w:val="21"/>
                <w:szCs w:val="21"/>
                <w:highlight w:val="none"/>
                <w:lang w:val="en-US" w:eastAsia="zh-CN"/>
              </w:rPr>
              <w:t>内容</w:t>
            </w:r>
            <w:r>
              <w:rPr>
                <w:rFonts w:hint="eastAsia" w:ascii="仿宋" w:hAnsi="仿宋" w:eastAsia="仿宋" w:cs="Times New Roman"/>
                <w:sz w:val="21"/>
                <w:szCs w:val="21"/>
                <w:highlight w:val="none"/>
                <w:lang w:eastAsia="zh-CN"/>
              </w:rPr>
              <w:t>进行了深化、量化、拓展</w:t>
            </w:r>
            <w:r>
              <w:rPr>
                <w:rFonts w:hint="eastAsia" w:ascii="仿宋" w:hAnsi="仿宋" w:eastAsia="仿宋" w:cs="Times New Roman"/>
                <w:sz w:val="21"/>
                <w:szCs w:val="21"/>
                <w:highlight w:val="none"/>
                <w:lang w:val="en-US" w:eastAsia="zh-CN"/>
              </w:rPr>
              <w:t>或</w:t>
            </w:r>
            <w:r>
              <w:rPr>
                <w:rFonts w:hint="eastAsia" w:ascii="仿宋" w:hAnsi="仿宋" w:eastAsia="仿宋" w:cs="Times New Roman"/>
                <w:sz w:val="21"/>
                <w:szCs w:val="21"/>
                <w:highlight w:val="none"/>
                <w:lang w:eastAsia="zh-CN"/>
              </w:rPr>
              <w:t>提出经评审专家认可的合理化建议的加 1 分，加至</w:t>
            </w:r>
            <w:r>
              <w:rPr>
                <w:rFonts w:hint="eastAsia" w:ascii="仿宋" w:hAnsi="仿宋" w:eastAsia="仿宋" w:cs="Times New Roman"/>
                <w:sz w:val="21"/>
                <w:szCs w:val="21"/>
                <w:highlight w:val="none"/>
                <w:lang w:val="en-US" w:eastAsia="zh-CN"/>
              </w:rPr>
              <w:t>18分</w:t>
            </w:r>
            <w:r>
              <w:rPr>
                <w:rFonts w:hint="eastAsia" w:ascii="仿宋" w:hAnsi="仿宋" w:eastAsia="仿宋" w:cs="Times New Roman"/>
                <w:sz w:val="21"/>
                <w:szCs w:val="21"/>
                <w:highlight w:val="none"/>
                <w:lang w:eastAsia="zh-CN"/>
              </w:rPr>
              <w:t>为止；每缺失一条扣</w:t>
            </w:r>
            <w:r>
              <w:rPr>
                <w:rFonts w:hint="eastAsia" w:ascii="仿宋" w:hAnsi="仿宋" w:eastAsia="仿宋" w:cs="Times New Roman"/>
                <w:sz w:val="21"/>
                <w:szCs w:val="21"/>
                <w:highlight w:val="none"/>
                <w:lang w:val="en-US" w:eastAsia="zh-CN"/>
              </w:rPr>
              <w:t>2</w:t>
            </w:r>
            <w:r>
              <w:rPr>
                <w:rFonts w:hint="eastAsia" w:ascii="仿宋" w:hAnsi="仿宋" w:eastAsia="仿宋" w:cs="Times New Roman"/>
                <w:sz w:val="21"/>
                <w:szCs w:val="21"/>
                <w:highlight w:val="none"/>
                <w:lang w:eastAsia="zh-CN"/>
              </w:rPr>
              <w:t>分；每有一处描述不清或逻辑混乱有欠缺的扣</w:t>
            </w:r>
            <w:r>
              <w:rPr>
                <w:rFonts w:hint="eastAsia" w:ascii="仿宋" w:hAnsi="仿宋" w:eastAsia="仿宋" w:cs="Times New Roman"/>
                <w:sz w:val="21"/>
                <w:szCs w:val="21"/>
                <w:highlight w:val="none"/>
                <w:lang w:val="en-US" w:eastAsia="zh-CN"/>
              </w:rPr>
              <w:t>1</w:t>
            </w:r>
            <w:r>
              <w:rPr>
                <w:rFonts w:hint="eastAsia" w:ascii="仿宋" w:hAnsi="仿宋" w:eastAsia="仿宋" w:cs="Times New Roman"/>
                <w:sz w:val="21"/>
                <w:szCs w:val="21"/>
                <w:highlight w:val="none"/>
                <w:lang w:eastAsia="zh-CN"/>
              </w:rPr>
              <w:t>分，扣完为止。</w:t>
            </w:r>
          </w:p>
        </w:tc>
        <w:tc>
          <w:tcPr>
            <w:tcW w:w="0" w:type="auto"/>
            <w:tcBorders>
              <w:top w:val="single" w:color="auto" w:sz="4" w:space="0"/>
              <w:left w:val="single" w:color="auto" w:sz="4" w:space="0"/>
              <w:bottom w:val="single" w:color="auto" w:sz="4" w:space="0"/>
              <w:right w:val="single" w:color="auto" w:sz="4" w:space="0"/>
            </w:tcBorders>
            <w:vAlign w:val="center"/>
          </w:tcPr>
          <w:p w14:paraId="31D7E918">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lang w:val="en-US" w:eastAsia="zh-CN"/>
              </w:rPr>
              <w:t>18</w:t>
            </w:r>
            <w:r>
              <w:rPr>
                <w:rFonts w:hint="eastAsia" w:ascii="仿宋" w:hAnsi="仿宋" w:eastAsia="仿宋" w:cs="Courier New"/>
                <w:sz w:val="21"/>
                <w:szCs w:val="21"/>
                <w:highlight w:val="none"/>
              </w:rPr>
              <w:t>分</w:t>
            </w:r>
          </w:p>
        </w:tc>
      </w:tr>
      <w:tr w14:paraId="3F3BA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2" w:type="dxa"/>
            <w:vMerge w:val="continue"/>
            <w:tcBorders>
              <w:left w:val="single" w:color="auto" w:sz="4" w:space="0"/>
              <w:bottom w:val="single" w:color="auto" w:sz="4" w:space="0"/>
              <w:right w:val="single" w:color="auto" w:sz="4" w:space="0"/>
            </w:tcBorders>
            <w:vAlign w:val="center"/>
          </w:tcPr>
          <w:p w14:paraId="07D386DA">
            <w:pPr>
              <w:pStyle w:val="12"/>
              <w:snapToGrid w:val="0"/>
              <w:spacing w:line="360" w:lineRule="auto"/>
              <w:ind w:firstLine="0"/>
              <w:rPr>
                <w:rFonts w:ascii="仿宋" w:hAnsi="仿宋" w:eastAsia="仿宋" w:cs="宋体"/>
                <w:sz w:val="21"/>
                <w:szCs w:val="21"/>
                <w:highlight w:val="none"/>
              </w:rPr>
            </w:pPr>
          </w:p>
        </w:tc>
        <w:tc>
          <w:tcPr>
            <w:tcW w:w="7095" w:type="dxa"/>
            <w:tcBorders>
              <w:top w:val="single" w:color="auto" w:sz="4" w:space="0"/>
              <w:left w:val="single" w:color="auto" w:sz="4" w:space="0"/>
              <w:bottom w:val="single" w:color="auto" w:sz="4" w:space="0"/>
              <w:right w:val="single" w:color="auto" w:sz="4" w:space="0"/>
            </w:tcBorders>
            <w:vAlign w:val="center"/>
          </w:tcPr>
          <w:p w14:paraId="2F5A7677">
            <w:pPr>
              <w:rPr>
                <w:rFonts w:ascii="仿宋" w:hAnsi="仿宋" w:eastAsia="仿宋" w:cs="宋体"/>
                <w:kern w:val="0"/>
                <w:szCs w:val="21"/>
                <w:highlight w:val="none"/>
              </w:rPr>
            </w:pPr>
            <w:r>
              <w:rPr>
                <w:rFonts w:hint="eastAsia" w:ascii="仿宋" w:hAnsi="仿宋" w:eastAsia="仿宋" w:cs="宋体"/>
                <w:kern w:val="0"/>
                <w:szCs w:val="21"/>
                <w:highlight w:val="none"/>
              </w:rPr>
              <w:t>售后方案：</w:t>
            </w:r>
          </w:p>
          <w:p w14:paraId="78AA6B1C">
            <w:pPr>
              <w:rPr>
                <w:rFonts w:ascii="仿宋" w:hAnsi="仿宋" w:eastAsia="仿宋" w:cs="宋体"/>
                <w:kern w:val="0"/>
                <w:szCs w:val="21"/>
                <w:highlight w:val="none"/>
              </w:rPr>
            </w:pPr>
            <w:r>
              <w:rPr>
                <w:rFonts w:hint="eastAsia" w:ascii="仿宋" w:hAnsi="仿宋" w:eastAsia="仿宋" w:cs="宋体"/>
                <w:kern w:val="0"/>
                <w:szCs w:val="21"/>
                <w:highlight w:val="none"/>
              </w:rPr>
              <w:t>编制售后服务体系、方案，服务承诺等，内容需包含：</w:t>
            </w:r>
          </w:p>
          <w:p w14:paraId="39EEC9FF">
            <w:pPr>
              <w:rPr>
                <w:rFonts w:ascii="仿宋" w:hAnsi="仿宋" w:eastAsia="仿宋" w:cs="宋体"/>
                <w:kern w:val="0"/>
                <w:szCs w:val="21"/>
                <w:highlight w:val="none"/>
              </w:rPr>
            </w:pPr>
            <w:r>
              <w:rPr>
                <w:rFonts w:hint="eastAsia" w:ascii="仿宋" w:hAnsi="仿宋" w:eastAsia="仿宋" w:cs="宋体"/>
                <w:kern w:val="0"/>
                <w:szCs w:val="21"/>
                <w:highlight w:val="none"/>
                <w:lang w:eastAsia="zh-CN"/>
              </w:rPr>
              <w:t>①</w:t>
            </w:r>
            <w:r>
              <w:rPr>
                <w:rFonts w:hint="eastAsia" w:ascii="仿宋" w:hAnsi="仿宋" w:eastAsia="仿宋" w:cs="宋体"/>
                <w:kern w:val="0"/>
                <w:szCs w:val="21"/>
                <w:highlight w:val="none"/>
              </w:rPr>
              <w:t>备品备件及耗材保障方案及承诺；</w:t>
            </w:r>
            <w:r>
              <w:rPr>
                <w:rFonts w:hint="eastAsia" w:ascii="仿宋" w:hAnsi="仿宋" w:eastAsia="仿宋" w:cs="宋体"/>
                <w:kern w:val="0"/>
                <w:szCs w:val="21"/>
                <w:highlight w:val="none"/>
                <w:lang w:eastAsia="zh-CN"/>
              </w:rPr>
              <w:t>②</w:t>
            </w:r>
            <w:r>
              <w:rPr>
                <w:rFonts w:hint="eastAsia" w:ascii="仿宋" w:hAnsi="仿宋" w:eastAsia="仿宋" w:cs="宋体"/>
                <w:kern w:val="0"/>
                <w:szCs w:val="21"/>
                <w:highlight w:val="none"/>
              </w:rPr>
              <w:t>质保期间的响应保障方案；</w:t>
            </w:r>
            <w:r>
              <w:rPr>
                <w:rFonts w:hint="eastAsia" w:ascii="仿宋" w:hAnsi="仿宋" w:eastAsia="仿宋" w:cs="宋体"/>
                <w:kern w:val="0"/>
                <w:szCs w:val="21"/>
                <w:highlight w:val="none"/>
                <w:lang w:eastAsia="zh-CN"/>
              </w:rPr>
              <w:t>③</w:t>
            </w:r>
            <w:r>
              <w:rPr>
                <w:rFonts w:hint="eastAsia" w:ascii="仿宋" w:hAnsi="仿宋" w:eastAsia="仿宋" w:cs="宋体"/>
                <w:kern w:val="0"/>
                <w:szCs w:val="21"/>
                <w:highlight w:val="none"/>
              </w:rPr>
              <w:t>相关服务承诺；</w:t>
            </w:r>
            <w:r>
              <w:rPr>
                <w:rFonts w:hint="eastAsia" w:ascii="仿宋" w:hAnsi="仿宋" w:eastAsia="仿宋" w:cs="宋体"/>
                <w:kern w:val="0"/>
                <w:szCs w:val="21"/>
                <w:highlight w:val="none"/>
                <w:lang w:eastAsia="zh-CN"/>
              </w:rPr>
              <w:t>④</w:t>
            </w:r>
            <w:r>
              <w:rPr>
                <w:rFonts w:hint="eastAsia" w:ascii="仿宋" w:hAnsi="仿宋" w:eastAsia="仿宋" w:cs="宋体"/>
                <w:kern w:val="0"/>
                <w:szCs w:val="21"/>
                <w:highlight w:val="none"/>
              </w:rPr>
              <w:t>售后人员保障等。</w:t>
            </w:r>
          </w:p>
          <w:p w14:paraId="4F8110EF">
            <w:pPr>
              <w:rPr>
                <w:highlight w:val="none"/>
              </w:rPr>
            </w:pPr>
            <w:r>
              <w:rPr>
                <w:rFonts w:hint="eastAsia" w:ascii="仿宋" w:hAnsi="仿宋" w:eastAsia="仿宋" w:cs="Times New Roman"/>
                <w:sz w:val="21"/>
                <w:szCs w:val="21"/>
                <w:highlight w:val="none"/>
                <w:lang w:eastAsia="zh-CN"/>
              </w:rPr>
              <w:t xml:space="preserve">提供相关方案的得 </w:t>
            </w:r>
            <w:r>
              <w:rPr>
                <w:rFonts w:hint="eastAsia" w:ascii="仿宋" w:hAnsi="仿宋" w:eastAsia="仿宋" w:cs="Times New Roman"/>
                <w:sz w:val="21"/>
                <w:szCs w:val="21"/>
                <w:highlight w:val="none"/>
                <w:lang w:val="en-US" w:eastAsia="zh-CN"/>
              </w:rPr>
              <w:t>8</w:t>
            </w:r>
            <w:r>
              <w:rPr>
                <w:rFonts w:hint="eastAsia" w:ascii="仿宋" w:hAnsi="仿宋" w:eastAsia="仿宋" w:cs="Times New Roman"/>
                <w:sz w:val="21"/>
                <w:szCs w:val="21"/>
                <w:highlight w:val="none"/>
                <w:lang w:eastAsia="zh-CN"/>
              </w:rPr>
              <w:t xml:space="preserve"> 分，以此为基础，</w:t>
            </w:r>
            <w:r>
              <w:rPr>
                <w:rFonts w:hint="eastAsia" w:ascii="仿宋" w:hAnsi="仿宋" w:eastAsia="仿宋" w:cs="Times New Roman"/>
                <w:sz w:val="21"/>
                <w:szCs w:val="21"/>
                <w:highlight w:val="none"/>
                <w:lang w:val="en-US" w:eastAsia="zh-CN"/>
              </w:rPr>
              <w:t>所提供的</w:t>
            </w:r>
            <w:r>
              <w:rPr>
                <w:rFonts w:hint="eastAsia" w:ascii="仿宋" w:hAnsi="仿宋" w:eastAsia="仿宋" w:cs="Times New Roman"/>
                <w:sz w:val="21"/>
                <w:szCs w:val="21"/>
                <w:highlight w:val="none"/>
                <w:lang w:eastAsia="zh-CN"/>
              </w:rPr>
              <w:t>方案</w:t>
            </w:r>
            <w:r>
              <w:rPr>
                <w:rFonts w:hint="eastAsia" w:ascii="仿宋" w:hAnsi="仿宋" w:eastAsia="仿宋" w:cs="Times New Roman"/>
                <w:sz w:val="21"/>
                <w:szCs w:val="21"/>
                <w:highlight w:val="none"/>
                <w:lang w:val="en-US" w:eastAsia="zh-CN"/>
              </w:rPr>
              <w:t>中</w:t>
            </w:r>
            <w:r>
              <w:rPr>
                <w:rFonts w:hint="eastAsia" w:ascii="仿宋" w:hAnsi="仿宋" w:eastAsia="仿宋" w:cs="Times New Roman"/>
                <w:sz w:val="21"/>
                <w:szCs w:val="21"/>
                <w:highlight w:val="none"/>
                <w:lang w:eastAsia="zh-CN"/>
              </w:rPr>
              <w:t>每有一项</w:t>
            </w:r>
            <w:r>
              <w:rPr>
                <w:rFonts w:hint="eastAsia" w:ascii="仿宋" w:hAnsi="仿宋" w:eastAsia="仿宋" w:cs="Times New Roman"/>
                <w:sz w:val="21"/>
                <w:szCs w:val="21"/>
                <w:highlight w:val="none"/>
                <w:lang w:val="en-US" w:eastAsia="zh-CN"/>
              </w:rPr>
              <w:t>内容</w:t>
            </w:r>
            <w:r>
              <w:rPr>
                <w:rFonts w:hint="eastAsia" w:ascii="仿宋" w:hAnsi="仿宋" w:eastAsia="仿宋" w:cs="Times New Roman"/>
                <w:sz w:val="21"/>
                <w:szCs w:val="21"/>
                <w:highlight w:val="none"/>
                <w:lang w:eastAsia="zh-CN"/>
              </w:rPr>
              <w:t>进行了深化、量化、拓展</w:t>
            </w:r>
            <w:r>
              <w:rPr>
                <w:rFonts w:hint="eastAsia" w:ascii="仿宋" w:hAnsi="仿宋" w:eastAsia="仿宋" w:cs="Times New Roman"/>
                <w:sz w:val="21"/>
                <w:szCs w:val="21"/>
                <w:highlight w:val="none"/>
                <w:lang w:val="en-US" w:eastAsia="zh-CN"/>
              </w:rPr>
              <w:t>或</w:t>
            </w:r>
            <w:r>
              <w:rPr>
                <w:rFonts w:hint="eastAsia" w:ascii="仿宋" w:hAnsi="仿宋" w:eastAsia="仿宋" w:cs="Times New Roman"/>
                <w:sz w:val="21"/>
                <w:szCs w:val="21"/>
                <w:highlight w:val="none"/>
                <w:lang w:eastAsia="zh-CN"/>
              </w:rPr>
              <w:t>提出经评审专家认可的合理化建议的加 1 分，加至</w:t>
            </w:r>
            <w:r>
              <w:rPr>
                <w:rFonts w:hint="eastAsia" w:ascii="仿宋" w:hAnsi="仿宋" w:eastAsia="仿宋" w:cs="Times New Roman"/>
                <w:sz w:val="21"/>
                <w:szCs w:val="21"/>
                <w:highlight w:val="none"/>
                <w:lang w:val="en-US" w:eastAsia="zh-CN"/>
              </w:rPr>
              <w:t>12分</w:t>
            </w:r>
            <w:r>
              <w:rPr>
                <w:rFonts w:hint="eastAsia" w:ascii="仿宋" w:hAnsi="仿宋" w:eastAsia="仿宋" w:cs="Times New Roman"/>
                <w:sz w:val="21"/>
                <w:szCs w:val="21"/>
                <w:highlight w:val="none"/>
                <w:lang w:eastAsia="zh-CN"/>
              </w:rPr>
              <w:t>为止；每缺失一条扣</w:t>
            </w:r>
            <w:r>
              <w:rPr>
                <w:rFonts w:hint="eastAsia" w:ascii="仿宋" w:hAnsi="仿宋" w:eastAsia="仿宋" w:cs="Times New Roman"/>
                <w:sz w:val="21"/>
                <w:szCs w:val="21"/>
                <w:highlight w:val="none"/>
                <w:lang w:val="en-US" w:eastAsia="zh-CN"/>
              </w:rPr>
              <w:t>2</w:t>
            </w:r>
            <w:r>
              <w:rPr>
                <w:rFonts w:hint="eastAsia" w:ascii="仿宋" w:hAnsi="仿宋" w:eastAsia="仿宋" w:cs="Times New Roman"/>
                <w:sz w:val="21"/>
                <w:szCs w:val="21"/>
                <w:highlight w:val="none"/>
                <w:lang w:eastAsia="zh-CN"/>
              </w:rPr>
              <w:t>分；每有一处描述不清或逻辑混乱有欠缺的扣</w:t>
            </w:r>
            <w:r>
              <w:rPr>
                <w:rFonts w:hint="eastAsia" w:ascii="仿宋" w:hAnsi="仿宋" w:eastAsia="仿宋" w:cs="Times New Roman"/>
                <w:sz w:val="21"/>
                <w:szCs w:val="21"/>
                <w:highlight w:val="none"/>
                <w:lang w:val="en-US" w:eastAsia="zh-CN"/>
              </w:rPr>
              <w:t>1</w:t>
            </w:r>
            <w:r>
              <w:rPr>
                <w:rFonts w:hint="eastAsia" w:ascii="仿宋" w:hAnsi="仿宋" w:eastAsia="仿宋" w:cs="Times New Roman"/>
                <w:sz w:val="21"/>
                <w:szCs w:val="21"/>
                <w:highlight w:val="none"/>
                <w:lang w:eastAsia="zh-CN"/>
              </w:rPr>
              <w:t>分，扣完为止。</w:t>
            </w:r>
          </w:p>
        </w:tc>
        <w:tc>
          <w:tcPr>
            <w:tcW w:w="0" w:type="auto"/>
            <w:tcBorders>
              <w:top w:val="single" w:color="auto" w:sz="4" w:space="0"/>
              <w:left w:val="single" w:color="auto" w:sz="4" w:space="0"/>
              <w:bottom w:val="single" w:color="auto" w:sz="4" w:space="0"/>
              <w:right w:val="single" w:color="auto" w:sz="4" w:space="0"/>
            </w:tcBorders>
            <w:vAlign w:val="center"/>
          </w:tcPr>
          <w:p w14:paraId="48E9ABD3">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lang w:val="en-US" w:eastAsia="zh-CN"/>
              </w:rPr>
              <w:t>12</w:t>
            </w:r>
            <w:r>
              <w:rPr>
                <w:rFonts w:hint="eastAsia" w:ascii="仿宋" w:hAnsi="仿宋" w:eastAsia="仿宋" w:cs="Courier New"/>
                <w:sz w:val="21"/>
                <w:szCs w:val="21"/>
                <w:highlight w:val="none"/>
              </w:rPr>
              <w:t>分</w:t>
            </w:r>
          </w:p>
        </w:tc>
      </w:tr>
      <w:tr w14:paraId="5A64C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3DA1BADC">
            <w:pPr>
              <w:pStyle w:val="12"/>
              <w:snapToGrid w:val="0"/>
              <w:spacing w:line="360" w:lineRule="auto"/>
              <w:ind w:firstLine="0"/>
              <w:rPr>
                <w:rFonts w:ascii="仿宋" w:hAnsi="仿宋" w:eastAsia="仿宋" w:cs="Courier New"/>
                <w:b/>
                <w:sz w:val="21"/>
                <w:szCs w:val="21"/>
                <w:highlight w:val="none"/>
              </w:rPr>
            </w:pPr>
            <w:r>
              <w:rPr>
                <w:rFonts w:ascii="仿宋" w:hAnsi="仿宋" w:eastAsia="仿宋" w:cs="Courier New"/>
                <w:b/>
                <w:sz w:val="21"/>
                <w:szCs w:val="21"/>
                <w:highlight w:val="none"/>
              </w:rPr>
              <w:t>D</w:t>
            </w:r>
            <w:r>
              <w:rPr>
                <w:rFonts w:hint="eastAsia" w:ascii="仿宋" w:hAnsi="仿宋" w:eastAsia="仿宋" w:cs="Courier New"/>
                <w:b/>
                <w:sz w:val="21"/>
                <w:szCs w:val="21"/>
                <w:highlight w:val="none"/>
              </w:rPr>
              <w:t>:</w:t>
            </w:r>
            <w:r>
              <w:rPr>
                <w:rFonts w:hint="eastAsia" w:ascii="仿宋" w:hAnsi="仿宋" w:eastAsia="仿宋"/>
                <w:sz w:val="21"/>
                <w:szCs w:val="21"/>
                <w:highlight w:val="none"/>
              </w:rPr>
              <w:t xml:space="preserve"> </w:t>
            </w:r>
            <w:r>
              <w:rPr>
                <w:rFonts w:hint="eastAsia" w:ascii="仿宋" w:hAnsi="仿宋" w:eastAsia="仿宋" w:cs="Courier New"/>
                <w:b/>
                <w:sz w:val="21"/>
                <w:szCs w:val="21"/>
                <w:highlight w:val="none"/>
              </w:rPr>
              <w:t>属于中小企业评审优惠内容及价格扣除幅度</w:t>
            </w:r>
          </w:p>
        </w:tc>
      </w:tr>
      <w:tr w14:paraId="6DA9A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1539C5BB">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根据中华人民共和国财政部、中华人民共和国工业和信息化部《政府采购促进中小企业发展管理办法》（财库[2020]46号）、《关于进一步加大政府采购支持中小企业力度的通知》（财库〔2022〕19号）文件的规定，属于中小企业评审优惠内容及幅度如下：</w:t>
            </w:r>
          </w:p>
          <w:p w14:paraId="0B00CD88">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（一）中小企业（含中型、小型、微型企业）应当同时符合以下条件：</w:t>
            </w:r>
          </w:p>
          <w:p w14:paraId="0826F801">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①符合中小企业划分标准（按《关于印发中小企业划型标准规定的通知》（工信部联企业〔2011〕300号）执行）；</w:t>
            </w:r>
          </w:p>
          <w:p w14:paraId="321D174A">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②提供本企业制造的货物、承担的项目或者服务，或者提供其他中小企业制造的货物。本项所称货物不包括使用大型企业注册商标的货物；</w:t>
            </w:r>
          </w:p>
          <w:p w14:paraId="18C5BD77">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③小型、微型企业提供中型企业制造的货物的，视同为中型企业。</w:t>
            </w:r>
          </w:p>
          <w:p w14:paraId="23417F35">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监狱企业、残疾人福利性企业视同为小微企业。</w:t>
            </w:r>
          </w:p>
          <w:p w14:paraId="1F02324A">
            <w:pPr>
              <w:pStyle w:val="12"/>
              <w:widowControl w:val="0"/>
              <w:numPr>
                <w:ilvl w:val="0"/>
                <w:numId w:val="3"/>
              </w:numPr>
              <w:snapToGrid w:val="0"/>
              <w:spacing w:line="360" w:lineRule="auto"/>
              <w:ind w:firstLine="0"/>
              <w:jc w:val="both"/>
              <w:rPr>
                <w:rFonts w:ascii="仿宋" w:hAnsi="仿宋" w:eastAsia="仿宋" w:cs="仿宋"/>
                <w:bCs/>
                <w:sz w:val="21"/>
                <w:szCs w:val="21"/>
                <w:highlight w:val="none"/>
              </w:rPr>
            </w:pPr>
            <w:r>
              <w:rPr>
                <w:rFonts w:hint="eastAsia" w:ascii="仿宋" w:hAnsi="仿宋" w:eastAsia="仿宋" w:cs="仿宋"/>
                <w:bCs/>
                <w:sz w:val="21"/>
                <w:szCs w:val="21"/>
                <w:highlight w:val="none"/>
              </w:rPr>
              <w:t>价格扣除办法：对于非专门面向中小企业的项目，对小型和微型企业（或联合体各方均为小型、微型企业的）产品的价格给予1</w:t>
            </w:r>
            <w:r>
              <w:rPr>
                <w:rFonts w:ascii="仿宋" w:hAnsi="仿宋" w:eastAsia="仿宋" w:cs="仿宋"/>
                <w:bCs/>
                <w:sz w:val="21"/>
                <w:szCs w:val="21"/>
                <w:highlight w:val="none"/>
              </w:rPr>
              <w:t>0</w:t>
            </w:r>
            <w:r>
              <w:rPr>
                <w:rFonts w:hint="eastAsia" w:ascii="仿宋" w:hAnsi="仿宋" w:eastAsia="仿宋" w:cs="仿宋"/>
                <w:bCs/>
                <w:sz w:val="21"/>
                <w:szCs w:val="21"/>
                <w:highlight w:val="none"/>
              </w:rPr>
              <w:t>%的扣除，用扣除后的价格参与价格分的评审。</w:t>
            </w:r>
          </w:p>
          <w:p w14:paraId="79D9AE03">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仿宋"/>
                <w:bCs/>
                <w:sz w:val="21"/>
                <w:szCs w:val="21"/>
                <w:highlight w:val="none"/>
              </w:rPr>
              <w:t>（三）小型和微型企业适用价格扣除办法时应提供的相关资料：《中小企业声明函》。</w:t>
            </w:r>
          </w:p>
        </w:tc>
      </w:tr>
    </w:tbl>
    <w:p w14:paraId="50A95EA5">
      <w:pPr>
        <w:pStyle w:val="26"/>
        <w:rPr>
          <w:rFonts w:hint="default"/>
          <w:highlight w:val="none"/>
          <w:lang w:val="en-US" w:eastAsia="zh-CN"/>
        </w:rPr>
      </w:pPr>
    </w:p>
    <w:bookmarkEnd w:id="35"/>
    <w:p w14:paraId="1A26AD41">
      <w:pPr>
        <w:widowControl/>
        <w:adjustRightInd w:val="0"/>
        <w:snapToGrid w:val="0"/>
        <w:spacing w:line="360" w:lineRule="auto"/>
        <w:jc w:val="left"/>
        <w:rPr>
          <w:rFonts w:hint="eastAsia" w:ascii="宋体" w:hAnsi="宋体"/>
          <w:b/>
          <w:bCs/>
          <w:szCs w:val="21"/>
          <w:highlight w:val="none"/>
          <w:lang w:val="en-US" w:eastAsia="zh-CN"/>
        </w:rPr>
      </w:pPr>
      <w:r>
        <w:rPr>
          <w:rFonts w:hint="eastAsia" w:ascii="宋体" w:hAnsi="宋体"/>
          <w:b/>
          <w:bCs/>
          <w:szCs w:val="21"/>
          <w:highlight w:val="none"/>
          <w:lang w:eastAsia="zh-CN"/>
        </w:rPr>
        <w:t>标项</w:t>
      </w:r>
      <w:r>
        <w:rPr>
          <w:rFonts w:hint="eastAsia" w:ascii="宋体" w:hAnsi="宋体"/>
          <w:b/>
          <w:bCs/>
          <w:szCs w:val="21"/>
          <w:highlight w:val="none"/>
          <w:lang w:val="en-US" w:eastAsia="zh-CN"/>
        </w:rPr>
        <w:t>4:</w:t>
      </w:r>
    </w:p>
    <w:tbl>
      <w:tblPr>
        <w:tblStyle w:val="46"/>
        <w:tblW w:w="10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2"/>
        <w:gridCol w:w="7135"/>
        <w:gridCol w:w="427"/>
      </w:tblGrid>
      <w:tr w14:paraId="21A5B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672" w:type="dxa"/>
            <w:tcBorders>
              <w:top w:val="single" w:color="auto" w:sz="4" w:space="0"/>
              <w:left w:val="single" w:color="auto" w:sz="4" w:space="0"/>
              <w:bottom w:val="single" w:color="auto" w:sz="4" w:space="0"/>
              <w:right w:val="single" w:color="auto" w:sz="4" w:space="0"/>
            </w:tcBorders>
            <w:vAlign w:val="center"/>
          </w:tcPr>
          <w:p w14:paraId="3325365C">
            <w:pPr>
              <w:pStyle w:val="12"/>
              <w:snapToGrid w:val="0"/>
              <w:spacing w:line="360" w:lineRule="auto"/>
              <w:ind w:firstLine="0"/>
              <w:jc w:val="center"/>
              <w:rPr>
                <w:rFonts w:ascii="仿宋" w:hAnsi="仿宋" w:eastAsia="仿宋" w:cs="Courier New"/>
                <w:b/>
                <w:sz w:val="21"/>
                <w:szCs w:val="21"/>
                <w:highlight w:val="none"/>
              </w:rPr>
            </w:pPr>
            <w:r>
              <w:rPr>
                <w:rFonts w:hint="eastAsia" w:ascii="仿宋" w:hAnsi="仿宋" w:eastAsia="仿宋" w:cs="Courier New"/>
                <w:b/>
                <w:sz w:val="21"/>
                <w:szCs w:val="21"/>
                <w:highlight w:val="none"/>
              </w:rPr>
              <w:t>项目</w:t>
            </w:r>
          </w:p>
        </w:tc>
        <w:tc>
          <w:tcPr>
            <w:tcW w:w="7095" w:type="dxa"/>
            <w:tcBorders>
              <w:top w:val="single" w:color="auto" w:sz="4" w:space="0"/>
              <w:left w:val="single" w:color="auto" w:sz="4" w:space="0"/>
              <w:bottom w:val="single" w:color="auto" w:sz="4" w:space="0"/>
              <w:right w:val="single" w:color="auto" w:sz="4" w:space="0"/>
            </w:tcBorders>
            <w:vAlign w:val="center"/>
          </w:tcPr>
          <w:p w14:paraId="766C9260">
            <w:pPr>
              <w:pStyle w:val="12"/>
              <w:snapToGrid w:val="0"/>
              <w:spacing w:line="360" w:lineRule="auto"/>
              <w:ind w:firstLine="0"/>
              <w:jc w:val="center"/>
              <w:rPr>
                <w:rFonts w:ascii="仿宋" w:hAnsi="仿宋" w:eastAsia="仿宋" w:cs="Courier New"/>
                <w:b/>
                <w:sz w:val="21"/>
                <w:szCs w:val="21"/>
                <w:highlight w:val="none"/>
              </w:rPr>
            </w:pPr>
            <w:r>
              <w:rPr>
                <w:rFonts w:hint="eastAsia" w:ascii="仿宋" w:hAnsi="仿宋" w:eastAsia="仿宋" w:cs="Courier New"/>
                <w:b/>
                <w:sz w:val="21"/>
                <w:szCs w:val="21"/>
                <w:highlight w:val="none"/>
              </w:rPr>
              <w:t>评审内容</w:t>
            </w:r>
          </w:p>
        </w:tc>
        <w:tc>
          <w:tcPr>
            <w:tcW w:w="0" w:type="auto"/>
            <w:tcBorders>
              <w:top w:val="single" w:color="auto" w:sz="4" w:space="0"/>
              <w:left w:val="single" w:color="auto" w:sz="4" w:space="0"/>
              <w:bottom w:val="single" w:color="auto" w:sz="4" w:space="0"/>
              <w:right w:val="single" w:color="auto" w:sz="4" w:space="0"/>
            </w:tcBorders>
            <w:vAlign w:val="center"/>
          </w:tcPr>
          <w:p w14:paraId="6E90E920">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分值</w:t>
            </w:r>
          </w:p>
        </w:tc>
      </w:tr>
      <w:tr w14:paraId="6D2E0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62AC83BE">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A：价格评分30分</w:t>
            </w:r>
          </w:p>
        </w:tc>
      </w:tr>
      <w:tr w14:paraId="17265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14:paraId="1AFAF897">
            <w:pPr>
              <w:pStyle w:val="12"/>
              <w:snapToGrid w:val="0"/>
              <w:spacing w:line="360" w:lineRule="auto"/>
              <w:ind w:firstLine="0"/>
              <w:jc w:val="center"/>
              <w:rPr>
                <w:rFonts w:ascii="仿宋" w:hAnsi="仿宋" w:eastAsia="仿宋" w:cs="Courier New"/>
                <w:sz w:val="21"/>
                <w:szCs w:val="21"/>
                <w:highlight w:val="none"/>
              </w:rPr>
            </w:pPr>
            <w:r>
              <w:rPr>
                <w:rFonts w:hint="eastAsia" w:ascii="仿宋" w:hAnsi="仿宋" w:eastAsia="仿宋" w:cs="Courier New"/>
                <w:sz w:val="21"/>
                <w:szCs w:val="21"/>
                <w:highlight w:val="none"/>
              </w:rPr>
              <w:t>价格</w:t>
            </w:r>
          </w:p>
        </w:tc>
        <w:tc>
          <w:tcPr>
            <w:tcW w:w="7095" w:type="dxa"/>
            <w:tcBorders>
              <w:top w:val="single" w:color="auto" w:sz="4" w:space="0"/>
              <w:left w:val="single" w:color="auto" w:sz="4" w:space="0"/>
              <w:bottom w:val="single" w:color="auto" w:sz="4" w:space="0"/>
              <w:right w:val="single" w:color="auto" w:sz="4" w:space="0"/>
            </w:tcBorders>
            <w:vAlign w:val="center"/>
          </w:tcPr>
          <w:p w14:paraId="7F068FC7">
            <w:pPr>
              <w:widowControl/>
              <w:spacing w:line="360" w:lineRule="auto"/>
              <w:jc w:val="left"/>
              <w:textAlignment w:val="center"/>
              <w:rPr>
                <w:rFonts w:ascii="仿宋" w:hAnsi="仿宋" w:eastAsia="仿宋" w:cs="宋体"/>
                <w:b/>
                <w:bCs/>
                <w:kern w:val="0"/>
                <w:szCs w:val="21"/>
                <w:highlight w:val="none"/>
              </w:rPr>
            </w:pPr>
            <w:r>
              <w:rPr>
                <w:rFonts w:hint="eastAsia" w:ascii="仿宋" w:hAnsi="仿宋" w:eastAsia="仿宋" w:cs="宋体"/>
                <w:b/>
                <w:bCs/>
                <w:kern w:val="0"/>
                <w:szCs w:val="21"/>
                <w:highlight w:val="none"/>
              </w:rPr>
              <w:t>基准值的确定：评标基准价=有效报价的最低值，</w:t>
            </w:r>
          </w:p>
          <w:p w14:paraId="6B94B3DF">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宋体"/>
                <w:sz w:val="21"/>
                <w:szCs w:val="21"/>
                <w:highlight w:val="none"/>
              </w:rPr>
              <w:t>报价得分=（评标基准价/投标报价）</w:t>
            </w:r>
            <w:r>
              <w:rPr>
                <w:rFonts w:hint="eastAsia" w:ascii="仿宋" w:hAnsi="仿宋" w:eastAsia="仿宋"/>
                <w:b/>
                <w:sz w:val="21"/>
                <w:szCs w:val="21"/>
                <w:highlight w:val="none"/>
              </w:rPr>
              <w:t>×</w:t>
            </w:r>
            <w:r>
              <w:rPr>
                <w:rFonts w:hint="eastAsia" w:ascii="仿宋" w:hAnsi="仿宋" w:eastAsia="仿宋" w:cs="宋体"/>
                <w:sz w:val="21"/>
                <w:szCs w:val="21"/>
                <w:highlight w:val="none"/>
              </w:rPr>
              <w:t>30%</w:t>
            </w:r>
            <w:r>
              <w:rPr>
                <w:rFonts w:hint="eastAsia" w:ascii="仿宋" w:hAnsi="仿宋" w:eastAsia="仿宋"/>
                <w:b/>
                <w:sz w:val="21"/>
                <w:szCs w:val="21"/>
                <w:highlight w:val="none"/>
              </w:rPr>
              <w:t>×</w:t>
            </w:r>
            <w:r>
              <w:rPr>
                <w:rFonts w:hint="eastAsia" w:ascii="仿宋" w:hAnsi="仿宋" w:eastAsia="仿宋" w:cs="宋体"/>
                <w:sz w:val="21"/>
                <w:szCs w:val="21"/>
                <w:highlight w:val="none"/>
              </w:rPr>
              <w:t>100.有效报价为通过初步审查的供应商报价。有效报价等于基准值的得满分</w:t>
            </w:r>
          </w:p>
        </w:tc>
        <w:tc>
          <w:tcPr>
            <w:tcW w:w="0" w:type="auto"/>
            <w:tcBorders>
              <w:top w:val="single" w:color="auto" w:sz="4" w:space="0"/>
              <w:left w:val="single" w:color="auto" w:sz="4" w:space="0"/>
              <w:bottom w:val="single" w:color="auto" w:sz="4" w:space="0"/>
              <w:right w:val="single" w:color="auto" w:sz="4" w:space="0"/>
            </w:tcBorders>
            <w:vAlign w:val="center"/>
          </w:tcPr>
          <w:p w14:paraId="439B0E9A">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rPr>
              <w:t>30分</w:t>
            </w:r>
          </w:p>
        </w:tc>
      </w:tr>
      <w:tr w14:paraId="2269B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52BF8989">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B：商务部分评分1</w:t>
            </w:r>
            <w:r>
              <w:rPr>
                <w:rFonts w:hint="eastAsia" w:ascii="仿宋" w:hAnsi="仿宋" w:eastAsia="仿宋" w:cs="Courier New"/>
                <w:b/>
                <w:sz w:val="21"/>
                <w:szCs w:val="21"/>
                <w:highlight w:val="none"/>
                <w:lang w:val="en-US" w:eastAsia="zh-CN"/>
              </w:rPr>
              <w:t>5</w:t>
            </w:r>
            <w:r>
              <w:rPr>
                <w:rFonts w:hint="eastAsia" w:ascii="仿宋" w:hAnsi="仿宋" w:eastAsia="仿宋" w:cs="Courier New"/>
                <w:b/>
                <w:sz w:val="21"/>
                <w:szCs w:val="21"/>
                <w:highlight w:val="none"/>
              </w:rPr>
              <w:t>分</w:t>
            </w:r>
          </w:p>
        </w:tc>
      </w:tr>
      <w:tr w14:paraId="4EC32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14:paraId="7A9D50D4">
            <w:pPr>
              <w:pStyle w:val="12"/>
              <w:snapToGrid w:val="0"/>
              <w:spacing w:line="360" w:lineRule="auto"/>
              <w:ind w:firstLine="0"/>
              <w:jc w:val="center"/>
              <w:rPr>
                <w:rFonts w:ascii="仿宋" w:hAnsi="仿宋" w:eastAsia="仿宋" w:cs="宋体"/>
                <w:sz w:val="21"/>
                <w:szCs w:val="21"/>
                <w:highlight w:val="none"/>
              </w:rPr>
            </w:pPr>
            <w:r>
              <w:rPr>
                <w:rFonts w:hint="eastAsia" w:ascii="仿宋" w:hAnsi="仿宋" w:eastAsia="仿宋" w:cs="宋体"/>
                <w:sz w:val="21"/>
                <w:szCs w:val="21"/>
                <w:highlight w:val="none"/>
              </w:rPr>
              <w:t>相关业绩</w:t>
            </w:r>
          </w:p>
        </w:tc>
        <w:tc>
          <w:tcPr>
            <w:tcW w:w="7095" w:type="dxa"/>
            <w:tcBorders>
              <w:top w:val="single" w:color="auto" w:sz="4" w:space="0"/>
              <w:left w:val="single" w:color="auto" w:sz="4" w:space="0"/>
              <w:bottom w:val="single" w:color="auto" w:sz="4" w:space="0"/>
              <w:right w:val="single" w:color="auto" w:sz="4" w:space="0"/>
            </w:tcBorders>
            <w:vAlign w:val="center"/>
          </w:tcPr>
          <w:p w14:paraId="62B384C7">
            <w:pPr>
              <w:pStyle w:val="12"/>
              <w:snapToGrid w:val="0"/>
              <w:spacing w:line="360" w:lineRule="auto"/>
              <w:ind w:firstLine="0"/>
              <w:rPr>
                <w:rFonts w:ascii="仿宋" w:hAnsi="仿宋" w:eastAsia="仿宋"/>
                <w:sz w:val="21"/>
                <w:szCs w:val="21"/>
                <w:highlight w:val="none"/>
              </w:rPr>
            </w:pPr>
            <w:r>
              <w:rPr>
                <w:rFonts w:hint="eastAsia" w:ascii="仿宋" w:hAnsi="仿宋" w:eastAsia="仿宋"/>
                <w:sz w:val="21"/>
                <w:szCs w:val="21"/>
                <w:highlight w:val="none"/>
              </w:rPr>
              <w:t>提供20</w:t>
            </w:r>
            <w:r>
              <w:rPr>
                <w:rFonts w:ascii="仿宋" w:hAnsi="仿宋" w:eastAsia="仿宋"/>
                <w:sz w:val="21"/>
                <w:szCs w:val="21"/>
                <w:highlight w:val="none"/>
              </w:rPr>
              <w:t>2</w:t>
            </w:r>
            <w:r>
              <w:rPr>
                <w:rFonts w:hint="eastAsia" w:ascii="仿宋" w:hAnsi="仿宋" w:eastAsia="仿宋"/>
                <w:sz w:val="21"/>
                <w:szCs w:val="21"/>
                <w:highlight w:val="none"/>
                <w:lang w:val="en-US" w:eastAsia="zh-CN"/>
              </w:rPr>
              <w:t>2</w:t>
            </w:r>
            <w:r>
              <w:rPr>
                <w:rFonts w:hint="eastAsia" w:ascii="仿宋" w:hAnsi="仿宋" w:eastAsia="仿宋"/>
                <w:sz w:val="21"/>
                <w:szCs w:val="21"/>
                <w:highlight w:val="none"/>
              </w:rPr>
              <w:t>年</w:t>
            </w:r>
            <w:r>
              <w:rPr>
                <w:rFonts w:hint="eastAsia" w:ascii="仿宋" w:hAnsi="仿宋" w:eastAsia="仿宋"/>
                <w:sz w:val="21"/>
                <w:szCs w:val="21"/>
                <w:highlight w:val="none"/>
                <w:lang w:val="en-US" w:eastAsia="zh-CN"/>
              </w:rPr>
              <w:t>6</w:t>
            </w:r>
            <w:r>
              <w:rPr>
                <w:rFonts w:hint="eastAsia" w:ascii="仿宋" w:hAnsi="仿宋" w:eastAsia="仿宋"/>
                <w:sz w:val="21"/>
                <w:szCs w:val="21"/>
                <w:highlight w:val="none"/>
              </w:rPr>
              <w:t>月以来独立承担类似项目经验情况，拥有类似的相关业绩（需提供中标（成交）通知书或合同），每个业绩计</w:t>
            </w:r>
            <w:r>
              <w:rPr>
                <w:rFonts w:hint="eastAsia" w:ascii="仿宋" w:hAnsi="仿宋" w:eastAsia="仿宋"/>
                <w:sz w:val="21"/>
                <w:szCs w:val="21"/>
                <w:highlight w:val="none"/>
                <w:lang w:val="en-US" w:eastAsia="zh-CN"/>
              </w:rPr>
              <w:t>1</w:t>
            </w:r>
            <w:r>
              <w:rPr>
                <w:rFonts w:hint="eastAsia" w:ascii="仿宋" w:hAnsi="仿宋" w:eastAsia="仿宋"/>
                <w:sz w:val="21"/>
                <w:szCs w:val="21"/>
                <w:highlight w:val="none"/>
              </w:rPr>
              <w:t>分，最高得</w:t>
            </w:r>
            <w:r>
              <w:rPr>
                <w:rFonts w:hint="eastAsia" w:ascii="仿宋" w:hAnsi="仿宋" w:eastAsia="仿宋"/>
                <w:sz w:val="21"/>
                <w:szCs w:val="21"/>
                <w:highlight w:val="none"/>
                <w:lang w:val="en-US" w:eastAsia="zh-CN"/>
              </w:rPr>
              <w:t>5</w:t>
            </w:r>
            <w:r>
              <w:rPr>
                <w:rFonts w:hint="eastAsia" w:ascii="仿宋" w:hAnsi="仿宋" w:eastAsia="仿宋"/>
                <w:sz w:val="21"/>
                <w:szCs w:val="21"/>
                <w:highlight w:val="none"/>
              </w:rPr>
              <w:t>分。</w:t>
            </w:r>
          </w:p>
          <w:p w14:paraId="147B7166">
            <w:pPr>
              <w:pStyle w:val="12"/>
              <w:snapToGrid w:val="0"/>
              <w:spacing w:line="360" w:lineRule="auto"/>
              <w:ind w:firstLine="0"/>
              <w:rPr>
                <w:rFonts w:ascii="仿宋" w:hAnsi="仿宋" w:eastAsia="仿宋"/>
                <w:sz w:val="21"/>
                <w:szCs w:val="21"/>
                <w:highlight w:val="none"/>
              </w:rPr>
            </w:pPr>
            <w:r>
              <w:rPr>
                <w:rFonts w:hint="eastAsia" w:ascii="仿宋" w:hAnsi="仿宋" w:eastAsia="仿宋"/>
                <w:sz w:val="21"/>
                <w:szCs w:val="21"/>
                <w:highlight w:val="none"/>
              </w:rPr>
              <w:t>注：以上材料需提供复印件并加盖公章</w:t>
            </w:r>
          </w:p>
        </w:tc>
        <w:tc>
          <w:tcPr>
            <w:tcW w:w="0" w:type="auto"/>
            <w:tcBorders>
              <w:top w:val="single" w:color="auto" w:sz="4" w:space="0"/>
              <w:left w:val="single" w:color="auto" w:sz="4" w:space="0"/>
              <w:bottom w:val="single" w:color="auto" w:sz="4" w:space="0"/>
              <w:right w:val="single" w:color="auto" w:sz="4" w:space="0"/>
            </w:tcBorders>
            <w:vAlign w:val="center"/>
          </w:tcPr>
          <w:p w14:paraId="4AAB7081">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lang w:val="en-US" w:eastAsia="zh-CN"/>
              </w:rPr>
              <w:t>5</w:t>
            </w:r>
            <w:r>
              <w:rPr>
                <w:rFonts w:hint="eastAsia" w:ascii="仿宋" w:hAnsi="仿宋" w:eastAsia="仿宋" w:cs="Courier New"/>
                <w:sz w:val="21"/>
                <w:szCs w:val="21"/>
                <w:highlight w:val="none"/>
              </w:rPr>
              <w:t>分</w:t>
            </w:r>
          </w:p>
        </w:tc>
      </w:tr>
      <w:tr w14:paraId="3BA5C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14:paraId="33348012">
            <w:pPr>
              <w:pStyle w:val="12"/>
              <w:snapToGrid w:val="0"/>
              <w:spacing w:line="360" w:lineRule="auto"/>
              <w:ind w:firstLine="0"/>
              <w:jc w:val="center"/>
              <w:rPr>
                <w:rFonts w:hint="eastAsia" w:ascii="仿宋" w:hAnsi="仿宋" w:eastAsia="仿宋" w:cs="Times New Roman"/>
                <w:sz w:val="21"/>
                <w:szCs w:val="21"/>
                <w:highlight w:val="none"/>
              </w:rPr>
            </w:pPr>
            <w:r>
              <w:rPr>
                <w:rFonts w:hint="eastAsia" w:ascii="仿宋" w:hAnsi="仿宋" w:eastAsia="仿宋" w:cs="Times New Roman"/>
                <w:sz w:val="21"/>
                <w:szCs w:val="21"/>
                <w:highlight w:val="none"/>
              </w:rPr>
              <w:t>视屏演示</w:t>
            </w:r>
          </w:p>
        </w:tc>
        <w:tc>
          <w:tcPr>
            <w:tcW w:w="7095" w:type="dxa"/>
            <w:tcBorders>
              <w:top w:val="single" w:color="auto" w:sz="4" w:space="0"/>
              <w:left w:val="single" w:color="auto" w:sz="4" w:space="0"/>
              <w:bottom w:val="single" w:color="auto" w:sz="4" w:space="0"/>
              <w:right w:val="single" w:color="auto" w:sz="4" w:space="0"/>
            </w:tcBorders>
            <w:vAlign w:val="center"/>
          </w:tcPr>
          <w:p w14:paraId="40302BEF">
            <w:pPr>
              <w:widowControl/>
              <w:spacing w:line="360" w:lineRule="auto"/>
              <w:jc w:val="left"/>
              <w:rPr>
                <w:rFonts w:hint="eastAsia" w:ascii="仿宋" w:hAnsi="仿宋" w:eastAsia="仿宋" w:cs="宋体"/>
                <w:kern w:val="0"/>
                <w:szCs w:val="21"/>
                <w:highlight w:val="none"/>
              </w:rPr>
            </w:pPr>
            <w:r>
              <w:rPr>
                <w:rFonts w:hint="eastAsia" w:ascii="仿宋" w:hAnsi="仿宋" w:eastAsia="仿宋" w:cs="宋体"/>
                <w:kern w:val="0"/>
                <w:szCs w:val="21"/>
                <w:highlight w:val="none"/>
              </w:rPr>
              <w:t>软件功能演示： PPT、DEMO、多个平台合成演示等均不得分。根据投标人述标以及按照技术要求提供视频演示，演示时间不超过 10 分钟。</w:t>
            </w:r>
          </w:p>
          <w:p w14:paraId="7D342804">
            <w:pPr>
              <w:widowControl/>
              <w:spacing w:line="360" w:lineRule="auto"/>
              <w:jc w:val="left"/>
              <w:rPr>
                <w:rFonts w:hint="eastAsia" w:ascii="仿宋" w:hAnsi="仿宋" w:eastAsia="仿宋" w:cs="宋体"/>
                <w:kern w:val="0"/>
                <w:szCs w:val="21"/>
                <w:highlight w:val="none"/>
              </w:rPr>
            </w:pPr>
            <w:r>
              <w:rPr>
                <w:rFonts w:hint="eastAsia" w:ascii="仿宋" w:hAnsi="仿宋" w:eastAsia="仿宋" w:cs="宋体"/>
                <w:kern w:val="0"/>
                <w:szCs w:val="21"/>
                <w:highlight w:val="none"/>
              </w:rPr>
              <w:t>1、 录制终端进入导播界面前，有直观的图形界面进行选择录播和互动两种模式。录播主机在录播模式下，具备全自动，半自动，手动三种导播模式。演示完全满足得</w:t>
            </w:r>
            <w:r>
              <w:rPr>
                <w:rFonts w:hint="eastAsia" w:ascii="仿宋" w:hAnsi="仿宋" w:eastAsia="仿宋" w:cs="宋体"/>
                <w:kern w:val="0"/>
                <w:szCs w:val="21"/>
                <w:highlight w:val="none"/>
                <w:lang w:val="en-US" w:eastAsia="zh-CN"/>
              </w:rPr>
              <w:t>3</w:t>
            </w:r>
            <w:r>
              <w:rPr>
                <w:rFonts w:hint="eastAsia" w:ascii="仿宋" w:hAnsi="仿宋" w:eastAsia="仿宋" w:cs="宋体"/>
                <w:kern w:val="0"/>
                <w:szCs w:val="21"/>
                <w:highlight w:val="none"/>
              </w:rPr>
              <w:t>分，不满足或部分满足不得分。</w:t>
            </w:r>
          </w:p>
          <w:p w14:paraId="5CBCD231">
            <w:pPr>
              <w:widowControl/>
              <w:spacing w:line="360" w:lineRule="auto"/>
              <w:jc w:val="left"/>
              <w:rPr>
                <w:rFonts w:hint="eastAsia" w:ascii="仿宋" w:hAnsi="仿宋" w:eastAsia="仿宋" w:cs="宋体"/>
                <w:kern w:val="0"/>
                <w:szCs w:val="21"/>
                <w:highlight w:val="none"/>
              </w:rPr>
            </w:pPr>
            <w:r>
              <w:rPr>
                <w:rFonts w:hint="eastAsia" w:ascii="仿宋" w:hAnsi="仿宋" w:eastAsia="仿宋" w:cs="宋体"/>
                <w:kern w:val="0"/>
                <w:szCs w:val="21"/>
                <w:highlight w:val="none"/>
              </w:rPr>
              <w:t>2、要求录播主机支持实时课堂分析，分析教师及学生行为，课程结束后2分钟之内生成AI课堂分析报告。提供视频演示。演示完全满足得</w:t>
            </w:r>
            <w:r>
              <w:rPr>
                <w:rFonts w:hint="eastAsia" w:ascii="仿宋" w:hAnsi="仿宋" w:eastAsia="仿宋" w:cs="宋体"/>
                <w:kern w:val="0"/>
                <w:szCs w:val="21"/>
                <w:highlight w:val="none"/>
                <w:lang w:val="en-US" w:eastAsia="zh-CN"/>
              </w:rPr>
              <w:t>3</w:t>
            </w:r>
            <w:r>
              <w:rPr>
                <w:rFonts w:hint="eastAsia" w:ascii="仿宋" w:hAnsi="仿宋" w:eastAsia="仿宋" w:cs="宋体"/>
                <w:kern w:val="0"/>
                <w:szCs w:val="21"/>
                <w:highlight w:val="none"/>
              </w:rPr>
              <w:t>分，不满足或部分满足不得分。</w:t>
            </w:r>
          </w:p>
          <w:p w14:paraId="71523136">
            <w:pPr>
              <w:widowControl/>
              <w:spacing w:line="360" w:lineRule="auto"/>
              <w:jc w:val="left"/>
              <w:rPr>
                <w:rFonts w:hint="default" w:ascii="仿宋" w:hAnsi="仿宋" w:eastAsia="仿宋" w:cs="宋体"/>
                <w:kern w:val="0"/>
                <w:szCs w:val="21"/>
                <w:highlight w:val="none"/>
                <w:lang w:val="en-US" w:eastAsia="zh-CN"/>
              </w:rPr>
            </w:pPr>
            <w:r>
              <w:rPr>
                <w:rFonts w:hint="eastAsia" w:ascii="仿宋" w:hAnsi="仿宋" w:eastAsia="仿宋" w:cs="宋体"/>
                <w:kern w:val="0"/>
                <w:szCs w:val="21"/>
                <w:highlight w:val="none"/>
              </w:rPr>
              <w:t>3、为满足不同切换场景下的使用需求，要求精品录播系统具备板书增强应用，支持对板书内容色彩增强，支持对黄、蓝、红、绿等颜色笔记还原，具备人物虚化功能。满足要求得</w:t>
            </w:r>
            <w:r>
              <w:rPr>
                <w:rFonts w:hint="eastAsia" w:ascii="仿宋" w:hAnsi="仿宋" w:eastAsia="仿宋" w:cs="宋体"/>
                <w:kern w:val="0"/>
                <w:szCs w:val="21"/>
                <w:highlight w:val="none"/>
                <w:lang w:val="en-US" w:eastAsia="zh-CN"/>
              </w:rPr>
              <w:t>4</w:t>
            </w:r>
            <w:r>
              <w:rPr>
                <w:rFonts w:hint="eastAsia" w:ascii="仿宋" w:hAnsi="仿宋" w:eastAsia="仿宋" w:cs="宋体"/>
                <w:kern w:val="0"/>
                <w:szCs w:val="21"/>
                <w:highlight w:val="none"/>
              </w:rPr>
              <w:t>分，否则不得分。</w:t>
            </w:r>
          </w:p>
        </w:tc>
        <w:tc>
          <w:tcPr>
            <w:tcW w:w="0" w:type="auto"/>
            <w:tcBorders>
              <w:top w:val="single" w:color="auto" w:sz="4" w:space="0"/>
              <w:left w:val="single" w:color="auto" w:sz="4" w:space="0"/>
              <w:bottom w:val="single" w:color="auto" w:sz="4" w:space="0"/>
              <w:right w:val="single" w:color="auto" w:sz="4" w:space="0"/>
            </w:tcBorders>
            <w:vAlign w:val="center"/>
          </w:tcPr>
          <w:p w14:paraId="39324327">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lang w:val="en-US" w:eastAsia="zh-CN"/>
              </w:rPr>
              <w:t>10</w:t>
            </w:r>
            <w:r>
              <w:rPr>
                <w:rFonts w:hint="eastAsia" w:ascii="仿宋" w:hAnsi="仿宋" w:eastAsia="仿宋" w:cs="宋体"/>
                <w:sz w:val="21"/>
                <w:szCs w:val="21"/>
                <w:highlight w:val="none"/>
              </w:rPr>
              <w:t>分</w:t>
            </w:r>
          </w:p>
        </w:tc>
      </w:tr>
      <w:tr w14:paraId="677FB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0E0A7B93">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C：技术部分评分</w:t>
            </w:r>
            <w:r>
              <w:rPr>
                <w:rFonts w:hint="eastAsia" w:ascii="仿宋" w:hAnsi="仿宋" w:eastAsia="仿宋" w:cs="Courier New"/>
                <w:b/>
                <w:sz w:val="21"/>
                <w:szCs w:val="21"/>
                <w:highlight w:val="none"/>
                <w:lang w:val="en-US" w:eastAsia="zh-CN"/>
              </w:rPr>
              <w:t>55</w:t>
            </w:r>
            <w:r>
              <w:rPr>
                <w:rFonts w:hint="eastAsia" w:ascii="仿宋" w:hAnsi="仿宋" w:eastAsia="仿宋" w:cs="Courier New"/>
                <w:b/>
                <w:sz w:val="21"/>
                <w:szCs w:val="21"/>
                <w:highlight w:val="none"/>
              </w:rPr>
              <w:t>分</w:t>
            </w:r>
          </w:p>
        </w:tc>
      </w:tr>
      <w:tr w14:paraId="3D420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14:paraId="793FF246">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rPr>
              <w:t>技术响应</w:t>
            </w:r>
          </w:p>
        </w:tc>
        <w:tc>
          <w:tcPr>
            <w:tcW w:w="7095" w:type="dxa"/>
            <w:tcBorders>
              <w:top w:val="single" w:color="auto" w:sz="4" w:space="0"/>
              <w:left w:val="single" w:color="auto" w:sz="4" w:space="0"/>
              <w:bottom w:val="single" w:color="auto" w:sz="4" w:space="0"/>
              <w:right w:val="single" w:color="auto" w:sz="4" w:space="0"/>
            </w:tcBorders>
            <w:vAlign w:val="center"/>
          </w:tcPr>
          <w:p w14:paraId="5C0F360F">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rPr>
              <w:t>响应文件对采购文件 “采购需求”的响应程度，完全满足采购文件要求的得</w:t>
            </w:r>
            <w:r>
              <w:rPr>
                <w:rFonts w:hint="eastAsia" w:ascii="仿宋" w:hAnsi="仿宋" w:eastAsia="仿宋" w:cs="宋体"/>
                <w:sz w:val="21"/>
                <w:szCs w:val="21"/>
                <w:highlight w:val="none"/>
                <w:lang w:val="en-US" w:eastAsia="zh-CN"/>
              </w:rPr>
              <w:t>25</w:t>
            </w:r>
            <w:r>
              <w:rPr>
                <w:rFonts w:hint="eastAsia" w:ascii="仿宋" w:hAnsi="仿宋" w:eastAsia="仿宋" w:cs="宋体"/>
                <w:sz w:val="21"/>
                <w:szCs w:val="21"/>
                <w:highlight w:val="none"/>
              </w:rPr>
              <w:t>分；</w:t>
            </w:r>
          </w:p>
          <w:p w14:paraId="2E4FE550">
            <w:pPr>
              <w:widowControl/>
              <w:spacing w:line="360" w:lineRule="auto"/>
              <w:jc w:val="left"/>
              <w:rPr>
                <w:rFonts w:ascii="仿宋" w:hAnsi="仿宋" w:eastAsia="仿宋" w:cs="宋体"/>
                <w:kern w:val="0"/>
                <w:szCs w:val="21"/>
                <w:highlight w:val="none"/>
              </w:rPr>
            </w:pPr>
            <w:r>
              <w:rPr>
                <w:rFonts w:hint="eastAsia" w:ascii="仿宋" w:hAnsi="仿宋" w:eastAsia="仿宋" w:cs="宋体"/>
                <w:kern w:val="0"/>
                <w:szCs w:val="21"/>
                <w:highlight w:val="none"/>
              </w:rPr>
              <w:t>加“★”参数每项负偏离或未按要求提供响应的证明材料，扣2分，扣完为止；</w:t>
            </w:r>
          </w:p>
          <w:p w14:paraId="5B124020">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rPr>
              <w:t>未加“★”参数每项负偏离或未按要求提供响应的证明材料，扣1分，扣完为止。</w:t>
            </w:r>
          </w:p>
          <w:p w14:paraId="5E8E7376">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rPr>
              <w:t>注：提供制造商公开发布的产品彩页或检测报告等证明材料。</w:t>
            </w:r>
          </w:p>
        </w:tc>
        <w:tc>
          <w:tcPr>
            <w:tcW w:w="0" w:type="auto"/>
            <w:tcBorders>
              <w:top w:val="single" w:color="auto" w:sz="4" w:space="0"/>
              <w:left w:val="single" w:color="auto" w:sz="4" w:space="0"/>
              <w:bottom w:val="single" w:color="auto" w:sz="4" w:space="0"/>
              <w:right w:val="single" w:color="auto" w:sz="4" w:space="0"/>
            </w:tcBorders>
            <w:vAlign w:val="center"/>
          </w:tcPr>
          <w:p w14:paraId="55C3D4C4">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lang w:val="en-US" w:eastAsia="zh-CN"/>
              </w:rPr>
              <w:t>25</w:t>
            </w:r>
            <w:r>
              <w:rPr>
                <w:rFonts w:hint="eastAsia" w:ascii="仿宋" w:hAnsi="仿宋" w:eastAsia="仿宋" w:cs="Courier New"/>
                <w:sz w:val="21"/>
                <w:szCs w:val="21"/>
                <w:highlight w:val="none"/>
              </w:rPr>
              <w:t>分</w:t>
            </w:r>
          </w:p>
        </w:tc>
      </w:tr>
      <w:tr w14:paraId="6DED1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2" w:type="dxa"/>
            <w:vMerge w:val="restart"/>
            <w:tcBorders>
              <w:top w:val="single" w:color="auto" w:sz="4" w:space="0"/>
              <w:left w:val="single" w:color="auto" w:sz="4" w:space="0"/>
              <w:right w:val="single" w:color="auto" w:sz="4" w:space="0"/>
            </w:tcBorders>
            <w:vAlign w:val="center"/>
          </w:tcPr>
          <w:p w14:paraId="46FC2DF9">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宋体"/>
                <w:sz w:val="21"/>
                <w:szCs w:val="21"/>
                <w:highlight w:val="none"/>
              </w:rPr>
              <w:t>实施方案</w:t>
            </w:r>
          </w:p>
        </w:tc>
        <w:tc>
          <w:tcPr>
            <w:tcW w:w="7095" w:type="dxa"/>
            <w:tcBorders>
              <w:top w:val="single" w:color="auto" w:sz="4" w:space="0"/>
              <w:left w:val="single" w:color="auto" w:sz="4" w:space="0"/>
              <w:bottom w:val="single" w:color="auto" w:sz="4" w:space="0"/>
              <w:right w:val="single" w:color="auto" w:sz="4" w:space="0"/>
            </w:tcBorders>
            <w:vAlign w:val="center"/>
          </w:tcPr>
          <w:p w14:paraId="69706057">
            <w:pPr>
              <w:pStyle w:val="12"/>
              <w:snapToGrid w:val="0"/>
              <w:spacing w:line="360" w:lineRule="auto"/>
              <w:ind w:firstLine="0"/>
              <w:rPr>
                <w:rFonts w:ascii="仿宋" w:hAnsi="仿宋" w:eastAsia="仿宋"/>
                <w:sz w:val="21"/>
                <w:szCs w:val="21"/>
                <w:highlight w:val="none"/>
              </w:rPr>
            </w:pPr>
            <w:r>
              <w:rPr>
                <w:rFonts w:ascii="仿宋" w:hAnsi="仿宋" w:eastAsia="仿宋"/>
                <w:sz w:val="21"/>
                <w:szCs w:val="21"/>
                <w:highlight w:val="none"/>
              </w:rPr>
              <w:t>实施方案</w:t>
            </w:r>
            <w:r>
              <w:rPr>
                <w:rFonts w:hint="eastAsia" w:ascii="仿宋" w:hAnsi="仿宋" w:eastAsia="仿宋"/>
                <w:sz w:val="21"/>
                <w:szCs w:val="21"/>
                <w:highlight w:val="none"/>
              </w:rPr>
              <w:t>：</w:t>
            </w:r>
          </w:p>
          <w:p w14:paraId="32B44EAE">
            <w:pPr>
              <w:pStyle w:val="12"/>
              <w:snapToGrid w:val="0"/>
              <w:spacing w:line="360" w:lineRule="auto"/>
              <w:ind w:firstLine="0"/>
              <w:rPr>
                <w:rFonts w:ascii="仿宋" w:hAnsi="仿宋" w:eastAsia="仿宋"/>
                <w:sz w:val="21"/>
                <w:szCs w:val="21"/>
                <w:highlight w:val="none"/>
              </w:rPr>
            </w:pPr>
            <w:r>
              <w:rPr>
                <w:rFonts w:ascii="仿宋" w:hAnsi="仿宋" w:eastAsia="仿宋"/>
                <w:sz w:val="21"/>
                <w:szCs w:val="21"/>
                <w:highlight w:val="none"/>
              </w:rPr>
              <w:t xml:space="preserve">应充分了解实施项目建设内容，在理解基础上进行深入分析，保证本次项目顺利实施，投标人根据货物交付时间节点，落实生产计划、送货安装时间， 确保按期交付使用。 </w:t>
            </w:r>
          </w:p>
          <w:p w14:paraId="09D82B11">
            <w:pPr>
              <w:pStyle w:val="12"/>
              <w:snapToGrid w:val="0"/>
              <w:spacing w:line="360" w:lineRule="auto"/>
              <w:ind w:firstLine="0"/>
              <w:rPr>
                <w:rFonts w:ascii="仿宋" w:hAnsi="仿宋" w:eastAsia="仿宋"/>
                <w:sz w:val="21"/>
                <w:szCs w:val="21"/>
                <w:highlight w:val="none"/>
              </w:rPr>
            </w:pPr>
            <w:r>
              <w:rPr>
                <w:rFonts w:hint="eastAsia" w:ascii="仿宋" w:hAnsi="仿宋" w:eastAsia="仿宋" w:cs="Times New Roman"/>
                <w:sz w:val="21"/>
                <w:szCs w:val="21"/>
                <w:highlight w:val="none"/>
                <w:lang w:eastAsia="zh-CN"/>
              </w:rPr>
              <w:t>①</w:t>
            </w:r>
            <w:r>
              <w:rPr>
                <w:rFonts w:hint="default" w:ascii="仿宋" w:hAnsi="仿宋" w:eastAsia="仿宋" w:cs="Times New Roman"/>
                <w:sz w:val="21"/>
                <w:szCs w:val="21"/>
                <w:highlight w:val="none"/>
              </w:rPr>
              <w:t>供货方案</w:t>
            </w:r>
            <w:r>
              <w:rPr>
                <w:rFonts w:hint="eastAsia" w:ascii="仿宋" w:hAnsi="仿宋" w:eastAsia="仿宋" w:cs="Times New Roman"/>
                <w:sz w:val="21"/>
                <w:szCs w:val="21"/>
                <w:highlight w:val="none"/>
                <w:lang w:eastAsia="zh-CN"/>
              </w:rPr>
              <w:t>、②</w:t>
            </w:r>
            <w:r>
              <w:rPr>
                <w:rFonts w:hint="default" w:ascii="仿宋" w:hAnsi="仿宋" w:eastAsia="仿宋" w:cs="Times New Roman"/>
                <w:sz w:val="21"/>
                <w:szCs w:val="21"/>
                <w:highlight w:val="none"/>
              </w:rPr>
              <w:t>质量保障措施</w:t>
            </w:r>
            <w:r>
              <w:rPr>
                <w:rFonts w:hint="eastAsia" w:ascii="仿宋" w:hAnsi="仿宋" w:eastAsia="仿宋" w:cs="Times New Roman"/>
                <w:sz w:val="21"/>
                <w:szCs w:val="21"/>
                <w:highlight w:val="none"/>
                <w:lang w:eastAsia="zh-CN"/>
              </w:rPr>
              <w:t>、③</w:t>
            </w:r>
            <w:r>
              <w:rPr>
                <w:rFonts w:hint="default" w:ascii="仿宋" w:hAnsi="仿宋" w:eastAsia="仿宋" w:cs="Times New Roman"/>
                <w:sz w:val="21"/>
                <w:szCs w:val="21"/>
                <w:highlight w:val="none"/>
              </w:rPr>
              <w:t>进度计划与管控</w:t>
            </w:r>
            <w:r>
              <w:rPr>
                <w:rFonts w:hint="eastAsia" w:ascii="仿宋" w:hAnsi="仿宋" w:eastAsia="仿宋" w:cs="Times New Roman"/>
                <w:sz w:val="21"/>
                <w:szCs w:val="21"/>
                <w:highlight w:val="none"/>
                <w:lang w:eastAsia="zh-CN"/>
              </w:rPr>
              <w:t>、④</w:t>
            </w:r>
            <w:r>
              <w:rPr>
                <w:rFonts w:ascii="仿宋" w:hAnsi="仿宋" w:eastAsia="仿宋" w:cs="Times New Roman"/>
                <w:sz w:val="21"/>
                <w:szCs w:val="21"/>
                <w:highlight w:val="none"/>
              </w:rPr>
              <w:t>安装与调试</w:t>
            </w:r>
            <w:r>
              <w:rPr>
                <w:rFonts w:hint="eastAsia" w:ascii="仿宋" w:hAnsi="仿宋" w:eastAsia="仿宋" w:cs="Times New Roman"/>
                <w:sz w:val="21"/>
                <w:szCs w:val="21"/>
                <w:highlight w:val="none"/>
                <w:lang w:eastAsia="zh-CN"/>
              </w:rPr>
              <w:t>、⑤</w:t>
            </w:r>
            <w:r>
              <w:rPr>
                <w:rFonts w:ascii="仿宋" w:hAnsi="仿宋" w:eastAsia="仿宋" w:cs="Times New Roman"/>
                <w:sz w:val="21"/>
                <w:szCs w:val="21"/>
                <w:highlight w:val="none"/>
              </w:rPr>
              <w:t>培训服务</w:t>
            </w:r>
            <w:r>
              <w:rPr>
                <w:rFonts w:hint="eastAsia" w:ascii="仿宋" w:hAnsi="仿宋" w:eastAsia="仿宋" w:cs="Times New Roman"/>
                <w:sz w:val="21"/>
                <w:szCs w:val="21"/>
                <w:highlight w:val="none"/>
                <w:lang w:eastAsia="zh-CN"/>
              </w:rPr>
              <w:t xml:space="preserve">、⑥应急预案。提供相关方案的得 </w:t>
            </w:r>
            <w:r>
              <w:rPr>
                <w:rFonts w:hint="eastAsia" w:ascii="仿宋" w:hAnsi="仿宋" w:eastAsia="仿宋" w:cs="Times New Roman"/>
                <w:sz w:val="21"/>
                <w:szCs w:val="21"/>
                <w:highlight w:val="none"/>
                <w:lang w:val="en-US" w:eastAsia="zh-CN"/>
              </w:rPr>
              <w:t>12</w:t>
            </w:r>
            <w:r>
              <w:rPr>
                <w:rFonts w:hint="eastAsia" w:ascii="仿宋" w:hAnsi="仿宋" w:eastAsia="仿宋" w:cs="Times New Roman"/>
                <w:sz w:val="21"/>
                <w:szCs w:val="21"/>
                <w:highlight w:val="none"/>
                <w:lang w:eastAsia="zh-CN"/>
              </w:rPr>
              <w:t xml:space="preserve"> 分，以此为基础，</w:t>
            </w:r>
            <w:r>
              <w:rPr>
                <w:rFonts w:hint="eastAsia" w:ascii="仿宋" w:hAnsi="仿宋" w:eastAsia="仿宋" w:cs="Times New Roman"/>
                <w:sz w:val="21"/>
                <w:szCs w:val="21"/>
                <w:highlight w:val="none"/>
                <w:lang w:val="en-US" w:eastAsia="zh-CN"/>
              </w:rPr>
              <w:t>所提供的</w:t>
            </w:r>
            <w:r>
              <w:rPr>
                <w:rFonts w:hint="eastAsia" w:ascii="仿宋" w:hAnsi="仿宋" w:eastAsia="仿宋" w:cs="Times New Roman"/>
                <w:sz w:val="21"/>
                <w:szCs w:val="21"/>
                <w:highlight w:val="none"/>
                <w:lang w:eastAsia="zh-CN"/>
              </w:rPr>
              <w:t>方案</w:t>
            </w:r>
            <w:r>
              <w:rPr>
                <w:rFonts w:hint="eastAsia" w:ascii="仿宋" w:hAnsi="仿宋" w:eastAsia="仿宋" w:cs="Times New Roman"/>
                <w:sz w:val="21"/>
                <w:szCs w:val="21"/>
                <w:highlight w:val="none"/>
                <w:lang w:val="en-US" w:eastAsia="zh-CN"/>
              </w:rPr>
              <w:t>中</w:t>
            </w:r>
            <w:r>
              <w:rPr>
                <w:rFonts w:hint="eastAsia" w:ascii="仿宋" w:hAnsi="仿宋" w:eastAsia="仿宋" w:cs="Times New Roman"/>
                <w:sz w:val="21"/>
                <w:szCs w:val="21"/>
                <w:highlight w:val="none"/>
                <w:lang w:eastAsia="zh-CN"/>
              </w:rPr>
              <w:t>每有一项</w:t>
            </w:r>
            <w:r>
              <w:rPr>
                <w:rFonts w:hint="eastAsia" w:ascii="仿宋" w:hAnsi="仿宋" w:eastAsia="仿宋" w:cs="Times New Roman"/>
                <w:sz w:val="21"/>
                <w:szCs w:val="21"/>
                <w:highlight w:val="none"/>
                <w:lang w:val="en-US" w:eastAsia="zh-CN"/>
              </w:rPr>
              <w:t>内容</w:t>
            </w:r>
            <w:r>
              <w:rPr>
                <w:rFonts w:hint="eastAsia" w:ascii="仿宋" w:hAnsi="仿宋" w:eastAsia="仿宋" w:cs="Times New Roman"/>
                <w:sz w:val="21"/>
                <w:szCs w:val="21"/>
                <w:highlight w:val="none"/>
                <w:lang w:eastAsia="zh-CN"/>
              </w:rPr>
              <w:t>进行了深化、量化、拓展</w:t>
            </w:r>
            <w:r>
              <w:rPr>
                <w:rFonts w:hint="eastAsia" w:ascii="仿宋" w:hAnsi="仿宋" w:eastAsia="仿宋" w:cs="Times New Roman"/>
                <w:sz w:val="21"/>
                <w:szCs w:val="21"/>
                <w:highlight w:val="none"/>
                <w:lang w:val="en-US" w:eastAsia="zh-CN"/>
              </w:rPr>
              <w:t>或</w:t>
            </w:r>
            <w:r>
              <w:rPr>
                <w:rFonts w:hint="eastAsia" w:ascii="仿宋" w:hAnsi="仿宋" w:eastAsia="仿宋" w:cs="Times New Roman"/>
                <w:sz w:val="21"/>
                <w:szCs w:val="21"/>
                <w:highlight w:val="none"/>
                <w:lang w:eastAsia="zh-CN"/>
              </w:rPr>
              <w:t>提出经评审专家认可的合理化建议的加 1 分，加至</w:t>
            </w:r>
            <w:r>
              <w:rPr>
                <w:rFonts w:hint="eastAsia" w:ascii="仿宋" w:hAnsi="仿宋" w:eastAsia="仿宋" w:cs="Times New Roman"/>
                <w:sz w:val="21"/>
                <w:szCs w:val="21"/>
                <w:highlight w:val="none"/>
                <w:lang w:val="en-US" w:eastAsia="zh-CN"/>
              </w:rPr>
              <w:t>18分</w:t>
            </w:r>
            <w:r>
              <w:rPr>
                <w:rFonts w:hint="eastAsia" w:ascii="仿宋" w:hAnsi="仿宋" w:eastAsia="仿宋" w:cs="Times New Roman"/>
                <w:sz w:val="21"/>
                <w:szCs w:val="21"/>
                <w:highlight w:val="none"/>
                <w:lang w:eastAsia="zh-CN"/>
              </w:rPr>
              <w:t>为止；每缺失一条扣</w:t>
            </w:r>
            <w:r>
              <w:rPr>
                <w:rFonts w:hint="eastAsia" w:ascii="仿宋" w:hAnsi="仿宋" w:eastAsia="仿宋" w:cs="Times New Roman"/>
                <w:sz w:val="21"/>
                <w:szCs w:val="21"/>
                <w:highlight w:val="none"/>
                <w:lang w:val="en-US" w:eastAsia="zh-CN"/>
              </w:rPr>
              <w:t>2</w:t>
            </w:r>
            <w:r>
              <w:rPr>
                <w:rFonts w:hint="eastAsia" w:ascii="仿宋" w:hAnsi="仿宋" w:eastAsia="仿宋" w:cs="Times New Roman"/>
                <w:sz w:val="21"/>
                <w:szCs w:val="21"/>
                <w:highlight w:val="none"/>
                <w:lang w:eastAsia="zh-CN"/>
              </w:rPr>
              <w:t>分；每有一处描述不清或逻辑混乱有欠缺的扣</w:t>
            </w:r>
            <w:r>
              <w:rPr>
                <w:rFonts w:hint="eastAsia" w:ascii="仿宋" w:hAnsi="仿宋" w:eastAsia="仿宋" w:cs="Times New Roman"/>
                <w:sz w:val="21"/>
                <w:szCs w:val="21"/>
                <w:highlight w:val="none"/>
                <w:lang w:val="en-US" w:eastAsia="zh-CN"/>
              </w:rPr>
              <w:t>1</w:t>
            </w:r>
            <w:r>
              <w:rPr>
                <w:rFonts w:hint="eastAsia" w:ascii="仿宋" w:hAnsi="仿宋" w:eastAsia="仿宋" w:cs="Times New Roman"/>
                <w:sz w:val="21"/>
                <w:szCs w:val="21"/>
                <w:highlight w:val="none"/>
                <w:lang w:eastAsia="zh-CN"/>
              </w:rPr>
              <w:t>分，扣完为止。</w:t>
            </w:r>
          </w:p>
        </w:tc>
        <w:tc>
          <w:tcPr>
            <w:tcW w:w="0" w:type="auto"/>
            <w:tcBorders>
              <w:top w:val="single" w:color="auto" w:sz="4" w:space="0"/>
              <w:left w:val="single" w:color="auto" w:sz="4" w:space="0"/>
              <w:bottom w:val="single" w:color="auto" w:sz="4" w:space="0"/>
              <w:right w:val="single" w:color="auto" w:sz="4" w:space="0"/>
            </w:tcBorders>
            <w:vAlign w:val="center"/>
          </w:tcPr>
          <w:p w14:paraId="1E611371">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lang w:val="en-US" w:eastAsia="zh-CN"/>
              </w:rPr>
              <w:t>18</w:t>
            </w:r>
            <w:r>
              <w:rPr>
                <w:rFonts w:hint="eastAsia" w:ascii="仿宋" w:hAnsi="仿宋" w:eastAsia="仿宋" w:cs="Courier New"/>
                <w:sz w:val="21"/>
                <w:szCs w:val="21"/>
                <w:highlight w:val="none"/>
              </w:rPr>
              <w:t>分</w:t>
            </w:r>
          </w:p>
        </w:tc>
      </w:tr>
      <w:tr w14:paraId="0796B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2" w:type="dxa"/>
            <w:vMerge w:val="continue"/>
            <w:tcBorders>
              <w:left w:val="single" w:color="auto" w:sz="4" w:space="0"/>
              <w:bottom w:val="single" w:color="auto" w:sz="4" w:space="0"/>
              <w:right w:val="single" w:color="auto" w:sz="4" w:space="0"/>
            </w:tcBorders>
            <w:vAlign w:val="center"/>
          </w:tcPr>
          <w:p w14:paraId="1C3BE6EF">
            <w:pPr>
              <w:pStyle w:val="12"/>
              <w:snapToGrid w:val="0"/>
              <w:spacing w:line="360" w:lineRule="auto"/>
              <w:ind w:firstLine="0"/>
              <w:rPr>
                <w:rFonts w:ascii="仿宋" w:hAnsi="仿宋" w:eastAsia="仿宋" w:cs="宋体"/>
                <w:sz w:val="21"/>
                <w:szCs w:val="21"/>
                <w:highlight w:val="none"/>
              </w:rPr>
            </w:pPr>
          </w:p>
        </w:tc>
        <w:tc>
          <w:tcPr>
            <w:tcW w:w="7095" w:type="dxa"/>
            <w:tcBorders>
              <w:top w:val="single" w:color="auto" w:sz="4" w:space="0"/>
              <w:left w:val="single" w:color="auto" w:sz="4" w:space="0"/>
              <w:bottom w:val="single" w:color="auto" w:sz="4" w:space="0"/>
              <w:right w:val="single" w:color="auto" w:sz="4" w:space="0"/>
            </w:tcBorders>
            <w:vAlign w:val="center"/>
          </w:tcPr>
          <w:p w14:paraId="198F1D19">
            <w:pPr>
              <w:rPr>
                <w:rFonts w:ascii="仿宋" w:hAnsi="仿宋" w:eastAsia="仿宋" w:cs="宋体"/>
                <w:kern w:val="0"/>
                <w:szCs w:val="21"/>
                <w:highlight w:val="none"/>
              </w:rPr>
            </w:pPr>
            <w:r>
              <w:rPr>
                <w:rFonts w:hint="eastAsia" w:ascii="仿宋" w:hAnsi="仿宋" w:eastAsia="仿宋" w:cs="宋体"/>
                <w:kern w:val="0"/>
                <w:szCs w:val="21"/>
                <w:highlight w:val="none"/>
              </w:rPr>
              <w:t>售后方案：</w:t>
            </w:r>
          </w:p>
          <w:p w14:paraId="2D3FAC57">
            <w:pPr>
              <w:rPr>
                <w:rFonts w:ascii="仿宋" w:hAnsi="仿宋" w:eastAsia="仿宋" w:cs="宋体"/>
                <w:kern w:val="0"/>
                <w:szCs w:val="21"/>
                <w:highlight w:val="none"/>
              </w:rPr>
            </w:pPr>
            <w:r>
              <w:rPr>
                <w:rFonts w:hint="eastAsia" w:ascii="仿宋" w:hAnsi="仿宋" w:eastAsia="仿宋" w:cs="宋体"/>
                <w:kern w:val="0"/>
                <w:szCs w:val="21"/>
                <w:highlight w:val="none"/>
              </w:rPr>
              <w:t>编制售后服务体系、方案，服务承诺等，内容需包含：</w:t>
            </w:r>
          </w:p>
          <w:p w14:paraId="2ED6CFB2">
            <w:pPr>
              <w:rPr>
                <w:rFonts w:ascii="仿宋" w:hAnsi="仿宋" w:eastAsia="仿宋" w:cs="宋体"/>
                <w:kern w:val="0"/>
                <w:szCs w:val="21"/>
                <w:highlight w:val="none"/>
              </w:rPr>
            </w:pPr>
            <w:r>
              <w:rPr>
                <w:rFonts w:hint="eastAsia" w:ascii="仿宋" w:hAnsi="仿宋" w:eastAsia="仿宋" w:cs="宋体"/>
                <w:kern w:val="0"/>
                <w:szCs w:val="21"/>
                <w:highlight w:val="none"/>
                <w:lang w:eastAsia="zh-CN"/>
              </w:rPr>
              <w:t>①</w:t>
            </w:r>
            <w:r>
              <w:rPr>
                <w:rFonts w:hint="eastAsia" w:ascii="仿宋" w:hAnsi="仿宋" w:eastAsia="仿宋" w:cs="宋体"/>
                <w:kern w:val="0"/>
                <w:szCs w:val="21"/>
                <w:highlight w:val="none"/>
              </w:rPr>
              <w:t>备品备件及耗材保障方案及承诺；</w:t>
            </w:r>
            <w:r>
              <w:rPr>
                <w:rFonts w:hint="eastAsia" w:ascii="仿宋" w:hAnsi="仿宋" w:eastAsia="仿宋" w:cs="宋体"/>
                <w:kern w:val="0"/>
                <w:szCs w:val="21"/>
                <w:highlight w:val="none"/>
                <w:lang w:eastAsia="zh-CN"/>
              </w:rPr>
              <w:t>②</w:t>
            </w:r>
            <w:r>
              <w:rPr>
                <w:rFonts w:hint="eastAsia" w:ascii="仿宋" w:hAnsi="仿宋" w:eastAsia="仿宋" w:cs="宋体"/>
                <w:kern w:val="0"/>
                <w:szCs w:val="21"/>
                <w:highlight w:val="none"/>
              </w:rPr>
              <w:t>质保期间的响应保障方案；</w:t>
            </w:r>
            <w:r>
              <w:rPr>
                <w:rFonts w:hint="eastAsia" w:ascii="仿宋" w:hAnsi="仿宋" w:eastAsia="仿宋" w:cs="宋体"/>
                <w:kern w:val="0"/>
                <w:szCs w:val="21"/>
                <w:highlight w:val="none"/>
                <w:lang w:eastAsia="zh-CN"/>
              </w:rPr>
              <w:t>③</w:t>
            </w:r>
            <w:r>
              <w:rPr>
                <w:rFonts w:hint="eastAsia" w:ascii="仿宋" w:hAnsi="仿宋" w:eastAsia="仿宋" w:cs="宋体"/>
                <w:kern w:val="0"/>
                <w:szCs w:val="21"/>
                <w:highlight w:val="none"/>
              </w:rPr>
              <w:t>相关服务承诺；</w:t>
            </w:r>
            <w:r>
              <w:rPr>
                <w:rFonts w:hint="eastAsia" w:ascii="仿宋" w:hAnsi="仿宋" w:eastAsia="仿宋" w:cs="宋体"/>
                <w:kern w:val="0"/>
                <w:szCs w:val="21"/>
                <w:highlight w:val="none"/>
                <w:lang w:eastAsia="zh-CN"/>
              </w:rPr>
              <w:t>④</w:t>
            </w:r>
            <w:r>
              <w:rPr>
                <w:rFonts w:hint="eastAsia" w:ascii="仿宋" w:hAnsi="仿宋" w:eastAsia="仿宋" w:cs="宋体"/>
                <w:kern w:val="0"/>
                <w:szCs w:val="21"/>
                <w:highlight w:val="none"/>
              </w:rPr>
              <w:t>售后人员保障等。</w:t>
            </w:r>
          </w:p>
          <w:p w14:paraId="2D34201C">
            <w:pPr>
              <w:rPr>
                <w:highlight w:val="none"/>
              </w:rPr>
            </w:pPr>
            <w:r>
              <w:rPr>
                <w:rFonts w:hint="eastAsia" w:ascii="仿宋" w:hAnsi="仿宋" w:eastAsia="仿宋" w:cs="Times New Roman"/>
                <w:sz w:val="21"/>
                <w:szCs w:val="21"/>
                <w:highlight w:val="none"/>
                <w:lang w:eastAsia="zh-CN"/>
              </w:rPr>
              <w:t xml:space="preserve">提供相关方案的得 </w:t>
            </w:r>
            <w:r>
              <w:rPr>
                <w:rFonts w:hint="eastAsia" w:ascii="仿宋" w:hAnsi="仿宋" w:eastAsia="仿宋" w:cs="Times New Roman"/>
                <w:sz w:val="21"/>
                <w:szCs w:val="21"/>
                <w:highlight w:val="none"/>
                <w:lang w:val="en-US" w:eastAsia="zh-CN"/>
              </w:rPr>
              <w:t>8</w:t>
            </w:r>
            <w:r>
              <w:rPr>
                <w:rFonts w:hint="eastAsia" w:ascii="仿宋" w:hAnsi="仿宋" w:eastAsia="仿宋" w:cs="Times New Roman"/>
                <w:sz w:val="21"/>
                <w:szCs w:val="21"/>
                <w:highlight w:val="none"/>
                <w:lang w:eastAsia="zh-CN"/>
              </w:rPr>
              <w:t xml:space="preserve"> 分，以此为基础，</w:t>
            </w:r>
            <w:r>
              <w:rPr>
                <w:rFonts w:hint="eastAsia" w:ascii="仿宋" w:hAnsi="仿宋" w:eastAsia="仿宋" w:cs="Times New Roman"/>
                <w:sz w:val="21"/>
                <w:szCs w:val="21"/>
                <w:highlight w:val="none"/>
                <w:lang w:val="en-US" w:eastAsia="zh-CN"/>
              </w:rPr>
              <w:t>所提供的</w:t>
            </w:r>
            <w:r>
              <w:rPr>
                <w:rFonts w:hint="eastAsia" w:ascii="仿宋" w:hAnsi="仿宋" w:eastAsia="仿宋" w:cs="Times New Roman"/>
                <w:sz w:val="21"/>
                <w:szCs w:val="21"/>
                <w:highlight w:val="none"/>
                <w:lang w:eastAsia="zh-CN"/>
              </w:rPr>
              <w:t>方案</w:t>
            </w:r>
            <w:r>
              <w:rPr>
                <w:rFonts w:hint="eastAsia" w:ascii="仿宋" w:hAnsi="仿宋" w:eastAsia="仿宋" w:cs="Times New Roman"/>
                <w:sz w:val="21"/>
                <w:szCs w:val="21"/>
                <w:highlight w:val="none"/>
                <w:lang w:val="en-US" w:eastAsia="zh-CN"/>
              </w:rPr>
              <w:t>中</w:t>
            </w:r>
            <w:r>
              <w:rPr>
                <w:rFonts w:hint="eastAsia" w:ascii="仿宋" w:hAnsi="仿宋" w:eastAsia="仿宋" w:cs="Times New Roman"/>
                <w:sz w:val="21"/>
                <w:szCs w:val="21"/>
                <w:highlight w:val="none"/>
                <w:lang w:eastAsia="zh-CN"/>
              </w:rPr>
              <w:t>每有一项</w:t>
            </w:r>
            <w:r>
              <w:rPr>
                <w:rFonts w:hint="eastAsia" w:ascii="仿宋" w:hAnsi="仿宋" w:eastAsia="仿宋" w:cs="Times New Roman"/>
                <w:sz w:val="21"/>
                <w:szCs w:val="21"/>
                <w:highlight w:val="none"/>
                <w:lang w:val="en-US" w:eastAsia="zh-CN"/>
              </w:rPr>
              <w:t>内容</w:t>
            </w:r>
            <w:r>
              <w:rPr>
                <w:rFonts w:hint="eastAsia" w:ascii="仿宋" w:hAnsi="仿宋" w:eastAsia="仿宋" w:cs="Times New Roman"/>
                <w:sz w:val="21"/>
                <w:szCs w:val="21"/>
                <w:highlight w:val="none"/>
                <w:lang w:eastAsia="zh-CN"/>
              </w:rPr>
              <w:t>进行了深化、量化、拓展</w:t>
            </w:r>
            <w:r>
              <w:rPr>
                <w:rFonts w:hint="eastAsia" w:ascii="仿宋" w:hAnsi="仿宋" w:eastAsia="仿宋" w:cs="Times New Roman"/>
                <w:sz w:val="21"/>
                <w:szCs w:val="21"/>
                <w:highlight w:val="none"/>
                <w:lang w:val="en-US" w:eastAsia="zh-CN"/>
              </w:rPr>
              <w:t>或</w:t>
            </w:r>
            <w:r>
              <w:rPr>
                <w:rFonts w:hint="eastAsia" w:ascii="仿宋" w:hAnsi="仿宋" w:eastAsia="仿宋" w:cs="Times New Roman"/>
                <w:sz w:val="21"/>
                <w:szCs w:val="21"/>
                <w:highlight w:val="none"/>
                <w:lang w:eastAsia="zh-CN"/>
              </w:rPr>
              <w:t>提出经评审专家认可的合理化建议的加 1 分，加至</w:t>
            </w:r>
            <w:r>
              <w:rPr>
                <w:rFonts w:hint="eastAsia" w:ascii="仿宋" w:hAnsi="仿宋" w:eastAsia="仿宋" w:cs="Times New Roman"/>
                <w:sz w:val="21"/>
                <w:szCs w:val="21"/>
                <w:highlight w:val="none"/>
                <w:lang w:val="en-US" w:eastAsia="zh-CN"/>
              </w:rPr>
              <w:t>12分</w:t>
            </w:r>
            <w:r>
              <w:rPr>
                <w:rFonts w:hint="eastAsia" w:ascii="仿宋" w:hAnsi="仿宋" w:eastAsia="仿宋" w:cs="Times New Roman"/>
                <w:sz w:val="21"/>
                <w:szCs w:val="21"/>
                <w:highlight w:val="none"/>
                <w:lang w:eastAsia="zh-CN"/>
              </w:rPr>
              <w:t>为止；每缺失一条扣</w:t>
            </w:r>
            <w:r>
              <w:rPr>
                <w:rFonts w:hint="eastAsia" w:ascii="仿宋" w:hAnsi="仿宋" w:eastAsia="仿宋" w:cs="Times New Roman"/>
                <w:sz w:val="21"/>
                <w:szCs w:val="21"/>
                <w:highlight w:val="none"/>
                <w:lang w:val="en-US" w:eastAsia="zh-CN"/>
              </w:rPr>
              <w:t>2</w:t>
            </w:r>
            <w:r>
              <w:rPr>
                <w:rFonts w:hint="eastAsia" w:ascii="仿宋" w:hAnsi="仿宋" w:eastAsia="仿宋" w:cs="Times New Roman"/>
                <w:sz w:val="21"/>
                <w:szCs w:val="21"/>
                <w:highlight w:val="none"/>
                <w:lang w:eastAsia="zh-CN"/>
              </w:rPr>
              <w:t>分；每有一处描述不清或逻辑混乱有欠缺的扣</w:t>
            </w:r>
            <w:r>
              <w:rPr>
                <w:rFonts w:hint="eastAsia" w:ascii="仿宋" w:hAnsi="仿宋" w:eastAsia="仿宋" w:cs="Times New Roman"/>
                <w:sz w:val="21"/>
                <w:szCs w:val="21"/>
                <w:highlight w:val="none"/>
                <w:lang w:val="en-US" w:eastAsia="zh-CN"/>
              </w:rPr>
              <w:t>1</w:t>
            </w:r>
            <w:r>
              <w:rPr>
                <w:rFonts w:hint="eastAsia" w:ascii="仿宋" w:hAnsi="仿宋" w:eastAsia="仿宋" w:cs="Times New Roman"/>
                <w:sz w:val="21"/>
                <w:szCs w:val="21"/>
                <w:highlight w:val="none"/>
                <w:lang w:eastAsia="zh-CN"/>
              </w:rPr>
              <w:t>分，扣完为止。</w:t>
            </w:r>
          </w:p>
        </w:tc>
        <w:tc>
          <w:tcPr>
            <w:tcW w:w="0" w:type="auto"/>
            <w:tcBorders>
              <w:top w:val="single" w:color="auto" w:sz="4" w:space="0"/>
              <w:left w:val="single" w:color="auto" w:sz="4" w:space="0"/>
              <w:bottom w:val="single" w:color="auto" w:sz="4" w:space="0"/>
              <w:right w:val="single" w:color="auto" w:sz="4" w:space="0"/>
            </w:tcBorders>
            <w:vAlign w:val="center"/>
          </w:tcPr>
          <w:p w14:paraId="66A146F4">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lang w:val="en-US" w:eastAsia="zh-CN"/>
              </w:rPr>
              <w:t>12</w:t>
            </w:r>
            <w:r>
              <w:rPr>
                <w:rFonts w:hint="eastAsia" w:ascii="仿宋" w:hAnsi="仿宋" w:eastAsia="仿宋" w:cs="Courier New"/>
                <w:sz w:val="21"/>
                <w:szCs w:val="21"/>
                <w:highlight w:val="none"/>
              </w:rPr>
              <w:t>分</w:t>
            </w:r>
          </w:p>
        </w:tc>
      </w:tr>
      <w:tr w14:paraId="48D7D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748F5E13">
            <w:pPr>
              <w:pStyle w:val="12"/>
              <w:snapToGrid w:val="0"/>
              <w:spacing w:line="360" w:lineRule="auto"/>
              <w:ind w:firstLine="0"/>
              <w:rPr>
                <w:rFonts w:ascii="仿宋" w:hAnsi="仿宋" w:eastAsia="仿宋" w:cs="Courier New"/>
                <w:b/>
                <w:sz w:val="21"/>
                <w:szCs w:val="21"/>
                <w:highlight w:val="none"/>
              </w:rPr>
            </w:pPr>
            <w:r>
              <w:rPr>
                <w:rFonts w:ascii="仿宋" w:hAnsi="仿宋" w:eastAsia="仿宋" w:cs="Courier New"/>
                <w:b/>
                <w:sz w:val="21"/>
                <w:szCs w:val="21"/>
                <w:highlight w:val="none"/>
              </w:rPr>
              <w:t>D</w:t>
            </w:r>
            <w:r>
              <w:rPr>
                <w:rFonts w:hint="eastAsia" w:ascii="仿宋" w:hAnsi="仿宋" w:eastAsia="仿宋" w:cs="Courier New"/>
                <w:b/>
                <w:sz w:val="21"/>
                <w:szCs w:val="21"/>
                <w:highlight w:val="none"/>
              </w:rPr>
              <w:t>:</w:t>
            </w:r>
            <w:r>
              <w:rPr>
                <w:rFonts w:hint="eastAsia" w:ascii="仿宋" w:hAnsi="仿宋" w:eastAsia="仿宋"/>
                <w:sz w:val="21"/>
                <w:szCs w:val="21"/>
                <w:highlight w:val="none"/>
              </w:rPr>
              <w:t xml:space="preserve"> </w:t>
            </w:r>
            <w:r>
              <w:rPr>
                <w:rFonts w:hint="eastAsia" w:ascii="仿宋" w:hAnsi="仿宋" w:eastAsia="仿宋" w:cs="Courier New"/>
                <w:b/>
                <w:sz w:val="21"/>
                <w:szCs w:val="21"/>
                <w:highlight w:val="none"/>
              </w:rPr>
              <w:t>属于中小企业评审优惠内容及价格扣除幅度</w:t>
            </w:r>
          </w:p>
        </w:tc>
      </w:tr>
      <w:tr w14:paraId="0E21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4E280306">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根据中华人民共和国财政部、中华人民共和国工业和信息化部《政府采购促进中小企业发展管理办法》（财库[2020]46号）、《关于进一步加大政府采购支持中小企业力度的通知》（财库〔2022〕19号）文件的规定，属于中小企业评审优惠内容及幅度如下：</w:t>
            </w:r>
          </w:p>
          <w:p w14:paraId="1BB6DDDE">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（一）中小企业（含中型、小型、微型企业）应当同时符合以下条件：</w:t>
            </w:r>
          </w:p>
          <w:p w14:paraId="727B1C4B">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①符合中小企业划分标准（按《关于印发中小企业划型标准规定的通知》（工信部联企业〔2011〕300号）执行）；</w:t>
            </w:r>
          </w:p>
          <w:p w14:paraId="6113B75C">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②提供本企业制造的货物、承担的项目或者服务，或者提供其他中小企业制造的货物。本项所称货物不包括使用大型企业注册商标的货物；</w:t>
            </w:r>
          </w:p>
          <w:p w14:paraId="1BBFE8E0">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③小型、微型企业提供中型企业制造的货物的，视同为中型企业。</w:t>
            </w:r>
          </w:p>
          <w:p w14:paraId="6DB7B506">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监狱企业、残疾人福利性企业视同为小微企业。</w:t>
            </w:r>
          </w:p>
          <w:p w14:paraId="2CF64B25">
            <w:pPr>
              <w:pStyle w:val="12"/>
              <w:widowControl w:val="0"/>
              <w:numPr>
                <w:ilvl w:val="0"/>
                <w:numId w:val="3"/>
              </w:numPr>
              <w:snapToGrid w:val="0"/>
              <w:spacing w:line="360" w:lineRule="auto"/>
              <w:ind w:firstLine="0"/>
              <w:jc w:val="both"/>
              <w:rPr>
                <w:rFonts w:ascii="仿宋" w:hAnsi="仿宋" w:eastAsia="仿宋" w:cs="仿宋"/>
                <w:bCs/>
                <w:sz w:val="21"/>
                <w:szCs w:val="21"/>
                <w:highlight w:val="none"/>
              </w:rPr>
            </w:pPr>
            <w:r>
              <w:rPr>
                <w:rFonts w:hint="eastAsia" w:ascii="仿宋" w:hAnsi="仿宋" w:eastAsia="仿宋" w:cs="仿宋"/>
                <w:bCs/>
                <w:sz w:val="21"/>
                <w:szCs w:val="21"/>
                <w:highlight w:val="none"/>
              </w:rPr>
              <w:t>价格扣除办法：对于非专门面向中小企业的项目，对小型和微型企业（或联合体各方均为小型、微型企业的）产品的价格给予1</w:t>
            </w:r>
            <w:r>
              <w:rPr>
                <w:rFonts w:ascii="仿宋" w:hAnsi="仿宋" w:eastAsia="仿宋" w:cs="仿宋"/>
                <w:bCs/>
                <w:sz w:val="21"/>
                <w:szCs w:val="21"/>
                <w:highlight w:val="none"/>
              </w:rPr>
              <w:t>0</w:t>
            </w:r>
            <w:r>
              <w:rPr>
                <w:rFonts w:hint="eastAsia" w:ascii="仿宋" w:hAnsi="仿宋" w:eastAsia="仿宋" w:cs="仿宋"/>
                <w:bCs/>
                <w:sz w:val="21"/>
                <w:szCs w:val="21"/>
                <w:highlight w:val="none"/>
              </w:rPr>
              <w:t>%的扣除，用扣除后的价格参与价格分的评审。</w:t>
            </w:r>
          </w:p>
          <w:p w14:paraId="11CD015F">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仿宋"/>
                <w:bCs/>
                <w:sz w:val="21"/>
                <w:szCs w:val="21"/>
                <w:highlight w:val="none"/>
              </w:rPr>
              <w:t>（三）小型和微型企业适用价格扣除办法时应提供的相关资料：《中小企业声明函》。</w:t>
            </w:r>
          </w:p>
        </w:tc>
      </w:tr>
    </w:tbl>
    <w:p w14:paraId="40361E83">
      <w:pPr>
        <w:widowControl/>
        <w:adjustRightInd w:val="0"/>
        <w:snapToGrid w:val="0"/>
        <w:spacing w:line="360" w:lineRule="auto"/>
        <w:jc w:val="left"/>
        <w:rPr>
          <w:rFonts w:hint="eastAsia" w:ascii="宋体" w:hAnsi="宋体"/>
          <w:b/>
          <w:bCs/>
          <w:szCs w:val="21"/>
          <w:highlight w:val="none"/>
          <w:lang w:eastAsia="zh-CN"/>
        </w:rPr>
      </w:pPr>
    </w:p>
    <w:p w14:paraId="3F92E358">
      <w:pPr>
        <w:widowControl/>
        <w:adjustRightInd w:val="0"/>
        <w:snapToGrid w:val="0"/>
        <w:spacing w:line="360" w:lineRule="auto"/>
        <w:jc w:val="left"/>
        <w:rPr>
          <w:rFonts w:hint="eastAsia" w:ascii="宋体" w:hAnsi="宋体"/>
          <w:b/>
          <w:bCs/>
          <w:szCs w:val="21"/>
          <w:highlight w:val="none"/>
          <w:lang w:val="en-US" w:eastAsia="zh-CN"/>
        </w:rPr>
      </w:pPr>
      <w:r>
        <w:rPr>
          <w:rFonts w:hint="eastAsia" w:ascii="宋体" w:hAnsi="宋体"/>
          <w:b/>
          <w:bCs/>
          <w:szCs w:val="21"/>
          <w:highlight w:val="none"/>
          <w:lang w:eastAsia="zh-CN"/>
        </w:rPr>
        <w:t>标项</w:t>
      </w:r>
      <w:r>
        <w:rPr>
          <w:rFonts w:hint="eastAsia" w:ascii="宋体" w:hAnsi="宋体"/>
          <w:b/>
          <w:bCs/>
          <w:szCs w:val="21"/>
          <w:highlight w:val="none"/>
          <w:lang w:val="en-US" w:eastAsia="zh-CN"/>
        </w:rPr>
        <w:t>5：</w:t>
      </w:r>
    </w:p>
    <w:tbl>
      <w:tblPr>
        <w:tblStyle w:val="46"/>
        <w:tblW w:w="10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6"/>
        <w:gridCol w:w="7171"/>
        <w:gridCol w:w="427"/>
      </w:tblGrid>
      <w:tr w14:paraId="03014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632" w:type="dxa"/>
            <w:tcBorders>
              <w:top w:val="single" w:color="auto" w:sz="4" w:space="0"/>
              <w:left w:val="single" w:color="auto" w:sz="4" w:space="0"/>
              <w:bottom w:val="single" w:color="auto" w:sz="4" w:space="0"/>
              <w:right w:val="single" w:color="auto" w:sz="4" w:space="0"/>
            </w:tcBorders>
            <w:vAlign w:val="center"/>
          </w:tcPr>
          <w:p w14:paraId="7D0AC7FC">
            <w:pPr>
              <w:pStyle w:val="12"/>
              <w:snapToGrid w:val="0"/>
              <w:spacing w:line="360" w:lineRule="auto"/>
              <w:ind w:firstLine="0"/>
              <w:jc w:val="center"/>
              <w:rPr>
                <w:rFonts w:ascii="仿宋" w:hAnsi="仿宋" w:eastAsia="仿宋" w:cs="Courier New"/>
                <w:b/>
                <w:sz w:val="21"/>
                <w:szCs w:val="21"/>
                <w:highlight w:val="none"/>
              </w:rPr>
            </w:pPr>
            <w:r>
              <w:rPr>
                <w:rFonts w:hint="eastAsia" w:ascii="仿宋" w:hAnsi="仿宋" w:eastAsia="仿宋" w:cs="Courier New"/>
                <w:b/>
                <w:sz w:val="21"/>
                <w:szCs w:val="21"/>
                <w:highlight w:val="none"/>
              </w:rPr>
              <w:t>项目</w:t>
            </w:r>
          </w:p>
        </w:tc>
        <w:tc>
          <w:tcPr>
            <w:tcW w:w="7135" w:type="dxa"/>
            <w:tcBorders>
              <w:top w:val="single" w:color="auto" w:sz="4" w:space="0"/>
              <w:left w:val="single" w:color="auto" w:sz="4" w:space="0"/>
              <w:bottom w:val="single" w:color="auto" w:sz="4" w:space="0"/>
              <w:right w:val="single" w:color="auto" w:sz="4" w:space="0"/>
            </w:tcBorders>
            <w:vAlign w:val="center"/>
          </w:tcPr>
          <w:p w14:paraId="207E7378">
            <w:pPr>
              <w:pStyle w:val="12"/>
              <w:snapToGrid w:val="0"/>
              <w:spacing w:line="360" w:lineRule="auto"/>
              <w:ind w:firstLine="0"/>
              <w:jc w:val="center"/>
              <w:rPr>
                <w:rFonts w:ascii="仿宋" w:hAnsi="仿宋" w:eastAsia="仿宋" w:cs="Courier New"/>
                <w:b/>
                <w:sz w:val="21"/>
                <w:szCs w:val="21"/>
                <w:highlight w:val="none"/>
              </w:rPr>
            </w:pPr>
            <w:r>
              <w:rPr>
                <w:rFonts w:hint="eastAsia" w:ascii="仿宋" w:hAnsi="仿宋" w:eastAsia="仿宋" w:cs="Courier New"/>
                <w:b/>
                <w:sz w:val="21"/>
                <w:szCs w:val="21"/>
                <w:highlight w:val="none"/>
              </w:rPr>
              <w:t>评审内容</w:t>
            </w:r>
          </w:p>
        </w:tc>
        <w:tc>
          <w:tcPr>
            <w:tcW w:w="0" w:type="auto"/>
            <w:tcBorders>
              <w:top w:val="single" w:color="auto" w:sz="4" w:space="0"/>
              <w:left w:val="single" w:color="auto" w:sz="4" w:space="0"/>
              <w:bottom w:val="single" w:color="auto" w:sz="4" w:space="0"/>
              <w:right w:val="single" w:color="auto" w:sz="4" w:space="0"/>
            </w:tcBorders>
            <w:vAlign w:val="center"/>
          </w:tcPr>
          <w:p w14:paraId="52C92E3A">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分值</w:t>
            </w:r>
          </w:p>
        </w:tc>
      </w:tr>
      <w:tr w14:paraId="362E3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64CAECF6">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A：价格评分30分</w:t>
            </w:r>
          </w:p>
        </w:tc>
      </w:tr>
      <w:tr w14:paraId="2A084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632" w:type="dxa"/>
            <w:tcBorders>
              <w:top w:val="single" w:color="auto" w:sz="4" w:space="0"/>
              <w:left w:val="single" w:color="auto" w:sz="4" w:space="0"/>
              <w:bottom w:val="single" w:color="auto" w:sz="4" w:space="0"/>
              <w:right w:val="single" w:color="auto" w:sz="4" w:space="0"/>
            </w:tcBorders>
            <w:vAlign w:val="center"/>
          </w:tcPr>
          <w:p w14:paraId="3A129732">
            <w:pPr>
              <w:pStyle w:val="12"/>
              <w:snapToGrid w:val="0"/>
              <w:spacing w:line="360" w:lineRule="auto"/>
              <w:ind w:firstLine="0"/>
              <w:jc w:val="center"/>
              <w:rPr>
                <w:rFonts w:ascii="仿宋" w:hAnsi="仿宋" w:eastAsia="仿宋" w:cs="Courier New"/>
                <w:sz w:val="21"/>
                <w:szCs w:val="21"/>
                <w:highlight w:val="none"/>
              </w:rPr>
            </w:pPr>
            <w:r>
              <w:rPr>
                <w:rFonts w:hint="eastAsia" w:ascii="仿宋" w:hAnsi="仿宋" w:eastAsia="仿宋" w:cs="Courier New"/>
                <w:sz w:val="21"/>
                <w:szCs w:val="21"/>
                <w:highlight w:val="none"/>
              </w:rPr>
              <w:t>价格</w:t>
            </w:r>
          </w:p>
        </w:tc>
        <w:tc>
          <w:tcPr>
            <w:tcW w:w="7135" w:type="dxa"/>
            <w:tcBorders>
              <w:top w:val="single" w:color="auto" w:sz="4" w:space="0"/>
              <w:left w:val="single" w:color="auto" w:sz="4" w:space="0"/>
              <w:bottom w:val="single" w:color="auto" w:sz="4" w:space="0"/>
              <w:right w:val="single" w:color="auto" w:sz="4" w:space="0"/>
            </w:tcBorders>
            <w:vAlign w:val="center"/>
          </w:tcPr>
          <w:p w14:paraId="5AF1DDB2">
            <w:pPr>
              <w:widowControl/>
              <w:spacing w:line="360" w:lineRule="auto"/>
              <w:jc w:val="left"/>
              <w:textAlignment w:val="center"/>
              <w:rPr>
                <w:rFonts w:ascii="仿宋" w:hAnsi="仿宋" w:eastAsia="仿宋" w:cs="宋体"/>
                <w:b/>
                <w:bCs/>
                <w:kern w:val="0"/>
                <w:szCs w:val="21"/>
                <w:highlight w:val="none"/>
              </w:rPr>
            </w:pPr>
            <w:r>
              <w:rPr>
                <w:rFonts w:hint="eastAsia" w:ascii="仿宋" w:hAnsi="仿宋" w:eastAsia="仿宋" w:cs="宋体"/>
                <w:b/>
                <w:bCs/>
                <w:kern w:val="0"/>
                <w:szCs w:val="21"/>
                <w:highlight w:val="none"/>
              </w:rPr>
              <w:t>基准值的确定：评标基准价=有效报价的最低值，</w:t>
            </w:r>
          </w:p>
          <w:p w14:paraId="20673496">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宋体"/>
                <w:sz w:val="21"/>
                <w:szCs w:val="21"/>
                <w:highlight w:val="none"/>
              </w:rPr>
              <w:t>报价得分=（评标基准价/投标报价）</w:t>
            </w:r>
            <w:r>
              <w:rPr>
                <w:rFonts w:hint="eastAsia" w:ascii="仿宋" w:hAnsi="仿宋" w:eastAsia="仿宋"/>
                <w:b/>
                <w:sz w:val="21"/>
                <w:szCs w:val="21"/>
                <w:highlight w:val="none"/>
              </w:rPr>
              <w:t>×</w:t>
            </w:r>
            <w:r>
              <w:rPr>
                <w:rFonts w:hint="eastAsia" w:ascii="仿宋" w:hAnsi="仿宋" w:eastAsia="仿宋" w:cs="宋体"/>
                <w:sz w:val="21"/>
                <w:szCs w:val="21"/>
                <w:highlight w:val="none"/>
              </w:rPr>
              <w:t>30%</w:t>
            </w:r>
            <w:r>
              <w:rPr>
                <w:rFonts w:hint="eastAsia" w:ascii="仿宋" w:hAnsi="仿宋" w:eastAsia="仿宋"/>
                <w:b/>
                <w:sz w:val="21"/>
                <w:szCs w:val="21"/>
                <w:highlight w:val="none"/>
              </w:rPr>
              <w:t>×</w:t>
            </w:r>
            <w:r>
              <w:rPr>
                <w:rFonts w:hint="eastAsia" w:ascii="仿宋" w:hAnsi="仿宋" w:eastAsia="仿宋" w:cs="宋体"/>
                <w:sz w:val="21"/>
                <w:szCs w:val="21"/>
                <w:highlight w:val="none"/>
              </w:rPr>
              <w:t>100.有效报价为通过初步审查的供应商报价。有效报价等于基准值的得满分</w:t>
            </w:r>
          </w:p>
        </w:tc>
        <w:tc>
          <w:tcPr>
            <w:tcW w:w="0" w:type="auto"/>
            <w:tcBorders>
              <w:top w:val="single" w:color="auto" w:sz="4" w:space="0"/>
              <w:left w:val="single" w:color="auto" w:sz="4" w:space="0"/>
              <w:bottom w:val="single" w:color="auto" w:sz="4" w:space="0"/>
              <w:right w:val="single" w:color="auto" w:sz="4" w:space="0"/>
            </w:tcBorders>
            <w:vAlign w:val="center"/>
          </w:tcPr>
          <w:p w14:paraId="2C578781">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rPr>
              <w:t>30分</w:t>
            </w:r>
          </w:p>
        </w:tc>
      </w:tr>
      <w:tr w14:paraId="665FC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20FF395D">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B：商务部分评分</w:t>
            </w:r>
            <w:r>
              <w:rPr>
                <w:rFonts w:hint="eastAsia" w:ascii="仿宋" w:hAnsi="仿宋" w:eastAsia="仿宋" w:cs="Courier New"/>
                <w:b/>
                <w:sz w:val="21"/>
                <w:szCs w:val="21"/>
                <w:highlight w:val="none"/>
                <w:lang w:val="en-US" w:eastAsia="zh-CN"/>
              </w:rPr>
              <w:t>10</w:t>
            </w:r>
            <w:r>
              <w:rPr>
                <w:rFonts w:hint="eastAsia" w:ascii="仿宋" w:hAnsi="仿宋" w:eastAsia="仿宋" w:cs="Courier New"/>
                <w:b/>
                <w:sz w:val="21"/>
                <w:szCs w:val="21"/>
                <w:highlight w:val="none"/>
              </w:rPr>
              <w:t>分</w:t>
            </w:r>
          </w:p>
        </w:tc>
      </w:tr>
      <w:tr w14:paraId="19E62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2632" w:type="dxa"/>
            <w:tcBorders>
              <w:top w:val="single" w:color="auto" w:sz="4" w:space="0"/>
              <w:left w:val="single" w:color="auto" w:sz="4" w:space="0"/>
              <w:bottom w:val="single" w:color="auto" w:sz="4" w:space="0"/>
              <w:right w:val="single" w:color="auto" w:sz="4" w:space="0"/>
            </w:tcBorders>
            <w:vAlign w:val="center"/>
          </w:tcPr>
          <w:p w14:paraId="47C6367A">
            <w:pPr>
              <w:pStyle w:val="12"/>
              <w:snapToGrid w:val="0"/>
              <w:spacing w:line="360" w:lineRule="auto"/>
              <w:ind w:firstLine="0"/>
              <w:jc w:val="center"/>
              <w:rPr>
                <w:rFonts w:ascii="仿宋" w:hAnsi="仿宋" w:eastAsia="仿宋" w:cs="宋体"/>
                <w:sz w:val="21"/>
                <w:szCs w:val="21"/>
                <w:highlight w:val="none"/>
              </w:rPr>
            </w:pPr>
            <w:r>
              <w:rPr>
                <w:rFonts w:hint="eastAsia" w:ascii="仿宋" w:hAnsi="仿宋" w:eastAsia="仿宋" w:cs="宋体"/>
                <w:sz w:val="21"/>
                <w:szCs w:val="21"/>
                <w:highlight w:val="none"/>
              </w:rPr>
              <w:t>相关业绩</w:t>
            </w:r>
          </w:p>
        </w:tc>
        <w:tc>
          <w:tcPr>
            <w:tcW w:w="7135" w:type="dxa"/>
            <w:tcBorders>
              <w:top w:val="single" w:color="auto" w:sz="4" w:space="0"/>
              <w:left w:val="single" w:color="auto" w:sz="4" w:space="0"/>
              <w:bottom w:val="single" w:color="auto" w:sz="4" w:space="0"/>
              <w:right w:val="single" w:color="auto" w:sz="4" w:space="0"/>
            </w:tcBorders>
            <w:vAlign w:val="center"/>
          </w:tcPr>
          <w:p w14:paraId="3B21EFFD">
            <w:pPr>
              <w:pStyle w:val="12"/>
              <w:snapToGrid w:val="0"/>
              <w:spacing w:line="360" w:lineRule="auto"/>
              <w:ind w:firstLine="0"/>
              <w:rPr>
                <w:rFonts w:ascii="仿宋" w:hAnsi="仿宋" w:eastAsia="仿宋"/>
                <w:sz w:val="21"/>
                <w:szCs w:val="21"/>
                <w:highlight w:val="none"/>
              </w:rPr>
            </w:pPr>
            <w:r>
              <w:rPr>
                <w:rFonts w:hint="eastAsia" w:ascii="仿宋" w:hAnsi="仿宋" w:eastAsia="仿宋"/>
                <w:sz w:val="21"/>
                <w:szCs w:val="21"/>
                <w:highlight w:val="none"/>
              </w:rPr>
              <w:t>提供20</w:t>
            </w:r>
            <w:r>
              <w:rPr>
                <w:rFonts w:ascii="仿宋" w:hAnsi="仿宋" w:eastAsia="仿宋"/>
                <w:sz w:val="21"/>
                <w:szCs w:val="21"/>
                <w:highlight w:val="none"/>
              </w:rPr>
              <w:t>2</w:t>
            </w:r>
            <w:r>
              <w:rPr>
                <w:rFonts w:hint="eastAsia" w:ascii="仿宋" w:hAnsi="仿宋" w:eastAsia="仿宋"/>
                <w:sz w:val="21"/>
                <w:szCs w:val="21"/>
                <w:highlight w:val="none"/>
                <w:lang w:val="en-US" w:eastAsia="zh-CN"/>
              </w:rPr>
              <w:t>2</w:t>
            </w:r>
            <w:r>
              <w:rPr>
                <w:rFonts w:hint="eastAsia" w:ascii="仿宋" w:hAnsi="仿宋" w:eastAsia="仿宋"/>
                <w:sz w:val="21"/>
                <w:szCs w:val="21"/>
                <w:highlight w:val="none"/>
              </w:rPr>
              <w:t>年</w:t>
            </w:r>
            <w:r>
              <w:rPr>
                <w:rFonts w:hint="eastAsia" w:ascii="仿宋" w:hAnsi="仿宋" w:eastAsia="仿宋"/>
                <w:sz w:val="21"/>
                <w:szCs w:val="21"/>
                <w:highlight w:val="none"/>
                <w:lang w:val="en-US" w:eastAsia="zh-CN"/>
              </w:rPr>
              <w:t>6</w:t>
            </w:r>
            <w:r>
              <w:rPr>
                <w:rFonts w:hint="eastAsia" w:ascii="仿宋" w:hAnsi="仿宋" w:eastAsia="仿宋"/>
                <w:sz w:val="21"/>
                <w:szCs w:val="21"/>
                <w:highlight w:val="none"/>
              </w:rPr>
              <w:t>月以来独立承担类似项目经验情况，拥有类似的相关业绩（需提供中标（成交）通知书或合同），每个业绩计</w:t>
            </w:r>
            <w:r>
              <w:rPr>
                <w:rFonts w:hint="eastAsia" w:ascii="仿宋" w:hAnsi="仿宋" w:eastAsia="仿宋"/>
                <w:sz w:val="21"/>
                <w:szCs w:val="21"/>
                <w:highlight w:val="none"/>
                <w:lang w:val="en-US" w:eastAsia="zh-CN"/>
              </w:rPr>
              <w:t>2</w:t>
            </w:r>
            <w:r>
              <w:rPr>
                <w:rFonts w:hint="eastAsia" w:ascii="仿宋" w:hAnsi="仿宋" w:eastAsia="仿宋"/>
                <w:sz w:val="21"/>
                <w:szCs w:val="21"/>
                <w:highlight w:val="none"/>
              </w:rPr>
              <w:t>分，最高得</w:t>
            </w:r>
            <w:r>
              <w:rPr>
                <w:rFonts w:hint="eastAsia" w:ascii="仿宋" w:hAnsi="仿宋" w:eastAsia="仿宋"/>
                <w:sz w:val="21"/>
                <w:szCs w:val="21"/>
                <w:highlight w:val="none"/>
                <w:lang w:val="en-US" w:eastAsia="zh-CN"/>
              </w:rPr>
              <w:t>10</w:t>
            </w:r>
            <w:r>
              <w:rPr>
                <w:rFonts w:hint="eastAsia" w:ascii="仿宋" w:hAnsi="仿宋" w:eastAsia="仿宋"/>
                <w:sz w:val="21"/>
                <w:szCs w:val="21"/>
                <w:highlight w:val="none"/>
              </w:rPr>
              <w:t>分。</w:t>
            </w:r>
          </w:p>
          <w:p w14:paraId="16F0F121">
            <w:pPr>
              <w:pStyle w:val="12"/>
              <w:snapToGrid w:val="0"/>
              <w:spacing w:line="360" w:lineRule="auto"/>
              <w:ind w:firstLine="0"/>
              <w:rPr>
                <w:rFonts w:ascii="仿宋" w:hAnsi="仿宋" w:eastAsia="仿宋"/>
                <w:sz w:val="21"/>
                <w:szCs w:val="21"/>
                <w:highlight w:val="none"/>
              </w:rPr>
            </w:pPr>
            <w:r>
              <w:rPr>
                <w:rFonts w:hint="eastAsia" w:ascii="仿宋" w:hAnsi="仿宋" w:eastAsia="仿宋"/>
                <w:sz w:val="21"/>
                <w:szCs w:val="21"/>
                <w:highlight w:val="none"/>
              </w:rPr>
              <w:t>注：以上材料需提供复印件并加盖公章</w:t>
            </w:r>
          </w:p>
        </w:tc>
        <w:tc>
          <w:tcPr>
            <w:tcW w:w="0" w:type="auto"/>
            <w:tcBorders>
              <w:top w:val="single" w:color="auto" w:sz="4" w:space="0"/>
              <w:left w:val="single" w:color="auto" w:sz="4" w:space="0"/>
              <w:bottom w:val="single" w:color="auto" w:sz="4" w:space="0"/>
              <w:right w:val="single" w:color="auto" w:sz="4" w:space="0"/>
            </w:tcBorders>
            <w:vAlign w:val="center"/>
          </w:tcPr>
          <w:p w14:paraId="1A22F7BE">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lang w:val="en-US" w:eastAsia="zh-CN"/>
              </w:rPr>
              <w:t>10</w:t>
            </w:r>
            <w:r>
              <w:rPr>
                <w:rFonts w:hint="eastAsia" w:ascii="仿宋" w:hAnsi="仿宋" w:eastAsia="仿宋" w:cs="Courier New"/>
                <w:sz w:val="21"/>
                <w:szCs w:val="21"/>
                <w:highlight w:val="none"/>
              </w:rPr>
              <w:t>分</w:t>
            </w:r>
          </w:p>
        </w:tc>
      </w:tr>
      <w:tr w14:paraId="0CA06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3B73A63C">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C：技术部分评分</w:t>
            </w:r>
            <w:r>
              <w:rPr>
                <w:rFonts w:hint="eastAsia" w:ascii="仿宋" w:hAnsi="仿宋" w:eastAsia="仿宋" w:cs="Courier New"/>
                <w:b/>
                <w:sz w:val="21"/>
                <w:szCs w:val="21"/>
                <w:highlight w:val="none"/>
                <w:lang w:val="en-US" w:eastAsia="zh-CN"/>
              </w:rPr>
              <w:t>60</w:t>
            </w:r>
            <w:r>
              <w:rPr>
                <w:rFonts w:hint="eastAsia" w:ascii="仿宋" w:hAnsi="仿宋" w:eastAsia="仿宋" w:cs="Courier New"/>
                <w:b/>
                <w:sz w:val="21"/>
                <w:szCs w:val="21"/>
                <w:highlight w:val="none"/>
              </w:rPr>
              <w:t>分</w:t>
            </w:r>
          </w:p>
        </w:tc>
      </w:tr>
      <w:tr w14:paraId="5BCB4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2632" w:type="dxa"/>
            <w:tcBorders>
              <w:top w:val="single" w:color="auto" w:sz="4" w:space="0"/>
              <w:left w:val="single" w:color="auto" w:sz="4" w:space="0"/>
              <w:bottom w:val="single" w:color="auto" w:sz="4" w:space="0"/>
              <w:right w:val="single" w:color="auto" w:sz="4" w:space="0"/>
            </w:tcBorders>
            <w:vAlign w:val="center"/>
          </w:tcPr>
          <w:p w14:paraId="496912D2">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rPr>
              <w:t>技术响应</w:t>
            </w:r>
          </w:p>
        </w:tc>
        <w:tc>
          <w:tcPr>
            <w:tcW w:w="7135" w:type="dxa"/>
            <w:tcBorders>
              <w:top w:val="single" w:color="auto" w:sz="4" w:space="0"/>
              <w:left w:val="single" w:color="auto" w:sz="4" w:space="0"/>
              <w:bottom w:val="single" w:color="auto" w:sz="4" w:space="0"/>
              <w:right w:val="single" w:color="auto" w:sz="4" w:space="0"/>
            </w:tcBorders>
            <w:vAlign w:val="center"/>
          </w:tcPr>
          <w:p w14:paraId="4C3429BA">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rPr>
              <w:t>响应文件对采购文件 “采购需求”的响应程度，完全满足采购文件要求的得3</w:t>
            </w:r>
            <w:r>
              <w:rPr>
                <w:rFonts w:ascii="仿宋" w:hAnsi="仿宋" w:eastAsia="仿宋" w:cs="宋体"/>
                <w:sz w:val="21"/>
                <w:szCs w:val="21"/>
                <w:highlight w:val="none"/>
              </w:rPr>
              <w:t>0</w:t>
            </w:r>
            <w:r>
              <w:rPr>
                <w:rFonts w:hint="eastAsia" w:ascii="仿宋" w:hAnsi="仿宋" w:eastAsia="仿宋" w:cs="宋体"/>
                <w:sz w:val="21"/>
                <w:szCs w:val="21"/>
                <w:highlight w:val="none"/>
              </w:rPr>
              <w:t>分；</w:t>
            </w:r>
          </w:p>
          <w:p w14:paraId="037D8D9B">
            <w:pPr>
              <w:widowControl/>
              <w:spacing w:line="360" w:lineRule="auto"/>
              <w:jc w:val="left"/>
              <w:rPr>
                <w:rFonts w:ascii="仿宋" w:hAnsi="仿宋" w:eastAsia="仿宋" w:cs="宋体"/>
                <w:kern w:val="0"/>
                <w:szCs w:val="21"/>
                <w:highlight w:val="none"/>
              </w:rPr>
            </w:pPr>
            <w:r>
              <w:rPr>
                <w:rFonts w:hint="eastAsia" w:ascii="仿宋" w:hAnsi="仿宋" w:eastAsia="仿宋" w:cs="宋体"/>
                <w:kern w:val="0"/>
                <w:szCs w:val="21"/>
                <w:highlight w:val="none"/>
              </w:rPr>
              <w:t>加“★”参数每项负偏离或未按要求提供响应的证明材料，扣2分，扣完为止；</w:t>
            </w:r>
          </w:p>
          <w:p w14:paraId="16826976">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rPr>
              <w:t>未加“★”参数每项负偏离或未按要求提供响应的证明材料，扣1分，扣完为止。</w:t>
            </w:r>
          </w:p>
          <w:p w14:paraId="456BE0BF">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rPr>
              <w:t>注：提供制造商公开发布的产品彩页或检测报告等证明材料。</w:t>
            </w:r>
          </w:p>
        </w:tc>
        <w:tc>
          <w:tcPr>
            <w:tcW w:w="0" w:type="auto"/>
            <w:tcBorders>
              <w:top w:val="single" w:color="auto" w:sz="4" w:space="0"/>
              <w:left w:val="single" w:color="auto" w:sz="4" w:space="0"/>
              <w:bottom w:val="single" w:color="auto" w:sz="4" w:space="0"/>
              <w:right w:val="single" w:color="auto" w:sz="4" w:space="0"/>
            </w:tcBorders>
            <w:vAlign w:val="center"/>
          </w:tcPr>
          <w:p w14:paraId="21B99DC4">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lang w:val="en-US" w:eastAsia="zh-CN"/>
              </w:rPr>
              <w:t>30</w:t>
            </w:r>
            <w:r>
              <w:rPr>
                <w:rFonts w:hint="eastAsia" w:ascii="仿宋" w:hAnsi="仿宋" w:eastAsia="仿宋" w:cs="Courier New"/>
                <w:sz w:val="21"/>
                <w:szCs w:val="21"/>
                <w:highlight w:val="none"/>
              </w:rPr>
              <w:t>分</w:t>
            </w:r>
          </w:p>
        </w:tc>
      </w:tr>
      <w:tr w14:paraId="51BD2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32" w:type="dxa"/>
            <w:vMerge w:val="restart"/>
            <w:tcBorders>
              <w:top w:val="single" w:color="auto" w:sz="4" w:space="0"/>
              <w:left w:val="single" w:color="auto" w:sz="4" w:space="0"/>
              <w:right w:val="single" w:color="auto" w:sz="4" w:space="0"/>
            </w:tcBorders>
            <w:vAlign w:val="center"/>
          </w:tcPr>
          <w:p w14:paraId="26E32B51">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宋体"/>
                <w:sz w:val="21"/>
                <w:szCs w:val="21"/>
                <w:highlight w:val="none"/>
              </w:rPr>
              <w:t>实施方案</w:t>
            </w:r>
          </w:p>
        </w:tc>
        <w:tc>
          <w:tcPr>
            <w:tcW w:w="7135" w:type="dxa"/>
            <w:tcBorders>
              <w:top w:val="single" w:color="auto" w:sz="4" w:space="0"/>
              <w:left w:val="single" w:color="auto" w:sz="4" w:space="0"/>
              <w:bottom w:val="single" w:color="auto" w:sz="4" w:space="0"/>
              <w:right w:val="single" w:color="auto" w:sz="4" w:space="0"/>
            </w:tcBorders>
            <w:vAlign w:val="center"/>
          </w:tcPr>
          <w:p w14:paraId="66513CD1">
            <w:pPr>
              <w:pStyle w:val="12"/>
              <w:snapToGrid w:val="0"/>
              <w:spacing w:line="360" w:lineRule="auto"/>
              <w:ind w:firstLine="0"/>
              <w:rPr>
                <w:rFonts w:ascii="仿宋" w:hAnsi="仿宋" w:eastAsia="仿宋"/>
                <w:sz w:val="21"/>
                <w:szCs w:val="21"/>
                <w:highlight w:val="none"/>
              </w:rPr>
            </w:pPr>
            <w:r>
              <w:rPr>
                <w:rFonts w:ascii="仿宋" w:hAnsi="仿宋" w:eastAsia="仿宋"/>
                <w:sz w:val="21"/>
                <w:szCs w:val="21"/>
                <w:highlight w:val="none"/>
              </w:rPr>
              <w:t>实施方案</w:t>
            </w:r>
            <w:r>
              <w:rPr>
                <w:rFonts w:hint="eastAsia" w:ascii="仿宋" w:hAnsi="仿宋" w:eastAsia="仿宋"/>
                <w:sz w:val="21"/>
                <w:szCs w:val="21"/>
                <w:highlight w:val="none"/>
              </w:rPr>
              <w:t>：</w:t>
            </w:r>
          </w:p>
          <w:p w14:paraId="3C70A10F">
            <w:pPr>
              <w:pStyle w:val="12"/>
              <w:snapToGrid w:val="0"/>
              <w:spacing w:line="360" w:lineRule="auto"/>
              <w:ind w:firstLine="0"/>
              <w:rPr>
                <w:rFonts w:ascii="仿宋" w:hAnsi="仿宋" w:eastAsia="仿宋"/>
                <w:sz w:val="21"/>
                <w:szCs w:val="21"/>
                <w:highlight w:val="none"/>
              </w:rPr>
            </w:pPr>
            <w:r>
              <w:rPr>
                <w:rFonts w:ascii="仿宋" w:hAnsi="仿宋" w:eastAsia="仿宋"/>
                <w:sz w:val="21"/>
                <w:szCs w:val="21"/>
                <w:highlight w:val="none"/>
              </w:rPr>
              <w:t xml:space="preserve">应充分了解实施项目建设内容，在理解基础上进行深入分析，保证本次项目顺利实施，投标人根据货物交付时间节点，落实生产计划、送货安装时间， 确保按期交付使用。 </w:t>
            </w:r>
          </w:p>
          <w:p w14:paraId="732A92C8">
            <w:pPr>
              <w:pStyle w:val="12"/>
              <w:snapToGrid w:val="0"/>
              <w:spacing w:line="360" w:lineRule="auto"/>
              <w:ind w:firstLine="0"/>
              <w:rPr>
                <w:rFonts w:ascii="仿宋" w:hAnsi="仿宋" w:eastAsia="仿宋"/>
                <w:sz w:val="21"/>
                <w:szCs w:val="21"/>
                <w:highlight w:val="none"/>
              </w:rPr>
            </w:pPr>
            <w:r>
              <w:rPr>
                <w:rFonts w:hint="eastAsia" w:ascii="仿宋" w:hAnsi="仿宋" w:eastAsia="仿宋" w:cs="Times New Roman"/>
                <w:sz w:val="21"/>
                <w:szCs w:val="21"/>
                <w:highlight w:val="none"/>
                <w:lang w:eastAsia="zh-CN"/>
              </w:rPr>
              <w:t>①</w:t>
            </w:r>
            <w:r>
              <w:rPr>
                <w:rFonts w:hint="default" w:ascii="仿宋" w:hAnsi="仿宋" w:eastAsia="仿宋" w:cs="Times New Roman"/>
                <w:sz w:val="21"/>
                <w:szCs w:val="21"/>
                <w:highlight w:val="none"/>
              </w:rPr>
              <w:t>供货方案</w:t>
            </w:r>
            <w:r>
              <w:rPr>
                <w:rFonts w:hint="eastAsia" w:ascii="仿宋" w:hAnsi="仿宋" w:eastAsia="仿宋" w:cs="Times New Roman"/>
                <w:sz w:val="21"/>
                <w:szCs w:val="21"/>
                <w:highlight w:val="none"/>
                <w:lang w:eastAsia="zh-CN"/>
              </w:rPr>
              <w:t>、②</w:t>
            </w:r>
            <w:r>
              <w:rPr>
                <w:rFonts w:hint="default" w:ascii="仿宋" w:hAnsi="仿宋" w:eastAsia="仿宋" w:cs="Times New Roman"/>
                <w:sz w:val="21"/>
                <w:szCs w:val="21"/>
                <w:highlight w:val="none"/>
              </w:rPr>
              <w:t>质量保障措施</w:t>
            </w:r>
            <w:r>
              <w:rPr>
                <w:rFonts w:hint="eastAsia" w:ascii="仿宋" w:hAnsi="仿宋" w:eastAsia="仿宋" w:cs="Times New Roman"/>
                <w:sz w:val="21"/>
                <w:szCs w:val="21"/>
                <w:highlight w:val="none"/>
                <w:lang w:eastAsia="zh-CN"/>
              </w:rPr>
              <w:t>、③</w:t>
            </w:r>
            <w:r>
              <w:rPr>
                <w:rFonts w:hint="default" w:ascii="仿宋" w:hAnsi="仿宋" w:eastAsia="仿宋" w:cs="Times New Roman"/>
                <w:sz w:val="21"/>
                <w:szCs w:val="21"/>
                <w:highlight w:val="none"/>
              </w:rPr>
              <w:t>进度计划与管控</w:t>
            </w:r>
            <w:r>
              <w:rPr>
                <w:rFonts w:hint="eastAsia" w:ascii="仿宋" w:hAnsi="仿宋" w:eastAsia="仿宋" w:cs="Times New Roman"/>
                <w:sz w:val="21"/>
                <w:szCs w:val="21"/>
                <w:highlight w:val="none"/>
                <w:lang w:eastAsia="zh-CN"/>
              </w:rPr>
              <w:t>、④</w:t>
            </w:r>
            <w:r>
              <w:rPr>
                <w:rFonts w:ascii="仿宋" w:hAnsi="仿宋" w:eastAsia="仿宋" w:cs="Times New Roman"/>
                <w:sz w:val="21"/>
                <w:szCs w:val="21"/>
                <w:highlight w:val="none"/>
              </w:rPr>
              <w:t>安装与调试</w:t>
            </w:r>
            <w:r>
              <w:rPr>
                <w:rFonts w:hint="eastAsia" w:ascii="仿宋" w:hAnsi="仿宋" w:eastAsia="仿宋" w:cs="Times New Roman"/>
                <w:sz w:val="21"/>
                <w:szCs w:val="21"/>
                <w:highlight w:val="none"/>
                <w:lang w:eastAsia="zh-CN"/>
              </w:rPr>
              <w:t>、⑤</w:t>
            </w:r>
            <w:r>
              <w:rPr>
                <w:rFonts w:ascii="仿宋" w:hAnsi="仿宋" w:eastAsia="仿宋" w:cs="Times New Roman"/>
                <w:sz w:val="21"/>
                <w:szCs w:val="21"/>
                <w:highlight w:val="none"/>
              </w:rPr>
              <w:t>培训服务</w:t>
            </w:r>
            <w:r>
              <w:rPr>
                <w:rFonts w:hint="eastAsia" w:ascii="仿宋" w:hAnsi="仿宋" w:eastAsia="仿宋" w:cs="Times New Roman"/>
                <w:sz w:val="21"/>
                <w:szCs w:val="21"/>
                <w:highlight w:val="none"/>
                <w:lang w:eastAsia="zh-CN"/>
              </w:rPr>
              <w:t xml:space="preserve">、⑥应急预案。提供相关方案的得 </w:t>
            </w:r>
            <w:r>
              <w:rPr>
                <w:rFonts w:hint="eastAsia" w:ascii="仿宋" w:hAnsi="仿宋" w:eastAsia="仿宋" w:cs="Times New Roman"/>
                <w:sz w:val="21"/>
                <w:szCs w:val="21"/>
                <w:highlight w:val="none"/>
                <w:lang w:val="en-US" w:eastAsia="zh-CN"/>
              </w:rPr>
              <w:t>12</w:t>
            </w:r>
            <w:r>
              <w:rPr>
                <w:rFonts w:hint="eastAsia" w:ascii="仿宋" w:hAnsi="仿宋" w:eastAsia="仿宋" w:cs="Times New Roman"/>
                <w:sz w:val="21"/>
                <w:szCs w:val="21"/>
                <w:highlight w:val="none"/>
                <w:lang w:eastAsia="zh-CN"/>
              </w:rPr>
              <w:t xml:space="preserve"> 分，以此为基础，</w:t>
            </w:r>
            <w:r>
              <w:rPr>
                <w:rFonts w:hint="eastAsia" w:ascii="仿宋" w:hAnsi="仿宋" w:eastAsia="仿宋" w:cs="Times New Roman"/>
                <w:sz w:val="21"/>
                <w:szCs w:val="21"/>
                <w:highlight w:val="none"/>
                <w:lang w:val="en-US" w:eastAsia="zh-CN"/>
              </w:rPr>
              <w:t>所提供的</w:t>
            </w:r>
            <w:r>
              <w:rPr>
                <w:rFonts w:hint="eastAsia" w:ascii="仿宋" w:hAnsi="仿宋" w:eastAsia="仿宋" w:cs="Times New Roman"/>
                <w:sz w:val="21"/>
                <w:szCs w:val="21"/>
                <w:highlight w:val="none"/>
                <w:lang w:eastAsia="zh-CN"/>
              </w:rPr>
              <w:t>方案</w:t>
            </w:r>
            <w:r>
              <w:rPr>
                <w:rFonts w:hint="eastAsia" w:ascii="仿宋" w:hAnsi="仿宋" w:eastAsia="仿宋" w:cs="Times New Roman"/>
                <w:sz w:val="21"/>
                <w:szCs w:val="21"/>
                <w:highlight w:val="none"/>
                <w:lang w:val="en-US" w:eastAsia="zh-CN"/>
              </w:rPr>
              <w:t>中</w:t>
            </w:r>
            <w:r>
              <w:rPr>
                <w:rFonts w:hint="eastAsia" w:ascii="仿宋" w:hAnsi="仿宋" w:eastAsia="仿宋" w:cs="Times New Roman"/>
                <w:sz w:val="21"/>
                <w:szCs w:val="21"/>
                <w:highlight w:val="none"/>
                <w:lang w:eastAsia="zh-CN"/>
              </w:rPr>
              <w:t>每有一项</w:t>
            </w:r>
            <w:r>
              <w:rPr>
                <w:rFonts w:hint="eastAsia" w:ascii="仿宋" w:hAnsi="仿宋" w:eastAsia="仿宋" w:cs="Times New Roman"/>
                <w:sz w:val="21"/>
                <w:szCs w:val="21"/>
                <w:highlight w:val="none"/>
                <w:lang w:val="en-US" w:eastAsia="zh-CN"/>
              </w:rPr>
              <w:t>内容</w:t>
            </w:r>
            <w:r>
              <w:rPr>
                <w:rFonts w:hint="eastAsia" w:ascii="仿宋" w:hAnsi="仿宋" w:eastAsia="仿宋" w:cs="Times New Roman"/>
                <w:sz w:val="21"/>
                <w:szCs w:val="21"/>
                <w:highlight w:val="none"/>
                <w:lang w:eastAsia="zh-CN"/>
              </w:rPr>
              <w:t>进行了深化、量化、拓展</w:t>
            </w:r>
            <w:r>
              <w:rPr>
                <w:rFonts w:hint="eastAsia" w:ascii="仿宋" w:hAnsi="仿宋" w:eastAsia="仿宋" w:cs="Times New Roman"/>
                <w:sz w:val="21"/>
                <w:szCs w:val="21"/>
                <w:highlight w:val="none"/>
                <w:lang w:val="en-US" w:eastAsia="zh-CN"/>
              </w:rPr>
              <w:t>或</w:t>
            </w:r>
            <w:r>
              <w:rPr>
                <w:rFonts w:hint="eastAsia" w:ascii="仿宋" w:hAnsi="仿宋" w:eastAsia="仿宋" w:cs="Times New Roman"/>
                <w:sz w:val="21"/>
                <w:szCs w:val="21"/>
                <w:highlight w:val="none"/>
                <w:lang w:eastAsia="zh-CN"/>
              </w:rPr>
              <w:t>提出经评审专家认可的合理化建议的加 1 分，加至</w:t>
            </w:r>
            <w:r>
              <w:rPr>
                <w:rFonts w:hint="eastAsia" w:ascii="仿宋" w:hAnsi="仿宋" w:eastAsia="仿宋" w:cs="Times New Roman"/>
                <w:sz w:val="21"/>
                <w:szCs w:val="21"/>
                <w:highlight w:val="none"/>
                <w:lang w:val="en-US" w:eastAsia="zh-CN"/>
              </w:rPr>
              <w:t>18分</w:t>
            </w:r>
            <w:r>
              <w:rPr>
                <w:rFonts w:hint="eastAsia" w:ascii="仿宋" w:hAnsi="仿宋" w:eastAsia="仿宋" w:cs="Times New Roman"/>
                <w:sz w:val="21"/>
                <w:szCs w:val="21"/>
                <w:highlight w:val="none"/>
                <w:lang w:eastAsia="zh-CN"/>
              </w:rPr>
              <w:t>为止；每缺失一条扣</w:t>
            </w:r>
            <w:r>
              <w:rPr>
                <w:rFonts w:hint="eastAsia" w:ascii="仿宋" w:hAnsi="仿宋" w:eastAsia="仿宋" w:cs="Times New Roman"/>
                <w:sz w:val="21"/>
                <w:szCs w:val="21"/>
                <w:highlight w:val="none"/>
                <w:lang w:val="en-US" w:eastAsia="zh-CN"/>
              </w:rPr>
              <w:t>2</w:t>
            </w:r>
            <w:r>
              <w:rPr>
                <w:rFonts w:hint="eastAsia" w:ascii="仿宋" w:hAnsi="仿宋" w:eastAsia="仿宋" w:cs="Times New Roman"/>
                <w:sz w:val="21"/>
                <w:szCs w:val="21"/>
                <w:highlight w:val="none"/>
                <w:lang w:eastAsia="zh-CN"/>
              </w:rPr>
              <w:t>分；每有一处描述不清或逻辑混乱有欠缺的扣</w:t>
            </w:r>
            <w:r>
              <w:rPr>
                <w:rFonts w:hint="eastAsia" w:ascii="仿宋" w:hAnsi="仿宋" w:eastAsia="仿宋" w:cs="Times New Roman"/>
                <w:sz w:val="21"/>
                <w:szCs w:val="21"/>
                <w:highlight w:val="none"/>
                <w:lang w:val="en-US" w:eastAsia="zh-CN"/>
              </w:rPr>
              <w:t>1</w:t>
            </w:r>
            <w:r>
              <w:rPr>
                <w:rFonts w:hint="eastAsia" w:ascii="仿宋" w:hAnsi="仿宋" w:eastAsia="仿宋" w:cs="Times New Roman"/>
                <w:sz w:val="21"/>
                <w:szCs w:val="21"/>
                <w:highlight w:val="none"/>
                <w:lang w:eastAsia="zh-CN"/>
              </w:rPr>
              <w:t>分，扣完为止。</w:t>
            </w:r>
          </w:p>
        </w:tc>
        <w:tc>
          <w:tcPr>
            <w:tcW w:w="0" w:type="auto"/>
            <w:tcBorders>
              <w:top w:val="single" w:color="auto" w:sz="4" w:space="0"/>
              <w:left w:val="single" w:color="auto" w:sz="4" w:space="0"/>
              <w:bottom w:val="single" w:color="auto" w:sz="4" w:space="0"/>
              <w:right w:val="single" w:color="auto" w:sz="4" w:space="0"/>
            </w:tcBorders>
            <w:vAlign w:val="center"/>
          </w:tcPr>
          <w:p w14:paraId="2C473421">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lang w:val="en-US" w:eastAsia="zh-CN"/>
              </w:rPr>
              <w:t>18</w:t>
            </w:r>
            <w:r>
              <w:rPr>
                <w:rFonts w:hint="eastAsia" w:ascii="仿宋" w:hAnsi="仿宋" w:eastAsia="仿宋" w:cs="Courier New"/>
                <w:sz w:val="21"/>
                <w:szCs w:val="21"/>
                <w:highlight w:val="none"/>
              </w:rPr>
              <w:t>分</w:t>
            </w:r>
          </w:p>
        </w:tc>
      </w:tr>
      <w:tr w14:paraId="23DE3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32" w:type="dxa"/>
            <w:vMerge w:val="continue"/>
            <w:tcBorders>
              <w:left w:val="single" w:color="auto" w:sz="4" w:space="0"/>
              <w:bottom w:val="single" w:color="auto" w:sz="4" w:space="0"/>
              <w:right w:val="single" w:color="auto" w:sz="4" w:space="0"/>
            </w:tcBorders>
            <w:vAlign w:val="center"/>
          </w:tcPr>
          <w:p w14:paraId="39DDCCAC">
            <w:pPr>
              <w:pStyle w:val="12"/>
              <w:snapToGrid w:val="0"/>
              <w:spacing w:line="360" w:lineRule="auto"/>
              <w:ind w:firstLine="0"/>
              <w:rPr>
                <w:rFonts w:ascii="仿宋" w:hAnsi="仿宋" w:eastAsia="仿宋" w:cs="宋体"/>
                <w:sz w:val="21"/>
                <w:szCs w:val="21"/>
                <w:highlight w:val="none"/>
              </w:rPr>
            </w:pPr>
          </w:p>
        </w:tc>
        <w:tc>
          <w:tcPr>
            <w:tcW w:w="7135" w:type="dxa"/>
            <w:tcBorders>
              <w:top w:val="single" w:color="auto" w:sz="4" w:space="0"/>
              <w:left w:val="single" w:color="auto" w:sz="4" w:space="0"/>
              <w:bottom w:val="single" w:color="auto" w:sz="4" w:space="0"/>
              <w:right w:val="single" w:color="auto" w:sz="4" w:space="0"/>
            </w:tcBorders>
            <w:vAlign w:val="center"/>
          </w:tcPr>
          <w:p w14:paraId="4936BF96">
            <w:pPr>
              <w:rPr>
                <w:rFonts w:ascii="仿宋" w:hAnsi="仿宋" w:eastAsia="仿宋" w:cs="宋体"/>
                <w:kern w:val="0"/>
                <w:szCs w:val="21"/>
                <w:highlight w:val="none"/>
              </w:rPr>
            </w:pPr>
            <w:r>
              <w:rPr>
                <w:rFonts w:hint="eastAsia" w:ascii="仿宋" w:hAnsi="仿宋" w:eastAsia="仿宋" w:cs="宋体"/>
                <w:kern w:val="0"/>
                <w:szCs w:val="21"/>
                <w:highlight w:val="none"/>
              </w:rPr>
              <w:t>售后方案：</w:t>
            </w:r>
          </w:p>
          <w:p w14:paraId="3656DD3D">
            <w:pPr>
              <w:rPr>
                <w:rFonts w:ascii="仿宋" w:hAnsi="仿宋" w:eastAsia="仿宋" w:cs="宋体"/>
                <w:kern w:val="0"/>
                <w:szCs w:val="21"/>
                <w:highlight w:val="none"/>
              </w:rPr>
            </w:pPr>
            <w:r>
              <w:rPr>
                <w:rFonts w:hint="eastAsia" w:ascii="仿宋" w:hAnsi="仿宋" w:eastAsia="仿宋" w:cs="宋体"/>
                <w:kern w:val="0"/>
                <w:szCs w:val="21"/>
                <w:highlight w:val="none"/>
              </w:rPr>
              <w:t>编制售后服务体系、方案，服务承诺等，内容需包含：</w:t>
            </w:r>
          </w:p>
          <w:p w14:paraId="145D17A5">
            <w:pPr>
              <w:rPr>
                <w:rFonts w:ascii="仿宋" w:hAnsi="仿宋" w:eastAsia="仿宋" w:cs="宋体"/>
                <w:kern w:val="0"/>
                <w:szCs w:val="21"/>
                <w:highlight w:val="none"/>
              </w:rPr>
            </w:pPr>
            <w:r>
              <w:rPr>
                <w:rFonts w:hint="eastAsia" w:ascii="仿宋" w:hAnsi="仿宋" w:eastAsia="仿宋" w:cs="宋体"/>
                <w:kern w:val="0"/>
                <w:szCs w:val="21"/>
                <w:highlight w:val="none"/>
                <w:lang w:eastAsia="zh-CN"/>
              </w:rPr>
              <w:t>①</w:t>
            </w:r>
            <w:r>
              <w:rPr>
                <w:rFonts w:hint="eastAsia" w:ascii="仿宋" w:hAnsi="仿宋" w:eastAsia="仿宋" w:cs="宋体"/>
                <w:kern w:val="0"/>
                <w:szCs w:val="21"/>
                <w:highlight w:val="none"/>
              </w:rPr>
              <w:t>备品备件及耗材保障方案及承诺；</w:t>
            </w:r>
            <w:r>
              <w:rPr>
                <w:rFonts w:hint="eastAsia" w:ascii="仿宋" w:hAnsi="仿宋" w:eastAsia="仿宋" w:cs="宋体"/>
                <w:kern w:val="0"/>
                <w:szCs w:val="21"/>
                <w:highlight w:val="none"/>
                <w:lang w:eastAsia="zh-CN"/>
              </w:rPr>
              <w:t>②</w:t>
            </w:r>
            <w:r>
              <w:rPr>
                <w:rFonts w:hint="eastAsia" w:ascii="仿宋" w:hAnsi="仿宋" w:eastAsia="仿宋" w:cs="宋体"/>
                <w:kern w:val="0"/>
                <w:szCs w:val="21"/>
                <w:highlight w:val="none"/>
              </w:rPr>
              <w:t>质保期间的响应保障方案；</w:t>
            </w:r>
            <w:r>
              <w:rPr>
                <w:rFonts w:hint="eastAsia" w:ascii="仿宋" w:hAnsi="仿宋" w:eastAsia="仿宋" w:cs="宋体"/>
                <w:kern w:val="0"/>
                <w:szCs w:val="21"/>
                <w:highlight w:val="none"/>
                <w:lang w:eastAsia="zh-CN"/>
              </w:rPr>
              <w:t>③</w:t>
            </w:r>
            <w:r>
              <w:rPr>
                <w:rFonts w:hint="eastAsia" w:ascii="仿宋" w:hAnsi="仿宋" w:eastAsia="仿宋" w:cs="宋体"/>
                <w:kern w:val="0"/>
                <w:szCs w:val="21"/>
                <w:highlight w:val="none"/>
              </w:rPr>
              <w:t>相关服务承诺；</w:t>
            </w:r>
            <w:r>
              <w:rPr>
                <w:rFonts w:hint="eastAsia" w:ascii="仿宋" w:hAnsi="仿宋" w:eastAsia="仿宋" w:cs="宋体"/>
                <w:kern w:val="0"/>
                <w:szCs w:val="21"/>
                <w:highlight w:val="none"/>
                <w:lang w:eastAsia="zh-CN"/>
              </w:rPr>
              <w:t>④</w:t>
            </w:r>
            <w:r>
              <w:rPr>
                <w:rFonts w:hint="eastAsia" w:ascii="仿宋" w:hAnsi="仿宋" w:eastAsia="仿宋" w:cs="宋体"/>
                <w:kern w:val="0"/>
                <w:szCs w:val="21"/>
                <w:highlight w:val="none"/>
              </w:rPr>
              <w:t>售后人员保障等。</w:t>
            </w:r>
          </w:p>
          <w:p w14:paraId="54BF7A23">
            <w:pPr>
              <w:rPr>
                <w:highlight w:val="none"/>
              </w:rPr>
            </w:pPr>
            <w:r>
              <w:rPr>
                <w:rFonts w:hint="eastAsia" w:ascii="仿宋" w:hAnsi="仿宋" w:eastAsia="仿宋" w:cs="Times New Roman"/>
                <w:sz w:val="21"/>
                <w:szCs w:val="21"/>
                <w:highlight w:val="none"/>
                <w:lang w:eastAsia="zh-CN"/>
              </w:rPr>
              <w:t xml:space="preserve">提供相关方案的得 </w:t>
            </w:r>
            <w:r>
              <w:rPr>
                <w:rFonts w:hint="eastAsia" w:ascii="仿宋" w:hAnsi="仿宋" w:eastAsia="仿宋" w:cs="Times New Roman"/>
                <w:sz w:val="21"/>
                <w:szCs w:val="21"/>
                <w:highlight w:val="none"/>
                <w:lang w:val="en-US" w:eastAsia="zh-CN"/>
              </w:rPr>
              <w:t>8</w:t>
            </w:r>
            <w:r>
              <w:rPr>
                <w:rFonts w:hint="eastAsia" w:ascii="仿宋" w:hAnsi="仿宋" w:eastAsia="仿宋" w:cs="Times New Roman"/>
                <w:sz w:val="21"/>
                <w:szCs w:val="21"/>
                <w:highlight w:val="none"/>
                <w:lang w:eastAsia="zh-CN"/>
              </w:rPr>
              <w:t xml:space="preserve"> 分，以此为基础，</w:t>
            </w:r>
            <w:r>
              <w:rPr>
                <w:rFonts w:hint="eastAsia" w:ascii="仿宋" w:hAnsi="仿宋" w:eastAsia="仿宋" w:cs="Times New Roman"/>
                <w:sz w:val="21"/>
                <w:szCs w:val="21"/>
                <w:highlight w:val="none"/>
                <w:lang w:val="en-US" w:eastAsia="zh-CN"/>
              </w:rPr>
              <w:t>所提供的</w:t>
            </w:r>
            <w:r>
              <w:rPr>
                <w:rFonts w:hint="eastAsia" w:ascii="仿宋" w:hAnsi="仿宋" w:eastAsia="仿宋" w:cs="Times New Roman"/>
                <w:sz w:val="21"/>
                <w:szCs w:val="21"/>
                <w:highlight w:val="none"/>
                <w:lang w:eastAsia="zh-CN"/>
              </w:rPr>
              <w:t>方案</w:t>
            </w:r>
            <w:r>
              <w:rPr>
                <w:rFonts w:hint="eastAsia" w:ascii="仿宋" w:hAnsi="仿宋" w:eastAsia="仿宋" w:cs="Times New Roman"/>
                <w:sz w:val="21"/>
                <w:szCs w:val="21"/>
                <w:highlight w:val="none"/>
                <w:lang w:val="en-US" w:eastAsia="zh-CN"/>
              </w:rPr>
              <w:t>中</w:t>
            </w:r>
            <w:r>
              <w:rPr>
                <w:rFonts w:hint="eastAsia" w:ascii="仿宋" w:hAnsi="仿宋" w:eastAsia="仿宋" w:cs="Times New Roman"/>
                <w:sz w:val="21"/>
                <w:szCs w:val="21"/>
                <w:highlight w:val="none"/>
                <w:lang w:eastAsia="zh-CN"/>
              </w:rPr>
              <w:t>每有一项</w:t>
            </w:r>
            <w:r>
              <w:rPr>
                <w:rFonts w:hint="eastAsia" w:ascii="仿宋" w:hAnsi="仿宋" w:eastAsia="仿宋" w:cs="Times New Roman"/>
                <w:sz w:val="21"/>
                <w:szCs w:val="21"/>
                <w:highlight w:val="none"/>
                <w:lang w:val="en-US" w:eastAsia="zh-CN"/>
              </w:rPr>
              <w:t>内容</w:t>
            </w:r>
            <w:r>
              <w:rPr>
                <w:rFonts w:hint="eastAsia" w:ascii="仿宋" w:hAnsi="仿宋" w:eastAsia="仿宋" w:cs="Times New Roman"/>
                <w:sz w:val="21"/>
                <w:szCs w:val="21"/>
                <w:highlight w:val="none"/>
                <w:lang w:eastAsia="zh-CN"/>
              </w:rPr>
              <w:t>进行了深化、量化、拓展</w:t>
            </w:r>
            <w:r>
              <w:rPr>
                <w:rFonts w:hint="eastAsia" w:ascii="仿宋" w:hAnsi="仿宋" w:eastAsia="仿宋" w:cs="Times New Roman"/>
                <w:sz w:val="21"/>
                <w:szCs w:val="21"/>
                <w:highlight w:val="none"/>
                <w:lang w:val="en-US" w:eastAsia="zh-CN"/>
              </w:rPr>
              <w:t>或</w:t>
            </w:r>
            <w:r>
              <w:rPr>
                <w:rFonts w:hint="eastAsia" w:ascii="仿宋" w:hAnsi="仿宋" w:eastAsia="仿宋" w:cs="Times New Roman"/>
                <w:sz w:val="21"/>
                <w:szCs w:val="21"/>
                <w:highlight w:val="none"/>
                <w:lang w:eastAsia="zh-CN"/>
              </w:rPr>
              <w:t>提出经评审专家认可的合理化建议的加 1 分，加至</w:t>
            </w:r>
            <w:r>
              <w:rPr>
                <w:rFonts w:hint="eastAsia" w:ascii="仿宋" w:hAnsi="仿宋" w:eastAsia="仿宋" w:cs="Times New Roman"/>
                <w:sz w:val="21"/>
                <w:szCs w:val="21"/>
                <w:highlight w:val="none"/>
                <w:lang w:val="en-US" w:eastAsia="zh-CN"/>
              </w:rPr>
              <w:t>12分</w:t>
            </w:r>
            <w:r>
              <w:rPr>
                <w:rFonts w:hint="eastAsia" w:ascii="仿宋" w:hAnsi="仿宋" w:eastAsia="仿宋" w:cs="Times New Roman"/>
                <w:sz w:val="21"/>
                <w:szCs w:val="21"/>
                <w:highlight w:val="none"/>
                <w:lang w:eastAsia="zh-CN"/>
              </w:rPr>
              <w:t>为止；每缺失一条扣</w:t>
            </w:r>
            <w:r>
              <w:rPr>
                <w:rFonts w:hint="eastAsia" w:ascii="仿宋" w:hAnsi="仿宋" w:eastAsia="仿宋" w:cs="Times New Roman"/>
                <w:sz w:val="21"/>
                <w:szCs w:val="21"/>
                <w:highlight w:val="none"/>
                <w:lang w:val="en-US" w:eastAsia="zh-CN"/>
              </w:rPr>
              <w:t>2</w:t>
            </w:r>
            <w:r>
              <w:rPr>
                <w:rFonts w:hint="eastAsia" w:ascii="仿宋" w:hAnsi="仿宋" w:eastAsia="仿宋" w:cs="Times New Roman"/>
                <w:sz w:val="21"/>
                <w:szCs w:val="21"/>
                <w:highlight w:val="none"/>
                <w:lang w:eastAsia="zh-CN"/>
              </w:rPr>
              <w:t>分；每有一处描述不清或逻辑混乱有欠缺的扣</w:t>
            </w:r>
            <w:r>
              <w:rPr>
                <w:rFonts w:hint="eastAsia" w:ascii="仿宋" w:hAnsi="仿宋" w:eastAsia="仿宋" w:cs="Times New Roman"/>
                <w:sz w:val="21"/>
                <w:szCs w:val="21"/>
                <w:highlight w:val="none"/>
                <w:lang w:val="en-US" w:eastAsia="zh-CN"/>
              </w:rPr>
              <w:t>1</w:t>
            </w:r>
            <w:r>
              <w:rPr>
                <w:rFonts w:hint="eastAsia" w:ascii="仿宋" w:hAnsi="仿宋" w:eastAsia="仿宋" w:cs="Times New Roman"/>
                <w:sz w:val="21"/>
                <w:szCs w:val="21"/>
                <w:highlight w:val="none"/>
                <w:lang w:eastAsia="zh-CN"/>
              </w:rPr>
              <w:t>分，扣完为止。</w:t>
            </w:r>
          </w:p>
        </w:tc>
        <w:tc>
          <w:tcPr>
            <w:tcW w:w="0" w:type="auto"/>
            <w:tcBorders>
              <w:top w:val="single" w:color="auto" w:sz="4" w:space="0"/>
              <w:left w:val="single" w:color="auto" w:sz="4" w:space="0"/>
              <w:bottom w:val="single" w:color="auto" w:sz="4" w:space="0"/>
              <w:right w:val="single" w:color="auto" w:sz="4" w:space="0"/>
            </w:tcBorders>
            <w:vAlign w:val="center"/>
          </w:tcPr>
          <w:p w14:paraId="64037BF3">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lang w:val="en-US" w:eastAsia="zh-CN"/>
              </w:rPr>
              <w:t>12</w:t>
            </w:r>
            <w:r>
              <w:rPr>
                <w:rFonts w:hint="eastAsia" w:ascii="仿宋" w:hAnsi="仿宋" w:eastAsia="仿宋" w:cs="Courier New"/>
                <w:sz w:val="21"/>
                <w:szCs w:val="21"/>
                <w:highlight w:val="none"/>
              </w:rPr>
              <w:t>分</w:t>
            </w:r>
          </w:p>
        </w:tc>
      </w:tr>
      <w:tr w14:paraId="54367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438751A7">
            <w:pPr>
              <w:pStyle w:val="12"/>
              <w:snapToGrid w:val="0"/>
              <w:spacing w:line="360" w:lineRule="auto"/>
              <w:ind w:firstLine="0"/>
              <w:rPr>
                <w:rFonts w:ascii="仿宋" w:hAnsi="仿宋" w:eastAsia="仿宋" w:cs="Courier New"/>
                <w:b/>
                <w:sz w:val="21"/>
                <w:szCs w:val="21"/>
                <w:highlight w:val="none"/>
              </w:rPr>
            </w:pPr>
            <w:r>
              <w:rPr>
                <w:rFonts w:ascii="仿宋" w:hAnsi="仿宋" w:eastAsia="仿宋" w:cs="Courier New"/>
                <w:b/>
                <w:sz w:val="21"/>
                <w:szCs w:val="21"/>
                <w:highlight w:val="none"/>
              </w:rPr>
              <w:t>D</w:t>
            </w:r>
            <w:r>
              <w:rPr>
                <w:rFonts w:hint="eastAsia" w:ascii="仿宋" w:hAnsi="仿宋" w:eastAsia="仿宋" w:cs="Courier New"/>
                <w:b/>
                <w:sz w:val="21"/>
                <w:szCs w:val="21"/>
                <w:highlight w:val="none"/>
              </w:rPr>
              <w:t>:</w:t>
            </w:r>
            <w:r>
              <w:rPr>
                <w:rFonts w:hint="eastAsia" w:ascii="仿宋" w:hAnsi="仿宋" w:eastAsia="仿宋"/>
                <w:sz w:val="21"/>
                <w:szCs w:val="21"/>
                <w:highlight w:val="none"/>
              </w:rPr>
              <w:t xml:space="preserve"> </w:t>
            </w:r>
            <w:r>
              <w:rPr>
                <w:rFonts w:hint="eastAsia" w:ascii="仿宋" w:hAnsi="仿宋" w:eastAsia="仿宋" w:cs="Courier New"/>
                <w:b/>
                <w:sz w:val="21"/>
                <w:szCs w:val="21"/>
                <w:highlight w:val="none"/>
              </w:rPr>
              <w:t>属于中小企业评审优惠内容及价格扣除幅度</w:t>
            </w:r>
          </w:p>
        </w:tc>
      </w:tr>
      <w:tr w14:paraId="1F33F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096EBF63">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根据中华人民共和国财政部、中华人民共和国工业和信息化部《政府采购促进中小企业发展管理办法》（财库[2020]46号）、《关于进一步加大政府采购支持中小企业力度的通知》（财库〔2022〕19号）文件的规定，属于中小企业评审优惠内容及幅度如下：</w:t>
            </w:r>
          </w:p>
          <w:p w14:paraId="53A8EAB6">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（一）中小企业（含中型、小型、微型企业）应当同时符合以下条件：</w:t>
            </w:r>
          </w:p>
          <w:p w14:paraId="400598A7">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①符合中小企业划分标准（按《关于印发中小企业划型标准规定的通知》（工信部联企业〔2011〕300号）执行）；</w:t>
            </w:r>
          </w:p>
          <w:p w14:paraId="3AED5DE9">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②提供本企业制造的货物、承担的项目或者服务，或者提供其他中小企业制造的货物。本项所称货物不包括使用大型企业注册商标的货物；</w:t>
            </w:r>
          </w:p>
          <w:p w14:paraId="1447DC45">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③小型、微型企业提供中型企业制造的货物的，视同为中型企业。</w:t>
            </w:r>
          </w:p>
          <w:p w14:paraId="1791BB10">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监狱企业、残疾人福利性企业视同为小微企业。</w:t>
            </w:r>
          </w:p>
          <w:p w14:paraId="547A8246">
            <w:pPr>
              <w:pStyle w:val="12"/>
              <w:widowControl w:val="0"/>
              <w:numPr>
                <w:ilvl w:val="0"/>
                <w:numId w:val="3"/>
              </w:numPr>
              <w:snapToGrid w:val="0"/>
              <w:spacing w:line="360" w:lineRule="auto"/>
              <w:ind w:firstLine="0"/>
              <w:jc w:val="both"/>
              <w:rPr>
                <w:rFonts w:ascii="仿宋" w:hAnsi="仿宋" w:eastAsia="仿宋" w:cs="仿宋"/>
                <w:bCs/>
                <w:sz w:val="21"/>
                <w:szCs w:val="21"/>
                <w:highlight w:val="none"/>
              </w:rPr>
            </w:pPr>
            <w:r>
              <w:rPr>
                <w:rFonts w:hint="eastAsia" w:ascii="仿宋" w:hAnsi="仿宋" w:eastAsia="仿宋" w:cs="仿宋"/>
                <w:bCs/>
                <w:sz w:val="21"/>
                <w:szCs w:val="21"/>
                <w:highlight w:val="none"/>
              </w:rPr>
              <w:t>价格扣除办法：对于非专门面向中小企业的项目，对小型和微型企业（或联合体各方均为小型、微型企业的）产品的价格给予1</w:t>
            </w:r>
            <w:r>
              <w:rPr>
                <w:rFonts w:ascii="仿宋" w:hAnsi="仿宋" w:eastAsia="仿宋" w:cs="仿宋"/>
                <w:bCs/>
                <w:sz w:val="21"/>
                <w:szCs w:val="21"/>
                <w:highlight w:val="none"/>
              </w:rPr>
              <w:t>0</w:t>
            </w:r>
            <w:r>
              <w:rPr>
                <w:rFonts w:hint="eastAsia" w:ascii="仿宋" w:hAnsi="仿宋" w:eastAsia="仿宋" w:cs="仿宋"/>
                <w:bCs/>
                <w:sz w:val="21"/>
                <w:szCs w:val="21"/>
                <w:highlight w:val="none"/>
              </w:rPr>
              <w:t>%的扣除，用扣除后的价格参与价格分的评审。</w:t>
            </w:r>
          </w:p>
          <w:p w14:paraId="091F4302">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仿宋"/>
                <w:bCs/>
                <w:sz w:val="21"/>
                <w:szCs w:val="21"/>
                <w:highlight w:val="none"/>
              </w:rPr>
              <w:t>（三）小型和微型企业适用价格扣除办法时应提供的相关资料：《中小企业声明函》。</w:t>
            </w:r>
          </w:p>
        </w:tc>
      </w:tr>
    </w:tbl>
    <w:p w14:paraId="07EC9098">
      <w:pPr>
        <w:widowControl/>
        <w:adjustRightInd w:val="0"/>
        <w:snapToGrid w:val="0"/>
        <w:spacing w:line="360" w:lineRule="auto"/>
        <w:jc w:val="left"/>
        <w:rPr>
          <w:rFonts w:hint="eastAsia" w:ascii="宋体" w:hAnsi="宋体"/>
          <w:b/>
          <w:bCs/>
          <w:szCs w:val="21"/>
          <w:highlight w:val="none"/>
          <w:lang w:val="en-US" w:eastAsia="zh-CN"/>
        </w:rPr>
      </w:pPr>
    </w:p>
    <w:p w14:paraId="096AEEAF">
      <w:pPr>
        <w:widowControl/>
        <w:adjustRightInd w:val="0"/>
        <w:snapToGrid w:val="0"/>
        <w:spacing w:line="360" w:lineRule="auto"/>
        <w:jc w:val="left"/>
        <w:rPr>
          <w:rFonts w:hint="eastAsia" w:ascii="宋体" w:hAnsi="宋体"/>
          <w:b/>
          <w:bCs/>
          <w:szCs w:val="21"/>
          <w:highlight w:val="none"/>
          <w:lang w:val="en-US" w:eastAsia="zh-CN"/>
        </w:rPr>
      </w:pPr>
      <w:r>
        <w:rPr>
          <w:rFonts w:hint="eastAsia" w:ascii="宋体" w:hAnsi="宋体"/>
          <w:b/>
          <w:bCs/>
          <w:szCs w:val="21"/>
          <w:highlight w:val="none"/>
          <w:lang w:val="en-US" w:eastAsia="zh-CN"/>
        </w:rPr>
        <w:t>标项6:</w:t>
      </w:r>
    </w:p>
    <w:tbl>
      <w:tblPr>
        <w:tblStyle w:val="46"/>
        <w:tblW w:w="10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2"/>
        <w:gridCol w:w="7135"/>
        <w:gridCol w:w="427"/>
      </w:tblGrid>
      <w:tr w14:paraId="07ECE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672" w:type="dxa"/>
            <w:tcBorders>
              <w:top w:val="single" w:color="auto" w:sz="4" w:space="0"/>
              <w:left w:val="single" w:color="auto" w:sz="4" w:space="0"/>
              <w:bottom w:val="single" w:color="auto" w:sz="4" w:space="0"/>
              <w:right w:val="single" w:color="auto" w:sz="4" w:space="0"/>
            </w:tcBorders>
            <w:vAlign w:val="center"/>
          </w:tcPr>
          <w:p w14:paraId="777DACBF">
            <w:pPr>
              <w:pStyle w:val="12"/>
              <w:snapToGrid w:val="0"/>
              <w:spacing w:line="360" w:lineRule="auto"/>
              <w:ind w:firstLine="0"/>
              <w:jc w:val="center"/>
              <w:rPr>
                <w:rFonts w:ascii="仿宋" w:hAnsi="仿宋" w:eastAsia="仿宋" w:cs="Courier New"/>
                <w:b/>
                <w:sz w:val="21"/>
                <w:szCs w:val="21"/>
                <w:highlight w:val="none"/>
              </w:rPr>
            </w:pPr>
            <w:r>
              <w:rPr>
                <w:rFonts w:hint="eastAsia" w:ascii="仿宋" w:hAnsi="仿宋" w:eastAsia="仿宋" w:cs="Courier New"/>
                <w:b/>
                <w:sz w:val="21"/>
                <w:szCs w:val="21"/>
                <w:highlight w:val="none"/>
              </w:rPr>
              <w:t>项目</w:t>
            </w:r>
          </w:p>
        </w:tc>
        <w:tc>
          <w:tcPr>
            <w:tcW w:w="7095" w:type="dxa"/>
            <w:tcBorders>
              <w:top w:val="single" w:color="auto" w:sz="4" w:space="0"/>
              <w:left w:val="single" w:color="auto" w:sz="4" w:space="0"/>
              <w:bottom w:val="single" w:color="auto" w:sz="4" w:space="0"/>
              <w:right w:val="single" w:color="auto" w:sz="4" w:space="0"/>
            </w:tcBorders>
            <w:vAlign w:val="center"/>
          </w:tcPr>
          <w:p w14:paraId="5E85485C">
            <w:pPr>
              <w:pStyle w:val="12"/>
              <w:snapToGrid w:val="0"/>
              <w:spacing w:line="360" w:lineRule="auto"/>
              <w:ind w:firstLine="0"/>
              <w:jc w:val="center"/>
              <w:rPr>
                <w:rFonts w:ascii="仿宋" w:hAnsi="仿宋" w:eastAsia="仿宋" w:cs="Courier New"/>
                <w:b/>
                <w:sz w:val="21"/>
                <w:szCs w:val="21"/>
                <w:highlight w:val="none"/>
              </w:rPr>
            </w:pPr>
            <w:r>
              <w:rPr>
                <w:rFonts w:hint="eastAsia" w:ascii="仿宋" w:hAnsi="仿宋" w:eastAsia="仿宋" w:cs="Courier New"/>
                <w:b/>
                <w:sz w:val="21"/>
                <w:szCs w:val="21"/>
                <w:highlight w:val="none"/>
              </w:rPr>
              <w:t>评审内容</w:t>
            </w:r>
          </w:p>
        </w:tc>
        <w:tc>
          <w:tcPr>
            <w:tcW w:w="0" w:type="auto"/>
            <w:tcBorders>
              <w:top w:val="single" w:color="auto" w:sz="4" w:space="0"/>
              <w:left w:val="single" w:color="auto" w:sz="4" w:space="0"/>
              <w:bottom w:val="single" w:color="auto" w:sz="4" w:space="0"/>
              <w:right w:val="single" w:color="auto" w:sz="4" w:space="0"/>
            </w:tcBorders>
            <w:vAlign w:val="center"/>
          </w:tcPr>
          <w:p w14:paraId="72EE2882">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分值</w:t>
            </w:r>
          </w:p>
        </w:tc>
      </w:tr>
      <w:tr w14:paraId="7F350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3482C21A">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A：价格评分30分</w:t>
            </w:r>
          </w:p>
        </w:tc>
      </w:tr>
      <w:tr w14:paraId="67B7B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14:paraId="70936D42">
            <w:pPr>
              <w:pStyle w:val="12"/>
              <w:snapToGrid w:val="0"/>
              <w:spacing w:line="360" w:lineRule="auto"/>
              <w:ind w:firstLine="0"/>
              <w:jc w:val="center"/>
              <w:rPr>
                <w:rFonts w:ascii="仿宋" w:hAnsi="仿宋" w:eastAsia="仿宋" w:cs="Courier New"/>
                <w:sz w:val="21"/>
                <w:szCs w:val="21"/>
                <w:highlight w:val="none"/>
              </w:rPr>
            </w:pPr>
            <w:r>
              <w:rPr>
                <w:rFonts w:hint="eastAsia" w:ascii="仿宋" w:hAnsi="仿宋" w:eastAsia="仿宋" w:cs="Courier New"/>
                <w:sz w:val="21"/>
                <w:szCs w:val="21"/>
                <w:highlight w:val="none"/>
              </w:rPr>
              <w:t>价格</w:t>
            </w:r>
          </w:p>
        </w:tc>
        <w:tc>
          <w:tcPr>
            <w:tcW w:w="7095" w:type="dxa"/>
            <w:tcBorders>
              <w:top w:val="single" w:color="auto" w:sz="4" w:space="0"/>
              <w:left w:val="single" w:color="auto" w:sz="4" w:space="0"/>
              <w:bottom w:val="single" w:color="auto" w:sz="4" w:space="0"/>
              <w:right w:val="single" w:color="auto" w:sz="4" w:space="0"/>
            </w:tcBorders>
            <w:vAlign w:val="center"/>
          </w:tcPr>
          <w:p w14:paraId="39345310">
            <w:pPr>
              <w:widowControl/>
              <w:spacing w:line="360" w:lineRule="auto"/>
              <w:jc w:val="left"/>
              <w:textAlignment w:val="center"/>
              <w:rPr>
                <w:rFonts w:ascii="仿宋" w:hAnsi="仿宋" w:eastAsia="仿宋" w:cs="宋体"/>
                <w:b/>
                <w:bCs/>
                <w:kern w:val="0"/>
                <w:szCs w:val="21"/>
                <w:highlight w:val="none"/>
              </w:rPr>
            </w:pPr>
            <w:r>
              <w:rPr>
                <w:rFonts w:hint="eastAsia" w:ascii="仿宋" w:hAnsi="仿宋" w:eastAsia="仿宋" w:cs="宋体"/>
                <w:b/>
                <w:bCs/>
                <w:kern w:val="0"/>
                <w:szCs w:val="21"/>
                <w:highlight w:val="none"/>
              </w:rPr>
              <w:t>基准值的确定：评标基准价=有效报价的最低值，</w:t>
            </w:r>
          </w:p>
          <w:p w14:paraId="37FD612B">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宋体"/>
                <w:sz w:val="21"/>
                <w:szCs w:val="21"/>
                <w:highlight w:val="none"/>
              </w:rPr>
              <w:t>报价得分=（评标基准价/投标报价）</w:t>
            </w:r>
            <w:r>
              <w:rPr>
                <w:rFonts w:hint="eastAsia" w:ascii="仿宋" w:hAnsi="仿宋" w:eastAsia="仿宋"/>
                <w:b/>
                <w:sz w:val="21"/>
                <w:szCs w:val="21"/>
                <w:highlight w:val="none"/>
              </w:rPr>
              <w:t>×</w:t>
            </w:r>
            <w:r>
              <w:rPr>
                <w:rFonts w:hint="eastAsia" w:ascii="仿宋" w:hAnsi="仿宋" w:eastAsia="仿宋" w:cs="宋体"/>
                <w:sz w:val="21"/>
                <w:szCs w:val="21"/>
                <w:highlight w:val="none"/>
              </w:rPr>
              <w:t>30%</w:t>
            </w:r>
            <w:r>
              <w:rPr>
                <w:rFonts w:hint="eastAsia" w:ascii="仿宋" w:hAnsi="仿宋" w:eastAsia="仿宋"/>
                <w:b/>
                <w:sz w:val="21"/>
                <w:szCs w:val="21"/>
                <w:highlight w:val="none"/>
              </w:rPr>
              <w:t>×</w:t>
            </w:r>
            <w:r>
              <w:rPr>
                <w:rFonts w:hint="eastAsia" w:ascii="仿宋" w:hAnsi="仿宋" w:eastAsia="仿宋" w:cs="宋体"/>
                <w:sz w:val="21"/>
                <w:szCs w:val="21"/>
                <w:highlight w:val="none"/>
              </w:rPr>
              <w:t>100.有效报价为通过初步审查的供应商报价。有效报价等于基准值的得满分</w:t>
            </w:r>
          </w:p>
        </w:tc>
        <w:tc>
          <w:tcPr>
            <w:tcW w:w="0" w:type="auto"/>
            <w:tcBorders>
              <w:top w:val="single" w:color="auto" w:sz="4" w:space="0"/>
              <w:left w:val="single" w:color="auto" w:sz="4" w:space="0"/>
              <w:bottom w:val="single" w:color="auto" w:sz="4" w:space="0"/>
              <w:right w:val="single" w:color="auto" w:sz="4" w:space="0"/>
            </w:tcBorders>
            <w:vAlign w:val="center"/>
          </w:tcPr>
          <w:p w14:paraId="376A38C4">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rPr>
              <w:t>30分</w:t>
            </w:r>
          </w:p>
        </w:tc>
      </w:tr>
      <w:tr w14:paraId="0BF4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1F318EA6">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B：商务部分评分1</w:t>
            </w:r>
            <w:r>
              <w:rPr>
                <w:rFonts w:hint="eastAsia" w:ascii="仿宋" w:hAnsi="仿宋" w:eastAsia="仿宋" w:cs="Courier New"/>
                <w:b/>
                <w:sz w:val="21"/>
                <w:szCs w:val="21"/>
                <w:highlight w:val="none"/>
                <w:lang w:val="en-US" w:eastAsia="zh-CN"/>
              </w:rPr>
              <w:t>5</w:t>
            </w:r>
            <w:r>
              <w:rPr>
                <w:rFonts w:hint="eastAsia" w:ascii="仿宋" w:hAnsi="仿宋" w:eastAsia="仿宋" w:cs="Courier New"/>
                <w:b/>
                <w:sz w:val="21"/>
                <w:szCs w:val="21"/>
                <w:highlight w:val="none"/>
              </w:rPr>
              <w:t>分</w:t>
            </w:r>
          </w:p>
        </w:tc>
      </w:tr>
      <w:tr w14:paraId="28DFB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14:paraId="44EB9033">
            <w:pPr>
              <w:pStyle w:val="12"/>
              <w:snapToGrid w:val="0"/>
              <w:spacing w:line="360" w:lineRule="auto"/>
              <w:ind w:firstLine="0"/>
              <w:jc w:val="center"/>
              <w:rPr>
                <w:rFonts w:ascii="仿宋" w:hAnsi="仿宋" w:eastAsia="仿宋" w:cs="宋体"/>
                <w:sz w:val="21"/>
                <w:szCs w:val="21"/>
                <w:highlight w:val="none"/>
              </w:rPr>
            </w:pPr>
            <w:r>
              <w:rPr>
                <w:rFonts w:hint="eastAsia" w:ascii="仿宋" w:hAnsi="仿宋" w:eastAsia="仿宋" w:cs="宋体"/>
                <w:sz w:val="21"/>
                <w:szCs w:val="21"/>
                <w:highlight w:val="none"/>
              </w:rPr>
              <w:t>相关业绩</w:t>
            </w:r>
          </w:p>
        </w:tc>
        <w:tc>
          <w:tcPr>
            <w:tcW w:w="7095" w:type="dxa"/>
            <w:tcBorders>
              <w:top w:val="single" w:color="auto" w:sz="4" w:space="0"/>
              <w:left w:val="single" w:color="auto" w:sz="4" w:space="0"/>
              <w:bottom w:val="single" w:color="auto" w:sz="4" w:space="0"/>
              <w:right w:val="single" w:color="auto" w:sz="4" w:space="0"/>
            </w:tcBorders>
            <w:vAlign w:val="center"/>
          </w:tcPr>
          <w:p w14:paraId="4AFF1719">
            <w:pPr>
              <w:pStyle w:val="12"/>
              <w:snapToGrid w:val="0"/>
              <w:spacing w:line="360" w:lineRule="auto"/>
              <w:ind w:firstLine="0"/>
              <w:rPr>
                <w:rFonts w:ascii="仿宋" w:hAnsi="仿宋" w:eastAsia="仿宋"/>
                <w:sz w:val="21"/>
                <w:szCs w:val="21"/>
                <w:highlight w:val="none"/>
              </w:rPr>
            </w:pPr>
            <w:r>
              <w:rPr>
                <w:rFonts w:hint="eastAsia" w:ascii="仿宋" w:hAnsi="仿宋" w:eastAsia="仿宋"/>
                <w:sz w:val="21"/>
                <w:szCs w:val="21"/>
                <w:highlight w:val="none"/>
              </w:rPr>
              <w:t>提供20</w:t>
            </w:r>
            <w:r>
              <w:rPr>
                <w:rFonts w:ascii="仿宋" w:hAnsi="仿宋" w:eastAsia="仿宋"/>
                <w:sz w:val="21"/>
                <w:szCs w:val="21"/>
                <w:highlight w:val="none"/>
              </w:rPr>
              <w:t>2</w:t>
            </w:r>
            <w:r>
              <w:rPr>
                <w:rFonts w:hint="eastAsia" w:ascii="仿宋" w:hAnsi="仿宋" w:eastAsia="仿宋"/>
                <w:sz w:val="21"/>
                <w:szCs w:val="21"/>
                <w:highlight w:val="none"/>
                <w:lang w:val="en-US" w:eastAsia="zh-CN"/>
              </w:rPr>
              <w:t>2</w:t>
            </w:r>
            <w:r>
              <w:rPr>
                <w:rFonts w:hint="eastAsia" w:ascii="仿宋" w:hAnsi="仿宋" w:eastAsia="仿宋"/>
                <w:sz w:val="21"/>
                <w:szCs w:val="21"/>
                <w:highlight w:val="none"/>
              </w:rPr>
              <w:t>年</w:t>
            </w:r>
            <w:r>
              <w:rPr>
                <w:rFonts w:hint="eastAsia" w:ascii="仿宋" w:hAnsi="仿宋" w:eastAsia="仿宋"/>
                <w:sz w:val="21"/>
                <w:szCs w:val="21"/>
                <w:highlight w:val="none"/>
                <w:lang w:val="en-US" w:eastAsia="zh-CN"/>
              </w:rPr>
              <w:t>6</w:t>
            </w:r>
            <w:r>
              <w:rPr>
                <w:rFonts w:hint="eastAsia" w:ascii="仿宋" w:hAnsi="仿宋" w:eastAsia="仿宋"/>
                <w:sz w:val="21"/>
                <w:szCs w:val="21"/>
                <w:highlight w:val="none"/>
              </w:rPr>
              <w:t>月以来独立承担类似项目经验情况，拥有类似的相关业绩（需提供中标（成交）通知书或合同），每个业绩计</w:t>
            </w:r>
            <w:r>
              <w:rPr>
                <w:rFonts w:hint="eastAsia" w:ascii="仿宋" w:hAnsi="仿宋" w:eastAsia="仿宋"/>
                <w:sz w:val="21"/>
                <w:szCs w:val="21"/>
                <w:highlight w:val="none"/>
                <w:lang w:val="en-US" w:eastAsia="zh-CN"/>
              </w:rPr>
              <w:t>1</w:t>
            </w:r>
            <w:r>
              <w:rPr>
                <w:rFonts w:hint="eastAsia" w:ascii="仿宋" w:hAnsi="仿宋" w:eastAsia="仿宋"/>
                <w:sz w:val="21"/>
                <w:szCs w:val="21"/>
                <w:highlight w:val="none"/>
              </w:rPr>
              <w:t>分，最高得</w:t>
            </w:r>
            <w:r>
              <w:rPr>
                <w:rFonts w:hint="eastAsia" w:ascii="仿宋" w:hAnsi="仿宋" w:eastAsia="仿宋"/>
                <w:sz w:val="21"/>
                <w:szCs w:val="21"/>
                <w:highlight w:val="none"/>
                <w:lang w:val="en-US" w:eastAsia="zh-CN"/>
              </w:rPr>
              <w:t>5</w:t>
            </w:r>
            <w:r>
              <w:rPr>
                <w:rFonts w:hint="eastAsia" w:ascii="仿宋" w:hAnsi="仿宋" w:eastAsia="仿宋"/>
                <w:sz w:val="21"/>
                <w:szCs w:val="21"/>
                <w:highlight w:val="none"/>
              </w:rPr>
              <w:t>分。</w:t>
            </w:r>
          </w:p>
          <w:p w14:paraId="5D3FE5A6">
            <w:pPr>
              <w:pStyle w:val="12"/>
              <w:snapToGrid w:val="0"/>
              <w:spacing w:line="360" w:lineRule="auto"/>
              <w:ind w:firstLine="0"/>
              <w:rPr>
                <w:rFonts w:ascii="仿宋" w:hAnsi="仿宋" w:eastAsia="仿宋"/>
                <w:sz w:val="21"/>
                <w:szCs w:val="21"/>
                <w:highlight w:val="none"/>
              </w:rPr>
            </w:pPr>
            <w:r>
              <w:rPr>
                <w:rFonts w:hint="eastAsia" w:ascii="仿宋" w:hAnsi="仿宋" w:eastAsia="仿宋"/>
                <w:sz w:val="21"/>
                <w:szCs w:val="21"/>
                <w:highlight w:val="none"/>
              </w:rPr>
              <w:t>注：以上材料需提供复印件并加盖公章</w:t>
            </w:r>
          </w:p>
        </w:tc>
        <w:tc>
          <w:tcPr>
            <w:tcW w:w="0" w:type="auto"/>
            <w:tcBorders>
              <w:top w:val="single" w:color="auto" w:sz="4" w:space="0"/>
              <w:left w:val="single" w:color="auto" w:sz="4" w:space="0"/>
              <w:bottom w:val="single" w:color="auto" w:sz="4" w:space="0"/>
              <w:right w:val="single" w:color="auto" w:sz="4" w:space="0"/>
            </w:tcBorders>
            <w:vAlign w:val="center"/>
          </w:tcPr>
          <w:p w14:paraId="071EFAB5">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lang w:val="en-US" w:eastAsia="zh-CN"/>
              </w:rPr>
              <w:t>5</w:t>
            </w:r>
            <w:r>
              <w:rPr>
                <w:rFonts w:hint="eastAsia" w:ascii="仿宋" w:hAnsi="仿宋" w:eastAsia="仿宋" w:cs="Courier New"/>
                <w:sz w:val="21"/>
                <w:szCs w:val="21"/>
                <w:highlight w:val="none"/>
              </w:rPr>
              <w:t>分</w:t>
            </w:r>
          </w:p>
        </w:tc>
      </w:tr>
      <w:tr w14:paraId="05EBA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14:paraId="5C531E90">
            <w:pPr>
              <w:pStyle w:val="12"/>
              <w:snapToGrid w:val="0"/>
              <w:spacing w:line="360" w:lineRule="auto"/>
              <w:ind w:firstLine="0"/>
              <w:jc w:val="center"/>
              <w:rPr>
                <w:rFonts w:hint="eastAsia" w:ascii="仿宋" w:hAnsi="仿宋" w:eastAsia="仿宋" w:cs="Times New Roman"/>
                <w:sz w:val="21"/>
                <w:szCs w:val="21"/>
                <w:highlight w:val="none"/>
              </w:rPr>
            </w:pPr>
            <w:r>
              <w:rPr>
                <w:rFonts w:hint="eastAsia" w:ascii="仿宋" w:hAnsi="仿宋" w:eastAsia="仿宋" w:cs="Times New Roman"/>
                <w:sz w:val="21"/>
                <w:szCs w:val="21"/>
                <w:highlight w:val="none"/>
              </w:rPr>
              <w:t>视屏演示</w:t>
            </w:r>
          </w:p>
        </w:tc>
        <w:tc>
          <w:tcPr>
            <w:tcW w:w="7095" w:type="dxa"/>
            <w:tcBorders>
              <w:top w:val="single" w:color="auto" w:sz="4" w:space="0"/>
              <w:left w:val="single" w:color="auto" w:sz="4" w:space="0"/>
              <w:bottom w:val="single" w:color="auto" w:sz="4" w:space="0"/>
              <w:right w:val="single" w:color="auto" w:sz="4" w:space="0"/>
            </w:tcBorders>
            <w:vAlign w:val="center"/>
          </w:tcPr>
          <w:p w14:paraId="1F23159D">
            <w:pPr>
              <w:widowControl/>
              <w:spacing w:line="360" w:lineRule="auto"/>
              <w:jc w:val="left"/>
              <w:rPr>
                <w:rFonts w:hint="default" w:ascii="仿宋" w:hAnsi="仿宋" w:eastAsia="仿宋" w:cs="宋体"/>
                <w:kern w:val="0"/>
                <w:szCs w:val="21"/>
                <w:highlight w:val="none"/>
                <w:lang w:val="en-US" w:eastAsia="zh-CN"/>
              </w:rPr>
            </w:pPr>
            <w:r>
              <w:rPr>
                <w:rFonts w:hint="default" w:ascii="仿宋" w:hAnsi="仿宋" w:eastAsia="仿宋" w:cs="宋体"/>
                <w:kern w:val="0"/>
                <w:szCs w:val="21"/>
                <w:highlight w:val="none"/>
                <w:lang w:val="en-US" w:eastAsia="zh-CN"/>
              </w:rPr>
              <w:t>演示必须使用真实设备及软件系统进行，使用PPT进行演示不得分，不提供演示不得分。每提供一条得</w:t>
            </w:r>
            <w:r>
              <w:rPr>
                <w:rFonts w:hint="eastAsia" w:ascii="仿宋" w:hAnsi="仿宋" w:eastAsia="仿宋" w:cs="宋体"/>
                <w:kern w:val="0"/>
                <w:szCs w:val="21"/>
                <w:highlight w:val="none"/>
                <w:lang w:val="en-US" w:eastAsia="zh-CN"/>
              </w:rPr>
              <w:t>2</w:t>
            </w:r>
            <w:r>
              <w:rPr>
                <w:rFonts w:hint="default" w:ascii="仿宋" w:hAnsi="仿宋" w:eastAsia="仿宋" w:cs="宋体"/>
                <w:kern w:val="0"/>
                <w:szCs w:val="21"/>
                <w:highlight w:val="none"/>
                <w:lang w:val="en-US" w:eastAsia="zh-CN"/>
              </w:rPr>
              <w:t>分，最高分</w:t>
            </w:r>
            <w:r>
              <w:rPr>
                <w:rFonts w:hint="eastAsia" w:ascii="仿宋" w:hAnsi="仿宋" w:eastAsia="仿宋" w:cs="宋体"/>
                <w:kern w:val="0"/>
                <w:szCs w:val="21"/>
                <w:highlight w:val="none"/>
                <w:lang w:val="en-US" w:eastAsia="zh-CN"/>
              </w:rPr>
              <w:t>10</w:t>
            </w:r>
            <w:r>
              <w:rPr>
                <w:rFonts w:hint="default" w:ascii="仿宋" w:hAnsi="仿宋" w:eastAsia="仿宋" w:cs="宋体"/>
                <w:kern w:val="0"/>
                <w:szCs w:val="21"/>
                <w:highlight w:val="none"/>
                <w:lang w:val="en-US" w:eastAsia="zh-CN"/>
              </w:rPr>
              <w:t>分，总演示时间不得超过15分钟。</w:t>
            </w:r>
          </w:p>
          <w:p w14:paraId="553B0504">
            <w:pPr>
              <w:widowControl/>
              <w:spacing w:line="360" w:lineRule="auto"/>
              <w:jc w:val="left"/>
              <w:rPr>
                <w:rFonts w:hint="default" w:ascii="仿宋" w:hAnsi="仿宋" w:eastAsia="仿宋" w:cs="宋体"/>
                <w:kern w:val="0"/>
                <w:szCs w:val="21"/>
                <w:highlight w:val="none"/>
                <w:lang w:val="en-US" w:eastAsia="zh-CN"/>
              </w:rPr>
            </w:pPr>
            <w:r>
              <w:rPr>
                <w:rFonts w:hint="default" w:ascii="仿宋" w:hAnsi="仿宋" w:eastAsia="仿宋" w:cs="宋体"/>
                <w:kern w:val="0"/>
                <w:szCs w:val="21"/>
                <w:highlight w:val="none"/>
                <w:lang w:val="en-US" w:eastAsia="zh-CN"/>
              </w:rPr>
              <w:t>裸眼XR便携终端</w:t>
            </w:r>
          </w:p>
          <w:p w14:paraId="15B4EA1F">
            <w:pPr>
              <w:widowControl/>
              <w:spacing w:line="360" w:lineRule="auto"/>
              <w:jc w:val="left"/>
              <w:rPr>
                <w:rFonts w:hint="default" w:ascii="仿宋" w:hAnsi="仿宋" w:eastAsia="仿宋" w:cs="宋体"/>
                <w:kern w:val="0"/>
                <w:szCs w:val="21"/>
                <w:highlight w:val="none"/>
                <w:lang w:val="en-US" w:eastAsia="zh-CN"/>
              </w:rPr>
            </w:pPr>
            <w:r>
              <w:rPr>
                <w:rFonts w:hint="default" w:ascii="仿宋" w:hAnsi="仿宋" w:eastAsia="仿宋" w:cs="宋体"/>
                <w:kern w:val="0"/>
                <w:szCs w:val="21"/>
                <w:highlight w:val="none"/>
                <w:lang w:val="en-US" w:eastAsia="zh-CN"/>
              </w:rPr>
              <w:t>（1）要求软件可以选择各式各样的制作工具，支持3D模型制作或3D画创作；（需提供视频演示）</w:t>
            </w:r>
          </w:p>
          <w:p w14:paraId="3ADC4707">
            <w:pPr>
              <w:widowControl/>
              <w:spacing w:line="360" w:lineRule="auto"/>
              <w:jc w:val="left"/>
              <w:rPr>
                <w:rFonts w:hint="default" w:ascii="仿宋" w:hAnsi="仿宋" w:eastAsia="仿宋" w:cs="宋体"/>
                <w:kern w:val="0"/>
                <w:szCs w:val="21"/>
                <w:highlight w:val="none"/>
                <w:lang w:val="en-US" w:eastAsia="zh-CN"/>
              </w:rPr>
            </w:pPr>
            <w:r>
              <w:rPr>
                <w:rFonts w:hint="default" w:ascii="仿宋" w:hAnsi="仿宋" w:eastAsia="仿宋" w:cs="宋体"/>
                <w:kern w:val="0"/>
                <w:szCs w:val="21"/>
                <w:highlight w:val="none"/>
                <w:lang w:val="en-US" w:eastAsia="zh-CN"/>
              </w:rPr>
              <w:t>（2）要求系统具备XR模块检测功能，可以通过该模块对机器的XR功能进行检测，能够读取XR硬件设备信息，并展示出XR设备的检测画面；（需提供视频演示）</w:t>
            </w:r>
          </w:p>
          <w:p w14:paraId="43C54947">
            <w:pPr>
              <w:widowControl/>
              <w:spacing w:line="360" w:lineRule="auto"/>
              <w:jc w:val="left"/>
              <w:rPr>
                <w:rFonts w:hint="default" w:ascii="仿宋" w:hAnsi="仿宋" w:eastAsia="仿宋" w:cs="宋体"/>
                <w:kern w:val="0"/>
                <w:szCs w:val="21"/>
                <w:highlight w:val="none"/>
                <w:lang w:val="en-US" w:eastAsia="zh-CN"/>
              </w:rPr>
            </w:pPr>
            <w:r>
              <w:rPr>
                <w:rFonts w:hint="default" w:ascii="仿宋" w:hAnsi="仿宋" w:eastAsia="仿宋" w:cs="宋体"/>
                <w:kern w:val="0"/>
                <w:szCs w:val="21"/>
                <w:highlight w:val="none"/>
                <w:lang w:val="en-US" w:eastAsia="zh-CN"/>
              </w:rPr>
              <w:t>（3）要求系统具备教学演示功能，包含、蝴蝶的一生知识点学习、机械手臂原理学习、人类器官仿真模拟相关功能。（需提供视频演示）</w:t>
            </w:r>
          </w:p>
          <w:p w14:paraId="639D8304">
            <w:pPr>
              <w:widowControl/>
              <w:spacing w:line="360" w:lineRule="auto"/>
              <w:jc w:val="left"/>
              <w:rPr>
                <w:rFonts w:hint="default" w:ascii="仿宋" w:hAnsi="仿宋" w:eastAsia="仿宋" w:cs="宋体"/>
                <w:kern w:val="0"/>
                <w:szCs w:val="21"/>
                <w:highlight w:val="none"/>
                <w:lang w:val="en-US" w:eastAsia="zh-CN"/>
              </w:rPr>
            </w:pPr>
            <w:r>
              <w:rPr>
                <w:rFonts w:hint="default" w:ascii="仿宋" w:hAnsi="仿宋" w:eastAsia="仿宋" w:cs="宋体"/>
                <w:kern w:val="0"/>
                <w:szCs w:val="21"/>
                <w:highlight w:val="none"/>
                <w:lang w:val="en-US" w:eastAsia="zh-CN"/>
              </w:rPr>
              <w:t>（4）要求平台支持启动已安装的教学资源并且支持通过快速启动代码启动资源；要求平台支持显示未安装内容、可更新的内容，并且支持在线下载安装；（需提供视频演示）</w:t>
            </w:r>
          </w:p>
          <w:p w14:paraId="069534AA">
            <w:pPr>
              <w:widowControl/>
              <w:spacing w:line="360" w:lineRule="auto"/>
              <w:jc w:val="left"/>
              <w:rPr>
                <w:rFonts w:hint="default" w:ascii="仿宋" w:hAnsi="仿宋" w:eastAsia="仿宋" w:cs="宋体"/>
                <w:kern w:val="0"/>
                <w:szCs w:val="21"/>
                <w:highlight w:val="none"/>
                <w:lang w:val="en-US" w:eastAsia="zh-CN"/>
              </w:rPr>
            </w:pPr>
            <w:r>
              <w:rPr>
                <w:rFonts w:hint="default" w:ascii="仿宋" w:hAnsi="仿宋" w:eastAsia="仿宋" w:cs="宋体"/>
                <w:kern w:val="0"/>
                <w:szCs w:val="21"/>
                <w:highlight w:val="none"/>
                <w:lang w:val="en-US" w:eastAsia="zh-CN"/>
              </w:rPr>
              <w:t>（5）2D/3D视频转化：要求设备支持2D视频进行3D视频的转化功能。需满足打开该功能后将普通视频转化为3D视频；（需提供视频演示）</w:t>
            </w:r>
          </w:p>
        </w:tc>
        <w:tc>
          <w:tcPr>
            <w:tcW w:w="0" w:type="auto"/>
            <w:tcBorders>
              <w:top w:val="single" w:color="auto" w:sz="4" w:space="0"/>
              <w:left w:val="single" w:color="auto" w:sz="4" w:space="0"/>
              <w:bottom w:val="single" w:color="auto" w:sz="4" w:space="0"/>
              <w:right w:val="single" w:color="auto" w:sz="4" w:space="0"/>
            </w:tcBorders>
            <w:vAlign w:val="center"/>
          </w:tcPr>
          <w:p w14:paraId="6BB151C8">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lang w:val="en-US" w:eastAsia="zh-CN"/>
              </w:rPr>
              <w:t>10</w:t>
            </w:r>
            <w:r>
              <w:rPr>
                <w:rFonts w:hint="eastAsia" w:ascii="仿宋" w:hAnsi="仿宋" w:eastAsia="仿宋" w:cs="宋体"/>
                <w:sz w:val="21"/>
                <w:szCs w:val="21"/>
                <w:highlight w:val="none"/>
              </w:rPr>
              <w:t>分</w:t>
            </w:r>
          </w:p>
        </w:tc>
      </w:tr>
      <w:tr w14:paraId="2E80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73C3A26D">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C：技术部分评分</w:t>
            </w:r>
            <w:r>
              <w:rPr>
                <w:rFonts w:hint="eastAsia" w:ascii="仿宋" w:hAnsi="仿宋" w:eastAsia="仿宋" w:cs="Courier New"/>
                <w:b/>
                <w:sz w:val="21"/>
                <w:szCs w:val="21"/>
                <w:highlight w:val="none"/>
                <w:lang w:val="en-US" w:eastAsia="zh-CN"/>
              </w:rPr>
              <w:t>55</w:t>
            </w:r>
            <w:r>
              <w:rPr>
                <w:rFonts w:hint="eastAsia" w:ascii="仿宋" w:hAnsi="仿宋" w:eastAsia="仿宋" w:cs="Courier New"/>
                <w:b/>
                <w:sz w:val="21"/>
                <w:szCs w:val="21"/>
                <w:highlight w:val="none"/>
              </w:rPr>
              <w:t>分</w:t>
            </w:r>
          </w:p>
        </w:tc>
      </w:tr>
      <w:tr w14:paraId="56DA4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14:paraId="0A157D8D">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rPr>
              <w:t>技术响应</w:t>
            </w:r>
          </w:p>
        </w:tc>
        <w:tc>
          <w:tcPr>
            <w:tcW w:w="7095" w:type="dxa"/>
            <w:tcBorders>
              <w:top w:val="single" w:color="auto" w:sz="4" w:space="0"/>
              <w:left w:val="single" w:color="auto" w:sz="4" w:space="0"/>
              <w:bottom w:val="single" w:color="auto" w:sz="4" w:space="0"/>
              <w:right w:val="single" w:color="auto" w:sz="4" w:space="0"/>
            </w:tcBorders>
            <w:vAlign w:val="center"/>
          </w:tcPr>
          <w:p w14:paraId="5AD1B34C">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rPr>
              <w:t>响应文件对采购文件 “采购需求”的响应程度，完全满足采购文件要求的得</w:t>
            </w:r>
            <w:r>
              <w:rPr>
                <w:rFonts w:hint="eastAsia" w:ascii="仿宋" w:hAnsi="仿宋" w:eastAsia="仿宋" w:cs="宋体"/>
                <w:sz w:val="21"/>
                <w:szCs w:val="21"/>
                <w:highlight w:val="none"/>
                <w:lang w:val="en-US" w:eastAsia="zh-CN"/>
              </w:rPr>
              <w:t>25</w:t>
            </w:r>
            <w:r>
              <w:rPr>
                <w:rFonts w:hint="eastAsia" w:ascii="仿宋" w:hAnsi="仿宋" w:eastAsia="仿宋" w:cs="宋体"/>
                <w:sz w:val="21"/>
                <w:szCs w:val="21"/>
                <w:highlight w:val="none"/>
              </w:rPr>
              <w:t>分；</w:t>
            </w:r>
          </w:p>
          <w:p w14:paraId="1D91E124">
            <w:pPr>
              <w:widowControl/>
              <w:spacing w:line="360" w:lineRule="auto"/>
              <w:jc w:val="left"/>
              <w:rPr>
                <w:rFonts w:ascii="仿宋" w:hAnsi="仿宋" w:eastAsia="仿宋" w:cs="宋体"/>
                <w:kern w:val="0"/>
                <w:szCs w:val="21"/>
                <w:highlight w:val="none"/>
              </w:rPr>
            </w:pPr>
            <w:r>
              <w:rPr>
                <w:rFonts w:hint="eastAsia" w:ascii="仿宋" w:hAnsi="仿宋" w:eastAsia="仿宋" w:cs="宋体"/>
                <w:kern w:val="0"/>
                <w:szCs w:val="21"/>
                <w:highlight w:val="none"/>
              </w:rPr>
              <w:t>加“★”参数每项负偏离或未按要求提供响应的证明材料，扣2分，扣完为止；</w:t>
            </w:r>
          </w:p>
          <w:p w14:paraId="4312CBA6">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rPr>
              <w:t>未加“★”参数每项负偏离或未按要求提供响应的证明材料，扣1分，扣完为止。</w:t>
            </w:r>
          </w:p>
          <w:p w14:paraId="1FD0C15E">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rPr>
              <w:t>注：提供制造商公开发布的产品彩页或检测报告等证明材料。</w:t>
            </w:r>
          </w:p>
        </w:tc>
        <w:tc>
          <w:tcPr>
            <w:tcW w:w="0" w:type="auto"/>
            <w:tcBorders>
              <w:top w:val="single" w:color="auto" w:sz="4" w:space="0"/>
              <w:left w:val="single" w:color="auto" w:sz="4" w:space="0"/>
              <w:bottom w:val="single" w:color="auto" w:sz="4" w:space="0"/>
              <w:right w:val="single" w:color="auto" w:sz="4" w:space="0"/>
            </w:tcBorders>
            <w:vAlign w:val="center"/>
          </w:tcPr>
          <w:p w14:paraId="326D47E9">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lang w:val="en-US" w:eastAsia="zh-CN"/>
              </w:rPr>
              <w:t>25</w:t>
            </w:r>
            <w:r>
              <w:rPr>
                <w:rFonts w:hint="eastAsia" w:ascii="仿宋" w:hAnsi="仿宋" w:eastAsia="仿宋" w:cs="Courier New"/>
                <w:sz w:val="21"/>
                <w:szCs w:val="21"/>
                <w:highlight w:val="none"/>
              </w:rPr>
              <w:t>分</w:t>
            </w:r>
          </w:p>
        </w:tc>
      </w:tr>
      <w:tr w14:paraId="73F8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2" w:type="dxa"/>
            <w:vMerge w:val="restart"/>
            <w:tcBorders>
              <w:top w:val="single" w:color="auto" w:sz="4" w:space="0"/>
              <w:left w:val="single" w:color="auto" w:sz="4" w:space="0"/>
              <w:right w:val="single" w:color="auto" w:sz="4" w:space="0"/>
            </w:tcBorders>
            <w:vAlign w:val="center"/>
          </w:tcPr>
          <w:p w14:paraId="0CB7E0BA">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宋体"/>
                <w:sz w:val="21"/>
                <w:szCs w:val="21"/>
                <w:highlight w:val="none"/>
              </w:rPr>
              <w:t>实施方案</w:t>
            </w:r>
          </w:p>
        </w:tc>
        <w:tc>
          <w:tcPr>
            <w:tcW w:w="7095" w:type="dxa"/>
            <w:tcBorders>
              <w:top w:val="single" w:color="auto" w:sz="4" w:space="0"/>
              <w:left w:val="single" w:color="auto" w:sz="4" w:space="0"/>
              <w:bottom w:val="single" w:color="auto" w:sz="4" w:space="0"/>
              <w:right w:val="single" w:color="auto" w:sz="4" w:space="0"/>
            </w:tcBorders>
            <w:vAlign w:val="center"/>
          </w:tcPr>
          <w:p w14:paraId="238F8EC0">
            <w:pPr>
              <w:pStyle w:val="12"/>
              <w:snapToGrid w:val="0"/>
              <w:spacing w:line="360" w:lineRule="auto"/>
              <w:ind w:firstLine="0"/>
              <w:rPr>
                <w:rFonts w:ascii="仿宋" w:hAnsi="仿宋" w:eastAsia="仿宋"/>
                <w:sz w:val="21"/>
                <w:szCs w:val="21"/>
                <w:highlight w:val="none"/>
              </w:rPr>
            </w:pPr>
            <w:r>
              <w:rPr>
                <w:rFonts w:ascii="仿宋" w:hAnsi="仿宋" w:eastAsia="仿宋"/>
                <w:sz w:val="21"/>
                <w:szCs w:val="21"/>
                <w:highlight w:val="none"/>
              </w:rPr>
              <w:t>实施方案</w:t>
            </w:r>
            <w:r>
              <w:rPr>
                <w:rFonts w:hint="eastAsia" w:ascii="仿宋" w:hAnsi="仿宋" w:eastAsia="仿宋"/>
                <w:sz w:val="21"/>
                <w:szCs w:val="21"/>
                <w:highlight w:val="none"/>
              </w:rPr>
              <w:t>：</w:t>
            </w:r>
          </w:p>
          <w:p w14:paraId="353E1E4E">
            <w:pPr>
              <w:pStyle w:val="12"/>
              <w:snapToGrid w:val="0"/>
              <w:spacing w:line="360" w:lineRule="auto"/>
              <w:ind w:firstLine="0"/>
              <w:rPr>
                <w:rFonts w:ascii="仿宋" w:hAnsi="仿宋" w:eastAsia="仿宋"/>
                <w:sz w:val="21"/>
                <w:szCs w:val="21"/>
                <w:highlight w:val="none"/>
              </w:rPr>
            </w:pPr>
            <w:r>
              <w:rPr>
                <w:rFonts w:ascii="仿宋" w:hAnsi="仿宋" w:eastAsia="仿宋"/>
                <w:sz w:val="21"/>
                <w:szCs w:val="21"/>
                <w:highlight w:val="none"/>
              </w:rPr>
              <w:t xml:space="preserve">应充分了解实施项目建设内容，在理解基础上进行深入分析，保证本次项目顺利实施，投标人根据货物交付时间节点，落实生产计划、送货安装时间， 确保按期交付使用。 </w:t>
            </w:r>
          </w:p>
          <w:p w14:paraId="543E476D">
            <w:pPr>
              <w:pStyle w:val="12"/>
              <w:snapToGrid w:val="0"/>
              <w:spacing w:line="360" w:lineRule="auto"/>
              <w:ind w:firstLine="0"/>
              <w:rPr>
                <w:rFonts w:ascii="仿宋" w:hAnsi="仿宋" w:eastAsia="仿宋"/>
                <w:sz w:val="21"/>
                <w:szCs w:val="21"/>
                <w:highlight w:val="none"/>
              </w:rPr>
            </w:pPr>
            <w:r>
              <w:rPr>
                <w:rFonts w:hint="eastAsia" w:ascii="仿宋" w:hAnsi="仿宋" w:eastAsia="仿宋" w:cs="Times New Roman"/>
                <w:sz w:val="21"/>
                <w:szCs w:val="21"/>
                <w:highlight w:val="none"/>
                <w:lang w:eastAsia="zh-CN"/>
              </w:rPr>
              <w:t>①</w:t>
            </w:r>
            <w:r>
              <w:rPr>
                <w:rFonts w:hint="default" w:ascii="仿宋" w:hAnsi="仿宋" w:eastAsia="仿宋" w:cs="Times New Roman"/>
                <w:sz w:val="21"/>
                <w:szCs w:val="21"/>
                <w:highlight w:val="none"/>
              </w:rPr>
              <w:t>供货方案</w:t>
            </w:r>
            <w:r>
              <w:rPr>
                <w:rFonts w:hint="eastAsia" w:ascii="仿宋" w:hAnsi="仿宋" w:eastAsia="仿宋" w:cs="Times New Roman"/>
                <w:sz w:val="21"/>
                <w:szCs w:val="21"/>
                <w:highlight w:val="none"/>
                <w:lang w:eastAsia="zh-CN"/>
              </w:rPr>
              <w:t>、②</w:t>
            </w:r>
            <w:r>
              <w:rPr>
                <w:rFonts w:hint="default" w:ascii="仿宋" w:hAnsi="仿宋" w:eastAsia="仿宋" w:cs="Times New Roman"/>
                <w:sz w:val="21"/>
                <w:szCs w:val="21"/>
                <w:highlight w:val="none"/>
              </w:rPr>
              <w:t>质量保障措施</w:t>
            </w:r>
            <w:r>
              <w:rPr>
                <w:rFonts w:hint="eastAsia" w:ascii="仿宋" w:hAnsi="仿宋" w:eastAsia="仿宋" w:cs="Times New Roman"/>
                <w:sz w:val="21"/>
                <w:szCs w:val="21"/>
                <w:highlight w:val="none"/>
                <w:lang w:eastAsia="zh-CN"/>
              </w:rPr>
              <w:t>、③</w:t>
            </w:r>
            <w:r>
              <w:rPr>
                <w:rFonts w:hint="default" w:ascii="仿宋" w:hAnsi="仿宋" w:eastAsia="仿宋" w:cs="Times New Roman"/>
                <w:sz w:val="21"/>
                <w:szCs w:val="21"/>
                <w:highlight w:val="none"/>
              </w:rPr>
              <w:t>进度计划与管控</w:t>
            </w:r>
            <w:r>
              <w:rPr>
                <w:rFonts w:hint="eastAsia" w:ascii="仿宋" w:hAnsi="仿宋" w:eastAsia="仿宋" w:cs="Times New Roman"/>
                <w:sz w:val="21"/>
                <w:szCs w:val="21"/>
                <w:highlight w:val="none"/>
                <w:lang w:eastAsia="zh-CN"/>
              </w:rPr>
              <w:t>、④</w:t>
            </w:r>
            <w:r>
              <w:rPr>
                <w:rFonts w:ascii="仿宋" w:hAnsi="仿宋" w:eastAsia="仿宋" w:cs="Times New Roman"/>
                <w:sz w:val="21"/>
                <w:szCs w:val="21"/>
                <w:highlight w:val="none"/>
              </w:rPr>
              <w:t>安装与调试</w:t>
            </w:r>
            <w:r>
              <w:rPr>
                <w:rFonts w:hint="eastAsia" w:ascii="仿宋" w:hAnsi="仿宋" w:eastAsia="仿宋" w:cs="Times New Roman"/>
                <w:sz w:val="21"/>
                <w:szCs w:val="21"/>
                <w:highlight w:val="none"/>
                <w:lang w:eastAsia="zh-CN"/>
              </w:rPr>
              <w:t>、⑤</w:t>
            </w:r>
            <w:r>
              <w:rPr>
                <w:rFonts w:ascii="仿宋" w:hAnsi="仿宋" w:eastAsia="仿宋" w:cs="Times New Roman"/>
                <w:sz w:val="21"/>
                <w:szCs w:val="21"/>
                <w:highlight w:val="none"/>
              </w:rPr>
              <w:t>培训服务</w:t>
            </w:r>
            <w:r>
              <w:rPr>
                <w:rFonts w:hint="eastAsia" w:ascii="仿宋" w:hAnsi="仿宋" w:eastAsia="仿宋" w:cs="Times New Roman"/>
                <w:sz w:val="21"/>
                <w:szCs w:val="21"/>
                <w:highlight w:val="none"/>
                <w:lang w:eastAsia="zh-CN"/>
              </w:rPr>
              <w:t xml:space="preserve">、⑥应急预案。提供相关方案的得 </w:t>
            </w:r>
            <w:r>
              <w:rPr>
                <w:rFonts w:hint="eastAsia" w:ascii="仿宋" w:hAnsi="仿宋" w:eastAsia="仿宋" w:cs="Times New Roman"/>
                <w:sz w:val="21"/>
                <w:szCs w:val="21"/>
                <w:highlight w:val="none"/>
                <w:lang w:val="en-US" w:eastAsia="zh-CN"/>
              </w:rPr>
              <w:t>12</w:t>
            </w:r>
            <w:r>
              <w:rPr>
                <w:rFonts w:hint="eastAsia" w:ascii="仿宋" w:hAnsi="仿宋" w:eastAsia="仿宋" w:cs="Times New Roman"/>
                <w:sz w:val="21"/>
                <w:szCs w:val="21"/>
                <w:highlight w:val="none"/>
                <w:lang w:eastAsia="zh-CN"/>
              </w:rPr>
              <w:t xml:space="preserve"> 分，以此为基础，</w:t>
            </w:r>
            <w:r>
              <w:rPr>
                <w:rFonts w:hint="eastAsia" w:ascii="仿宋" w:hAnsi="仿宋" w:eastAsia="仿宋" w:cs="Times New Roman"/>
                <w:sz w:val="21"/>
                <w:szCs w:val="21"/>
                <w:highlight w:val="none"/>
                <w:lang w:val="en-US" w:eastAsia="zh-CN"/>
              </w:rPr>
              <w:t>所提供的</w:t>
            </w:r>
            <w:r>
              <w:rPr>
                <w:rFonts w:hint="eastAsia" w:ascii="仿宋" w:hAnsi="仿宋" w:eastAsia="仿宋" w:cs="Times New Roman"/>
                <w:sz w:val="21"/>
                <w:szCs w:val="21"/>
                <w:highlight w:val="none"/>
                <w:lang w:eastAsia="zh-CN"/>
              </w:rPr>
              <w:t>方案</w:t>
            </w:r>
            <w:r>
              <w:rPr>
                <w:rFonts w:hint="eastAsia" w:ascii="仿宋" w:hAnsi="仿宋" w:eastAsia="仿宋" w:cs="Times New Roman"/>
                <w:sz w:val="21"/>
                <w:szCs w:val="21"/>
                <w:highlight w:val="none"/>
                <w:lang w:val="en-US" w:eastAsia="zh-CN"/>
              </w:rPr>
              <w:t>中</w:t>
            </w:r>
            <w:r>
              <w:rPr>
                <w:rFonts w:hint="eastAsia" w:ascii="仿宋" w:hAnsi="仿宋" w:eastAsia="仿宋" w:cs="Times New Roman"/>
                <w:sz w:val="21"/>
                <w:szCs w:val="21"/>
                <w:highlight w:val="none"/>
                <w:lang w:eastAsia="zh-CN"/>
              </w:rPr>
              <w:t>每有一项</w:t>
            </w:r>
            <w:r>
              <w:rPr>
                <w:rFonts w:hint="eastAsia" w:ascii="仿宋" w:hAnsi="仿宋" w:eastAsia="仿宋" w:cs="Times New Roman"/>
                <w:sz w:val="21"/>
                <w:szCs w:val="21"/>
                <w:highlight w:val="none"/>
                <w:lang w:val="en-US" w:eastAsia="zh-CN"/>
              </w:rPr>
              <w:t>内容</w:t>
            </w:r>
            <w:r>
              <w:rPr>
                <w:rFonts w:hint="eastAsia" w:ascii="仿宋" w:hAnsi="仿宋" w:eastAsia="仿宋" w:cs="Times New Roman"/>
                <w:sz w:val="21"/>
                <w:szCs w:val="21"/>
                <w:highlight w:val="none"/>
                <w:lang w:eastAsia="zh-CN"/>
              </w:rPr>
              <w:t>进行了深化、量化、拓展</w:t>
            </w:r>
            <w:r>
              <w:rPr>
                <w:rFonts w:hint="eastAsia" w:ascii="仿宋" w:hAnsi="仿宋" w:eastAsia="仿宋" w:cs="Times New Roman"/>
                <w:sz w:val="21"/>
                <w:szCs w:val="21"/>
                <w:highlight w:val="none"/>
                <w:lang w:val="en-US" w:eastAsia="zh-CN"/>
              </w:rPr>
              <w:t>或</w:t>
            </w:r>
            <w:r>
              <w:rPr>
                <w:rFonts w:hint="eastAsia" w:ascii="仿宋" w:hAnsi="仿宋" w:eastAsia="仿宋" w:cs="Times New Roman"/>
                <w:sz w:val="21"/>
                <w:szCs w:val="21"/>
                <w:highlight w:val="none"/>
                <w:lang w:eastAsia="zh-CN"/>
              </w:rPr>
              <w:t>提出经评审专家认可的合理化建议的加 1 分，加至</w:t>
            </w:r>
            <w:r>
              <w:rPr>
                <w:rFonts w:hint="eastAsia" w:ascii="仿宋" w:hAnsi="仿宋" w:eastAsia="仿宋" w:cs="Times New Roman"/>
                <w:sz w:val="21"/>
                <w:szCs w:val="21"/>
                <w:highlight w:val="none"/>
                <w:lang w:val="en-US" w:eastAsia="zh-CN"/>
              </w:rPr>
              <w:t>18分</w:t>
            </w:r>
            <w:r>
              <w:rPr>
                <w:rFonts w:hint="eastAsia" w:ascii="仿宋" w:hAnsi="仿宋" w:eastAsia="仿宋" w:cs="Times New Roman"/>
                <w:sz w:val="21"/>
                <w:szCs w:val="21"/>
                <w:highlight w:val="none"/>
                <w:lang w:eastAsia="zh-CN"/>
              </w:rPr>
              <w:t>为止；每缺失一条扣</w:t>
            </w:r>
            <w:r>
              <w:rPr>
                <w:rFonts w:hint="eastAsia" w:ascii="仿宋" w:hAnsi="仿宋" w:eastAsia="仿宋" w:cs="Times New Roman"/>
                <w:sz w:val="21"/>
                <w:szCs w:val="21"/>
                <w:highlight w:val="none"/>
                <w:lang w:val="en-US" w:eastAsia="zh-CN"/>
              </w:rPr>
              <w:t>2</w:t>
            </w:r>
            <w:r>
              <w:rPr>
                <w:rFonts w:hint="eastAsia" w:ascii="仿宋" w:hAnsi="仿宋" w:eastAsia="仿宋" w:cs="Times New Roman"/>
                <w:sz w:val="21"/>
                <w:szCs w:val="21"/>
                <w:highlight w:val="none"/>
                <w:lang w:eastAsia="zh-CN"/>
              </w:rPr>
              <w:t>分；每有一处描述不清或逻辑混乱有欠缺的扣</w:t>
            </w:r>
            <w:r>
              <w:rPr>
                <w:rFonts w:hint="eastAsia" w:ascii="仿宋" w:hAnsi="仿宋" w:eastAsia="仿宋" w:cs="Times New Roman"/>
                <w:sz w:val="21"/>
                <w:szCs w:val="21"/>
                <w:highlight w:val="none"/>
                <w:lang w:val="en-US" w:eastAsia="zh-CN"/>
              </w:rPr>
              <w:t>1</w:t>
            </w:r>
            <w:r>
              <w:rPr>
                <w:rFonts w:hint="eastAsia" w:ascii="仿宋" w:hAnsi="仿宋" w:eastAsia="仿宋" w:cs="Times New Roman"/>
                <w:sz w:val="21"/>
                <w:szCs w:val="21"/>
                <w:highlight w:val="none"/>
                <w:lang w:eastAsia="zh-CN"/>
              </w:rPr>
              <w:t>分，扣完为止。</w:t>
            </w:r>
          </w:p>
        </w:tc>
        <w:tc>
          <w:tcPr>
            <w:tcW w:w="0" w:type="auto"/>
            <w:tcBorders>
              <w:top w:val="single" w:color="auto" w:sz="4" w:space="0"/>
              <w:left w:val="single" w:color="auto" w:sz="4" w:space="0"/>
              <w:bottom w:val="single" w:color="auto" w:sz="4" w:space="0"/>
              <w:right w:val="single" w:color="auto" w:sz="4" w:space="0"/>
            </w:tcBorders>
            <w:vAlign w:val="center"/>
          </w:tcPr>
          <w:p w14:paraId="3F061418">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lang w:val="en-US" w:eastAsia="zh-CN"/>
              </w:rPr>
              <w:t>18</w:t>
            </w:r>
            <w:r>
              <w:rPr>
                <w:rFonts w:hint="eastAsia" w:ascii="仿宋" w:hAnsi="仿宋" w:eastAsia="仿宋" w:cs="Courier New"/>
                <w:sz w:val="21"/>
                <w:szCs w:val="21"/>
                <w:highlight w:val="none"/>
              </w:rPr>
              <w:t>分</w:t>
            </w:r>
          </w:p>
        </w:tc>
      </w:tr>
      <w:tr w14:paraId="4702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2" w:type="dxa"/>
            <w:vMerge w:val="continue"/>
            <w:tcBorders>
              <w:left w:val="single" w:color="auto" w:sz="4" w:space="0"/>
              <w:bottom w:val="single" w:color="auto" w:sz="4" w:space="0"/>
              <w:right w:val="single" w:color="auto" w:sz="4" w:space="0"/>
            </w:tcBorders>
            <w:vAlign w:val="center"/>
          </w:tcPr>
          <w:p w14:paraId="1E892445">
            <w:pPr>
              <w:pStyle w:val="12"/>
              <w:snapToGrid w:val="0"/>
              <w:spacing w:line="360" w:lineRule="auto"/>
              <w:ind w:firstLine="0"/>
              <w:rPr>
                <w:rFonts w:ascii="仿宋" w:hAnsi="仿宋" w:eastAsia="仿宋" w:cs="宋体"/>
                <w:sz w:val="21"/>
                <w:szCs w:val="21"/>
                <w:highlight w:val="none"/>
              </w:rPr>
            </w:pPr>
          </w:p>
        </w:tc>
        <w:tc>
          <w:tcPr>
            <w:tcW w:w="7095" w:type="dxa"/>
            <w:tcBorders>
              <w:top w:val="single" w:color="auto" w:sz="4" w:space="0"/>
              <w:left w:val="single" w:color="auto" w:sz="4" w:space="0"/>
              <w:bottom w:val="single" w:color="auto" w:sz="4" w:space="0"/>
              <w:right w:val="single" w:color="auto" w:sz="4" w:space="0"/>
            </w:tcBorders>
            <w:vAlign w:val="center"/>
          </w:tcPr>
          <w:p w14:paraId="67D8A55B">
            <w:pPr>
              <w:rPr>
                <w:rFonts w:ascii="仿宋" w:hAnsi="仿宋" w:eastAsia="仿宋" w:cs="宋体"/>
                <w:kern w:val="0"/>
                <w:szCs w:val="21"/>
                <w:highlight w:val="none"/>
              </w:rPr>
            </w:pPr>
            <w:r>
              <w:rPr>
                <w:rFonts w:hint="eastAsia" w:ascii="仿宋" w:hAnsi="仿宋" w:eastAsia="仿宋" w:cs="宋体"/>
                <w:kern w:val="0"/>
                <w:szCs w:val="21"/>
                <w:highlight w:val="none"/>
              </w:rPr>
              <w:t>售后方案：</w:t>
            </w:r>
          </w:p>
          <w:p w14:paraId="2E5C3C5E">
            <w:pPr>
              <w:rPr>
                <w:rFonts w:ascii="仿宋" w:hAnsi="仿宋" w:eastAsia="仿宋" w:cs="宋体"/>
                <w:kern w:val="0"/>
                <w:szCs w:val="21"/>
                <w:highlight w:val="none"/>
              </w:rPr>
            </w:pPr>
            <w:r>
              <w:rPr>
                <w:rFonts w:hint="eastAsia" w:ascii="仿宋" w:hAnsi="仿宋" w:eastAsia="仿宋" w:cs="宋体"/>
                <w:kern w:val="0"/>
                <w:szCs w:val="21"/>
                <w:highlight w:val="none"/>
              </w:rPr>
              <w:t>编制售后服务体系、方案，服务承诺等，内容需包含：</w:t>
            </w:r>
          </w:p>
          <w:p w14:paraId="49E96DC0">
            <w:pPr>
              <w:rPr>
                <w:rFonts w:ascii="仿宋" w:hAnsi="仿宋" w:eastAsia="仿宋" w:cs="宋体"/>
                <w:kern w:val="0"/>
                <w:szCs w:val="21"/>
                <w:highlight w:val="none"/>
              </w:rPr>
            </w:pPr>
            <w:r>
              <w:rPr>
                <w:rFonts w:hint="eastAsia" w:ascii="仿宋" w:hAnsi="仿宋" w:eastAsia="仿宋" w:cs="宋体"/>
                <w:kern w:val="0"/>
                <w:szCs w:val="21"/>
                <w:highlight w:val="none"/>
                <w:lang w:eastAsia="zh-CN"/>
              </w:rPr>
              <w:t>①</w:t>
            </w:r>
            <w:r>
              <w:rPr>
                <w:rFonts w:hint="eastAsia" w:ascii="仿宋" w:hAnsi="仿宋" w:eastAsia="仿宋" w:cs="宋体"/>
                <w:kern w:val="0"/>
                <w:szCs w:val="21"/>
                <w:highlight w:val="none"/>
              </w:rPr>
              <w:t>备品备件及耗材保障方案及承诺；</w:t>
            </w:r>
            <w:r>
              <w:rPr>
                <w:rFonts w:hint="eastAsia" w:ascii="仿宋" w:hAnsi="仿宋" w:eastAsia="仿宋" w:cs="宋体"/>
                <w:kern w:val="0"/>
                <w:szCs w:val="21"/>
                <w:highlight w:val="none"/>
                <w:lang w:eastAsia="zh-CN"/>
              </w:rPr>
              <w:t>②</w:t>
            </w:r>
            <w:r>
              <w:rPr>
                <w:rFonts w:hint="eastAsia" w:ascii="仿宋" w:hAnsi="仿宋" w:eastAsia="仿宋" w:cs="宋体"/>
                <w:kern w:val="0"/>
                <w:szCs w:val="21"/>
                <w:highlight w:val="none"/>
              </w:rPr>
              <w:t>质保期间的响应保障方案；</w:t>
            </w:r>
            <w:r>
              <w:rPr>
                <w:rFonts w:hint="eastAsia" w:ascii="仿宋" w:hAnsi="仿宋" w:eastAsia="仿宋" w:cs="宋体"/>
                <w:kern w:val="0"/>
                <w:szCs w:val="21"/>
                <w:highlight w:val="none"/>
                <w:lang w:eastAsia="zh-CN"/>
              </w:rPr>
              <w:t>③</w:t>
            </w:r>
            <w:r>
              <w:rPr>
                <w:rFonts w:hint="eastAsia" w:ascii="仿宋" w:hAnsi="仿宋" w:eastAsia="仿宋" w:cs="宋体"/>
                <w:kern w:val="0"/>
                <w:szCs w:val="21"/>
                <w:highlight w:val="none"/>
              </w:rPr>
              <w:t>相关服务承诺；</w:t>
            </w:r>
            <w:r>
              <w:rPr>
                <w:rFonts w:hint="eastAsia" w:ascii="仿宋" w:hAnsi="仿宋" w:eastAsia="仿宋" w:cs="宋体"/>
                <w:kern w:val="0"/>
                <w:szCs w:val="21"/>
                <w:highlight w:val="none"/>
                <w:lang w:eastAsia="zh-CN"/>
              </w:rPr>
              <w:t>④</w:t>
            </w:r>
            <w:r>
              <w:rPr>
                <w:rFonts w:hint="eastAsia" w:ascii="仿宋" w:hAnsi="仿宋" w:eastAsia="仿宋" w:cs="宋体"/>
                <w:kern w:val="0"/>
                <w:szCs w:val="21"/>
                <w:highlight w:val="none"/>
              </w:rPr>
              <w:t>售后人员保障等。</w:t>
            </w:r>
          </w:p>
          <w:p w14:paraId="4027C953">
            <w:pPr>
              <w:rPr>
                <w:highlight w:val="none"/>
              </w:rPr>
            </w:pPr>
            <w:r>
              <w:rPr>
                <w:rFonts w:hint="eastAsia" w:ascii="仿宋" w:hAnsi="仿宋" w:eastAsia="仿宋" w:cs="Times New Roman"/>
                <w:sz w:val="21"/>
                <w:szCs w:val="21"/>
                <w:highlight w:val="none"/>
                <w:lang w:eastAsia="zh-CN"/>
              </w:rPr>
              <w:t xml:space="preserve">提供相关方案的得 </w:t>
            </w:r>
            <w:r>
              <w:rPr>
                <w:rFonts w:hint="eastAsia" w:ascii="仿宋" w:hAnsi="仿宋" w:eastAsia="仿宋" w:cs="Times New Roman"/>
                <w:sz w:val="21"/>
                <w:szCs w:val="21"/>
                <w:highlight w:val="none"/>
                <w:lang w:val="en-US" w:eastAsia="zh-CN"/>
              </w:rPr>
              <w:t>8</w:t>
            </w:r>
            <w:r>
              <w:rPr>
                <w:rFonts w:hint="eastAsia" w:ascii="仿宋" w:hAnsi="仿宋" w:eastAsia="仿宋" w:cs="Times New Roman"/>
                <w:sz w:val="21"/>
                <w:szCs w:val="21"/>
                <w:highlight w:val="none"/>
                <w:lang w:eastAsia="zh-CN"/>
              </w:rPr>
              <w:t xml:space="preserve"> 分，以此为基础，</w:t>
            </w:r>
            <w:r>
              <w:rPr>
                <w:rFonts w:hint="eastAsia" w:ascii="仿宋" w:hAnsi="仿宋" w:eastAsia="仿宋" w:cs="Times New Roman"/>
                <w:sz w:val="21"/>
                <w:szCs w:val="21"/>
                <w:highlight w:val="none"/>
                <w:lang w:val="en-US" w:eastAsia="zh-CN"/>
              </w:rPr>
              <w:t>所提供的</w:t>
            </w:r>
            <w:r>
              <w:rPr>
                <w:rFonts w:hint="eastAsia" w:ascii="仿宋" w:hAnsi="仿宋" w:eastAsia="仿宋" w:cs="Times New Roman"/>
                <w:sz w:val="21"/>
                <w:szCs w:val="21"/>
                <w:highlight w:val="none"/>
                <w:lang w:eastAsia="zh-CN"/>
              </w:rPr>
              <w:t>方案</w:t>
            </w:r>
            <w:r>
              <w:rPr>
                <w:rFonts w:hint="eastAsia" w:ascii="仿宋" w:hAnsi="仿宋" w:eastAsia="仿宋" w:cs="Times New Roman"/>
                <w:sz w:val="21"/>
                <w:szCs w:val="21"/>
                <w:highlight w:val="none"/>
                <w:lang w:val="en-US" w:eastAsia="zh-CN"/>
              </w:rPr>
              <w:t>中</w:t>
            </w:r>
            <w:r>
              <w:rPr>
                <w:rFonts w:hint="eastAsia" w:ascii="仿宋" w:hAnsi="仿宋" w:eastAsia="仿宋" w:cs="Times New Roman"/>
                <w:sz w:val="21"/>
                <w:szCs w:val="21"/>
                <w:highlight w:val="none"/>
                <w:lang w:eastAsia="zh-CN"/>
              </w:rPr>
              <w:t>每有一项</w:t>
            </w:r>
            <w:r>
              <w:rPr>
                <w:rFonts w:hint="eastAsia" w:ascii="仿宋" w:hAnsi="仿宋" w:eastAsia="仿宋" w:cs="Times New Roman"/>
                <w:sz w:val="21"/>
                <w:szCs w:val="21"/>
                <w:highlight w:val="none"/>
                <w:lang w:val="en-US" w:eastAsia="zh-CN"/>
              </w:rPr>
              <w:t>内容</w:t>
            </w:r>
            <w:r>
              <w:rPr>
                <w:rFonts w:hint="eastAsia" w:ascii="仿宋" w:hAnsi="仿宋" w:eastAsia="仿宋" w:cs="Times New Roman"/>
                <w:sz w:val="21"/>
                <w:szCs w:val="21"/>
                <w:highlight w:val="none"/>
                <w:lang w:eastAsia="zh-CN"/>
              </w:rPr>
              <w:t>进行了深化、量化、拓展</w:t>
            </w:r>
            <w:r>
              <w:rPr>
                <w:rFonts w:hint="eastAsia" w:ascii="仿宋" w:hAnsi="仿宋" w:eastAsia="仿宋" w:cs="Times New Roman"/>
                <w:sz w:val="21"/>
                <w:szCs w:val="21"/>
                <w:highlight w:val="none"/>
                <w:lang w:val="en-US" w:eastAsia="zh-CN"/>
              </w:rPr>
              <w:t>或</w:t>
            </w:r>
            <w:r>
              <w:rPr>
                <w:rFonts w:hint="eastAsia" w:ascii="仿宋" w:hAnsi="仿宋" w:eastAsia="仿宋" w:cs="Times New Roman"/>
                <w:sz w:val="21"/>
                <w:szCs w:val="21"/>
                <w:highlight w:val="none"/>
                <w:lang w:eastAsia="zh-CN"/>
              </w:rPr>
              <w:t>提出经评审专家认可的合理化建议的加 1 分，加至</w:t>
            </w:r>
            <w:r>
              <w:rPr>
                <w:rFonts w:hint="eastAsia" w:ascii="仿宋" w:hAnsi="仿宋" w:eastAsia="仿宋" w:cs="Times New Roman"/>
                <w:sz w:val="21"/>
                <w:szCs w:val="21"/>
                <w:highlight w:val="none"/>
                <w:lang w:val="en-US" w:eastAsia="zh-CN"/>
              </w:rPr>
              <w:t>12分</w:t>
            </w:r>
            <w:r>
              <w:rPr>
                <w:rFonts w:hint="eastAsia" w:ascii="仿宋" w:hAnsi="仿宋" w:eastAsia="仿宋" w:cs="Times New Roman"/>
                <w:sz w:val="21"/>
                <w:szCs w:val="21"/>
                <w:highlight w:val="none"/>
                <w:lang w:eastAsia="zh-CN"/>
              </w:rPr>
              <w:t>为止；每缺失一条扣</w:t>
            </w:r>
            <w:r>
              <w:rPr>
                <w:rFonts w:hint="eastAsia" w:ascii="仿宋" w:hAnsi="仿宋" w:eastAsia="仿宋" w:cs="Times New Roman"/>
                <w:sz w:val="21"/>
                <w:szCs w:val="21"/>
                <w:highlight w:val="none"/>
                <w:lang w:val="en-US" w:eastAsia="zh-CN"/>
              </w:rPr>
              <w:t>2</w:t>
            </w:r>
            <w:r>
              <w:rPr>
                <w:rFonts w:hint="eastAsia" w:ascii="仿宋" w:hAnsi="仿宋" w:eastAsia="仿宋" w:cs="Times New Roman"/>
                <w:sz w:val="21"/>
                <w:szCs w:val="21"/>
                <w:highlight w:val="none"/>
                <w:lang w:eastAsia="zh-CN"/>
              </w:rPr>
              <w:t>分；每有一处描述不清或逻辑混乱有欠缺的扣</w:t>
            </w:r>
            <w:r>
              <w:rPr>
                <w:rFonts w:hint="eastAsia" w:ascii="仿宋" w:hAnsi="仿宋" w:eastAsia="仿宋" w:cs="Times New Roman"/>
                <w:sz w:val="21"/>
                <w:szCs w:val="21"/>
                <w:highlight w:val="none"/>
                <w:lang w:val="en-US" w:eastAsia="zh-CN"/>
              </w:rPr>
              <w:t>1</w:t>
            </w:r>
            <w:r>
              <w:rPr>
                <w:rFonts w:hint="eastAsia" w:ascii="仿宋" w:hAnsi="仿宋" w:eastAsia="仿宋" w:cs="Times New Roman"/>
                <w:sz w:val="21"/>
                <w:szCs w:val="21"/>
                <w:highlight w:val="none"/>
                <w:lang w:eastAsia="zh-CN"/>
              </w:rPr>
              <w:t>分，扣完为止。</w:t>
            </w:r>
          </w:p>
        </w:tc>
        <w:tc>
          <w:tcPr>
            <w:tcW w:w="0" w:type="auto"/>
            <w:tcBorders>
              <w:top w:val="single" w:color="auto" w:sz="4" w:space="0"/>
              <w:left w:val="single" w:color="auto" w:sz="4" w:space="0"/>
              <w:bottom w:val="single" w:color="auto" w:sz="4" w:space="0"/>
              <w:right w:val="single" w:color="auto" w:sz="4" w:space="0"/>
            </w:tcBorders>
            <w:vAlign w:val="center"/>
          </w:tcPr>
          <w:p w14:paraId="49FCE443">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lang w:val="en-US" w:eastAsia="zh-CN"/>
              </w:rPr>
              <w:t>12</w:t>
            </w:r>
            <w:r>
              <w:rPr>
                <w:rFonts w:hint="eastAsia" w:ascii="仿宋" w:hAnsi="仿宋" w:eastAsia="仿宋" w:cs="Courier New"/>
                <w:sz w:val="21"/>
                <w:szCs w:val="21"/>
                <w:highlight w:val="none"/>
              </w:rPr>
              <w:t>分</w:t>
            </w:r>
          </w:p>
        </w:tc>
      </w:tr>
      <w:tr w14:paraId="1C97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072D21F4">
            <w:pPr>
              <w:pStyle w:val="12"/>
              <w:snapToGrid w:val="0"/>
              <w:spacing w:line="360" w:lineRule="auto"/>
              <w:ind w:firstLine="0"/>
              <w:rPr>
                <w:rFonts w:ascii="仿宋" w:hAnsi="仿宋" w:eastAsia="仿宋" w:cs="Courier New"/>
                <w:b/>
                <w:sz w:val="21"/>
                <w:szCs w:val="21"/>
                <w:highlight w:val="none"/>
              </w:rPr>
            </w:pPr>
            <w:r>
              <w:rPr>
                <w:rFonts w:ascii="仿宋" w:hAnsi="仿宋" w:eastAsia="仿宋" w:cs="Courier New"/>
                <w:b/>
                <w:sz w:val="21"/>
                <w:szCs w:val="21"/>
                <w:highlight w:val="none"/>
              </w:rPr>
              <w:t>D</w:t>
            </w:r>
            <w:r>
              <w:rPr>
                <w:rFonts w:hint="eastAsia" w:ascii="仿宋" w:hAnsi="仿宋" w:eastAsia="仿宋" w:cs="Courier New"/>
                <w:b/>
                <w:sz w:val="21"/>
                <w:szCs w:val="21"/>
                <w:highlight w:val="none"/>
              </w:rPr>
              <w:t>:</w:t>
            </w:r>
            <w:r>
              <w:rPr>
                <w:rFonts w:hint="eastAsia" w:ascii="仿宋" w:hAnsi="仿宋" w:eastAsia="仿宋"/>
                <w:sz w:val="21"/>
                <w:szCs w:val="21"/>
                <w:highlight w:val="none"/>
              </w:rPr>
              <w:t xml:space="preserve"> </w:t>
            </w:r>
            <w:r>
              <w:rPr>
                <w:rFonts w:hint="eastAsia" w:ascii="仿宋" w:hAnsi="仿宋" w:eastAsia="仿宋" w:cs="Courier New"/>
                <w:b/>
                <w:sz w:val="21"/>
                <w:szCs w:val="21"/>
                <w:highlight w:val="none"/>
              </w:rPr>
              <w:t>属于中小企业评审优惠内容及价格扣除幅度</w:t>
            </w:r>
          </w:p>
        </w:tc>
      </w:tr>
      <w:tr w14:paraId="03E93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13EAF784">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根据中华人民共和国财政部、中华人民共和国工业和信息化部《政府采购促进中小企业发展管理办法》（财库[2020]46号）、《关于进一步加大政府采购支持中小企业力度的通知》（财库〔2022〕19号）文件的规定，属于中小企业评审优惠内容及幅度如下：</w:t>
            </w:r>
          </w:p>
          <w:p w14:paraId="651EB64E">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（一）中小企业（含中型、小型、微型企业）应当同时符合以下条件：</w:t>
            </w:r>
          </w:p>
          <w:p w14:paraId="09088AC1">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①符合中小企业划分标准（按《关于印发中小企业划型标准规定的通知》（工信部联企业〔2011〕300号）执行）；</w:t>
            </w:r>
          </w:p>
          <w:p w14:paraId="7E5D9D29">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②提供本企业制造的货物、承担的项目或者服务，或者提供其他中小企业制造的货物。本项所称货物不包括使用大型企业注册商标的货物；</w:t>
            </w:r>
          </w:p>
          <w:p w14:paraId="2E7BB162">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③小型、微型企业提供中型企业制造的货物的，视同为中型企业。</w:t>
            </w:r>
          </w:p>
          <w:p w14:paraId="13168590">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监狱企业、残疾人福利性企业视同为小微企业。</w:t>
            </w:r>
          </w:p>
          <w:p w14:paraId="0D0CFDE3">
            <w:pPr>
              <w:pStyle w:val="12"/>
              <w:widowControl w:val="0"/>
              <w:numPr>
                <w:ilvl w:val="0"/>
                <w:numId w:val="3"/>
              </w:numPr>
              <w:snapToGrid w:val="0"/>
              <w:spacing w:line="360" w:lineRule="auto"/>
              <w:ind w:firstLine="0"/>
              <w:jc w:val="both"/>
              <w:rPr>
                <w:rFonts w:ascii="仿宋" w:hAnsi="仿宋" w:eastAsia="仿宋" w:cs="仿宋"/>
                <w:bCs/>
                <w:sz w:val="21"/>
                <w:szCs w:val="21"/>
                <w:highlight w:val="none"/>
              </w:rPr>
            </w:pPr>
            <w:r>
              <w:rPr>
                <w:rFonts w:hint="eastAsia" w:ascii="仿宋" w:hAnsi="仿宋" w:eastAsia="仿宋" w:cs="仿宋"/>
                <w:bCs/>
                <w:sz w:val="21"/>
                <w:szCs w:val="21"/>
                <w:highlight w:val="none"/>
              </w:rPr>
              <w:t>价格扣除办法：对于非专门面向中小企业的项目，对小型和微型企业（或联合体各方均为小型、微型企业的）产品的价格给予1</w:t>
            </w:r>
            <w:r>
              <w:rPr>
                <w:rFonts w:ascii="仿宋" w:hAnsi="仿宋" w:eastAsia="仿宋" w:cs="仿宋"/>
                <w:bCs/>
                <w:sz w:val="21"/>
                <w:szCs w:val="21"/>
                <w:highlight w:val="none"/>
              </w:rPr>
              <w:t>0</w:t>
            </w:r>
            <w:r>
              <w:rPr>
                <w:rFonts w:hint="eastAsia" w:ascii="仿宋" w:hAnsi="仿宋" w:eastAsia="仿宋" w:cs="仿宋"/>
                <w:bCs/>
                <w:sz w:val="21"/>
                <w:szCs w:val="21"/>
                <w:highlight w:val="none"/>
              </w:rPr>
              <w:t>%的扣除，用扣除后的价格参与价格分的评审。</w:t>
            </w:r>
          </w:p>
          <w:p w14:paraId="1E9B79F3">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仿宋"/>
                <w:bCs/>
                <w:sz w:val="21"/>
                <w:szCs w:val="21"/>
                <w:highlight w:val="none"/>
              </w:rPr>
              <w:t>（三）小型和微型企业适用价格扣除办法时应提供的相关资料：《中小企业声明函》。</w:t>
            </w:r>
          </w:p>
        </w:tc>
      </w:tr>
    </w:tbl>
    <w:p w14:paraId="4F06B6EC">
      <w:pPr>
        <w:widowControl/>
        <w:adjustRightInd w:val="0"/>
        <w:snapToGrid w:val="0"/>
        <w:spacing w:line="360" w:lineRule="auto"/>
        <w:jc w:val="left"/>
        <w:rPr>
          <w:rFonts w:hint="eastAsia" w:ascii="宋体" w:hAnsi="宋体"/>
          <w:b/>
          <w:bCs/>
          <w:szCs w:val="21"/>
          <w:highlight w:val="none"/>
          <w:lang w:val="en-US" w:eastAsia="zh-CN"/>
        </w:rPr>
      </w:pPr>
    </w:p>
    <w:p w14:paraId="0910753B">
      <w:pPr>
        <w:widowControl/>
        <w:adjustRightInd w:val="0"/>
        <w:snapToGrid w:val="0"/>
        <w:spacing w:line="360" w:lineRule="auto"/>
        <w:jc w:val="left"/>
        <w:rPr>
          <w:rFonts w:hint="eastAsia" w:ascii="宋体" w:hAnsi="宋体"/>
          <w:b/>
          <w:bCs/>
          <w:szCs w:val="21"/>
          <w:highlight w:val="none"/>
          <w:lang w:val="en-US" w:eastAsia="zh-CN"/>
        </w:rPr>
      </w:pPr>
      <w:r>
        <w:rPr>
          <w:rFonts w:hint="eastAsia" w:ascii="宋体" w:hAnsi="宋体"/>
          <w:b/>
          <w:bCs/>
          <w:szCs w:val="21"/>
          <w:highlight w:val="none"/>
          <w:lang w:val="en-US" w:eastAsia="zh-CN"/>
        </w:rPr>
        <w:t>标项7：</w:t>
      </w:r>
    </w:p>
    <w:tbl>
      <w:tblPr>
        <w:tblStyle w:val="46"/>
        <w:tblW w:w="10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2"/>
        <w:gridCol w:w="7135"/>
        <w:gridCol w:w="427"/>
      </w:tblGrid>
      <w:tr w14:paraId="2BA3B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672" w:type="dxa"/>
            <w:tcBorders>
              <w:top w:val="single" w:color="auto" w:sz="4" w:space="0"/>
              <w:left w:val="single" w:color="auto" w:sz="4" w:space="0"/>
              <w:bottom w:val="single" w:color="auto" w:sz="4" w:space="0"/>
              <w:right w:val="single" w:color="auto" w:sz="4" w:space="0"/>
            </w:tcBorders>
            <w:vAlign w:val="center"/>
          </w:tcPr>
          <w:p w14:paraId="799C9E44">
            <w:pPr>
              <w:pStyle w:val="12"/>
              <w:snapToGrid w:val="0"/>
              <w:spacing w:line="360" w:lineRule="auto"/>
              <w:ind w:firstLine="0"/>
              <w:jc w:val="center"/>
              <w:rPr>
                <w:rFonts w:ascii="仿宋" w:hAnsi="仿宋" w:eastAsia="仿宋" w:cs="Courier New"/>
                <w:b/>
                <w:sz w:val="21"/>
                <w:szCs w:val="21"/>
                <w:highlight w:val="none"/>
              </w:rPr>
            </w:pPr>
            <w:r>
              <w:rPr>
                <w:rFonts w:hint="eastAsia" w:ascii="仿宋" w:hAnsi="仿宋" w:eastAsia="仿宋" w:cs="Courier New"/>
                <w:b/>
                <w:sz w:val="21"/>
                <w:szCs w:val="21"/>
                <w:highlight w:val="none"/>
              </w:rPr>
              <w:t>项目</w:t>
            </w:r>
          </w:p>
        </w:tc>
        <w:tc>
          <w:tcPr>
            <w:tcW w:w="7095" w:type="dxa"/>
            <w:tcBorders>
              <w:top w:val="single" w:color="auto" w:sz="4" w:space="0"/>
              <w:left w:val="single" w:color="auto" w:sz="4" w:space="0"/>
              <w:bottom w:val="single" w:color="auto" w:sz="4" w:space="0"/>
              <w:right w:val="single" w:color="auto" w:sz="4" w:space="0"/>
            </w:tcBorders>
            <w:vAlign w:val="center"/>
          </w:tcPr>
          <w:p w14:paraId="4951EED8">
            <w:pPr>
              <w:pStyle w:val="12"/>
              <w:snapToGrid w:val="0"/>
              <w:spacing w:line="360" w:lineRule="auto"/>
              <w:ind w:firstLine="0"/>
              <w:jc w:val="center"/>
              <w:rPr>
                <w:rFonts w:ascii="仿宋" w:hAnsi="仿宋" w:eastAsia="仿宋" w:cs="Courier New"/>
                <w:b/>
                <w:sz w:val="21"/>
                <w:szCs w:val="21"/>
                <w:highlight w:val="none"/>
              </w:rPr>
            </w:pPr>
            <w:r>
              <w:rPr>
                <w:rFonts w:hint="eastAsia" w:ascii="仿宋" w:hAnsi="仿宋" w:eastAsia="仿宋" w:cs="Courier New"/>
                <w:b/>
                <w:sz w:val="21"/>
                <w:szCs w:val="21"/>
                <w:highlight w:val="none"/>
              </w:rPr>
              <w:t>评审内容</w:t>
            </w:r>
          </w:p>
        </w:tc>
        <w:tc>
          <w:tcPr>
            <w:tcW w:w="0" w:type="auto"/>
            <w:tcBorders>
              <w:top w:val="single" w:color="auto" w:sz="4" w:space="0"/>
              <w:left w:val="single" w:color="auto" w:sz="4" w:space="0"/>
              <w:bottom w:val="single" w:color="auto" w:sz="4" w:space="0"/>
              <w:right w:val="single" w:color="auto" w:sz="4" w:space="0"/>
            </w:tcBorders>
            <w:vAlign w:val="center"/>
          </w:tcPr>
          <w:p w14:paraId="28B234FC">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分值</w:t>
            </w:r>
          </w:p>
        </w:tc>
      </w:tr>
      <w:tr w14:paraId="4874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2A9AADC2">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A：价格评分30分</w:t>
            </w:r>
          </w:p>
        </w:tc>
      </w:tr>
      <w:tr w14:paraId="7C34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14:paraId="4A205A4F">
            <w:pPr>
              <w:pStyle w:val="12"/>
              <w:snapToGrid w:val="0"/>
              <w:spacing w:line="360" w:lineRule="auto"/>
              <w:ind w:firstLine="0"/>
              <w:jc w:val="center"/>
              <w:rPr>
                <w:rFonts w:ascii="仿宋" w:hAnsi="仿宋" w:eastAsia="仿宋" w:cs="Courier New"/>
                <w:sz w:val="21"/>
                <w:szCs w:val="21"/>
                <w:highlight w:val="none"/>
              </w:rPr>
            </w:pPr>
            <w:r>
              <w:rPr>
                <w:rFonts w:hint="eastAsia" w:ascii="仿宋" w:hAnsi="仿宋" w:eastAsia="仿宋" w:cs="Courier New"/>
                <w:sz w:val="21"/>
                <w:szCs w:val="21"/>
                <w:highlight w:val="none"/>
              </w:rPr>
              <w:t>价格</w:t>
            </w:r>
          </w:p>
        </w:tc>
        <w:tc>
          <w:tcPr>
            <w:tcW w:w="7095" w:type="dxa"/>
            <w:tcBorders>
              <w:top w:val="single" w:color="auto" w:sz="4" w:space="0"/>
              <w:left w:val="single" w:color="auto" w:sz="4" w:space="0"/>
              <w:bottom w:val="single" w:color="auto" w:sz="4" w:space="0"/>
              <w:right w:val="single" w:color="auto" w:sz="4" w:space="0"/>
            </w:tcBorders>
            <w:vAlign w:val="center"/>
          </w:tcPr>
          <w:p w14:paraId="6769D4BA">
            <w:pPr>
              <w:widowControl/>
              <w:spacing w:line="360" w:lineRule="auto"/>
              <w:jc w:val="left"/>
              <w:textAlignment w:val="center"/>
              <w:rPr>
                <w:rFonts w:ascii="仿宋" w:hAnsi="仿宋" w:eastAsia="仿宋" w:cs="宋体"/>
                <w:b/>
                <w:bCs/>
                <w:kern w:val="0"/>
                <w:szCs w:val="21"/>
                <w:highlight w:val="none"/>
              </w:rPr>
            </w:pPr>
            <w:r>
              <w:rPr>
                <w:rFonts w:hint="eastAsia" w:ascii="仿宋" w:hAnsi="仿宋" w:eastAsia="仿宋" w:cs="宋体"/>
                <w:b/>
                <w:bCs/>
                <w:kern w:val="0"/>
                <w:szCs w:val="21"/>
                <w:highlight w:val="none"/>
              </w:rPr>
              <w:t>基准值的确定：评标基准价=有效报价的最低值，</w:t>
            </w:r>
          </w:p>
          <w:p w14:paraId="52032B08">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宋体"/>
                <w:sz w:val="21"/>
                <w:szCs w:val="21"/>
                <w:highlight w:val="none"/>
              </w:rPr>
              <w:t>报价得分=（评标基准价/投标报价）</w:t>
            </w:r>
            <w:r>
              <w:rPr>
                <w:rFonts w:hint="eastAsia" w:ascii="仿宋" w:hAnsi="仿宋" w:eastAsia="仿宋"/>
                <w:b/>
                <w:sz w:val="21"/>
                <w:szCs w:val="21"/>
                <w:highlight w:val="none"/>
              </w:rPr>
              <w:t>×</w:t>
            </w:r>
            <w:r>
              <w:rPr>
                <w:rFonts w:hint="eastAsia" w:ascii="仿宋" w:hAnsi="仿宋" w:eastAsia="仿宋" w:cs="宋体"/>
                <w:sz w:val="21"/>
                <w:szCs w:val="21"/>
                <w:highlight w:val="none"/>
              </w:rPr>
              <w:t>30%</w:t>
            </w:r>
            <w:r>
              <w:rPr>
                <w:rFonts w:hint="eastAsia" w:ascii="仿宋" w:hAnsi="仿宋" w:eastAsia="仿宋"/>
                <w:b/>
                <w:sz w:val="21"/>
                <w:szCs w:val="21"/>
                <w:highlight w:val="none"/>
              </w:rPr>
              <w:t>×</w:t>
            </w:r>
            <w:r>
              <w:rPr>
                <w:rFonts w:hint="eastAsia" w:ascii="仿宋" w:hAnsi="仿宋" w:eastAsia="仿宋" w:cs="宋体"/>
                <w:sz w:val="21"/>
                <w:szCs w:val="21"/>
                <w:highlight w:val="none"/>
              </w:rPr>
              <w:t>100.有效报价为通过初步审查的供应商报价。有效报价等于基准值的得满分</w:t>
            </w:r>
          </w:p>
        </w:tc>
        <w:tc>
          <w:tcPr>
            <w:tcW w:w="0" w:type="auto"/>
            <w:tcBorders>
              <w:top w:val="single" w:color="auto" w:sz="4" w:space="0"/>
              <w:left w:val="single" w:color="auto" w:sz="4" w:space="0"/>
              <w:bottom w:val="single" w:color="auto" w:sz="4" w:space="0"/>
              <w:right w:val="single" w:color="auto" w:sz="4" w:space="0"/>
            </w:tcBorders>
            <w:vAlign w:val="center"/>
          </w:tcPr>
          <w:p w14:paraId="1FF4B476">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rPr>
              <w:t>30分</w:t>
            </w:r>
          </w:p>
        </w:tc>
      </w:tr>
      <w:tr w14:paraId="334E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6B1084BD">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B：商务部分评分</w:t>
            </w:r>
            <w:r>
              <w:rPr>
                <w:rFonts w:hint="eastAsia" w:ascii="仿宋" w:hAnsi="仿宋" w:eastAsia="仿宋" w:cs="Courier New"/>
                <w:b/>
                <w:sz w:val="21"/>
                <w:szCs w:val="21"/>
                <w:highlight w:val="none"/>
                <w:lang w:val="en-US" w:eastAsia="zh-CN"/>
              </w:rPr>
              <w:t>15</w:t>
            </w:r>
            <w:r>
              <w:rPr>
                <w:rFonts w:hint="eastAsia" w:ascii="仿宋" w:hAnsi="仿宋" w:eastAsia="仿宋" w:cs="Courier New"/>
                <w:b/>
                <w:sz w:val="21"/>
                <w:szCs w:val="21"/>
                <w:highlight w:val="none"/>
              </w:rPr>
              <w:t>分</w:t>
            </w:r>
          </w:p>
        </w:tc>
      </w:tr>
      <w:tr w14:paraId="4ED84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14:paraId="1A4BC6BA">
            <w:pPr>
              <w:pStyle w:val="12"/>
              <w:snapToGrid w:val="0"/>
              <w:spacing w:line="360" w:lineRule="auto"/>
              <w:ind w:firstLine="0"/>
              <w:jc w:val="center"/>
              <w:rPr>
                <w:rFonts w:ascii="仿宋" w:hAnsi="仿宋" w:eastAsia="仿宋" w:cs="宋体"/>
                <w:sz w:val="21"/>
                <w:szCs w:val="21"/>
                <w:highlight w:val="none"/>
              </w:rPr>
            </w:pPr>
            <w:r>
              <w:rPr>
                <w:rFonts w:hint="eastAsia" w:ascii="仿宋" w:hAnsi="仿宋" w:eastAsia="仿宋" w:cs="宋体"/>
                <w:sz w:val="21"/>
                <w:szCs w:val="21"/>
                <w:highlight w:val="none"/>
              </w:rPr>
              <w:t>相关业绩</w:t>
            </w:r>
          </w:p>
        </w:tc>
        <w:tc>
          <w:tcPr>
            <w:tcW w:w="7095" w:type="dxa"/>
            <w:tcBorders>
              <w:top w:val="single" w:color="auto" w:sz="4" w:space="0"/>
              <w:left w:val="single" w:color="auto" w:sz="4" w:space="0"/>
              <w:bottom w:val="single" w:color="auto" w:sz="4" w:space="0"/>
              <w:right w:val="single" w:color="auto" w:sz="4" w:space="0"/>
            </w:tcBorders>
            <w:vAlign w:val="center"/>
          </w:tcPr>
          <w:p w14:paraId="1156C302">
            <w:pPr>
              <w:pStyle w:val="12"/>
              <w:snapToGrid w:val="0"/>
              <w:spacing w:line="360" w:lineRule="auto"/>
              <w:ind w:firstLine="0"/>
              <w:rPr>
                <w:rFonts w:ascii="仿宋" w:hAnsi="仿宋" w:eastAsia="仿宋"/>
                <w:sz w:val="21"/>
                <w:szCs w:val="21"/>
                <w:highlight w:val="none"/>
              </w:rPr>
            </w:pPr>
            <w:r>
              <w:rPr>
                <w:rFonts w:hint="eastAsia" w:ascii="仿宋" w:hAnsi="仿宋" w:eastAsia="仿宋"/>
                <w:sz w:val="21"/>
                <w:szCs w:val="21"/>
                <w:highlight w:val="none"/>
              </w:rPr>
              <w:t>提供20</w:t>
            </w:r>
            <w:r>
              <w:rPr>
                <w:rFonts w:ascii="仿宋" w:hAnsi="仿宋" w:eastAsia="仿宋"/>
                <w:sz w:val="21"/>
                <w:szCs w:val="21"/>
                <w:highlight w:val="none"/>
              </w:rPr>
              <w:t>21</w:t>
            </w:r>
            <w:r>
              <w:rPr>
                <w:rFonts w:hint="eastAsia" w:ascii="仿宋" w:hAnsi="仿宋" w:eastAsia="仿宋"/>
                <w:sz w:val="21"/>
                <w:szCs w:val="21"/>
                <w:highlight w:val="none"/>
              </w:rPr>
              <w:t>年5月以来独立承担类似项目经验情况，拥有类似的相关业绩（需提供中标（成交）通知书或合同），每个业绩计</w:t>
            </w:r>
            <w:r>
              <w:rPr>
                <w:rFonts w:hint="eastAsia" w:ascii="仿宋" w:hAnsi="仿宋" w:eastAsia="仿宋"/>
                <w:sz w:val="21"/>
                <w:szCs w:val="21"/>
                <w:highlight w:val="none"/>
                <w:lang w:val="en-US" w:eastAsia="zh-CN"/>
              </w:rPr>
              <w:t>1</w:t>
            </w:r>
            <w:r>
              <w:rPr>
                <w:rFonts w:hint="eastAsia" w:ascii="仿宋" w:hAnsi="仿宋" w:eastAsia="仿宋"/>
                <w:sz w:val="21"/>
                <w:szCs w:val="21"/>
                <w:highlight w:val="none"/>
              </w:rPr>
              <w:t>分，最高得</w:t>
            </w:r>
            <w:r>
              <w:rPr>
                <w:rFonts w:hint="eastAsia" w:ascii="仿宋" w:hAnsi="仿宋" w:eastAsia="仿宋"/>
                <w:sz w:val="21"/>
                <w:szCs w:val="21"/>
                <w:highlight w:val="none"/>
                <w:lang w:val="en-US" w:eastAsia="zh-CN"/>
              </w:rPr>
              <w:t>5</w:t>
            </w:r>
            <w:r>
              <w:rPr>
                <w:rFonts w:hint="eastAsia" w:ascii="仿宋" w:hAnsi="仿宋" w:eastAsia="仿宋"/>
                <w:sz w:val="21"/>
                <w:szCs w:val="21"/>
                <w:highlight w:val="none"/>
              </w:rPr>
              <w:t>分。</w:t>
            </w:r>
          </w:p>
          <w:p w14:paraId="7CE1D867">
            <w:pPr>
              <w:pStyle w:val="12"/>
              <w:snapToGrid w:val="0"/>
              <w:spacing w:line="360" w:lineRule="auto"/>
              <w:ind w:firstLine="0"/>
              <w:rPr>
                <w:rFonts w:ascii="仿宋" w:hAnsi="仿宋" w:eastAsia="仿宋"/>
                <w:sz w:val="21"/>
                <w:szCs w:val="21"/>
                <w:highlight w:val="none"/>
              </w:rPr>
            </w:pPr>
            <w:r>
              <w:rPr>
                <w:rFonts w:hint="eastAsia" w:ascii="仿宋" w:hAnsi="仿宋" w:eastAsia="仿宋"/>
                <w:sz w:val="21"/>
                <w:szCs w:val="21"/>
                <w:highlight w:val="none"/>
              </w:rPr>
              <w:t>注：以上材料需提供复印件并加盖公章</w:t>
            </w:r>
          </w:p>
        </w:tc>
        <w:tc>
          <w:tcPr>
            <w:tcW w:w="0" w:type="auto"/>
            <w:tcBorders>
              <w:top w:val="single" w:color="auto" w:sz="4" w:space="0"/>
              <w:left w:val="single" w:color="auto" w:sz="4" w:space="0"/>
              <w:bottom w:val="single" w:color="auto" w:sz="4" w:space="0"/>
              <w:right w:val="single" w:color="auto" w:sz="4" w:space="0"/>
            </w:tcBorders>
            <w:vAlign w:val="center"/>
          </w:tcPr>
          <w:p w14:paraId="61A5278A">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lang w:val="en-US" w:eastAsia="zh-CN"/>
              </w:rPr>
              <w:t>5</w:t>
            </w:r>
            <w:r>
              <w:rPr>
                <w:rFonts w:hint="eastAsia" w:ascii="仿宋" w:hAnsi="仿宋" w:eastAsia="仿宋" w:cs="Courier New"/>
                <w:sz w:val="21"/>
                <w:szCs w:val="21"/>
                <w:highlight w:val="none"/>
              </w:rPr>
              <w:t>分</w:t>
            </w:r>
          </w:p>
        </w:tc>
      </w:tr>
      <w:tr w14:paraId="03BE5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14:paraId="4EC03966">
            <w:pPr>
              <w:pStyle w:val="12"/>
              <w:snapToGrid w:val="0"/>
              <w:spacing w:line="360" w:lineRule="auto"/>
              <w:ind w:firstLine="0"/>
              <w:jc w:val="center"/>
              <w:rPr>
                <w:rFonts w:ascii="仿宋" w:hAnsi="仿宋" w:eastAsia="仿宋" w:cs="宋体"/>
                <w:sz w:val="21"/>
                <w:szCs w:val="21"/>
                <w:highlight w:val="none"/>
              </w:rPr>
            </w:pPr>
            <w:r>
              <w:rPr>
                <w:rFonts w:hint="eastAsia" w:ascii="仿宋" w:hAnsi="仿宋" w:eastAsia="仿宋"/>
                <w:sz w:val="21"/>
                <w:szCs w:val="21"/>
                <w:highlight w:val="none"/>
              </w:rPr>
              <w:t>样品</w:t>
            </w:r>
          </w:p>
        </w:tc>
        <w:tc>
          <w:tcPr>
            <w:tcW w:w="7095" w:type="dxa"/>
            <w:tcBorders>
              <w:top w:val="single" w:color="auto" w:sz="4" w:space="0"/>
              <w:left w:val="single" w:color="auto" w:sz="4" w:space="0"/>
              <w:bottom w:val="single" w:color="auto" w:sz="4" w:space="0"/>
              <w:right w:val="single" w:color="auto" w:sz="4" w:space="0"/>
            </w:tcBorders>
            <w:vAlign w:val="center"/>
          </w:tcPr>
          <w:p w14:paraId="1E969C28">
            <w:pPr>
              <w:pStyle w:val="12"/>
              <w:snapToGrid w:val="0"/>
              <w:spacing w:line="360" w:lineRule="auto"/>
              <w:ind w:firstLine="0"/>
              <w:rPr>
                <w:rFonts w:hint="eastAsia" w:ascii="仿宋" w:hAnsi="仿宋" w:eastAsia="仿宋"/>
                <w:sz w:val="21"/>
                <w:szCs w:val="21"/>
                <w:highlight w:val="none"/>
              </w:rPr>
            </w:pPr>
            <w:r>
              <w:rPr>
                <w:rFonts w:hint="eastAsia" w:ascii="仿宋" w:hAnsi="仿宋" w:eastAsia="仿宋"/>
                <w:sz w:val="21"/>
                <w:szCs w:val="21"/>
                <w:highlight w:val="none"/>
                <w:lang w:eastAsia="zh-CN"/>
              </w:rPr>
              <w:t>样品：</w:t>
            </w:r>
            <w:r>
              <w:rPr>
                <w:rFonts w:hint="eastAsia" w:ascii="仿宋" w:hAnsi="仿宋" w:eastAsia="仿宋"/>
                <w:sz w:val="21"/>
                <w:szCs w:val="21"/>
                <w:highlight w:val="none"/>
                <w:lang w:val="en-US" w:eastAsia="zh-CN"/>
              </w:rPr>
              <w:t>竖笛</w:t>
            </w:r>
            <w:r>
              <w:rPr>
                <w:rFonts w:hint="eastAsia" w:ascii="仿宋" w:hAnsi="仿宋" w:eastAsia="仿宋"/>
                <w:sz w:val="21"/>
                <w:szCs w:val="21"/>
                <w:highlight w:val="none"/>
                <w:lang w:eastAsia="zh-CN"/>
              </w:rPr>
              <w:t>、葫芦丝、</w:t>
            </w:r>
            <w:r>
              <w:rPr>
                <w:rFonts w:hint="eastAsia" w:ascii="仿宋" w:hAnsi="仿宋" w:eastAsia="仿宋"/>
                <w:sz w:val="21"/>
                <w:szCs w:val="21"/>
                <w:highlight w:val="none"/>
                <w:lang w:val="en-US" w:eastAsia="zh-CN"/>
              </w:rPr>
              <w:t>口</w:t>
            </w:r>
            <w:r>
              <w:rPr>
                <w:rFonts w:hint="eastAsia" w:ascii="仿宋" w:hAnsi="仿宋" w:eastAsia="仿宋" w:cs="Times New Roman"/>
                <w:sz w:val="21"/>
                <w:szCs w:val="21"/>
                <w:highlight w:val="none"/>
                <w:lang w:val="en-US" w:eastAsia="zh-CN"/>
              </w:rPr>
              <w:t>琴、篮球、足球、排球、室外篮球架（篮圈）、素描工具、水粉颜料、学生画架。</w:t>
            </w:r>
          </w:p>
          <w:p w14:paraId="5518723E">
            <w:pPr>
              <w:pStyle w:val="12"/>
              <w:snapToGrid w:val="0"/>
              <w:spacing w:line="360" w:lineRule="auto"/>
              <w:ind w:firstLine="0"/>
              <w:rPr>
                <w:rFonts w:hint="eastAsia" w:ascii="仿宋" w:hAnsi="仿宋" w:eastAsia="仿宋"/>
                <w:sz w:val="21"/>
                <w:szCs w:val="21"/>
                <w:highlight w:val="none"/>
              </w:rPr>
            </w:pPr>
            <w:r>
              <w:rPr>
                <w:rFonts w:hint="eastAsia" w:ascii="仿宋" w:hAnsi="仿宋" w:eastAsia="仿宋"/>
                <w:sz w:val="21"/>
                <w:szCs w:val="21"/>
                <w:highlight w:val="none"/>
              </w:rPr>
              <w:t>所投产品的样品质量、材质、款式、做工等多方面进行综合评审，样品质量、材质、款式、做工，样品的质量是否可靠，是否具有良好的稳定性和耐久性、是否存在安全隐患等、样品是否易于使用，是否具备良好的人机交互性能和使用体验。</w:t>
            </w:r>
          </w:p>
          <w:p w14:paraId="25464B07">
            <w:pPr>
              <w:pStyle w:val="12"/>
              <w:snapToGrid w:val="0"/>
              <w:spacing w:line="360" w:lineRule="auto"/>
              <w:ind w:firstLine="0"/>
              <w:rPr>
                <w:rFonts w:hint="eastAsia" w:ascii="仿宋" w:hAnsi="仿宋" w:eastAsia="仿宋"/>
                <w:sz w:val="21"/>
                <w:szCs w:val="21"/>
                <w:highlight w:val="none"/>
              </w:rPr>
            </w:pPr>
            <w:r>
              <w:rPr>
                <w:rFonts w:hint="eastAsia" w:ascii="仿宋" w:hAnsi="仿宋" w:eastAsia="仿宋"/>
                <w:sz w:val="21"/>
                <w:szCs w:val="21"/>
                <w:highlight w:val="none"/>
                <w:lang w:eastAsia="zh-CN"/>
              </w:rPr>
              <w:t>提供以上全部样品得</w:t>
            </w:r>
            <w:r>
              <w:rPr>
                <w:rFonts w:hint="eastAsia" w:ascii="仿宋" w:hAnsi="仿宋" w:eastAsia="仿宋"/>
                <w:sz w:val="21"/>
                <w:szCs w:val="21"/>
                <w:highlight w:val="none"/>
                <w:lang w:val="en-US" w:eastAsia="zh-CN"/>
              </w:rPr>
              <w:t>10分，</w:t>
            </w:r>
            <w:r>
              <w:rPr>
                <w:rFonts w:hint="eastAsia" w:ascii="仿宋" w:hAnsi="仿宋" w:eastAsia="仿宋"/>
                <w:sz w:val="21"/>
                <w:szCs w:val="21"/>
                <w:highlight w:val="none"/>
              </w:rPr>
              <w:t>以上每有一</w:t>
            </w:r>
            <w:r>
              <w:rPr>
                <w:rFonts w:hint="eastAsia" w:ascii="仿宋" w:hAnsi="仿宋" w:eastAsia="仿宋"/>
                <w:sz w:val="21"/>
                <w:szCs w:val="21"/>
                <w:highlight w:val="none"/>
                <w:lang w:eastAsia="zh-CN"/>
              </w:rPr>
              <w:t>种</w:t>
            </w:r>
            <w:r>
              <w:rPr>
                <w:rFonts w:hint="eastAsia" w:ascii="仿宋" w:hAnsi="仿宋" w:eastAsia="仿宋"/>
                <w:sz w:val="21"/>
                <w:szCs w:val="21"/>
                <w:highlight w:val="none"/>
              </w:rPr>
              <w:t>不符合参数要求扣</w:t>
            </w:r>
            <w:r>
              <w:rPr>
                <w:rFonts w:hint="eastAsia" w:ascii="仿宋" w:hAnsi="仿宋" w:eastAsia="仿宋"/>
                <w:sz w:val="21"/>
                <w:szCs w:val="21"/>
                <w:highlight w:val="none"/>
                <w:lang w:val="en-US" w:eastAsia="zh-CN"/>
              </w:rPr>
              <w:t>0.5</w:t>
            </w:r>
            <w:r>
              <w:rPr>
                <w:rFonts w:hint="eastAsia" w:ascii="仿宋" w:hAnsi="仿宋" w:eastAsia="仿宋"/>
                <w:sz w:val="21"/>
                <w:szCs w:val="21"/>
                <w:highlight w:val="none"/>
              </w:rPr>
              <w:t>分</w:t>
            </w:r>
            <w:r>
              <w:rPr>
                <w:rFonts w:hint="eastAsia" w:ascii="仿宋" w:hAnsi="仿宋" w:eastAsia="仿宋"/>
                <w:sz w:val="21"/>
                <w:szCs w:val="21"/>
                <w:highlight w:val="none"/>
                <w:lang w:eastAsia="zh-CN"/>
              </w:rPr>
              <w:t>；扣完为止</w:t>
            </w:r>
            <w:r>
              <w:rPr>
                <w:rFonts w:hint="eastAsia" w:ascii="仿宋" w:hAnsi="仿宋" w:eastAsia="仿宋"/>
                <w:sz w:val="21"/>
                <w:szCs w:val="21"/>
                <w:highlight w:val="none"/>
              </w:rPr>
              <w:t>。</w:t>
            </w:r>
          </w:p>
          <w:p w14:paraId="62BDDAAB">
            <w:pPr>
              <w:pStyle w:val="12"/>
              <w:snapToGrid w:val="0"/>
              <w:spacing w:line="360" w:lineRule="auto"/>
              <w:ind w:firstLine="0"/>
              <w:rPr>
                <w:rFonts w:hint="eastAsia" w:ascii="仿宋" w:hAnsi="仿宋" w:eastAsia="仿宋"/>
                <w:sz w:val="21"/>
                <w:szCs w:val="21"/>
                <w:highlight w:val="none"/>
              </w:rPr>
            </w:pPr>
            <w:r>
              <w:rPr>
                <w:rFonts w:hint="eastAsia" w:ascii="仿宋" w:hAnsi="仿宋" w:eastAsia="仿宋"/>
                <w:sz w:val="21"/>
                <w:szCs w:val="21"/>
                <w:highlight w:val="none"/>
              </w:rPr>
              <w:t>（比较内容包括但不限于材质，做工，款式，平稳性，耐久性</w:t>
            </w:r>
            <w:r>
              <w:rPr>
                <w:rFonts w:hint="eastAsia" w:ascii="仿宋" w:hAnsi="仿宋" w:eastAsia="仿宋"/>
                <w:sz w:val="21"/>
                <w:szCs w:val="21"/>
                <w:highlight w:val="none"/>
                <w:lang w:eastAsia="zh-CN"/>
              </w:rPr>
              <w:t>人机交互体验</w:t>
            </w:r>
            <w:r>
              <w:rPr>
                <w:rFonts w:hint="eastAsia" w:ascii="仿宋" w:hAnsi="仿宋" w:eastAsia="仿宋"/>
                <w:sz w:val="21"/>
                <w:szCs w:val="21"/>
                <w:highlight w:val="none"/>
              </w:rPr>
              <w:t>等方面）</w:t>
            </w:r>
          </w:p>
          <w:p w14:paraId="55D3E31C">
            <w:pPr>
              <w:pStyle w:val="12"/>
              <w:snapToGrid w:val="0"/>
              <w:spacing w:line="360" w:lineRule="auto"/>
              <w:ind w:firstLine="0"/>
              <w:rPr>
                <w:rFonts w:hint="eastAsia" w:ascii="仿宋" w:hAnsi="仿宋" w:eastAsia="仿宋"/>
                <w:sz w:val="21"/>
                <w:szCs w:val="21"/>
                <w:highlight w:val="none"/>
              </w:rPr>
            </w:pPr>
            <w:r>
              <w:rPr>
                <w:rFonts w:hint="eastAsia" w:ascii="仿宋" w:hAnsi="仿宋" w:eastAsia="仿宋"/>
                <w:sz w:val="21"/>
                <w:szCs w:val="21"/>
                <w:highlight w:val="none"/>
              </w:rPr>
              <w:t>注：</w:t>
            </w:r>
            <w:r>
              <w:rPr>
                <w:rFonts w:hint="eastAsia" w:ascii="仿宋" w:hAnsi="仿宋" w:eastAsia="仿宋"/>
                <w:sz w:val="21"/>
                <w:szCs w:val="21"/>
                <w:highlight w:val="none"/>
                <w:lang w:val="en-US" w:eastAsia="zh-CN"/>
              </w:rPr>
              <w:t>1.</w:t>
            </w:r>
            <w:r>
              <w:rPr>
                <w:rFonts w:hint="eastAsia" w:ascii="仿宋" w:hAnsi="仿宋" w:eastAsia="仿宋"/>
                <w:sz w:val="21"/>
                <w:szCs w:val="21"/>
                <w:highlight w:val="none"/>
              </w:rPr>
              <w:t>未提供样品或提供样品的要求严重不符的本项不得分。少提供、不提供或不满足技术参数的不得分。</w:t>
            </w:r>
          </w:p>
          <w:p w14:paraId="09A03B61">
            <w:pPr>
              <w:pStyle w:val="12"/>
              <w:snapToGrid w:val="0"/>
              <w:spacing w:line="360" w:lineRule="auto"/>
              <w:ind w:firstLine="0"/>
              <w:rPr>
                <w:rFonts w:ascii="仿宋" w:hAnsi="仿宋" w:eastAsia="仿宋"/>
                <w:sz w:val="21"/>
                <w:szCs w:val="21"/>
                <w:highlight w:val="none"/>
              </w:rPr>
            </w:pPr>
            <w:r>
              <w:rPr>
                <w:rFonts w:hint="eastAsia" w:ascii="仿宋" w:hAnsi="仿宋" w:eastAsia="仿宋"/>
                <w:sz w:val="21"/>
                <w:szCs w:val="21"/>
                <w:highlight w:val="none"/>
              </w:rPr>
              <w:t>注：样品接收时间：2</w:t>
            </w:r>
            <w:r>
              <w:rPr>
                <w:rFonts w:ascii="仿宋" w:hAnsi="仿宋" w:eastAsia="仿宋"/>
                <w:sz w:val="21"/>
                <w:szCs w:val="21"/>
                <w:highlight w:val="none"/>
              </w:rPr>
              <w:t>02</w:t>
            </w:r>
            <w:r>
              <w:rPr>
                <w:rFonts w:hint="eastAsia" w:ascii="仿宋" w:hAnsi="仿宋" w:eastAsia="仿宋"/>
                <w:sz w:val="21"/>
                <w:szCs w:val="21"/>
                <w:highlight w:val="none"/>
                <w:lang w:val="en-US" w:eastAsia="zh-CN"/>
              </w:rPr>
              <w:t>5</w:t>
            </w:r>
            <w:r>
              <w:rPr>
                <w:rFonts w:hint="eastAsia" w:ascii="仿宋" w:hAnsi="仿宋" w:eastAsia="仿宋"/>
                <w:sz w:val="21"/>
                <w:szCs w:val="21"/>
                <w:highlight w:val="none"/>
              </w:rPr>
              <w:t>年0</w:t>
            </w:r>
            <w:r>
              <w:rPr>
                <w:rFonts w:ascii="仿宋" w:hAnsi="仿宋" w:eastAsia="仿宋"/>
                <w:sz w:val="21"/>
                <w:szCs w:val="21"/>
                <w:highlight w:val="none"/>
              </w:rPr>
              <w:t>7</w:t>
            </w:r>
            <w:r>
              <w:rPr>
                <w:rFonts w:hint="eastAsia" w:ascii="仿宋" w:hAnsi="仿宋" w:eastAsia="仿宋"/>
                <w:sz w:val="21"/>
                <w:szCs w:val="21"/>
                <w:highlight w:val="none"/>
              </w:rPr>
              <w:t>月</w:t>
            </w:r>
            <w:r>
              <w:rPr>
                <w:rFonts w:hint="eastAsia" w:ascii="仿宋" w:hAnsi="仿宋" w:eastAsia="仿宋"/>
                <w:sz w:val="21"/>
                <w:szCs w:val="21"/>
                <w:highlight w:val="none"/>
                <w:lang w:val="en-US" w:eastAsia="zh-CN"/>
              </w:rPr>
              <w:t>30</w:t>
            </w:r>
            <w:r>
              <w:rPr>
                <w:rFonts w:hint="eastAsia" w:ascii="仿宋" w:hAnsi="仿宋" w:eastAsia="仿宋"/>
                <w:sz w:val="21"/>
                <w:szCs w:val="21"/>
                <w:highlight w:val="none"/>
              </w:rPr>
              <w:t>日1</w:t>
            </w:r>
            <w:r>
              <w:rPr>
                <w:rFonts w:ascii="仿宋" w:hAnsi="仿宋" w:eastAsia="仿宋"/>
                <w:sz w:val="21"/>
                <w:szCs w:val="21"/>
                <w:highlight w:val="none"/>
              </w:rPr>
              <w:t>0</w:t>
            </w:r>
            <w:r>
              <w:rPr>
                <w:rFonts w:hint="eastAsia" w:ascii="仿宋" w:hAnsi="仿宋" w:eastAsia="仿宋"/>
                <w:sz w:val="21"/>
                <w:szCs w:val="21"/>
                <w:highlight w:val="none"/>
              </w:rPr>
              <w:t>:</w:t>
            </w:r>
            <w:r>
              <w:rPr>
                <w:rFonts w:ascii="仿宋" w:hAnsi="仿宋" w:eastAsia="仿宋"/>
                <w:sz w:val="21"/>
                <w:szCs w:val="21"/>
                <w:highlight w:val="none"/>
              </w:rPr>
              <w:t>00</w:t>
            </w:r>
            <w:r>
              <w:rPr>
                <w:rFonts w:hint="eastAsia" w:ascii="仿宋" w:hAnsi="仿宋" w:eastAsia="仿宋"/>
                <w:sz w:val="21"/>
                <w:szCs w:val="21"/>
                <w:highlight w:val="none"/>
              </w:rPr>
              <w:t>至1</w:t>
            </w:r>
            <w:r>
              <w:rPr>
                <w:rFonts w:hint="eastAsia" w:ascii="仿宋" w:hAnsi="仿宋" w:eastAsia="仿宋"/>
                <w:sz w:val="21"/>
                <w:szCs w:val="21"/>
                <w:highlight w:val="none"/>
                <w:lang w:val="en-US" w:eastAsia="zh-CN"/>
              </w:rPr>
              <w:t>0</w:t>
            </w:r>
            <w:r>
              <w:rPr>
                <w:rFonts w:ascii="仿宋" w:hAnsi="仿宋" w:eastAsia="仿宋"/>
                <w:sz w:val="21"/>
                <w:szCs w:val="21"/>
                <w:highlight w:val="none"/>
              </w:rPr>
              <w:t>:</w:t>
            </w:r>
            <w:r>
              <w:rPr>
                <w:rFonts w:hint="eastAsia" w:ascii="仿宋" w:hAnsi="仿宋" w:eastAsia="仿宋"/>
                <w:sz w:val="21"/>
                <w:szCs w:val="21"/>
                <w:highlight w:val="none"/>
                <w:lang w:val="en-US" w:eastAsia="zh-CN"/>
              </w:rPr>
              <w:t>3</w:t>
            </w:r>
            <w:r>
              <w:rPr>
                <w:rFonts w:ascii="仿宋" w:hAnsi="仿宋" w:eastAsia="仿宋"/>
                <w:sz w:val="21"/>
                <w:szCs w:val="21"/>
                <w:highlight w:val="none"/>
              </w:rPr>
              <w:t>0(</w:t>
            </w:r>
            <w:r>
              <w:rPr>
                <w:rFonts w:hint="eastAsia" w:ascii="仿宋" w:hAnsi="仿宋" w:eastAsia="仿宋"/>
                <w:sz w:val="21"/>
                <w:szCs w:val="21"/>
                <w:highlight w:val="none"/>
              </w:rPr>
              <w:t>北京时间</w:t>
            </w:r>
            <w:r>
              <w:rPr>
                <w:rFonts w:ascii="仿宋" w:hAnsi="仿宋" w:eastAsia="仿宋"/>
                <w:sz w:val="21"/>
                <w:szCs w:val="21"/>
                <w:highlight w:val="none"/>
              </w:rPr>
              <w:t>)</w:t>
            </w:r>
            <w:r>
              <w:rPr>
                <w:rFonts w:hint="eastAsia" w:ascii="仿宋" w:hAnsi="仿宋" w:eastAsia="仿宋"/>
                <w:sz w:val="21"/>
                <w:szCs w:val="21"/>
                <w:highlight w:val="none"/>
              </w:rPr>
              <w:t>，过时不候。</w:t>
            </w:r>
          </w:p>
          <w:p w14:paraId="0CBBD26F">
            <w:pPr>
              <w:pStyle w:val="12"/>
              <w:snapToGrid w:val="0"/>
              <w:spacing w:line="360" w:lineRule="auto"/>
              <w:ind w:firstLine="0"/>
              <w:rPr>
                <w:rFonts w:ascii="仿宋" w:hAnsi="仿宋" w:eastAsia="仿宋"/>
                <w:sz w:val="21"/>
                <w:szCs w:val="21"/>
                <w:highlight w:val="none"/>
              </w:rPr>
            </w:pPr>
            <w:r>
              <w:rPr>
                <w:rFonts w:hint="eastAsia" w:ascii="仿宋" w:hAnsi="仿宋" w:eastAsia="仿宋"/>
                <w:sz w:val="21"/>
                <w:szCs w:val="21"/>
                <w:highlight w:val="none"/>
              </w:rPr>
              <w:t>样品接收地点：乌鲁木齐市新市区北京南路4</w:t>
            </w:r>
            <w:r>
              <w:rPr>
                <w:rFonts w:ascii="仿宋" w:hAnsi="仿宋" w:eastAsia="仿宋"/>
                <w:sz w:val="21"/>
                <w:szCs w:val="21"/>
                <w:highlight w:val="none"/>
              </w:rPr>
              <w:t>16</w:t>
            </w:r>
            <w:r>
              <w:rPr>
                <w:rFonts w:hint="eastAsia" w:ascii="仿宋" w:hAnsi="仿宋" w:eastAsia="仿宋"/>
                <w:sz w:val="21"/>
                <w:szCs w:val="21"/>
                <w:highlight w:val="none"/>
              </w:rPr>
              <w:t>号盈科国际中心3</w:t>
            </w:r>
            <w:r>
              <w:rPr>
                <w:rFonts w:ascii="仿宋" w:hAnsi="仿宋" w:eastAsia="仿宋"/>
                <w:sz w:val="21"/>
                <w:szCs w:val="21"/>
                <w:highlight w:val="none"/>
              </w:rPr>
              <w:t>0</w:t>
            </w:r>
            <w:r>
              <w:rPr>
                <w:rFonts w:hint="eastAsia" w:ascii="仿宋" w:hAnsi="仿宋" w:eastAsia="仿宋"/>
                <w:sz w:val="21"/>
                <w:szCs w:val="21"/>
                <w:highlight w:val="none"/>
              </w:rPr>
              <w:t>楼3</w:t>
            </w:r>
            <w:r>
              <w:rPr>
                <w:rFonts w:ascii="仿宋" w:hAnsi="仿宋" w:eastAsia="仿宋"/>
                <w:sz w:val="21"/>
                <w:szCs w:val="21"/>
                <w:highlight w:val="none"/>
              </w:rPr>
              <w:t>001</w:t>
            </w:r>
            <w:r>
              <w:rPr>
                <w:rFonts w:hint="eastAsia" w:ascii="仿宋" w:hAnsi="仿宋" w:eastAsia="仿宋"/>
                <w:sz w:val="21"/>
                <w:szCs w:val="21"/>
                <w:highlight w:val="none"/>
              </w:rPr>
              <w:t>（中益招标有限公司新疆分公司）</w:t>
            </w:r>
          </w:p>
          <w:p w14:paraId="5E86CF08">
            <w:pPr>
              <w:pStyle w:val="12"/>
              <w:snapToGrid w:val="0"/>
              <w:spacing w:line="360" w:lineRule="auto"/>
              <w:ind w:firstLine="0"/>
              <w:rPr>
                <w:rFonts w:ascii="仿宋" w:hAnsi="仿宋" w:eastAsia="仿宋"/>
                <w:sz w:val="21"/>
                <w:szCs w:val="21"/>
                <w:highlight w:val="none"/>
              </w:rPr>
            </w:pPr>
            <w:r>
              <w:rPr>
                <w:rFonts w:hint="eastAsia" w:ascii="仿宋" w:hAnsi="仿宋" w:eastAsia="仿宋"/>
                <w:sz w:val="21"/>
                <w:szCs w:val="21"/>
                <w:highlight w:val="none"/>
              </w:rPr>
              <w:t>联系人：谢楠</w:t>
            </w:r>
          </w:p>
          <w:p w14:paraId="41471116">
            <w:pPr>
              <w:pStyle w:val="12"/>
              <w:snapToGrid w:val="0"/>
              <w:spacing w:line="360" w:lineRule="auto"/>
              <w:ind w:firstLine="0"/>
              <w:rPr>
                <w:rFonts w:hint="eastAsia" w:ascii="仿宋" w:hAnsi="仿宋" w:eastAsia="仿宋"/>
                <w:sz w:val="21"/>
                <w:szCs w:val="21"/>
                <w:highlight w:val="none"/>
              </w:rPr>
            </w:pPr>
            <w:r>
              <w:rPr>
                <w:rFonts w:hint="eastAsia" w:ascii="仿宋" w:hAnsi="仿宋" w:eastAsia="仿宋"/>
                <w:sz w:val="21"/>
                <w:szCs w:val="21"/>
                <w:highlight w:val="none"/>
              </w:rPr>
              <w:t>联系电话：1</w:t>
            </w:r>
            <w:r>
              <w:rPr>
                <w:rFonts w:ascii="仿宋" w:hAnsi="仿宋" w:eastAsia="仿宋"/>
                <w:sz w:val="21"/>
                <w:szCs w:val="21"/>
                <w:highlight w:val="none"/>
              </w:rPr>
              <w:t>8599192565</w:t>
            </w:r>
          </w:p>
        </w:tc>
        <w:tc>
          <w:tcPr>
            <w:tcW w:w="0" w:type="auto"/>
            <w:tcBorders>
              <w:top w:val="single" w:color="auto" w:sz="4" w:space="0"/>
              <w:left w:val="single" w:color="auto" w:sz="4" w:space="0"/>
              <w:bottom w:val="single" w:color="auto" w:sz="4" w:space="0"/>
              <w:right w:val="single" w:color="auto" w:sz="4" w:space="0"/>
            </w:tcBorders>
            <w:vAlign w:val="center"/>
          </w:tcPr>
          <w:p w14:paraId="39CE5909">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lang w:val="en-US" w:eastAsia="zh-CN"/>
              </w:rPr>
              <w:t>10</w:t>
            </w:r>
            <w:r>
              <w:rPr>
                <w:rFonts w:hint="eastAsia" w:ascii="仿宋" w:hAnsi="仿宋" w:eastAsia="仿宋" w:cs="宋体"/>
                <w:sz w:val="21"/>
                <w:szCs w:val="21"/>
                <w:highlight w:val="none"/>
              </w:rPr>
              <w:t>分</w:t>
            </w:r>
          </w:p>
        </w:tc>
      </w:tr>
      <w:tr w14:paraId="0FD17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5F5F4E06">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C：技术部分评分</w:t>
            </w:r>
            <w:r>
              <w:rPr>
                <w:rFonts w:hint="eastAsia" w:ascii="仿宋" w:hAnsi="仿宋" w:eastAsia="仿宋" w:cs="Courier New"/>
                <w:b/>
                <w:sz w:val="21"/>
                <w:szCs w:val="21"/>
                <w:highlight w:val="none"/>
                <w:lang w:val="en-US" w:eastAsia="zh-CN"/>
              </w:rPr>
              <w:t>55</w:t>
            </w:r>
            <w:r>
              <w:rPr>
                <w:rFonts w:hint="eastAsia" w:ascii="仿宋" w:hAnsi="仿宋" w:eastAsia="仿宋" w:cs="Courier New"/>
                <w:b/>
                <w:sz w:val="21"/>
                <w:szCs w:val="21"/>
                <w:highlight w:val="none"/>
              </w:rPr>
              <w:t>分</w:t>
            </w:r>
          </w:p>
        </w:tc>
      </w:tr>
      <w:tr w14:paraId="04349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14:paraId="53C02681">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rPr>
              <w:t>技术响应</w:t>
            </w:r>
          </w:p>
        </w:tc>
        <w:tc>
          <w:tcPr>
            <w:tcW w:w="7095" w:type="dxa"/>
            <w:tcBorders>
              <w:top w:val="single" w:color="auto" w:sz="4" w:space="0"/>
              <w:left w:val="single" w:color="auto" w:sz="4" w:space="0"/>
              <w:bottom w:val="single" w:color="auto" w:sz="4" w:space="0"/>
              <w:right w:val="single" w:color="auto" w:sz="4" w:space="0"/>
            </w:tcBorders>
            <w:vAlign w:val="center"/>
          </w:tcPr>
          <w:p w14:paraId="73BF403C">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rPr>
              <w:t>响应文件对采购文件 “采购需求”的响应程度，完全满足采购文件要求的得</w:t>
            </w:r>
            <w:r>
              <w:rPr>
                <w:rFonts w:hint="eastAsia" w:ascii="仿宋" w:hAnsi="仿宋" w:eastAsia="仿宋" w:cs="宋体"/>
                <w:sz w:val="21"/>
                <w:szCs w:val="21"/>
                <w:highlight w:val="none"/>
                <w:lang w:val="en-US" w:eastAsia="zh-CN"/>
              </w:rPr>
              <w:t>25</w:t>
            </w:r>
            <w:r>
              <w:rPr>
                <w:rFonts w:hint="eastAsia" w:ascii="仿宋" w:hAnsi="仿宋" w:eastAsia="仿宋" w:cs="宋体"/>
                <w:sz w:val="21"/>
                <w:szCs w:val="21"/>
                <w:highlight w:val="none"/>
              </w:rPr>
              <w:t>分；</w:t>
            </w:r>
          </w:p>
          <w:p w14:paraId="3D07E26A">
            <w:pPr>
              <w:widowControl/>
              <w:spacing w:line="360" w:lineRule="auto"/>
              <w:jc w:val="left"/>
              <w:rPr>
                <w:rFonts w:ascii="仿宋" w:hAnsi="仿宋" w:eastAsia="仿宋" w:cs="宋体"/>
                <w:kern w:val="0"/>
                <w:szCs w:val="21"/>
                <w:highlight w:val="none"/>
              </w:rPr>
            </w:pPr>
            <w:r>
              <w:rPr>
                <w:rFonts w:hint="eastAsia" w:ascii="仿宋" w:hAnsi="仿宋" w:eastAsia="仿宋" w:cs="宋体"/>
                <w:kern w:val="0"/>
                <w:szCs w:val="21"/>
                <w:highlight w:val="none"/>
              </w:rPr>
              <w:t>加“★”参数每项负偏离或未按要求提供响应的证明材料，扣2分，扣完为止；</w:t>
            </w:r>
          </w:p>
          <w:p w14:paraId="4B523B8F">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rPr>
              <w:t>未加“★”参数每项负偏离或未按要求提供响应的证明材料，扣1分，扣完为止。</w:t>
            </w:r>
          </w:p>
          <w:p w14:paraId="59D5434D">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rPr>
              <w:t>注：提供制造商公开发布的产品彩页或检测报告等证明材料。</w:t>
            </w:r>
          </w:p>
        </w:tc>
        <w:tc>
          <w:tcPr>
            <w:tcW w:w="0" w:type="auto"/>
            <w:tcBorders>
              <w:top w:val="single" w:color="auto" w:sz="4" w:space="0"/>
              <w:left w:val="single" w:color="auto" w:sz="4" w:space="0"/>
              <w:bottom w:val="single" w:color="auto" w:sz="4" w:space="0"/>
              <w:right w:val="single" w:color="auto" w:sz="4" w:space="0"/>
            </w:tcBorders>
            <w:vAlign w:val="center"/>
          </w:tcPr>
          <w:p w14:paraId="3726B86B">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lang w:val="en-US" w:eastAsia="zh-CN"/>
              </w:rPr>
              <w:t>25</w:t>
            </w:r>
            <w:r>
              <w:rPr>
                <w:rFonts w:hint="eastAsia" w:ascii="仿宋" w:hAnsi="仿宋" w:eastAsia="仿宋" w:cs="Courier New"/>
                <w:sz w:val="21"/>
                <w:szCs w:val="21"/>
                <w:highlight w:val="none"/>
              </w:rPr>
              <w:t>分</w:t>
            </w:r>
          </w:p>
        </w:tc>
      </w:tr>
      <w:tr w14:paraId="60F39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2" w:type="dxa"/>
            <w:vMerge w:val="restart"/>
            <w:tcBorders>
              <w:top w:val="single" w:color="auto" w:sz="4" w:space="0"/>
              <w:left w:val="single" w:color="auto" w:sz="4" w:space="0"/>
              <w:right w:val="single" w:color="auto" w:sz="4" w:space="0"/>
            </w:tcBorders>
            <w:vAlign w:val="center"/>
          </w:tcPr>
          <w:p w14:paraId="33981CF4">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宋体"/>
                <w:sz w:val="21"/>
                <w:szCs w:val="21"/>
                <w:highlight w:val="none"/>
              </w:rPr>
              <w:t>实施方案</w:t>
            </w:r>
          </w:p>
        </w:tc>
        <w:tc>
          <w:tcPr>
            <w:tcW w:w="7095" w:type="dxa"/>
            <w:tcBorders>
              <w:top w:val="single" w:color="auto" w:sz="4" w:space="0"/>
              <w:left w:val="single" w:color="auto" w:sz="4" w:space="0"/>
              <w:bottom w:val="single" w:color="auto" w:sz="4" w:space="0"/>
              <w:right w:val="single" w:color="auto" w:sz="4" w:space="0"/>
            </w:tcBorders>
            <w:vAlign w:val="center"/>
          </w:tcPr>
          <w:p w14:paraId="0943C16C">
            <w:pPr>
              <w:pStyle w:val="12"/>
              <w:snapToGrid w:val="0"/>
              <w:spacing w:line="360" w:lineRule="auto"/>
              <w:ind w:firstLine="0"/>
              <w:rPr>
                <w:rFonts w:ascii="仿宋" w:hAnsi="仿宋" w:eastAsia="仿宋"/>
                <w:sz w:val="21"/>
                <w:szCs w:val="21"/>
                <w:highlight w:val="none"/>
              </w:rPr>
            </w:pPr>
            <w:r>
              <w:rPr>
                <w:rFonts w:ascii="仿宋" w:hAnsi="仿宋" w:eastAsia="仿宋"/>
                <w:sz w:val="21"/>
                <w:szCs w:val="21"/>
                <w:highlight w:val="none"/>
              </w:rPr>
              <w:t>实施方案</w:t>
            </w:r>
            <w:r>
              <w:rPr>
                <w:rFonts w:hint="eastAsia" w:ascii="仿宋" w:hAnsi="仿宋" w:eastAsia="仿宋"/>
                <w:sz w:val="21"/>
                <w:szCs w:val="21"/>
                <w:highlight w:val="none"/>
              </w:rPr>
              <w:t>：</w:t>
            </w:r>
          </w:p>
          <w:p w14:paraId="248B566D">
            <w:pPr>
              <w:pStyle w:val="12"/>
              <w:snapToGrid w:val="0"/>
              <w:spacing w:line="360" w:lineRule="auto"/>
              <w:ind w:firstLine="0"/>
              <w:rPr>
                <w:rFonts w:ascii="仿宋" w:hAnsi="仿宋" w:eastAsia="仿宋"/>
                <w:sz w:val="21"/>
                <w:szCs w:val="21"/>
                <w:highlight w:val="none"/>
              </w:rPr>
            </w:pPr>
            <w:r>
              <w:rPr>
                <w:rFonts w:ascii="仿宋" w:hAnsi="仿宋" w:eastAsia="仿宋"/>
                <w:sz w:val="21"/>
                <w:szCs w:val="21"/>
                <w:highlight w:val="none"/>
              </w:rPr>
              <w:t xml:space="preserve">应充分了解实施项目建设内容，在理解基础上进行深入分析，保证本次项目顺利实施，投标人根据货物交付时间节点，落实生产计划、送货安装时间， 确保按期交付使用。 </w:t>
            </w:r>
          </w:p>
          <w:p w14:paraId="0C55504C">
            <w:pPr>
              <w:pStyle w:val="12"/>
              <w:snapToGrid w:val="0"/>
              <w:spacing w:line="360" w:lineRule="auto"/>
              <w:ind w:firstLine="0" w:firstLineChars="0"/>
              <w:rPr>
                <w:rFonts w:ascii="仿宋" w:hAnsi="仿宋" w:eastAsia="仿宋"/>
                <w:sz w:val="21"/>
                <w:szCs w:val="21"/>
                <w:highlight w:val="none"/>
              </w:rPr>
            </w:pPr>
            <w:r>
              <w:rPr>
                <w:rFonts w:hint="eastAsia" w:ascii="仿宋" w:hAnsi="仿宋" w:eastAsia="仿宋" w:cs="Times New Roman"/>
                <w:sz w:val="21"/>
                <w:szCs w:val="21"/>
                <w:highlight w:val="none"/>
                <w:lang w:eastAsia="zh-CN"/>
              </w:rPr>
              <w:t>①</w:t>
            </w:r>
            <w:r>
              <w:rPr>
                <w:rFonts w:hint="default" w:ascii="仿宋" w:hAnsi="仿宋" w:eastAsia="仿宋" w:cs="Times New Roman"/>
                <w:sz w:val="21"/>
                <w:szCs w:val="21"/>
                <w:highlight w:val="none"/>
              </w:rPr>
              <w:t>供货方案</w:t>
            </w:r>
            <w:r>
              <w:rPr>
                <w:rFonts w:hint="eastAsia" w:ascii="仿宋" w:hAnsi="仿宋" w:eastAsia="仿宋" w:cs="Times New Roman"/>
                <w:sz w:val="21"/>
                <w:szCs w:val="21"/>
                <w:highlight w:val="none"/>
                <w:lang w:eastAsia="zh-CN"/>
              </w:rPr>
              <w:t>、②</w:t>
            </w:r>
            <w:r>
              <w:rPr>
                <w:rFonts w:hint="default" w:ascii="仿宋" w:hAnsi="仿宋" w:eastAsia="仿宋" w:cs="Times New Roman"/>
                <w:sz w:val="21"/>
                <w:szCs w:val="21"/>
                <w:highlight w:val="none"/>
              </w:rPr>
              <w:t>质量保障措施</w:t>
            </w:r>
            <w:r>
              <w:rPr>
                <w:rFonts w:hint="eastAsia" w:ascii="仿宋" w:hAnsi="仿宋" w:eastAsia="仿宋" w:cs="Times New Roman"/>
                <w:sz w:val="21"/>
                <w:szCs w:val="21"/>
                <w:highlight w:val="none"/>
                <w:lang w:eastAsia="zh-CN"/>
              </w:rPr>
              <w:t>、③</w:t>
            </w:r>
            <w:r>
              <w:rPr>
                <w:rFonts w:hint="default" w:ascii="仿宋" w:hAnsi="仿宋" w:eastAsia="仿宋" w:cs="Times New Roman"/>
                <w:sz w:val="21"/>
                <w:szCs w:val="21"/>
                <w:highlight w:val="none"/>
              </w:rPr>
              <w:t>进度计划与管控</w:t>
            </w:r>
            <w:r>
              <w:rPr>
                <w:rFonts w:hint="eastAsia" w:ascii="仿宋" w:hAnsi="仿宋" w:eastAsia="仿宋" w:cs="Times New Roman"/>
                <w:sz w:val="21"/>
                <w:szCs w:val="21"/>
                <w:highlight w:val="none"/>
                <w:lang w:eastAsia="zh-CN"/>
              </w:rPr>
              <w:t>、④</w:t>
            </w:r>
            <w:r>
              <w:rPr>
                <w:rFonts w:ascii="仿宋" w:hAnsi="仿宋" w:eastAsia="仿宋" w:cs="Times New Roman"/>
                <w:sz w:val="21"/>
                <w:szCs w:val="21"/>
                <w:highlight w:val="none"/>
              </w:rPr>
              <w:t>安装与调试</w:t>
            </w:r>
            <w:r>
              <w:rPr>
                <w:rFonts w:hint="eastAsia" w:ascii="仿宋" w:hAnsi="仿宋" w:eastAsia="仿宋" w:cs="Times New Roman"/>
                <w:sz w:val="21"/>
                <w:szCs w:val="21"/>
                <w:highlight w:val="none"/>
                <w:lang w:eastAsia="zh-CN"/>
              </w:rPr>
              <w:t>、⑤</w:t>
            </w:r>
            <w:r>
              <w:rPr>
                <w:rFonts w:ascii="仿宋" w:hAnsi="仿宋" w:eastAsia="仿宋" w:cs="Times New Roman"/>
                <w:sz w:val="21"/>
                <w:szCs w:val="21"/>
                <w:highlight w:val="none"/>
              </w:rPr>
              <w:t>培训服务</w:t>
            </w:r>
            <w:r>
              <w:rPr>
                <w:rFonts w:hint="eastAsia" w:ascii="仿宋" w:hAnsi="仿宋" w:eastAsia="仿宋" w:cs="Times New Roman"/>
                <w:sz w:val="21"/>
                <w:szCs w:val="21"/>
                <w:highlight w:val="none"/>
                <w:lang w:eastAsia="zh-CN"/>
              </w:rPr>
              <w:t xml:space="preserve">、⑥应急预案。提供相关方案的得 </w:t>
            </w:r>
            <w:r>
              <w:rPr>
                <w:rFonts w:hint="eastAsia" w:ascii="仿宋" w:hAnsi="仿宋" w:eastAsia="仿宋" w:cs="Times New Roman"/>
                <w:sz w:val="21"/>
                <w:szCs w:val="21"/>
                <w:highlight w:val="none"/>
                <w:lang w:val="en-US" w:eastAsia="zh-CN"/>
              </w:rPr>
              <w:t>12</w:t>
            </w:r>
            <w:r>
              <w:rPr>
                <w:rFonts w:hint="eastAsia" w:ascii="仿宋" w:hAnsi="仿宋" w:eastAsia="仿宋" w:cs="Times New Roman"/>
                <w:sz w:val="21"/>
                <w:szCs w:val="21"/>
                <w:highlight w:val="none"/>
                <w:lang w:eastAsia="zh-CN"/>
              </w:rPr>
              <w:t xml:space="preserve"> 分，以此为基础，</w:t>
            </w:r>
            <w:r>
              <w:rPr>
                <w:rFonts w:hint="eastAsia" w:ascii="仿宋" w:hAnsi="仿宋" w:eastAsia="仿宋" w:cs="Times New Roman"/>
                <w:sz w:val="21"/>
                <w:szCs w:val="21"/>
                <w:highlight w:val="none"/>
                <w:lang w:val="en-US" w:eastAsia="zh-CN"/>
              </w:rPr>
              <w:t>所提供的</w:t>
            </w:r>
            <w:r>
              <w:rPr>
                <w:rFonts w:hint="eastAsia" w:ascii="仿宋" w:hAnsi="仿宋" w:eastAsia="仿宋" w:cs="Times New Roman"/>
                <w:sz w:val="21"/>
                <w:szCs w:val="21"/>
                <w:highlight w:val="none"/>
                <w:lang w:eastAsia="zh-CN"/>
              </w:rPr>
              <w:t>方案</w:t>
            </w:r>
            <w:r>
              <w:rPr>
                <w:rFonts w:hint="eastAsia" w:ascii="仿宋" w:hAnsi="仿宋" w:eastAsia="仿宋" w:cs="Times New Roman"/>
                <w:sz w:val="21"/>
                <w:szCs w:val="21"/>
                <w:highlight w:val="none"/>
                <w:lang w:val="en-US" w:eastAsia="zh-CN"/>
              </w:rPr>
              <w:t>中</w:t>
            </w:r>
            <w:r>
              <w:rPr>
                <w:rFonts w:hint="eastAsia" w:ascii="仿宋" w:hAnsi="仿宋" w:eastAsia="仿宋" w:cs="Times New Roman"/>
                <w:sz w:val="21"/>
                <w:szCs w:val="21"/>
                <w:highlight w:val="none"/>
                <w:lang w:eastAsia="zh-CN"/>
              </w:rPr>
              <w:t>每有一项</w:t>
            </w:r>
            <w:r>
              <w:rPr>
                <w:rFonts w:hint="eastAsia" w:ascii="仿宋" w:hAnsi="仿宋" w:eastAsia="仿宋" w:cs="Times New Roman"/>
                <w:sz w:val="21"/>
                <w:szCs w:val="21"/>
                <w:highlight w:val="none"/>
                <w:lang w:val="en-US" w:eastAsia="zh-CN"/>
              </w:rPr>
              <w:t>内容</w:t>
            </w:r>
            <w:r>
              <w:rPr>
                <w:rFonts w:hint="eastAsia" w:ascii="仿宋" w:hAnsi="仿宋" w:eastAsia="仿宋" w:cs="Times New Roman"/>
                <w:sz w:val="21"/>
                <w:szCs w:val="21"/>
                <w:highlight w:val="none"/>
                <w:lang w:eastAsia="zh-CN"/>
              </w:rPr>
              <w:t>进行了深化、量化、拓展</w:t>
            </w:r>
            <w:r>
              <w:rPr>
                <w:rFonts w:hint="eastAsia" w:ascii="仿宋" w:hAnsi="仿宋" w:eastAsia="仿宋" w:cs="Times New Roman"/>
                <w:sz w:val="21"/>
                <w:szCs w:val="21"/>
                <w:highlight w:val="none"/>
                <w:lang w:val="en-US" w:eastAsia="zh-CN"/>
              </w:rPr>
              <w:t>或</w:t>
            </w:r>
            <w:r>
              <w:rPr>
                <w:rFonts w:hint="eastAsia" w:ascii="仿宋" w:hAnsi="仿宋" w:eastAsia="仿宋" w:cs="Times New Roman"/>
                <w:sz w:val="21"/>
                <w:szCs w:val="21"/>
                <w:highlight w:val="none"/>
                <w:lang w:eastAsia="zh-CN"/>
              </w:rPr>
              <w:t>提出经评审专家认可的合理化建议的加 1 分，加至</w:t>
            </w:r>
            <w:r>
              <w:rPr>
                <w:rFonts w:hint="eastAsia" w:ascii="仿宋" w:hAnsi="仿宋" w:eastAsia="仿宋" w:cs="Times New Roman"/>
                <w:sz w:val="21"/>
                <w:szCs w:val="21"/>
                <w:highlight w:val="none"/>
                <w:lang w:val="en-US" w:eastAsia="zh-CN"/>
              </w:rPr>
              <w:t>18分</w:t>
            </w:r>
            <w:r>
              <w:rPr>
                <w:rFonts w:hint="eastAsia" w:ascii="仿宋" w:hAnsi="仿宋" w:eastAsia="仿宋" w:cs="Times New Roman"/>
                <w:sz w:val="21"/>
                <w:szCs w:val="21"/>
                <w:highlight w:val="none"/>
                <w:lang w:eastAsia="zh-CN"/>
              </w:rPr>
              <w:t>为止；每缺失一条扣</w:t>
            </w:r>
            <w:r>
              <w:rPr>
                <w:rFonts w:hint="eastAsia" w:ascii="仿宋" w:hAnsi="仿宋" w:eastAsia="仿宋" w:cs="Times New Roman"/>
                <w:sz w:val="21"/>
                <w:szCs w:val="21"/>
                <w:highlight w:val="none"/>
                <w:lang w:val="en-US" w:eastAsia="zh-CN"/>
              </w:rPr>
              <w:t>2</w:t>
            </w:r>
            <w:r>
              <w:rPr>
                <w:rFonts w:hint="eastAsia" w:ascii="仿宋" w:hAnsi="仿宋" w:eastAsia="仿宋" w:cs="Times New Roman"/>
                <w:sz w:val="21"/>
                <w:szCs w:val="21"/>
                <w:highlight w:val="none"/>
                <w:lang w:eastAsia="zh-CN"/>
              </w:rPr>
              <w:t>分；每有一处描述不清或逻辑混乱有欠缺的扣</w:t>
            </w:r>
            <w:r>
              <w:rPr>
                <w:rFonts w:hint="eastAsia" w:ascii="仿宋" w:hAnsi="仿宋" w:eastAsia="仿宋" w:cs="Times New Roman"/>
                <w:sz w:val="21"/>
                <w:szCs w:val="21"/>
                <w:highlight w:val="none"/>
                <w:lang w:val="en-US" w:eastAsia="zh-CN"/>
              </w:rPr>
              <w:t>1</w:t>
            </w:r>
            <w:r>
              <w:rPr>
                <w:rFonts w:hint="eastAsia" w:ascii="仿宋" w:hAnsi="仿宋" w:eastAsia="仿宋" w:cs="Times New Roman"/>
                <w:sz w:val="21"/>
                <w:szCs w:val="21"/>
                <w:highlight w:val="none"/>
                <w:lang w:eastAsia="zh-CN"/>
              </w:rPr>
              <w:t>分，扣完为止。</w:t>
            </w:r>
          </w:p>
        </w:tc>
        <w:tc>
          <w:tcPr>
            <w:tcW w:w="0" w:type="auto"/>
            <w:tcBorders>
              <w:top w:val="single" w:color="auto" w:sz="4" w:space="0"/>
              <w:left w:val="single" w:color="auto" w:sz="4" w:space="0"/>
              <w:bottom w:val="single" w:color="auto" w:sz="4" w:space="0"/>
              <w:right w:val="single" w:color="auto" w:sz="4" w:space="0"/>
            </w:tcBorders>
            <w:vAlign w:val="center"/>
          </w:tcPr>
          <w:p w14:paraId="1B2790BE">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rPr>
              <w:t>1</w:t>
            </w:r>
            <w:r>
              <w:rPr>
                <w:rFonts w:hint="eastAsia" w:ascii="仿宋" w:hAnsi="仿宋" w:eastAsia="仿宋" w:cs="Courier New"/>
                <w:sz w:val="21"/>
                <w:szCs w:val="21"/>
                <w:highlight w:val="none"/>
                <w:lang w:val="en-US" w:eastAsia="zh-CN"/>
              </w:rPr>
              <w:t>8</w:t>
            </w:r>
            <w:r>
              <w:rPr>
                <w:rFonts w:hint="eastAsia" w:ascii="仿宋" w:hAnsi="仿宋" w:eastAsia="仿宋" w:cs="Courier New"/>
                <w:sz w:val="21"/>
                <w:szCs w:val="21"/>
                <w:highlight w:val="none"/>
              </w:rPr>
              <w:t>分</w:t>
            </w:r>
          </w:p>
        </w:tc>
      </w:tr>
      <w:tr w14:paraId="26FE1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2" w:type="dxa"/>
            <w:vMerge w:val="continue"/>
            <w:tcBorders>
              <w:left w:val="single" w:color="auto" w:sz="4" w:space="0"/>
              <w:bottom w:val="single" w:color="auto" w:sz="4" w:space="0"/>
              <w:right w:val="single" w:color="auto" w:sz="4" w:space="0"/>
            </w:tcBorders>
            <w:vAlign w:val="center"/>
          </w:tcPr>
          <w:p w14:paraId="59B5601D">
            <w:pPr>
              <w:pStyle w:val="12"/>
              <w:snapToGrid w:val="0"/>
              <w:spacing w:line="360" w:lineRule="auto"/>
              <w:ind w:firstLine="0"/>
              <w:rPr>
                <w:rFonts w:ascii="仿宋" w:hAnsi="仿宋" w:eastAsia="仿宋" w:cs="宋体"/>
                <w:sz w:val="21"/>
                <w:szCs w:val="21"/>
                <w:highlight w:val="none"/>
              </w:rPr>
            </w:pPr>
          </w:p>
        </w:tc>
        <w:tc>
          <w:tcPr>
            <w:tcW w:w="7095" w:type="dxa"/>
            <w:tcBorders>
              <w:top w:val="single" w:color="auto" w:sz="4" w:space="0"/>
              <w:left w:val="single" w:color="auto" w:sz="4" w:space="0"/>
              <w:bottom w:val="single" w:color="auto" w:sz="4" w:space="0"/>
              <w:right w:val="single" w:color="auto" w:sz="4" w:space="0"/>
            </w:tcBorders>
            <w:vAlign w:val="center"/>
          </w:tcPr>
          <w:p w14:paraId="14E9E8CA">
            <w:pPr>
              <w:rPr>
                <w:rFonts w:ascii="仿宋" w:hAnsi="仿宋" w:eastAsia="仿宋" w:cs="宋体"/>
                <w:kern w:val="0"/>
                <w:szCs w:val="21"/>
                <w:highlight w:val="none"/>
              </w:rPr>
            </w:pPr>
            <w:r>
              <w:rPr>
                <w:rFonts w:hint="eastAsia" w:ascii="仿宋" w:hAnsi="仿宋" w:eastAsia="仿宋" w:cs="宋体"/>
                <w:kern w:val="0"/>
                <w:szCs w:val="21"/>
                <w:highlight w:val="none"/>
              </w:rPr>
              <w:t>售后方案：</w:t>
            </w:r>
          </w:p>
          <w:p w14:paraId="6884B6B9">
            <w:pPr>
              <w:rPr>
                <w:rFonts w:ascii="仿宋" w:hAnsi="仿宋" w:eastAsia="仿宋" w:cs="宋体"/>
                <w:kern w:val="0"/>
                <w:szCs w:val="21"/>
                <w:highlight w:val="none"/>
              </w:rPr>
            </w:pPr>
            <w:r>
              <w:rPr>
                <w:rFonts w:hint="eastAsia" w:ascii="仿宋" w:hAnsi="仿宋" w:eastAsia="仿宋" w:cs="宋体"/>
                <w:kern w:val="0"/>
                <w:szCs w:val="21"/>
                <w:highlight w:val="none"/>
              </w:rPr>
              <w:t>编制售后服务体系、方案，服务承诺等，内容需包含：</w:t>
            </w:r>
          </w:p>
          <w:p w14:paraId="24E50D4F">
            <w:pPr>
              <w:rPr>
                <w:rFonts w:ascii="仿宋" w:hAnsi="仿宋" w:eastAsia="仿宋" w:cs="宋体"/>
                <w:kern w:val="0"/>
                <w:szCs w:val="21"/>
                <w:highlight w:val="none"/>
              </w:rPr>
            </w:pPr>
            <w:r>
              <w:rPr>
                <w:rFonts w:hint="eastAsia" w:ascii="仿宋" w:hAnsi="仿宋" w:eastAsia="仿宋" w:cs="宋体"/>
                <w:kern w:val="0"/>
                <w:szCs w:val="21"/>
                <w:highlight w:val="none"/>
                <w:lang w:eastAsia="zh-CN"/>
              </w:rPr>
              <w:t>①</w:t>
            </w:r>
            <w:r>
              <w:rPr>
                <w:rFonts w:hint="eastAsia" w:ascii="仿宋" w:hAnsi="仿宋" w:eastAsia="仿宋" w:cs="宋体"/>
                <w:kern w:val="0"/>
                <w:szCs w:val="21"/>
                <w:highlight w:val="none"/>
              </w:rPr>
              <w:t>备品备件及耗材保障方案及承诺；</w:t>
            </w:r>
            <w:r>
              <w:rPr>
                <w:rFonts w:hint="eastAsia" w:ascii="仿宋" w:hAnsi="仿宋" w:eastAsia="仿宋" w:cs="宋体"/>
                <w:kern w:val="0"/>
                <w:szCs w:val="21"/>
                <w:highlight w:val="none"/>
                <w:lang w:eastAsia="zh-CN"/>
              </w:rPr>
              <w:t>②</w:t>
            </w:r>
            <w:r>
              <w:rPr>
                <w:rFonts w:hint="eastAsia" w:ascii="仿宋" w:hAnsi="仿宋" w:eastAsia="仿宋" w:cs="宋体"/>
                <w:kern w:val="0"/>
                <w:szCs w:val="21"/>
                <w:highlight w:val="none"/>
              </w:rPr>
              <w:t>质保期间的响应保障方案；</w:t>
            </w:r>
            <w:r>
              <w:rPr>
                <w:rFonts w:hint="eastAsia" w:ascii="仿宋" w:hAnsi="仿宋" w:eastAsia="仿宋" w:cs="宋体"/>
                <w:kern w:val="0"/>
                <w:szCs w:val="21"/>
                <w:highlight w:val="none"/>
                <w:lang w:eastAsia="zh-CN"/>
              </w:rPr>
              <w:t>③</w:t>
            </w:r>
            <w:r>
              <w:rPr>
                <w:rFonts w:hint="eastAsia" w:ascii="仿宋" w:hAnsi="仿宋" w:eastAsia="仿宋" w:cs="宋体"/>
                <w:kern w:val="0"/>
                <w:szCs w:val="21"/>
                <w:highlight w:val="none"/>
              </w:rPr>
              <w:t>相关服务承诺；</w:t>
            </w:r>
            <w:r>
              <w:rPr>
                <w:rFonts w:hint="eastAsia" w:ascii="仿宋" w:hAnsi="仿宋" w:eastAsia="仿宋" w:cs="宋体"/>
                <w:kern w:val="0"/>
                <w:szCs w:val="21"/>
                <w:highlight w:val="none"/>
                <w:lang w:eastAsia="zh-CN"/>
              </w:rPr>
              <w:t>④</w:t>
            </w:r>
            <w:r>
              <w:rPr>
                <w:rFonts w:hint="eastAsia" w:ascii="仿宋" w:hAnsi="仿宋" w:eastAsia="仿宋" w:cs="宋体"/>
                <w:kern w:val="0"/>
                <w:szCs w:val="21"/>
                <w:highlight w:val="none"/>
              </w:rPr>
              <w:t>售后人员保障等。</w:t>
            </w:r>
          </w:p>
          <w:p w14:paraId="65017AC3">
            <w:pPr>
              <w:rPr>
                <w:highlight w:val="none"/>
              </w:rPr>
            </w:pPr>
            <w:r>
              <w:rPr>
                <w:rFonts w:hint="eastAsia" w:ascii="仿宋" w:hAnsi="仿宋" w:eastAsia="仿宋" w:cs="Times New Roman"/>
                <w:sz w:val="21"/>
                <w:szCs w:val="21"/>
                <w:highlight w:val="none"/>
                <w:lang w:eastAsia="zh-CN"/>
              </w:rPr>
              <w:t xml:space="preserve">提供相关方案的得 </w:t>
            </w:r>
            <w:r>
              <w:rPr>
                <w:rFonts w:hint="eastAsia" w:ascii="仿宋" w:hAnsi="仿宋" w:eastAsia="仿宋" w:cs="Times New Roman"/>
                <w:sz w:val="21"/>
                <w:szCs w:val="21"/>
                <w:highlight w:val="none"/>
                <w:lang w:val="en-US" w:eastAsia="zh-CN"/>
              </w:rPr>
              <w:t>8</w:t>
            </w:r>
            <w:r>
              <w:rPr>
                <w:rFonts w:hint="eastAsia" w:ascii="仿宋" w:hAnsi="仿宋" w:eastAsia="仿宋" w:cs="Times New Roman"/>
                <w:sz w:val="21"/>
                <w:szCs w:val="21"/>
                <w:highlight w:val="none"/>
                <w:lang w:eastAsia="zh-CN"/>
              </w:rPr>
              <w:t xml:space="preserve"> 分，以此为基础，</w:t>
            </w:r>
            <w:r>
              <w:rPr>
                <w:rFonts w:hint="eastAsia" w:ascii="仿宋" w:hAnsi="仿宋" w:eastAsia="仿宋" w:cs="Times New Roman"/>
                <w:sz w:val="21"/>
                <w:szCs w:val="21"/>
                <w:highlight w:val="none"/>
                <w:lang w:val="en-US" w:eastAsia="zh-CN"/>
              </w:rPr>
              <w:t>所提供的</w:t>
            </w:r>
            <w:r>
              <w:rPr>
                <w:rFonts w:hint="eastAsia" w:ascii="仿宋" w:hAnsi="仿宋" w:eastAsia="仿宋" w:cs="Times New Roman"/>
                <w:sz w:val="21"/>
                <w:szCs w:val="21"/>
                <w:highlight w:val="none"/>
                <w:lang w:eastAsia="zh-CN"/>
              </w:rPr>
              <w:t>方案</w:t>
            </w:r>
            <w:r>
              <w:rPr>
                <w:rFonts w:hint="eastAsia" w:ascii="仿宋" w:hAnsi="仿宋" w:eastAsia="仿宋" w:cs="Times New Roman"/>
                <w:sz w:val="21"/>
                <w:szCs w:val="21"/>
                <w:highlight w:val="none"/>
                <w:lang w:val="en-US" w:eastAsia="zh-CN"/>
              </w:rPr>
              <w:t>中</w:t>
            </w:r>
            <w:r>
              <w:rPr>
                <w:rFonts w:hint="eastAsia" w:ascii="仿宋" w:hAnsi="仿宋" w:eastAsia="仿宋" w:cs="Times New Roman"/>
                <w:sz w:val="21"/>
                <w:szCs w:val="21"/>
                <w:highlight w:val="none"/>
                <w:lang w:eastAsia="zh-CN"/>
              </w:rPr>
              <w:t>每有一项</w:t>
            </w:r>
            <w:r>
              <w:rPr>
                <w:rFonts w:hint="eastAsia" w:ascii="仿宋" w:hAnsi="仿宋" w:eastAsia="仿宋" w:cs="Times New Roman"/>
                <w:sz w:val="21"/>
                <w:szCs w:val="21"/>
                <w:highlight w:val="none"/>
                <w:lang w:val="en-US" w:eastAsia="zh-CN"/>
              </w:rPr>
              <w:t>内容</w:t>
            </w:r>
            <w:r>
              <w:rPr>
                <w:rFonts w:hint="eastAsia" w:ascii="仿宋" w:hAnsi="仿宋" w:eastAsia="仿宋" w:cs="Times New Roman"/>
                <w:sz w:val="21"/>
                <w:szCs w:val="21"/>
                <w:highlight w:val="none"/>
                <w:lang w:eastAsia="zh-CN"/>
              </w:rPr>
              <w:t>进行了深化、量化、拓展</w:t>
            </w:r>
            <w:r>
              <w:rPr>
                <w:rFonts w:hint="eastAsia" w:ascii="仿宋" w:hAnsi="仿宋" w:eastAsia="仿宋" w:cs="Times New Roman"/>
                <w:sz w:val="21"/>
                <w:szCs w:val="21"/>
                <w:highlight w:val="none"/>
                <w:lang w:val="en-US" w:eastAsia="zh-CN"/>
              </w:rPr>
              <w:t>或</w:t>
            </w:r>
            <w:r>
              <w:rPr>
                <w:rFonts w:hint="eastAsia" w:ascii="仿宋" w:hAnsi="仿宋" w:eastAsia="仿宋" w:cs="Times New Roman"/>
                <w:sz w:val="21"/>
                <w:szCs w:val="21"/>
                <w:highlight w:val="none"/>
                <w:lang w:eastAsia="zh-CN"/>
              </w:rPr>
              <w:t>提出经评审专家认可的合理化建议的加 1 分，加至</w:t>
            </w:r>
            <w:r>
              <w:rPr>
                <w:rFonts w:hint="eastAsia" w:ascii="仿宋" w:hAnsi="仿宋" w:eastAsia="仿宋" w:cs="Times New Roman"/>
                <w:sz w:val="21"/>
                <w:szCs w:val="21"/>
                <w:highlight w:val="none"/>
                <w:lang w:val="en-US" w:eastAsia="zh-CN"/>
              </w:rPr>
              <w:t>12分</w:t>
            </w:r>
            <w:r>
              <w:rPr>
                <w:rFonts w:hint="eastAsia" w:ascii="仿宋" w:hAnsi="仿宋" w:eastAsia="仿宋" w:cs="Times New Roman"/>
                <w:sz w:val="21"/>
                <w:szCs w:val="21"/>
                <w:highlight w:val="none"/>
                <w:lang w:eastAsia="zh-CN"/>
              </w:rPr>
              <w:t>为止；每缺失一条扣</w:t>
            </w:r>
            <w:r>
              <w:rPr>
                <w:rFonts w:hint="eastAsia" w:ascii="仿宋" w:hAnsi="仿宋" w:eastAsia="仿宋" w:cs="Times New Roman"/>
                <w:sz w:val="21"/>
                <w:szCs w:val="21"/>
                <w:highlight w:val="none"/>
                <w:lang w:val="en-US" w:eastAsia="zh-CN"/>
              </w:rPr>
              <w:t>2</w:t>
            </w:r>
            <w:r>
              <w:rPr>
                <w:rFonts w:hint="eastAsia" w:ascii="仿宋" w:hAnsi="仿宋" w:eastAsia="仿宋" w:cs="Times New Roman"/>
                <w:sz w:val="21"/>
                <w:szCs w:val="21"/>
                <w:highlight w:val="none"/>
                <w:lang w:eastAsia="zh-CN"/>
              </w:rPr>
              <w:t>分；每有一处描述不清或逻辑混乱有欠缺的扣</w:t>
            </w:r>
            <w:r>
              <w:rPr>
                <w:rFonts w:hint="eastAsia" w:ascii="仿宋" w:hAnsi="仿宋" w:eastAsia="仿宋" w:cs="Times New Roman"/>
                <w:sz w:val="21"/>
                <w:szCs w:val="21"/>
                <w:highlight w:val="none"/>
                <w:lang w:val="en-US" w:eastAsia="zh-CN"/>
              </w:rPr>
              <w:t>1</w:t>
            </w:r>
            <w:r>
              <w:rPr>
                <w:rFonts w:hint="eastAsia" w:ascii="仿宋" w:hAnsi="仿宋" w:eastAsia="仿宋" w:cs="Times New Roman"/>
                <w:sz w:val="21"/>
                <w:szCs w:val="21"/>
                <w:highlight w:val="none"/>
                <w:lang w:eastAsia="zh-CN"/>
              </w:rPr>
              <w:t>分，扣完为止。</w:t>
            </w:r>
          </w:p>
        </w:tc>
        <w:tc>
          <w:tcPr>
            <w:tcW w:w="0" w:type="auto"/>
            <w:tcBorders>
              <w:top w:val="single" w:color="auto" w:sz="4" w:space="0"/>
              <w:left w:val="single" w:color="auto" w:sz="4" w:space="0"/>
              <w:bottom w:val="single" w:color="auto" w:sz="4" w:space="0"/>
              <w:right w:val="single" w:color="auto" w:sz="4" w:space="0"/>
            </w:tcBorders>
            <w:vAlign w:val="center"/>
          </w:tcPr>
          <w:p w14:paraId="2404030B">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lang w:val="en-US" w:eastAsia="zh-CN"/>
              </w:rPr>
              <w:t>12</w:t>
            </w:r>
            <w:r>
              <w:rPr>
                <w:rFonts w:hint="eastAsia" w:ascii="仿宋" w:hAnsi="仿宋" w:eastAsia="仿宋" w:cs="Courier New"/>
                <w:sz w:val="21"/>
                <w:szCs w:val="21"/>
                <w:highlight w:val="none"/>
              </w:rPr>
              <w:t>分</w:t>
            </w:r>
          </w:p>
        </w:tc>
      </w:tr>
      <w:tr w14:paraId="311A4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7CDC000B">
            <w:pPr>
              <w:pStyle w:val="12"/>
              <w:snapToGrid w:val="0"/>
              <w:spacing w:line="360" w:lineRule="auto"/>
              <w:ind w:firstLine="0"/>
              <w:rPr>
                <w:rFonts w:ascii="仿宋" w:hAnsi="仿宋" w:eastAsia="仿宋" w:cs="Courier New"/>
                <w:b/>
                <w:sz w:val="21"/>
                <w:szCs w:val="21"/>
                <w:highlight w:val="none"/>
              </w:rPr>
            </w:pPr>
            <w:r>
              <w:rPr>
                <w:rFonts w:ascii="仿宋" w:hAnsi="仿宋" w:eastAsia="仿宋" w:cs="Courier New"/>
                <w:b/>
                <w:sz w:val="21"/>
                <w:szCs w:val="21"/>
                <w:highlight w:val="none"/>
              </w:rPr>
              <w:t>D</w:t>
            </w:r>
            <w:r>
              <w:rPr>
                <w:rFonts w:hint="eastAsia" w:ascii="仿宋" w:hAnsi="仿宋" w:eastAsia="仿宋" w:cs="Courier New"/>
                <w:b/>
                <w:sz w:val="21"/>
                <w:szCs w:val="21"/>
                <w:highlight w:val="none"/>
              </w:rPr>
              <w:t>:</w:t>
            </w:r>
            <w:r>
              <w:rPr>
                <w:rFonts w:hint="eastAsia" w:ascii="仿宋" w:hAnsi="仿宋" w:eastAsia="仿宋"/>
                <w:sz w:val="21"/>
                <w:szCs w:val="21"/>
                <w:highlight w:val="none"/>
              </w:rPr>
              <w:t xml:space="preserve"> </w:t>
            </w:r>
            <w:r>
              <w:rPr>
                <w:rFonts w:hint="eastAsia" w:ascii="仿宋" w:hAnsi="仿宋" w:eastAsia="仿宋" w:cs="Courier New"/>
                <w:b/>
                <w:sz w:val="21"/>
                <w:szCs w:val="21"/>
                <w:highlight w:val="none"/>
              </w:rPr>
              <w:t>属于中小企业评审优惠内容及价格扣除幅度</w:t>
            </w:r>
          </w:p>
        </w:tc>
      </w:tr>
      <w:tr w14:paraId="5F25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209BA703">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根据中华人民共和国财政部、中华人民共和国工业和信息化部《政府采购促进中小企业发展管理办法》（财库[2020]46号）、《关于进一步加大政府采购支持中小企业力度的通知》（财库〔2022〕19号）文件的规定，属于中小企业评审优惠内容及幅度如下：</w:t>
            </w:r>
          </w:p>
          <w:p w14:paraId="63362276">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（一）中小企业（含中型、小型、微型企业）应当同时符合以下条件：</w:t>
            </w:r>
          </w:p>
          <w:p w14:paraId="70F4A91A">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①符合中小企业划分标准（按《关于印发中小企业划型标准规定的通知》（工信部联企业〔2011〕300号）执行）；</w:t>
            </w:r>
          </w:p>
          <w:p w14:paraId="4FE377F5">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②提供本企业制造的货物、承担的项目或者服务，或者提供其他中小企业制造的货物。本项所称货物不包括使用大型企业注册商标的货物；</w:t>
            </w:r>
          </w:p>
          <w:p w14:paraId="7B59BF49">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③小型、微型企业提供中型企业制造的货物的，视同为中型企业。</w:t>
            </w:r>
          </w:p>
          <w:p w14:paraId="398BAB88">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监狱企业、残疾人福利性企业视同为小微企业。</w:t>
            </w:r>
          </w:p>
          <w:p w14:paraId="18810BD5">
            <w:pPr>
              <w:pStyle w:val="12"/>
              <w:widowControl w:val="0"/>
              <w:numPr>
                <w:ilvl w:val="0"/>
                <w:numId w:val="3"/>
              </w:numPr>
              <w:snapToGrid w:val="0"/>
              <w:spacing w:line="360" w:lineRule="auto"/>
              <w:ind w:firstLine="0"/>
              <w:jc w:val="both"/>
              <w:rPr>
                <w:rFonts w:ascii="仿宋" w:hAnsi="仿宋" w:eastAsia="仿宋" w:cs="仿宋"/>
                <w:bCs/>
                <w:sz w:val="21"/>
                <w:szCs w:val="21"/>
                <w:highlight w:val="none"/>
              </w:rPr>
            </w:pPr>
            <w:r>
              <w:rPr>
                <w:rFonts w:hint="eastAsia" w:ascii="仿宋" w:hAnsi="仿宋" w:eastAsia="仿宋" w:cs="仿宋"/>
                <w:bCs/>
                <w:sz w:val="21"/>
                <w:szCs w:val="21"/>
                <w:highlight w:val="none"/>
              </w:rPr>
              <w:t>价格扣除办法：对于非专门面向中小企业的项目，对小型和微型企业（或联合体各方均为小型、微型企业的）产品的价格给予1</w:t>
            </w:r>
            <w:r>
              <w:rPr>
                <w:rFonts w:ascii="仿宋" w:hAnsi="仿宋" w:eastAsia="仿宋" w:cs="仿宋"/>
                <w:bCs/>
                <w:sz w:val="21"/>
                <w:szCs w:val="21"/>
                <w:highlight w:val="none"/>
              </w:rPr>
              <w:t>0</w:t>
            </w:r>
            <w:r>
              <w:rPr>
                <w:rFonts w:hint="eastAsia" w:ascii="仿宋" w:hAnsi="仿宋" w:eastAsia="仿宋" w:cs="仿宋"/>
                <w:bCs/>
                <w:sz w:val="21"/>
                <w:szCs w:val="21"/>
                <w:highlight w:val="none"/>
              </w:rPr>
              <w:t>%的扣除，用扣除后的价格参与价格分的评审。</w:t>
            </w:r>
          </w:p>
          <w:p w14:paraId="30EA2731">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仿宋"/>
                <w:bCs/>
                <w:sz w:val="21"/>
                <w:szCs w:val="21"/>
                <w:highlight w:val="none"/>
              </w:rPr>
              <w:t>（三）小型和微型企业适用价格扣除办法时应提供的相关资料：《中小企业声明函》。</w:t>
            </w:r>
          </w:p>
        </w:tc>
      </w:tr>
    </w:tbl>
    <w:p w14:paraId="63F997B0">
      <w:pPr>
        <w:pStyle w:val="18"/>
        <w:rPr>
          <w:rFonts w:hint="eastAsia"/>
          <w:b/>
          <w:bCs/>
          <w:sz w:val="22"/>
          <w:szCs w:val="28"/>
          <w:highlight w:val="none"/>
          <w:lang w:val="en-US" w:eastAsia="zh-CN"/>
        </w:rPr>
      </w:pPr>
      <w:r>
        <w:rPr>
          <w:rFonts w:hint="eastAsia"/>
          <w:b/>
          <w:bCs/>
          <w:sz w:val="22"/>
          <w:szCs w:val="28"/>
          <w:highlight w:val="none"/>
          <w:lang w:val="en-US" w:eastAsia="zh-CN"/>
        </w:rPr>
        <w:t>标项8：</w:t>
      </w:r>
    </w:p>
    <w:tbl>
      <w:tblPr>
        <w:tblStyle w:val="46"/>
        <w:tblW w:w="10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1"/>
        <w:gridCol w:w="7196"/>
        <w:gridCol w:w="427"/>
      </w:tblGrid>
      <w:tr w14:paraId="30047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672" w:type="dxa"/>
            <w:tcBorders>
              <w:top w:val="single" w:color="auto" w:sz="4" w:space="0"/>
              <w:left w:val="single" w:color="auto" w:sz="4" w:space="0"/>
              <w:bottom w:val="single" w:color="auto" w:sz="4" w:space="0"/>
              <w:right w:val="single" w:color="auto" w:sz="4" w:space="0"/>
            </w:tcBorders>
            <w:vAlign w:val="center"/>
          </w:tcPr>
          <w:p w14:paraId="56D6A318">
            <w:pPr>
              <w:pStyle w:val="12"/>
              <w:snapToGrid w:val="0"/>
              <w:spacing w:line="360" w:lineRule="auto"/>
              <w:ind w:firstLine="0"/>
              <w:jc w:val="center"/>
              <w:rPr>
                <w:rFonts w:ascii="仿宋" w:hAnsi="仿宋" w:eastAsia="仿宋" w:cs="Courier New"/>
                <w:b/>
                <w:sz w:val="21"/>
                <w:szCs w:val="21"/>
                <w:highlight w:val="none"/>
              </w:rPr>
            </w:pPr>
            <w:r>
              <w:rPr>
                <w:rFonts w:hint="eastAsia" w:ascii="仿宋" w:hAnsi="仿宋" w:eastAsia="仿宋" w:cs="Courier New"/>
                <w:b/>
                <w:sz w:val="21"/>
                <w:szCs w:val="21"/>
                <w:highlight w:val="none"/>
              </w:rPr>
              <w:t>项目</w:t>
            </w:r>
          </w:p>
        </w:tc>
        <w:tc>
          <w:tcPr>
            <w:tcW w:w="7095" w:type="dxa"/>
            <w:tcBorders>
              <w:top w:val="single" w:color="auto" w:sz="4" w:space="0"/>
              <w:left w:val="single" w:color="auto" w:sz="4" w:space="0"/>
              <w:bottom w:val="single" w:color="auto" w:sz="4" w:space="0"/>
              <w:right w:val="single" w:color="auto" w:sz="4" w:space="0"/>
            </w:tcBorders>
            <w:vAlign w:val="center"/>
          </w:tcPr>
          <w:p w14:paraId="5205E510">
            <w:pPr>
              <w:pStyle w:val="12"/>
              <w:snapToGrid w:val="0"/>
              <w:spacing w:line="360" w:lineRule="auto"/>
              <w:ind w:firstLine="0"/>
              <w:jc w:val="center"/>
              <w:rPr>
                <w:rFonts w:ascii="仿宋" w:hAnsi="仿宋" w:eastAsia="仿宋" w:cs="Courier New"/>
                <w:b/>
                <w:sz w:val="21"/>
                <w:szCs w:val="21"/>
                <w:highlight w:val="none"/>
              </w:rPr>
            </w:pPr>
            <w:r>
              <w:rPr>
                <w:rFonts w:hint="eastAsia" w:ascii="仿宋" w:hAnsi="仿宋" w:eastAsia="仿宋" w:cs="Courier New"/>
                <w:b/>
                <w:sz w:val="21"/>
                <w:szCs w:val="21"/>
                <w:highlight w:val="none"/>
              </w:rPr>
              <w:t>评审内容</w:t>
            </w:r>
          </w:p>
        </w:tc>
        <w:tc>
          <w:tcPr>
            <w:tcW w:w="0" w:type="auto"/>
            <w:tcBorders>
              <w:top w:val="single" w:color="auto" w:sz="4" w:space="0"/>
              <w:left w:val="single" w:color="auto" w:sz="4" w:space="0"/>
              <w:bottom w:val="single" w:color="auto" w:sz="4" w:space="0"/>
              <w:right w:val="single" w:color="auto" w:sz="4" w:space="0"/>
            </w:tcBorders>
            <w:vAlign w:val="center"/>
          </w:tcPr>
          <w:p w14:paraId="0D8A17E7">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分值</w:t>
            </w:r>
          </w:p>
        </w:tc>
      </w:tr>
      <w:tr w14:paraId="2A207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5F3B5D99">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A：价格评分30分</w:t>
            </w:r>
          </w:p>
        </w:tc>
      </w:tr>
      <w:tr w14:paraId="715A9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14:paraId="24D5B585">
            <w:pPr>
              <w:pStyle w:val="12"/>
              <w:snapToGrid w:val="0"/>
              <w:spacing w:line="360" w:lineRule="auto"/>
              <w:ind w:firstLine="0"/>
              <w:jc w:val="center"/>
              <w:rPr>
                <w:rFonts w:ascii="仿宋" w:hAnsi="仿宋" w:eastAsia="仿宋" w:cs="Courier New"/>
                <w:sz w:val="21"/>
                <w:szCs w:val="21"/>
                <w:highlight w:val="none"/>
              </w:rPr>
            </w:pPr>
            <w:r>
              <w:rPr>
                <w:rFonts w:hint="eastAsia" w:ascii="仿宋" w:hAnsi="仿宋" w:eastAsia="仿宋" w:cs="Courier New"/>
                <w:sz w:val="21"/>
                <w:szCs w:val="21"/>
                <w:highlight w:val="none"/>
              </w:rPr>
              <w:t>价格</w:t>
            </w:r>
          </w:p>
        </w:tc>
        <w:tc>
          <w:tcPr>
            <w:tcW w:w="7095" w:type="dxa"/>
            <w:tcBorders>
              <w:top w:val="single" w:color="auto" w:sz="4" w:space="0"/>
              <w:left w:val="single" w:color="auto" w:sz="4" w:space="0"/>
              <w:bottom w:val="single" w:color="auto" w:sz="4" w:space="0"/>
              <w:right w:val="single" w:color="auto" w:sz="4" w:space="0"/>
            </w:tcBorders>
            <w:vAlign w:val="center"/>
          </w:tcPr>
          <w:p w14:paraId="63C34BAB">
            <w:pPr>
              <w:widowControl/>
              <w:spacing w:line="360" w:lineRule="auto"/>
              <w:jc w:val="left"/>
              <w:textAlignment w:val="center"/>
              <w:rPr>
                <w:rFonts w:ascii="仿宋" w:hAnsi="仿宋" w:eastAsia="仿宋" w:cs="宋体"/>
                <w:b/>
                <w:bCs/>
                <w:kern w:val="0"/>
                <w:szCs w:val="21"/>
                <w:highlight w:val="none"/>
              </w:rPr>
            </w:pPr>
            <w:r>
              <w:rPr>
                <w:rFonts w:hint="eastAsia" w:ascii="仿宋" w:hAnsi="仿宋" w:eastAsia="仿宋" w:cs="宋体"/>
                <w:b/>
                <w:bCs/>
                <w:kern w:val="0"/>
                <w:szCs w:val="21"/>
                <w:highlight w:val="none"/>
              </w:rPr>
              <w:t>基准值的确定：评标基准价=有效报价的最低值，</w:t>
            </w:r>
          </w:p>
          <w:p w14:paraId="279D875F">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宋体"/>
                <w:sz w:val="21"/>
                <w:szCs w:val="21"/>
                <w:highlight w:val="none"/>
              </w:rPr>
              <w:t>报价得分=（评标基准价/投标报价）</w:t>
            </w:r>
            <w:r>
              <w:rPr>
                <w:rFonts w:hint="eastAsia" w:ascii="仿宋" w:hAnsi="仿宋" w:eastAsia="仿宋"/>
                <w:b/>
                <w:sz w:val="21"/>
                <w:szCs w:val="21"/>
                <w:highlight w:val="none"/>
              </w:rPr>
              <w:t>×</w:t>
            </w:r>
            <w:r>
              <w:rPr>
                <w:rFonts w:hint="eastAsia" w:ascii="仿宋" w:hAnsi="仿宋" w:eastAsia="仿宋" w:cs="宋体"/>
                <w:sz w:val="21"/>
                <w:szCs w:val="21"/>
                <w:highlight w:val="none"/>
              </w:rPr>
              <w:t>30%</w:t>
            </w:r>
            <w:r>
              <w:rPr>
                <w:rFonts w:hint="eastAsia" w:ascii="仿宋" w:hAnsi="仿宋" w:eastAsia="仿宋"/>
                <w:b/>
                <w:sz w:val="21"/>
                <w:szCs w:val="21"/>
                <w:highlight w:val="none"/>
              </w:rPr>
              <w:t>×</w:t>
            </w:r>
            <w:r>
              <w:rPr>
                <w:rFonts w:hint="eastAsia" w:ascii="仿宋" w:hAnsi="仿宋" w:eastAsia="仿宋" w:cs="宋体"/>
                <w:sz w:val="21"/>
                <w:szCs w:val="21"/>
                <w:highlight w:val="none"/>
              </w:rPr>
              <w:t>100.有效报价为通过初步审查的供应商报价。有效报价等于基准值的得满分</w:t>
            </w:r>
          </w:p>
        </w:tc>
        <w:tc>
          <w:tcPr>
            <w:tcW w:w="0" w:type="auto"/>
            <w:tcBorders>
              <w:top w:val="single" w:color="auto" w:sz="4" w:space="0"/>
              <w:left w:val="single" w:color="auto" w:sz="4" w:space="0"/>
              <w:bottom w:val="single" w:color="auto" w:sz="4" w:space="0"/>
              <w:right w:val="single" w:color="auto" w:sz="4" w:space="0"/>
            </w:tcBorders>
            <w:vAlign w:val="center"/>
          </w:tcPr>
          <w:p w14:paraId="502D1E64">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rPr>
              <w:t>30分</w:t>
            </w:r>
          </w:p>
        </w:tc>
      </w:tr>
      <w:tr w14:paraId="78DD3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21EB7E15">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B：商务部分评分</w:t>
            </w:r>
            <w:r>
              <w:rPr>
                <w:rFonts w:hint="eastAsia" w:ascii="仿宋" w:hAnsi="仿宋" w:eastAsia="仿宋" w:cs="Courier New"/>
                <w:b/>
                <w:sz w:val="21"/>
                <w:szCs w:val="21"/>
                <w:highlight w:val="none"/>
                <w:lang w:val="en-US" w:eastAsia="zh-CN"/>
              </w:rPr>
              <w:t>15</w:t>
            </w:r>
            <w:r>
              <w:rPr>
                <w:rFonts w:hint="eastAsia" w:ascii="仿宋" w:hAnsi="仿宋" w:eastAsia="仿宋" w:cs="Courier New"/>
                <w:b/>
                <w:sz w:val="21"/>
                <w:szCs w:val="21"/>
                <w:highlight w:val="none"/>
              </w:rPr>
              <w:t>分</w:t>
            </w:r>
          </w:p>
        </w:tc>
      </w:tr>
      <w:tr w14:paraId="47D89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14:paraId="63865DB4">
            <w:pPr>
              <w:pStyle w:val="12"/>
              <w:snapToGrid w:val="0"/>
              <w:spacing w:line="360" w:lineRule="auto"/>
              <w:ind w:firstLine="0"/>
              <w:jc w:val="center"/>
              <w:rPr>
                <w:rFonts w:ascii="仿宋" w:hAnsi="仿宋" w:eastAsia="仿宋" w:cs="宋体"/>
                <w:sz w:val="21"/>
                <w:szCs w:val="21"/>
                <w:highlight w:val="none"/>
              </w:rPr>
            </w:pPr>
            <w:r>
              <w:rPr>
                <w:rFonts w:hint="eastAsia" w:ascii="仿宋" w:hAnsi="仿宋" w:eastAsia="仿宋" w:cs="宋体"/>
                <w:sz w:val="21"/>
                <w:szCs w:val="21"/>
                <w:highlight w:val="none"/>
              </w:rPr>
              <w:t>相关业绩</w:t>
            </w:r>
          </w:p>
        </w:tc>
        <w:tc>
          <w:tcPr>
            <w:tcW w:w="7095" w:type="dxa"/>
            <w:tcBorders>
              <w:top w:val="single" w:color="auto" w:sz="4" w:space="0"/>
              <w:left w:val="single" w:color="auto" w:sz="4" w:space="0"/>
              <w:bottom w:val="single" w:color="auto" w:sz="4" w:space="0"/>
              <w:right w:val="single" w:color="auto" w:sz="4" w:space="0"/>
            </w:tcBorders>
            <w:vAlign w:val="center"/>
          </w:tcPr>
          <w:p w14:paraId="48811492">
            <w:pPr>
              <w:pStyle w:val="12"/>
              <w:snapToGrid w:val="0"/>
              <w:spacing w:line="360" w:lineRule="auto"/>
              <w:ind w:firstLine="0"/>
              <w:rPr>
                <w:rFonts w:ascii="仿宋" w:hAnsi="仿宋" w:eastAsia="仿宋"/>
                <w:sz w:val="21"/>
                <w:szCs w:val="21"/>
                <w:highlight w:val="none"/>
              </w:rPr>
            </w:pPr>
            <w:r>
              <w:rPr>
                <w:rFonts w:hint="eastAsia" w:ascii="仿宋" w:hAnsi="仿宋" w:eastAsia="仿宋"/>
                <w:sz w:val="21"/>
                <w:szCs w:val="21"/>
                <w:highlight w:val="none"/>
              </w:rPr>
              <w:t>提供20</w:t>
            </w:r>
            <w:r>
              <w:rPr>
                <w:rFonts w:ascii="仿宋" w:hAnsi="仿宋" w:eastAsia="仿宋"/>
                <w:sz w:val="21"/>
                <w:szCs w:val="21"/>
                <w:highlight w:val="none"/>
              </w:rPr>
              <w:t>21</w:t>
            </w:r>
            <w:r>
              <w:rPr>
                <w:rFonts w:hint="eastAsia" w:ascii="仿宋" w:hAnsi="仿宋" w:eastAsia="仿宋"/>
                <w:sz w:val="21"/>
                <w:szCs w:val="21"/>
                <w:highlight w:val="none"/>
              </w:rPr>
              <w:t>年5月以来独立承担类似项目经验情况，拥有类似的相关业绩（需提供中标（成交）通知书或合同），每个业绩计</w:t>
            </w:r>
            <w:r>
              <w:rPr>
                <w:rFonts w:hint="eastAsia" w:ascii="仿宋" w:hAnsi="仿宋" w:eastAsia="仿宋"/>
                <w:sz w:val="21"/>
                <w:szCs w:val="21"/>
                <w:highlight w:val="none"/>
                <w:lang w:val="en-US" w:eastAsia="zh-CN"/>
              </w:rPr>
              <w:t>1</w:t>
            </w:r>
            <w:r>
              <w:rPr>
                <w:rFonts w:hint="eastAsia" w:ascii="仿宋" w:hAnsi="仿宋" w:eastAsia="仿宋"/>
                <w:sz w:val="21"/>
                <w:szCs w:val="21"/>
                <w:highlight w:val="none"/>
              </w:rPr>
              <w:t>分，最高得</w:t>
            </w:r>
            <w:r>
              <w:rPr>
                <w:rFonts w:hint="eastAsia" w:ascii="仿宋" w:hAnsi="仿宋" w:eastAsia="仿宋"/>
                <w:sz w:val="21"/>
                <w:szCs w:val="21"/>
                <w:highlight w:val="none"/>
                <w:lang w:val="en-US" w:eastAsia="zh-CN"/>
              </w:rPr>
              <w:t>5</w:t>
            </w:r>
            <w:r>
              <w:rPr>
                <w:rFonts w:hint="eastAsia" w:ascii="仿宋" w:hAnsi="仿宋" w:eastAsia="仿宋"/>
                <w:sz w:val="21"/>
                <w:szCs w:val="21"/>
                <w:highlight w:val="none"/>
              </w:rPr>
              <w:t>分。</w:t>
            </w:r>
          </w:p>
          <w:p w14:paraId="6A3E07CD">
            <w:pPr>
              <w:pStyle w:val="12"/>
              <w:snapToGrid w:val="0"/>
              <w:spacing w:line="360" w:lineRule="auto"/>
              <w:ind w:firstLine="0"/>
              <w:rPr>
                <w:rFonts w:ascii="仿宋" w:hAnsi="仿宋" w:eastAsia="仿宋"/>
                <w:sz w:val="21"/>
                <w:szCs w:val="21"/>
                <w:highlight w:val="none"/>
              </w:rPr>
            </w:pPr>
            <w:r>
              <w:rPr>
                <w:rFonts w:hint="eastAsia" w:ascii="仿宋" w:hAnsi="仿宋" w:eastAsia="仿宋"/>
                <w:sz w:val="21"/>
                <w:szCs w:val="21"/>
                <w:highlight w:val="none"/>
              </w:rPr>
              <w:t>注：以上材料需提供复印件并加盖公章</w:t>
            </w:r>
          </w:p>
        </w:tc>
        <w:tc>
          <w:tcPr>
            <w:tcW w:w="0" w:type="auto"/>
            <w:tcBorders>
              <w:top w:val="single" w:color="auto" w:sz="4" w:space="0"/>
              <w:left w:val="single" w:color="auto" w:sz="4" w:space="0"/>
              <w:bottom w:val="single" w:color="auto" w:sz="4" w:space="0"/>
              <w:right w:val="single" w:color="auto" w:sz="4" w:space="0"/>
            </w:tcBorders>
            <w:vAlign w:val="center"/>
          </w:tcPr>
          <w:p w14:paraId="736E60B6">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lang w:val="en-US" w:eastAsia="zh-CN"/>
              </w:rPr>
              <w:t>5</w:t>
            </w:r>
            <w:r>
              <w:rPr>
                <w:rFonts w:hint="eastAsia" w:ascii="仿宋" w:hAnsi="仿宋" w:eastAsia="仿宋" w:cs="Courier New"/>
                <w:sz w:val="21"/>
                <w:szCs w:val="21"/>
                <w:highlight w:val="none"/>
              </w:rPr>
              <w:t>分</w:t>
            </w:r>
          </w:p>
        </w:tc>
      </w:tr>
      <w:tr w14:paraId="0395B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14:paraId="12E5D94C">
            <w:pPr>
              <w:pStyle w:val="12"/>
              <w:snapToGrid w:val="0"/>
              <w:spacing w:line="360" w:lineRule="auto"/>
              <w:ind w:firstLine="0"/>
              <w:jc w:val="center"/>
              <w:rPr>
                <w:rFonts w:ascii="仿宋" w:hAnsi="仿宋" w:eastAsia="仿宋" w:cs="宋体"/>
                <w:sz w:val="21"/>
                <w:szCs w:val="21"/>
                <w:highlight w:val="none"/>
              </w:rPr>
            </w:pPr>
            <w:r>
              <w:rPr>
                <w:rFonts w:hint="eastAsia" w:ascii="仿宋" w:hAnsi="仿宋" w:eastAsia="仿宋"/>
                <w:sz w:val="21"/>
                <w:szCs w:val="21"/>
                <w:highlight w:val="none"/>
              </w:rPr>
              <w:t>样品</w:t>
            </w:r>
          </w:p>
        </w:tc>
        <w:tc>
          <w:tcPr>
            <w:tcW w:w="7095" w:type="dxa"/>
            <w:tcBorders>
              <w:top w:val="single" w:color="auto" w:sz="4" w:space="0"/>
              <w:left w:val="single" w:color="auto" w:sz="4" w:space="0"/>
              <w:bottom w:val="single" w:color="auto" w:sz="4" w:space="0"/>
              <w:right w:val="single" w:color="auto" w:sz="4" w:space="0"/>
            </w:tcBorders>
            <w:vAlign w:val="center"/>
          </w:tcPr>
          <w:p w14:paraId="6DA0F102">
            <w:pPr>
              <w:pStyle w:val="12"/>
              <w:snapToGrid w:val="0"/>
              <w:spacing w:line="360" w:lineRule="auto"/>
              <w:ind w:firstLine="0"/>
              <w:rPr>
                <w:rFonts w:hint="eastAsia" w:ascii="仿宋" w:hAnsi="仿宋" w:eastAsia="仿宋"/>
                <w:sz w:val="21"/>
                <w:szCs w:val="21"/>
                <w:highlight w:val="none"/>
              </w:rPr>
            </w:pPr>
            <w:r>
              <w:rPr>
                <w:rFonts w:hint="eastAsia" w:ascii="仿宋" w:hAnsi="仿宋" w:eastAsia="仿宋"/>
                <w:sz w:val="21"/>
                <w:szCs w:val="21"/>
                <w:highlight w:val="none"/>
                <w:lang w:eastAsia="zh-CN"/>
              </w:rPr>
              <w:t>样品：</w:t>
            </w:r>
            <w:r>
              <w:rPr>
                <w:rFonts w:hint="eastAsia" w:ascii="仿宋" w:hAnsi="仿宋" w:eastAsia="仿宋" w:cs="仿宋"/>
                <w:i w:val="0"/>
                <w:iCs w:val="0"/>
                <w:color w:val="FF0000"/>
                <w:kern w:val="0"/>
                <w:sz w:val="20"/>
                <w:szCs w:val="20"/>
                <w:highlight w:val="none"/>
                <w:u w:val="none"/>
                <w:lang w:val="en-US" w:eastAsia="zh-CN" w:bidi="ar"/>
              </w:rPr>
              <w:t>牙钻</w:t>
            </w:r>
            <w:r>
              <w:rPr>
                <w:rFonts w:hint="eastAsia" w:ascii="仿宋" w:hAnsi="仿宋" w:eastAsia="仿宋"/>
                <w:sz w:val="21"/>
                <w:szCs w:val="21"/>
                <w:highlight w:val="none"/>
                <w:lang w:eastAsia="zh-CN"/>
              </w:rPr>
              <w:t>、</w:t>
            </w:r>
            <w:r>
              <w:rPr>
                <w:rFonts w:hint="eastAsia" w:ascii="仿宋" w:hAnsi="仿宋" w:eastAsia="仿宋" w:cs="仿宋"/>
                <w:i w:val="0"/>
                <w:iCs w:val="0"/>
                <w:color w:val="000000"/>
                <w:kern w:val="0"/>
                <w:sz w:val="20"/>
                <w:szCs w:val="20"/>
                <w:highlight w:val="none"/>
                <w:u w:val="none"/>
                <w:lang w:val="en-US" w:eastAsia="zh-CN" w:bidi="ar"/>
              </w:rPr>
              <w:t>便携式心电图机</w:t>
            </w:r>
            <w:r>
              <w:rPr>
                <w:rFonts w:hint="eastAsia" w:ascii="仿宋" w:hAnsi="仿宋" w:eastAsia="仿宋"/>
                <w:sz w:val="21"/>
                <w:szCs w:val="21"/>
                <w:highlight w:val="none"/>
                <w:lang w:eastAsia="zh-CN"/>
              </w:rPr>
              <w:t>、</w:t>
            </w:r>
            <w:r>
              <w:rPr>
                <w:rFonts w:hint="eastAsia" w:ascii="仿宋" w:hAnsi="仿宋" w:eastAsia="仿宋" w:cs="仿宋"/>
                <w:i w:val="0"/>
                <w:iCs w:val="0"/>
                <w:color w:val="000000"/>
                <w:kern w:val="0"/>
                <w:sz w:val="20"/>
                <w:szCs w:val="20"/>
                <w:highlight w:val="none"/>
                <w:u w:val="none"/>
                <w:lang w:val="en-US" w:eastAsia="zh-CN" w:bidi="ar"/>
              </w:rPr>
              <w:t>手术刀柄</w:t>
            </w:r>
            <w:r>
              <w:rPr>
                <w:rFonts w:hint="eastAsia" w:ascii="仿宋" w:hAnsi="仿宋" w:eastAsia="仿宋" w:cs="Times New Roman"/>
                <w:sz w:val="21"/>
                <w:szCs w:val="21"/>
                <w:highlight w:val="none"/>
                <w:lang w:val="en-US" w:eastAsia="zh-CN"/>
              </w:rPr>
              <w:t>、</w:t>
            </w:r>
            <w:r>
              <w:rPr>
                <w:rFonts w:hint="eastAsia" w:ascii="仿宋" w:hAnsi="仿宋" w:eastAsia="仿宋" w:cs="仿宋"/>
                <w:i w:val="0"/>
                <w:iCs w:val="0"/>
                <w:color w:val="000000"/>
                <w:kern w:val="0"/>
                <w:sz w:val="20"/>
                <w:szCs w:val="20"/>
                <w:highlight w:val="none"/>
                <w:u w:val="none"/>
                <w:lang w:val="en-US" w:eastAsia="zh-CN" w:bidi="ar"/>
              </w:rPr>
              <w:t>手术刀片</w:t>
            </w:r>
            <w:r>
              <w:rPr>
                <w:rFonts w:hint="eastAsia" w:ascii="仿宋" w:hAnsi="仿宋" w:eastAsia="仿宋" w:cs="Times New Roman"/>
                <w:sz w:val="21"/>
                <w:szCs w:val="21"/>
                <w:highlight w:val="none"/>
                <w:lang w:val="en-US" w:eastAsia="zh-CN"/>
              </w:rPr>
              <w:t>、</w:t>
            </w:r>
            <w:r>
              <w:rPr>
                <w:rFonts w:hint="eastAsia" w:ascii="仿宋" w:hAnsi="仿宋" w:eastAsia="仿宋" w:cs="仿宋"/>
                <w:i w:val="0"/>
                <w:iCs w:val="0"/>
                <w:color w:val="000000"/>
                <w:kern w:val="0"/>
                <w:sz w:val="20"/>
                <w:szCs w:val="20"/>
                <w:highlight w:val="none"/>
                <w:u w:val="none"/>
                <w:lang w:val="en-US" w:eastAsia="zh-CN" w:bidi="ar"/>
              </w:rPr>
              <w:t>肺活量计</w:t>
            </w:r>
            <w:r>
              <w:rPr>
                <w:rFonts w:hint="eastAsia" w:ascii="仿宋" w:hAnsi="仿宋" w:eastAsia="仿宋" w:cs="Times New Roman"/>
                <w:sz w:val="21"/>
                <w:szCs w:val="21"/>
                <w:highlight w:val="none"/>
                <w:lang w:val="en-US" w:eastAsia="zh-CN"/>
              </w:rPr>
              <w:t>、</w:t>
            </w:r>
            <w:r>
              <w:rPr>
                <w:rFonts w:hint="eastAsia" w:ascii="仿宋" w:hAnsi="仿宋" w:eastAsia="仿宋" w:cs="仿宋"/>
                <w:i w:val="0"/>
                <w:iCs w:val="0"/>
                <w:color w:val="000000"/>
                <w:kern w:val="0"/>
                <w:sz w:val="20"/>
                <w:szCs w:val="20"/>
                <w:highlight w:val="none"/>
                <w:u w:val="none"/>
                <w:lang w:val="en-US" w:eastAsia="zh-CN" w:bidi="ar"/>
              </w:rPr>
              <w:t>电子血压计</w:t>
            </w:r>
            <w:r>
              <w:rPr>
                <w:rFonts w:hint="eastAsia" w:ascii="仿宋" w:hAnsi="仿宋" w:eastAsia="仿宋" w:cs="Times New Roman"/>
                <w:sz w:val="21"/>
                <w:szCs w:val="21"/>
                <w:highlight w:val="none"/>
                <w:lang w:val="en-US" w:eastAsia="zh-CN"/>
              </w:rPr>
              <w:t>、</w:t>
            </w:r>
            <w:r>
              <w:rPr>
                <w:rFonts w:hint="eastAsia" w:ascii="仿宋" w:hAnsi="仿宋" w:eastAsia="仿宋" w:cs="仿宋"/>
                <w:i w:val="0"/>
                <w:iCs w:val="0"/>
                <w:color w:val="000000"/>
                <w:kern w:val="0"/>
                <w:sz w:val="20"/>
                <w:szCs w:val="20"/>
                <w:highlight w:val="none"/>
                <w:u w:val="none"/>
                <w:lang w:val="en-US" w:eastAsia="zh-CN" w:bidi="ar"/>
              </w:rPr>
              <w:t>一次性口镜探针</w:t>
            </w:r>
            <w:r>
              <w:rPr>
                <w:rFonts w:hint="eastAsia" w:ascii="仿宋" w:hAnsi="仿宋" w:eastAsia="仿宋" w:cs="Times New Roman"/>
                <w:sz w:val="21"/>
                <w:szCs w:val="21"/>
                <w:highlight w:val="none"/>
                <w:lang w:val="en-US" w:eastAsia="zh-CN"/>
              </w:rPr>
              <w:t>、</w:t>
            </w:r>
            <w:r>
              <w:rPr>
                <w:rFonts w:hint="eastAsia" w:ascii="仿宋" w:hAnsi="仿宋" w:eastAsia="仿宋" w:cs="仿宋"/>
                <w:i w:val="0"/>
                <w:iCs w:val="0"/>
                <w:color w:val="000000"/>
                <w:kern w:val="0"/>
                <w:sz w:val="20"/>
                <w:szCs w:val="20"/>
                <w:highlight w:val="none"/>
                <w:u w:val="none"/>
                <w:lang w:val="en-US" w:eastAsia="zh-CN" w:bidi="ar"/>
              </w:rPr>
              <w:t>三棱针（</w:t>
            </w:r>
            <w:r>
              <w:rPr>
                <w:rFonts w:hint="eastAsia" w:ascii="仿宋" w:hAnsi="仿宋" w:eastAsia="仿宋" w:cs="仿宋"/>
                <w:i w:val="0"/>
                <w:iCs w:val="0"/>
                <w:color w:val="000000"/>
                <w:kern w:val="0"/>
                <w:sz w:val="18"/>
                <w:szCs w:val="18"/>
                <w:highlight w:val="none"/>
                <w:u w:val="none"/>
                <w:lang w:val="en-US" w:eastAsia="zh-CN" w:bidi="ar"/>
              </w:rPr>
              <w:t>1.6*65mm，</w:t>
            </w:r>
            <w:r>
              <w:rPr>
                <w:rFonts w:hint="eastAsia" w:ascii="仿宋" w:hAnsi="仿宋" w:eastAsia="仿宋" w:cs="仿宋"/>
                <w:i w:val="0"/>
                <w:iCs w:val="0"/>
                <w:color w:val="000000"/>
                <w:kern w:val="0"/>
                <w:sz w:val="20"/>
                <w:szCs w:val="20"/>
                <w:highlight w:val="none"/>
                <w:u w:val="none"/>
                <w:lang w:val="en-US" w:eastAsia="zh-CN" w:bidi="ar"/>
              </w:rPr>
              <w:t>）</w:t>
            </w:r>
            <w:r>
              <w:rPr>
                <w:rFonts w:hint="eastAsia" w:ascii="仿宋" w:hAnsi="仿宋" w:eastAsia="仿宋" w:cs="Times New Roman"/>
                <w:sz w:val="21"/>
                <w:szCs w:val="21"/>
                <w:highlight w:val="none"/>
                <w:lang w:val="en-US" w:eastAsia="zh-CN"/>
              </w:rPr>
              <w:t>、</w:t>
            </w:r>
            <w:r>
              <w:rPr>
                <w:rFonts w:hint="eastAsia" w:ascii="仿宋" w:hAnsi="仿宋" w:eastAsia="仿宋" w:cs="仿宋"/>
                <w:i w:val="0"/>
                <w:iCs w:val="0"/>
                <w:color w:val="000000"/>
                <w:kern w:val="0"/>
                <w:sz w:val="20"/>
                <w:szCs w:val="20"/>
                <w:highlight w:val="none"/>
                <w:u w:val="none"/>
                <w:lang w:val="en-US" w:eastAsia="zh-CN" w:bidi="ar"/>
              </w:rPr>
              <w:t>电针仪</w:t>
            </w:r>
            <w:r>
              <w:rPr>
                <w:rFonts w:hint="eastAsia" w:ascii="仿宋" w:hAnsi="仿宋" w:eastAsia="仿宋" w:cs="Times New Roman"/>
                <w:sz w:val="21"/>
                <w:szCs w:val="21"/>
                <w:highlight w:val="none"/>
                <w:lang w:val="en-US" w:eastAsia="zh-CN"/>
              </w:rPr>
              <w:t>、</w:t>
            </w:r>
            <w:r>
              <w:rPr>
                <w:rFonts w:hint="eastAsia" w:ascii="仿宋" w:hAnsi="仿宋" w:eastAsia="仿宋" w:cs="仿宋"/>
                <w:i w:val="0"/>
                <w:iCs w:val="0"/>
                <w:color w:val="000000"/>
                <w:kern w:val="0"/>
                <w:sz w:val="20"/>
                <w:szCs w:val="20"/>
                <w:highlight w:val="none"/>
                <w:u w:val="none"/>
                <w:lang w:val="en-US" w:eastAsia="zh-CN" w:bidi="ar"/>
              </w:rPr>
              <w:t>止血钳</w:t>
            </w:r>
            <w:r>
              <w:rPr>
                <w:rFonts w:hint="eastAsia" w:ascii="仿宋" w:hAnsi="仿宋" w:eastAsia="仿宋" w:cs="Times New Roman"/>
                <w:sz w:val="21"/>
                <w:szCs w:val="21"/>
                <w:highlight w:val="none"/>
                <w:lang w:val="en-US" w:eastAsia="zh-CN"/>
              </w:rPr>
              <w:t>。</w:t>
            </w:r>
          </w:p>
          <w:p w14:paraId="42706257">
            <w:pPr>
              <w:pStyle w:val="12"/>
              <w:snapToGrid w:val="0"/>
              <w:spacing w:line="360" w:lineRule="auto"/>
              <w:ind w:firstLine="0"/>
              <w:rPr>
                <w:rFonts w:hint="eastAsia" w:ascii="仿宋" w:hAnsi="仿宋" w:eastAsia="仿宋"/>
                <w:sz w:val="21"/>
                <w:szCs w:val="21"/>
                <w:highlight w:val="none"/>
              </w:rPr>
            </w:pPr>
            <w:r>
              <w:rPr>
                <w:rFonts w:hint="eastAsia" w:ascii="仿宋" w:hAnsi="仿宋" w:eastAsia="仿宋"/>
                <w:sz w:val="21"/>
                <w:szCs w:val="21"/>
                <w:highlight w:val="none"/>
              </w:rPr>
              <w:t>所投产品的样品质量、材质、款式、做工等多方面进行综合评审，样品质量、材质、款式、做工，样品的质量是否可靠，是否具有良好的稳定性和耐久性、是否存在安全隐患等、样品是否易于使用，是否具备良好的人机交互性能和使用体验。</w:t>
            </w:r>
          </w:p>
          <w:p w14:paraId="7443866B">
            <w:pPr>
              <w:pStyle w:val="12"/>
              <w:snapToGrid w:val="0"/>
              <w:spacing w:line="360" w:lineRule="auto"/>
              <w:ind w:firstLine="0"/>
              <w:rPr>
                <w:rFonts w:hint="eastAsia" w:ascii="仿宋" w:hAnsi="仿宋" w:eastAsia="仿宋"/>
                <w:sz w:val="21"/>
                <w:szCs w:val="21"/>
                <w:highlight w:val="none"/>
              </w:rPr>
            </w:pPr>
            <w:r>
              <w:rPr>
                <w:rFonts w:hint="eastAsia" w:ascii="仿宋" w:hAnsi="仿宋" w:eastAsia="仿宋"/>
                <w:sz w:val="21"/>
                <w:szCs w:val="21"/>
                <w:highlight w:val="none"/>
                <w:lang w:eastAsia="zh-CN"/>
              </w:rPr>
              <w:t>提供以上全部样品得</w:t>
            </w:r>
            <w:r>
              <w:rPr>
                <w:rFonts w:hint="eastAsia" w:ascii="仿宋" w:hAnsi="仿宋" w:eastAsia="仿宋"/>
                <w:sz w:val="21"/>
                <w:szCs w:val="21"/>
                <w:highlight w:val="none"/>
                <w:lang w:val="en-US" w:eastAsia="zh-CN"/>
              </w:rPr>
              <w:t>10分，</w:t>
            </w:r>
            <w:r>
              <w:rPr>
                <w:rFonts w:hint="eastAsia" w:ascii="仿宋" w:hAnsi="仿宋" w:eastAsia="仿宋"/>
                <w:sz w:val="21"/>
                <w:szCs w:val="21"/>
                <w:highlight w:val="none"/>
              </w:rPr>
              <w:t>以上每有一</w:t>
            </w:r>
            <w:r>
              <w:rPr>
                <w:rFonts w:hint="eastAsia" w:ascii="仿宋" w:hAnsi="仿宋" w:eastAsia="仿宋"/>
                <w:sz w:val="21"/>
                <w:szCs w:val="21"/>
                <w:highlight w:val="none"/>
                <w:lang w:eastAsia="zh-CN"/>
              </w:rPr>
              <w:t>种</w:t>
            </w:r>
            <w:r>
              <w:rPr>
                <w:rFonts w:hint="eastAsia" w:ascii="仿宋" w:hAnsi="仿宋" w:eastAsia="仿宋"/>
                <w:sz w:val="21"/>
                <w:szCs w:val="21"/>
                <w:highlight w:val="none"/>
              </w:rPr>
              <w:t>不符合参数要求扣</w:t>
            </w:r>
            <w:r>
              <w:rPr>
                <w:rFonts w:hint="eastAsia" w:ascii="仿宋" w:hAnsi="仿宋" w:eastAsia="仿宋"/>
                <w:sz w:val="21"/>
                <w:szCs w:val="21"/>
                <w:highlight w:val="none"/>
                <w:lang w:val="en-US" w:eastAsia="zh-CN"/>
              </w:rPr>
              <w:t>0.5</w:t>
            </w:r>
            <w:r>
              <w:rPr>
                <w:rFonts w:hint="eastAsia" w:ascii="仿宋" w:hAnsi="仿宋" w:eastAsia="仿宋"/>
                <w:sz w:val="21"/>
                <w:szCs w:val="21"/>
                <w:highlight w:val="none"/>
              </w:rPr>
              <w:t>分</w:t>
            </w:r>
            <w:r>
              <w:rPr>
                <w:rFonts w:hint="eastAsia" w:ascii="仿宋" w:hAnsi="仿宋" w:eastAsia="仿宋"/>
                <w:sz w:val="21"/>
                <w:szCs w:val="21"/>
                <w:highlight w:val="none"/>
                <w:lang w:eastAsia="zh-CN"/>
              </w:rPr>
              <w:t>；扣完为止</w:t>
            </w:r>
            <w:r>
              <w:rPr>
                <w:rFonts w:hint="eastAsia" w:ascii="仿宋" w:hAnsi="仿宋" w:eastAsia="仿宋"/>
                <w:sz w:val="21"/>
                <w:szCs w:val="21"/>
                <w:highlight w:val="none"/>
              </w:rPr>
              <w:t>。</w:t>
            </w:r>
          </w:p>
          <w:p w14:paraId="435FEAC5">
            <w:pPr>
              <w:pStyle w:val="12"/>
              <w:snapToGrid w:val="0"/>
              <w:spacing w:line="360" w:lineRule="auto"/>
              <w:ind w:firstLine="0"/>
              <w:rPr>
                <w:rFonts w:hint="eastAsia" w:ascii="仿宋" w:hAnsi="仿宋" w:eastAsia="仿宋"/>
                <w:sz w:val="21"/>
                <w:szCs w:val="21"/>
                <w:highlight w:val="none"/>
              </w:rPr>
            </w:pPr>
            <w:r>
              <w:rPr>
                <w:rFonts w:hint="eastAsia" w:ascii="仿宋" w:hAnsi="仿宋" w:eastAsia="仿宋"/>
                <w:sz w:val="21"/>
                <w:szCs w:val="21"/>
                <w:highlight w:val="none"/>
              </w:rPr>
              <w:t>（比较内容包括但不限于材质，做工，款式，平稳性，耐久性</w:t>
            </w:r>
            <w:r>
              <w:rPr>
                <w:rFonts w:hint="eastAsia" w:ascii="仿宋" w:hAnsi="仿宋" w:eastAsia="仿宋"/>
                <w:sz w:val="21"/>
                <w:szCs w:val="21"/>
                <w:highlight w:val="none"/>
                <w:lang w:eastAsia="zh-CN"/>
              </w:rPr>
              <w:t>人机交互体验</w:t>
            </w:r>
            <w:r>
              <w:rPr>
                <w:rFonts w:hint="eastAsia" w:ascii="仿宋" w:hAnsi="仿宋" w:eastAsia="仿宋"/>
                <w:sz w:val="21"/>
                <w:szCs w:val="21"/>
                <w:highlight w:val="none"/>
              </w:rPr>
              <w:t>等方面）</w:t>
            </w:r>
          </w:p>
          <w:p w14:paraId="60737D1E">
            <w:pPr>
              <w:pStyle w:val="12"/>
              <w:snapToGrid w:val="0"/>
              <w:spacing w:line="360" w:lineRule="auto"/>
              <w:ind w:firstLine="0"/>
              <w:rPr>
                <w:rFonts w:hint="eastAsia" w:ascii="仿宋" w:hAnsi="仿宋" w:eastAsia="仿宋"/>
                <w:sz w:val="21"/>
                <w:szCs w:val="21"/>
                <w:highlight w:val="none"/>
              </w:rPr>
            </w:pPr>
            <w:r>
              <w:rPr>
                <w:rFonts w:hint="eastAsia" w:ascii="仿宋" w:hAnsi="仿宋" w:eastAsia="仿宋"/>
                <w:sz w:val="21"/>
                <w:szCs w:val="21"/>
                <w:highlight w:val="none"/>
              </w:rPr>
              <w:t>注：</w:t>
            </w:r>
            <w:r>
              <w:rPr>
                <w:rFonts w:hint="eastAsia" w:ascii="仿宋" w:hAnsi="仿宋" w:eastAsia="仿宋"/>
                <w:sz w:val="21"/>
                <w:szCs w:val="21"/>
                <w:highlight w:val="none"/>
                <w:lang w:val="en-US" w:eastAsia="zh-CN"/>
              </w:rPr>
              <w:t>1.</w:t>
            </w:r>
            <w:r>
              <w:rPr>
                <w:rFonts w:hint="eastAsia" w:ascii="仿宋" w:hAnsi="仿宋" w:eastAsia="仿宋"/>
                <w:sz w:val="21"/>
                <w:szCs w:val="21"/>
                <w:highlight w:val="none"/>
              </w:rPr>
              <w:t>未提供样品或提供样品的要求严重不符的本项不得分。少提供、不提供或不满足技术参数的不得分。</w:t>
            </w:r>
          </w:p>
          <w:p w14:paraId="19B1BEBD">
            <w:pPr>
              <w:pStyle w:val="12"/>
              <w:snapToGrid w:val="0"/>
              <w:spacing w:line="360" w:lineRule="auto"/>
              <w:ind w:firstLine="0"/>
              <w:rPr>
                <w:rFonts w:ascii="仿宋" w:hAnsi="仿宋" w:eastAsia="仿宋"/>
                <w:sz w:val="21"/>
                <w:szCs w:val="21"/>
                <w:highlight w:val="none"/>
              </w:rPr>
            </w:pPr>
            <w:r>
              <w:rPr>
                <w:rFonts w:hint="eastAsia" w:ascii="仿宋" w:hAnsi="仿宋" w:eastAsia="仿宋"/>
                <w:sz w:val="21"/>
                <w:szCs w:val="21"/>
                <w:highlight w:val="none"/>
              </w:rPr>
              <w:t>注：样品接收时间：2</w:t>
            </w:r>
            <w:r>
              <w:rPr>
                <w:rFonts w:ascii="仿宋" w:hAnsi="仿宋" w:eastAsia="仿宋"/>
                <w:sz w:val="21"/>
                <w:szCs w:val="21"/>
                <w:highlight w:val="none"/>
              </w:rPr>
              <w:t>02</w:t>
            </w:r>
            <w:r>
              <w:rPr>
                <w:rFonts w:hint="eastAsia" w:ascii="仿宋" w:hAnsi="仿宋" w:eastAsia="仿宋"/>
                <w:sz w:val="21"/>
                <w:szCs w:val="21"/>
                <w:highlight w:val="none"/>
                <w:lang w:val="en-US" w:eastAsia="zh-CN"/>
              </w:rPr>
              <w:t>5</w:t>
            </w:r>
            <w:r>
              <w:rPr>
                <w:rFonts w:hint="eastAsia" w:ascii="仿宋" w:hAnsi="仿宋" w:eastAsia="仿宋"/>
                <w:sz w:val="21"/>
                <w:szCs w:val="21"/>
                <w:highlight w:val="none"/>
              </w:rPr>
              <w:t>年0</w:t>
            </w:r>
            <w:r>
              <w:rPr>
                <w:rFonts w:ascii="仿宋" w:hAnsi="仿宋" w:eastAsia="仿宋"/>
                <w:sz w:val="21"/>
                <w:szCs w:val="21"/>
                <w:highlight w:val="none"/>
              </w:rPr>
              <w:t>7</w:t>
            </w:r>
            <w:r>
              <w:rPr>
                <w:rFonts w:hint="eastAsia" w:ascii="仿宋" w:hAnsi="仿宋" w:eastAsia="仿宋"/>
                <w:sz w:val="21"/>
                <w:szCs w:val="21"/>
                <w:highlight w:val="none"/>
              </w:rPr>
              <w:t>月</w:t>
            </w:r>
            <w:r>
              <w:rPr>
                <w:rFonts w:hint="eastAsia" w:ascii="仿宋" w:hAnsi="仿宋" w:eastAsia="仿宋"/>
                <w:sz w:val="21"/>
                <w:szCs w:val="21"/>
                <w:highlight w:val="none"/>
                <w:lang w:val="en-US" w:eastAsia="zh-CN"/>
              </w:rPr>
              <w:t>30</w:t>
            </w:r>
            <w:r>
              <w:rPr>
                <w:rFonts w:hint="eastAsia" w:ascii="仿宋" w:hAnsi="仿宋" w:eastAsia="仿宋"/>
                <w:sz w:val="21"/>
                <w:szCs w:val="21"/>
                <w:highlight w:val="none"/>
              </w:rPr>
              <w:t>日1</w:t>
            </w:r>
            <w:r>
              <w:rPr>
                <w:rFonts w:ascii="仿宋" w:hAnsi="仿宋" w:eastAsia="仿宋"/>
                <w:sz w:val="21"/>
                <w:szCs w:val="21"/>
                <w:highlight w:val="none"/>
              </w:rPr>
              <w:t>0</w:t>
            </w:r>
            <w:r>
              <w:rPr>
                <w:rFonts w:hint="eastAsia" w:ascii="仿宋" w:hAnsi="仿宋" w:eastAsia="仿宋"/>
                <w:sz w:val="21"/>
                <w:szCs w:val="21"/>
                <w:highlight w:val="none"/>
              </w:rPr>
              <w:t>:</w:t>
            </w:r>
            <w:r>
              <w:rPr>
                <w:rFonts w:ascii="仿宋" w:hAnsi="仿宋" w:eastAsia="仿宋"/>
                <w:sz w:val="21"/>
                <w:szCs w:val="21"/>
                <w:highlight w:val="none"/>
              </w:rPr>
              <w:t>00</w:t>
            </w:r>
            <w:r>
              <w:rPr>
                <w:rFonts w:hint="eastAsia" w:ascii="仿宋" w:hAnsi="仿宋" w:eastAsia="仿宋"/>
                <w:sz w:val="21"/>
                <w:szCs w:val="21"/>
                <w:highlight w:val="none"/>
              </w:rPr>
              <w:t>至1</w:t>
            </w:r>
            <w:r>
              <w:rPr>
                <w:rFonts w:hint="eastAsia" w:ascii="仿宋" w:hAnsi="仿宋" w:eastAsia="仿宋"/>
                <w:sz w:val="21"/>
                <w:szCs w:val="21"/>
                <w:highlight w:val="none"/>
                <w:lang w:val="en-US" w:eastAsia="zh-CN"/>
              </w:rPr>
              <w:t>0</w:t>
            </w:r>
            <w:r>
              <w:rPr>
                <w:rFonts w:ascii="仿宋" w:hAnsi="仿宋" w:eastAsia="仿宋"/>
                <w:sz w:val="21"/>
                <w:szCs w:val="21"/>
                <w:highlight w:val="none"/>
              </w:rPr>
              <w:t>:</w:t>
            </w:r>
            <w:r>
              <w:rPr>
                <w:rFonts w:hint="eastAsia" w:ascii="仿宋" w:hAnsi="仿宋" w:eastAsia="仿宋"/>
                <w:sz w:val="21"/>
                <w:szCs w:val="21"/>
                <w:highlight w:val="none"/>
                <w:lang w:val="en-US" w:eastAsia="zh-CN"/>
              </w:rPr>
              <w:t>3</w:t>
            </w:r>
            <w:r>
              <w:rPr>
                <w:rFonts w:ascii="仿宋" w:hAnsi="仿宋" w:eastAsia="仿宋"/>
                <w:sz w:val="21"/>
                <w:szCs w:val="21"/>
                <w:highlight w:val="none"/>
              </w:rPr>
              <w:t>0(</w:t>
            </w:r>
            <w:r>
              <w:rPr>
                <w:rFonts w:hint="eastAsia" w:ascii="仿宋" w:hAnsi="仿宋" w:eastAsia="仿宋"/>
                <w:sz w:val="21"/>
                <w:szCs w:val="21"/>
                <w:highlight w:val="none"/>
              </w:rPr>
              <w:t>北京时间</w:t>
            </w:r>
            <w:r>
              <w:rPr>
                <w:rFonts w:ascii="仿宋" w:hAnsi="仿宋" w:eastAsia="仿宋"/>
                <w:sz w:val="21"/>
                <w:szCs w:val="21"/>
                <w:highlight w:val="none"/>
              </w:rPr>
              <w:t>)</w:t>
            </w:r>
            <w:r>
              <w:rPr>
                <w:rFonts w:hint="eastAsia" w:ascii="仿宋" w:hAnsi="仿宋" w:eastAsia="仿宋"/>
                <w:sz w:val="21"/>
                <w:szCs w:val="21"/>
                <w:highlight w:val="none"/>
              </w:rPr>
              <w:t>，过时不候。</w:t>
            </w:r>
          </w:p>
          <w:p w14:paraId="55C37F20">
            <w:pPr>
              <w:pStyle w:val="12"/>
              <w:snapToGrid w:val="0"/>
              <w:spacing w:line="360" w:lineRule="auto"/>
              <w:ind w:firstLine="0"/>
              <w:rPr>
                <w:rFonts w:ascii="仿宋" w:hAnsi="仿宋" w:eastAsia="仿宋"/>
                <w:sz w:val="21"/>
                <w:szCs w:val="21"/>
                <w:highlight w:val="none"/>
              </w:rPr>
            </w:pPr>
            <w:r>
              <w:rPr>
                <w:rFonts w:hint="eastAsia" w:ascii="仿宋" w:hAnsi="仿宋" w:eastAsia="仿宋"/>
                <w:sz w:val="21"/>
                <w:szCs w:val="21"/>
                <w:highlight w:val="none"/>
              </w:rPr>
              <w:t>样品接收地点：乌鲁木齐市新市区北京南路4</w:t>
            </w:r>
            <w:r>
              <w:rPr>
                <w:rFonts w:ascii="仿宋" w:hAnsi="仿宋" w:eastAsia="仿宋"/>
                <w:sz w:val="21"/>
                <w:szCs w:val="21"/>
                <w:highlight w:val="none"/>
              </w:rPr>
              <w:t>16</w:t>
            </w:r>
            <w:r>
              <w:rPr>
                <w:rFonts w:hint="eastAsia" w:ascii="仿宋" w:hAnsi="仿宋" w:eastAsia="仿宋"/>
                <w:sz w:val="21"/>
                <w:szCs w:val="21"/>
                <w:highlight w:val="none"/>
              </w:rPr>
              <w:t>号盈科国际中心3</w:t>
            </w:r>
            <w:r>
              <w:rPr>
                <w:rFonts w:ascii="仿宋" w:hAnsi="仿宋" w:eastAsia="仿宋"/>
                <w:sz w:val="21"/>
                <w:szCs w:val="21"/>
                <w:highlight w:val="none"/>
              </w:rPr>
              <w:t>0</w:t>
            </w:r>
            <w:r>
              <w:rPr>
                <w:rFonts w:hint="eastAsia" w:ascii="仿宋" w:hAnsi="仿宋" w:eastAsia="仿宋"/>
                <w:sz w:val="21"/>
                <w:szCs w:val="21"/>
                <w:highlight w:val="none"/>
              </w:rPr>
              <w:t>楼3</w:t>
            </w:r>
            <w:r>
              <w:rPr>
                <w:rFonts w:ascii="仿宋" w:hAnsi="仿宋" w:eastAsia="仿宋"/>
                <w:sz w:val="21"/>
                <w:szCs w:val="21"/>
                <w:highlight w:val="none"/>
              </w:rPr>
              <w:t>001</w:t>
            </w:r>
            <w:r>
              <w:rPr>
                <w:rFonts w:hint="eastAsia" w:ascii="仿宋" w:hAnsi="仿宋" w:eastAsia="仿宋"/>
                <w:sz w:val="21"/>
                <w:szCs w:val="21"/>
                <w:highlight w:val="none"/>
              </w:rPr>
              <w:t>（中益招标有限公司新疆分公司）</w:t>
            </w:r>
          </w:p>
          <w:p w14:paraId="10FCAA6D">
            <w:pPr>
              <w:pStyle w:val="12"/>
              <w:snapToGrid w:val="0"/>
              <w:spacing w:line="360" w:lineRule="auto"/>
              <w:ind w:firstLine="0"/>
              <w:rPr>
                <w:rFonts w:ascii="仿宋" w:hAnsi="仿宋" w:eastAsia="仿宋"/>
                <w:sz w:val="21"/>
                <w:szCs w:val="21"/>
                <w:highlight w:val="none"/>
              </w:rPr>
            </w:pPr>
            <w:r>
              <w:rPr>
                <w:rFonts w:hint="eastAsia" w:ascii="仿宋" w:hAnsi="仿宋" w:eastAsia="仿宋"/>
                <w:sz w:val="21"/>
                <w:szCs w:val="21"/>
                <w:highlight w:val="none"/>
              </w:rPr>
              <w:t>联系人：谢楠</w:t>
            </w:r>
          </w:p>
          <w:p w14:paraId="71F0B47F">
            <w:pPr>
              <w:pStyle w:val="12"/>
              <w:snapToGrid w:val="0"/>
              <w:spacing w:line="360" w:lineRule="auto"/>
              <w:ind w:firstLine="0"/>
              <w:rPr>
                <w:rFonts w:hint="eastAsia" w:ascii="仿宋" w:hAnsi="仿宋" w:eastAsia="仿宋"/>
                <w:sz w:val="21"/>
                <w:szCs w:val="21"/>
                <w:highlight w:val="none"/>
              </w:rPr>
            </w:pPr>
            <w:r>
              <w:rPr>
                <w:rFonts w:hint="eastAsia" w:ascii="仿宋" w:hAnsi="仿宋" w:eastAsia="仿宋"/>
                <w:sz w:val="21"/>
                <w:szCs w:val="21"/>
                <w:highlight w:val="none"/>
              </w:rPr>
              <w:t>联系电话：1</w:t>
            </w:r>
            <w:r>
              <w:rPr>
                <w:rFonts w:ascii="仿宋" w:hAnsi="仿宋" w:eastAsia="仿宋"/>
                <w:sz w:val="21"/>
                <w:szCs w:val="21"/>
                <w:highlight w:val="none"/>
              </w:rPr>
              <w:t>8599192565</w:t>
            </w:r>
          </w:p>
        </w:tc>
        <w:tc>
          <w:tcPr>
            <w:tcW w:w="0" w:type="auto"/>
            <w:tcBorders>
              <w:top w:val="single" w:color="auto" w:sz="4" w:space="0"/>
              <w:left w:val="single" w:color="auto" w:sz="4" w:space="0"/>
              <w:bottom w:val="single" w:color="auto" w:sz="4" w:space="0"/>
              <w:right w:val="single" w:color="auto" w:sz="4" w:space="0"/>
            </w:tcBorders>
            <w:vAlign w:val="center"/>
          </w:tcPr>
          <w:p w14:paraId="451B3294">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lang w:val="en-US" w:eastAsia="zh-CN"/>
              </w:rPr>
              <w:t>10</w:t>
            </w:r>
            <w:r>
              <w:rPr>
                <w:rFonts w:hint="eastAsia" w:ascii="仿宋" w:hAnsi="仿宋" w:eastAsia="仿宋" w:cs="宋体"/>
                <w:sz w:val="21"/>
                <w:szCs w:val="21"/>
                <w:highlight w:val="none"/>
              </w:rPr>
              <w:t>分</w:t>
            </w:r>
          </w:p>
        </w:tc>
      </w:tr>
      <w:tr w14:paraId="59D24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0310ACAF">
            <w:pPr>
              <w:pStyle w:val="12"/>
              <w:snapToGrid w:val="0"/>
              <w:spacing w:line="360" w:lineRule="auto"/>
              <w:ind w:firstLine="0"/>
              <w:rPr>
                <w:rFonts w:ascii="仿宋" w:hAnsi="仿宋" w:eastAsia="仿宋" w:cs="Courier New"/>
                <w:b/>
                <w:sz w:val="21"/>
                <w:szCs w:val="21"/>
                <w:highlight w:val="none"/>
              </w:rPr>
            </w:pPr>
            <w:r>
              <w:rPr>
                <w:rFonts w:hint="eastAsia" w:ascii="仿宋" w:hAnsi="仿宋" w:eastAsia="仿宋" w:cs="Courier New"/>
                <w:b/>
                <w:sz w:val="21"/>
                <w:szCs w:val="21"/>
                <w:highlight w:val="none"/>
              </w:rPr>
              <w:t>C：技术部分评分</w:t>
            </w:r>
            <w:r>
              <w:rPr>
                <w:rFonts w:hint="eastAsia" w:ascii="仿宋" w:hAnsi="仿宋" w:eastAsia="仿宋" w:cs="Courier New"/>
                <w:b/>
                <w:sz w:val="21"/>
                <w:szCs w:val="21"/>
                <w:highlight w:val="none"/>
                <w:lang w:val="en-US" w:eastAsia="zh-CN"/>
              </w:rPr>
              <w:t>55</w:t>
            </w:r>
            <w:r>
              <w:rPr>
                <w:rFonts w:hint="eastAsia" w:ascii="仿宋" w:hAnsi="仿宋" w:eastAsia="仿宋" w:cs="Courier New"/>
                <w:b/>
                <w:sz w:val="21"/>
                <w:szCs w:val="21"/>
                <w:highlight w:val="none"/>
              </w:rPr>
              <w:t>分</w:t>
            </w:r>
          </w:p>
        </w:tc>
      </w:tr>
      <w:tr w14:paraId="56BB6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2672" w:type="dxa"/>
            <w:tcBorders>
              <w:top w:val="single" w:color="auto" w:sz="4" w:space="0"/>
              <w:left w:val="single" w:color="auto" w:sz="4" w:space="0"/>
              <w:bottom w:val="single" w:color="auto" w:sz="4" w:space="0"/>
              <w:right w:val="single" w:color="auto" w:sz="4" w:space="0"/>
            </w:tcBorders>
            <w:vAlign w:val="center"/>
          </w:tcPr>
          <w:p w14:paraId="714558FD">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rPr>
              <w:t>技术响应</w:t>
            </w:r>
          </w:p>
        </w:tc>
        <w:tc>
          <w:tcPr>
            <w:tcW w:w="7095" w:type="dxa"/>
            <w:tcBorders>
              <w:top w:val="single" w:color="auto" w:sz="4" w:space="0"/>
              <w:left w:val="single" w:color="auto" w:sz="4" w:space="0"/>
              <w:bottom w:val="single" w:color="auto" w:sz="4" w:space="0"/>
              <w:right w:val="single" w:color="auto" w:sz="4" w:space="0"/>
            </w:tcBorders>
            <w:vAlign w:val="center"/>
          </w:tcPr>
          <w:p w14:paraId="1E684DE6">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rPr>
              <w:t>响应文件对采购文件 “采购需求”的响应程度，完全满足采购文件要求的得</w:t>
            </w:r>
            <w:r>
              <w:rPr>
                <w:rFonts w:hint="eastAsia" w:ascii="仿宋" w:hAnsi="仿宋" w:eastAsia="仿宋" w:cs="宋体"/>
                <w:sz w:val="21"/>
                <w:szCs w:val="21"/>
                <w:highlight w:val="none"/>
                <w:lang w:val="en-US" w:eastAsia="zh-CN"/>
              </w:rPr>
              <w:t>25</w:t>
            </w:r>
            <w:r>
              <w:rPr>
                <w:rFonts w:hint="eastAsia" w:ascii="仿宋" w:hAnsi="仿宋" w:eastAsia="仿宋" w:cs="宋体"/>
                <w:sz w:val="21"/>
                <w:szCs w:val="21"/>
                <w:highlight w:val="none"/>
              </w:rPr>
              <w:t>分；</w:t>
            </w:r>
          </w:p>
          <w:p w14:paraId="5D70621E">
            <w:pPr>
              <w:widowControl/>
              <w:spacing w:line="360" w:lineRule="auto"/>
              <w:jc w:val="left"/>
              <w:rPr>
                <w:rFonts w:ascii="仿宋" w:hAnsi="仿宋" w:eastAsia="仿宋" w:cs="宋体"/>
                <w:kern w:val="0"/>
                <w:szCs w:val="21"/>
                <w:highlight w:val="none"/>
              </w:rPr>
            </w:pPr>
            <w:r>
              <w:rPr>
                <w:rFonts w:hint="eastAsia" w:ascii="仿宋" w:hAnsi="仿宋" w:eastAsia="仿宋" w:cs="宋体"/>
                <w:kern w:val="0"/>
                <w:szCs w:val="21"/>
                <w:highlight w:val="none"/>
              </w:rPr>
              <w:t>加“★”参数每项负偏离或未按要求提供响应的证明材料，扣2分，扣完为止；</w:t>
            </w:r>
          </w:p>
          <w:p w14:paraId="3B811565">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rPr>
              <w:t>未加“★”参数每项负偏离或未按要求提供响应的证明材料，扣1分，扣完为止。</w:t>
            </w:r>
          </w:p>
          <w:p w14:paraId="2EF76482">
            <w:pPr>
              <w:pStyle w:val="12"/>
              <w:snapToGrid w:val="0"/>
              <w:spacing w:line="360" w:lineRule="auto"/>
              <w:ind w:firstLine="0"/>
              <w:rPr>
                <w:rFonts w:ascii="仿宋" w:hAnsi="仿宋" w:eastAsia="仿宋" w:cs="宋体"/>
                <w:sz w:val="21"/>
                <w:szCs w:val="21"/>
                <w:highlight w:val="none"/>
              </w:rPr>
            </w:pPr>
            <w:r>
              <w:rPr>
                <w:rFonts w:hint="eastAsia" w:ascii="仿宋" w:hAnsi="仿宋" w:eastAsia="仿宋" w:cs="宋体"/>
                <w:sz w:val="21"/>
                <w:szCs w:val="21"/>
                <w:highlight w:val="none"/>
              </w:rPr>
              <w:t>注：提供制造商公开发布的产品彩页或检测报告等证明材料。</w:t>
            </w:r>
          </w:p>
        </w:tc>
        <w:tc>
          <w:tcPr>
            <w:tcW w:w="0" w:type="auto"/>
            <w:tcBorders>
              <w:top w:val="single" w:color="auto" w:sz="4" w:space="0"/>
              <w:left w:val="single" w:color="auto" w:sz="4" w:space="0"/>
              <w:bottom w:val="single" w:color="auto" w:sz="4" w:space="0"/>
              <w:right w:val="single" w:color="auto" w:sz="4" w:space="0"/>
            </w:tcBorders>
            <w:vAlign w:val="center"/>
          </w:tcPr>
          <w:p w14:paraId="525F027A">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lang w:val="en-US" w:eastAsia="zh-CN"/>
              </w:rPr>
              <w:t>25</w:t>
            </w:r>
            <w:r>
              <w:rPr>
                <w:rFonts w:hint="eastAsia" w:ascii="仿宋" w:hAnsi="仿宋" w:eastAsia="仿宋" w:cs="Courier New"/>
                <w:sz w:val="21"/>
                <w:szCs w:val="21"/>
                <w:highlight w:val="none"/>
              </w:rPr>
              <w:t>分</w:t>
            </w:r>
          </w:p>
        </w:tc>
      </w:tr>
      <w:tr w14:paraId="16D13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2" w:type="dxa"/>
            <w:vMerge w:val="restart"/>
            <w:tcBorders>
              <w:top w:val="single" w:color="auto" w:sz="4" w:space="0"/>
              <w:left w:val="single" w:color="auto" w:sz="4" w:space="0"/>
              <w:right w:val="single" w:color="auto" w:sz="4" w:space="0"/>
            </w:tcBorders>
            <w:vAlign w:val="center"/>
          </w:tcPr>
          <w:p w14:paraId="387C5C2F">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宋体"/>
                <w:sz w:val="21"/>
                <w:szCs w:val="21"/>
                <w:highlight w:val="none"/>
              </w:rPr>
              <w:t>实施方案</w:t>
            </w:r>
          </w:p>
        </w:tc>
        <w:tc>
          <w:tcPr>
            <w:tcW w:w="7095" w:type="dxa"/>
            <w:tcBorders>
              <w:top w:val="single" w:color="auto" w:sz="4" w:space="0"/>
              <w:left w:val="single" w:color="auto" w:sz="4" w:space="0"/>
              <w:bottom w:val="single" w:color="auto" w:sz="4" w:space="0"/>
              <w:right w:val="single" w:color="auto" w:sz="4" w:space="0"/>
            </w:tcBorders>
            <w:vAlign w:val="center"/>
          </w:tcPr>
          <w:p w14:paraId="5AC1A683">
            <w:pPr>
              <w:pStyle w:val="12"/>
              <w:snapToGrid w:val="0"/>
              <w:spacing w:line="360" w:lineRule="auto"/>
              <w:ind w:firstLine="0"/>
              <w:rPr>
                <w:rFonts w:ascii="仿宋" w:hAnsi="仿宋" w:eastAsia="仿宋"/>
                <w:sz w:val="21"/>
                <w:szCs w:val="21"/>
                <w:highlight w:val="none"/>
              </w:rPr>
            </w:pPr>
            <w:r>
              <w:rPr>
                <w:rFonts w:ascii="仿宋" w:hAnsi="仿宋" w:eastAsia="仿宋"/>
                <w:sz w:val="21"/>
                <w:szCs w:val="21"/>
                <w:highlight w:val="none"/>
              </w:rPr>
              <w:t>实施方案</w:t>
            </w:r>
            <w:r>
              <w:rPr>
                <w:rFonts w:hint="eastAsia" w:ascii="仿宋" w:hAnsi="仿宋" w:eastAsia="仿宋"/>
                <w:sz w:val="21"/>
                <w:szCs w:val="21"/>
                <w:highlight w:val="none"/>
              </w:rPr>
              <w:t>：</w:t>
            </w:r>
          </w:p>
          <w:p w14:paraId="4A2314C9">
            <w:pPr>
              <w:pStyle w:val="12"/>
              <w:snapToGrid w:val="0"/>
              <w:spacing w:line="360" w:lineRule="auto"/>
              <w:ind w:firstLine="0"/>
              <w:rPr>
                <w:rFonts w:ascii="仿宋" w:hAnsi="仿宋" w:eastAsia="仿宋"/>
                <w:sz w:val="21"/>
                <w:szCs w:val="21"/>
                <w:highlight w:val="none"/>
              </w:rPr>
            </w:pPr>
            <w:r>
              <w:rPr>
                <w:rFonts w:ascii="仿宋" w:hAnsi="仿宋" w:eastAsia="仿宋"/>
                <w:sz w:val="21"/>
                <w:szCs w:val="21"/>
                <w:highlight w:val="none"/>
              </w:rPr>
              <w:t xml:space="preserve">应充分了解实施项目建设内容，在理解基础上进行深入分析，保证本次项目顺利实施，投标人根据货物交付时间节点，落实生产计划、送货安装时间， 确保按期交付使用。 </w:t>
            </w:r>
          </w:p>
          <w:p w14:paraId="3FE03CBB">
            <w:pPr>
              <w:pStyle w:val="12"/>
              <w:snapToGrid w:val="0"/>
              <w:spacing w:line="360" w:lineRule="auto"/>
              <w:ind w:firstLine="0" w:firstLineChars="0"/>
              <w:rPr>
                <w:rFonts w:ascii="仿宋" w:hAnsi="仿宋" w:eastAsia="仿宋"/>
                <w:sz w:val="21"/>
                <w:szCs w:val="21"/>
                <w:highlight w:val="none"/>
              </w:rPr>
            </w:pPr>
            <w:r>
              <w:rPr>
                <w:rFonts w:hint="eastAsia" w:ascii="仿宋" w:hAnsi="仿宋" w:eastAsia="仿宋" w:cs="Times New Roman"/>
                <w:sz w:val="21"/>
                <w:szCs w:val="21"/>
                <w:highlight w:val="none"/>
                <w:lang w:eastAsia="zh-CN"/>
              </w:rPr>
              <w:t>①</w:t>
            </w:r>
            <w:r>
              <w:rPr>
                <w:rFonts w:hint="default" w:ascii="仿宋" w:hAnsi="仿宋" w:eastAsia="仿宋" w:cs="Times New Roman"/>
                <w:sz w:val="21"/>
                <w:szCs w:val="21"/>
                <w:highlight w:val="none"/>
              </w:rPr>
              <w:t>供货方案</w:t>
            </w:r>
            <w:r>
              <w:rPr>
                <w:rFonts w:hint="eastAsia" w:ascii="仿宋" w:hAnsi="仿宋" w:eastAsia="仿宋" w:cs="Times New Roman"/>
                <w:sz w:val="21"/>
                <w:szCs w:val="21"/>
                <w:highlight w:val="none"/>
                <w:lang w:eastAsia="zh-CN"/>
              </w:rPr>
              <w:t>、②</w:t>
            </w:r>
            <w:r>
              <w:rPr>
                <w:rFonts w:hint="default" w:ascii="仿宋" w:hAnsi="仿宋" w:eastAsia="仿宋" w:cs="Times New Roman"/>
                <w:sz w:val="21"/>
                <w:szCs w:val="21"/>
                <w:highlight w:val="none"/>
              </w:rPr>
              <w:t>质量保障措施</w:t>
            </w:r>
            <w:r>
              <w:rPr>
                <w:rFonts w:hint="eastAsia" w:ascii="仿宋" w:hAnsi="仿宋" w:eastAsia="仿宋" w:cs="Times New Roman"/>
                <w:sz w:val="21"/>
                <w:szCs w:val="21"/>
                <w:highlight w:val="none"/>
                <w:lang w:eastAsia="zh-CN"/>
              </w:rPr>
              <w:t>、③</w:t>
            </w:r>
            <w:r>
              <w:rPr>
                <w:rFonts w:hint="default" w:ascii="仿宋" w:hAnsi="仿宋" w:eastAsia="仿宋" w:cs="Times New Roman"/>
                <w:sz w:val="21"/>
                <w:szCs w:val="21"/>
                <w:highlight w:val="none"/>
              </w:rPr>
              <w:t>进度计划与管控</w:t>
            </w:r>
            <w:r>
              <w:rPr>
                <w:rFonts w:hint="eastAsia" w:ascii="仿宋" w:hAnsi="仿宋" w:eastAsia="仿宋" w:cs="Times New Roman"/>
                <w:sz w:val="21"/>
                <w:szCs w:val="21"/>
                <w:highlight w:val="none"/>
                <w:lang w:eastAsia="zh-CN"/>
              </w:rPr>
              <w:t>、④</w:t>
            </w:r>
            <w:r>
              <w:rPr>
                <w:rFonts w:ascii="仿宋" w:hAnsi="仿宋" w:eastAsia="仿宋" w:cs="Times New Roman"/>
                <w:sz w:val="21"/>
                <w:szCs w:val="21"/>
                <w:highlight w:val="none"/>
              </w:rPr>
              <w:t>安装与调试</w:t>
            </w:r>
            <w:r>
              <w:rPr>
                <w:rFonts w:hint="eastAsia" w:ascii="仿宋" w:hAnsi="仿宋" w:eastAsia="仿宋" w:cs="Times New Roman"/>
                <w:sz w:val="21"/>
                <w:szCs w:val="21"/>
                <w:highlight w:val="none"/>
                <w:lang w:eastAsia="zh-CN"/>
              </w:rPr>
              <w:t>、⑤</w:t>
            </w:r>
            <w:r>
              <w:rPr>
                <w:rFonts w:ascii="仿宋" w:hAnsi="仿宋" w:eastAsia="仿宋" w:cs="Times New Roman"/>
                <w:sz w:val="21"/>
                <w:szCs w:val="21"/>
                <w:highlight w:val="none"/>
              </w:rPr>
              <w:t>培训服务</w:t>
            </w:r>
            <w:r>
              <w:rPr>
                <w:rFonts w:hint="eastAsia" w:ascii="仿宋" w:hAnsi="仿宋" w:eastAsia="仿宋" w:cs="Times New Roman"/>
                <w:sz w:val="21"/>
                <w:szCs w:val="21"/>
                <w:highlight w:val="none"/>
                <w:lang w:eastAsia="zh-CN"/>
              </w:rPr>
              <w:t xml:space="preserve">、⑥应急预案。提供相关方案的得 </w:t>
            </w:r>
            <w:r>
              <w:rPr>
                <w:rFonts w:hint="eastAsia" w:ascii="仿宋" w:hAnsi="仿宋" w:eastAsia="仿宋" w:cs="Times New Roman"/>
                <w:sz w:val="21"/>
                <w:szCs w:val="21"/>
                <w:highlight w:val="none"/>
                <w:lang w:val="en-US" w:eastAsia="zh-CN"/>
              </w:rPr>
              <w:t>12</w:t>
            </w:r>
            <w:r>
              <w:rPr>
                <w:rFonts w:hint="eastAsia" w:ascii="仿宋" w:hAnsi="仿宋" w:eastAsia="仿宋" w:cs="Times New Roman"/>
                <w:sz w:val="21"/>
                <w:szCs w:val="21"/>
                <w:highlight w:val="none"/>
                <w:lang w:eastAsia="zh-CN"/>
              </w:rPr>
              <w:t xml:space="preserve"> 分，以此为基础，</w:t>
            </w:r>
            <w:r>
              <w:rPr>
                <w:rFonts w:hint="eastAsia" w:ascii="仿宋" w:hAnsi="仿宋" w:eastAsia="仿宋" w:cs="Times New Roman"/>
                <w:sz w:val="21"/>
                <w:szCs w:val="21"/>
                <w:highlight w:val="none"/>
                <w:lang w:val="en-US" w:eastAsia="zh-CN"/>
              </w:rPr>
              <w:t>所提供的</w:t>
            </w:r>
            <w:r>
              <w:rPr>
                <w:rFonts w:hint="eastAsia" w:ascii="仿宋" w:hAnsi="仿宋" w:eastAsia="仿宋" w:cs="Times New Roman"/>
                <w:sz w:val="21"/>
                <w:szCs w:val="21"/>
                <w:highlight w:val="none"/>
                <w:lang w:eastAsia="zh-CN"/>
              </w:rPr>
              <w:t>方案</w:t>
            </w:r>
            <w:r>
              <w:rPr>
                <w:rFonts w:hint="eastAsia" w:ascii="仿宋" w:hAnsi="仿宋" w:eastAsia="仿宋" w:cs="Times New Roman"/>
                <w:sz w:val="21"/>
                <w:szCs w:val="21"/>
                <w:highlight w:val="none"/>
                <w:lang w:val="en-US" w:eastAsia="zh-CN"/>
              </w:rPr>
              <w:t>中</w:t>
            </w:r>
            <w:r>
              <w:rPr>
                <w:rFonts w:hint="eastAsia" w:ascii="仿宋" w:hAnsi="仿宋" w:eastAsia="仿宋" w:cs="Times New Roman"/>
                <w:sz w:val="21"/>
                <w:szCs w:val="21"/>
                <w:highlight w:val="none"/>
                <w:lang w:eastAsia="zh-CN"/>
              </w:rPr>
              <w:t>每有一项</w:t>
            </w:r>
            <w:r>
              <w:rPr>
                <w:rFonts w:hint="eastAsia" w:ascii="仿宋" w:hAnsi="仿宋" w:eastAsia="仿宋" w:cs="Times New Roman"/>
                <w:sz w:val="21"/>
                <w:szCs w:val="21"/>
                <w:highlight w:val="none"/>
                <w:lang w:val="en-US" w:eastAsia="zh-CN"/>
              </w:rPr>
              <w:t>内容</w:t>
            </w:r>
            <w:r>
              <w:rPr>
                <w:rFonts w:hint="eastAsia" w:ascii="仿宋" w:hAnsi="仿宋" w:eastAsia="仿宋" w:cs="Times New Roman"/>
                <w:sz w:val="21"/>
                <w:szCs w:val="21"/>
                <w:highlight w:val="none"/>
                <w:lang w:eastAsia="zh-CN"/>
              </w:rPr>
              <w:t>进行了深化、量化、拓展</w:t>
            </w:r>
            <w:r>
              <w:rPr>
                <w:rFonts w:hint="eastAsia" w:ascii="仿宋" w:hAnsi="仿宋" w:eastAsia="仿宋" w:cs="Times New Roman"/>
                <w:sz w:val="21"/>
                <w:szCs w:val="21"/>
                <w:highlight w:val="none"/>
                <w:lang w:val="en-US" w:eastAsia="zh-CN"/>
              </w:rPr>
              <w:t>或</w:t>
            </w:r>
            <w:r>
              <w:rPr>
                <w:rFonts w:hint="eastAsia" w:ascii="仿宋" w:hAnsi="仿宋" w:eastAsia="仿宋" w:cs="Times New Roman"/>
                <w:sz w:val="21"/>
                <w:szCs w:val="21"/>
                <w:highlight w:val="none"/>
                <w:lang w:eastAsia="zh-CN"/>
              </w:rPr>
              <w:t>提出经评审专家认可的合理化建议的加 1 分，加至</w:t>
            </w:r>
            <w:r>
              <w:rPr>
                <w:rFonts w:hint="eastAsia" w:ascii="仿宋" w:hAnsi="仿宋" w:eastAsia="仿宋" w:cs="Times New Roman"/>
                <w:sz w:val="21"/>
                <w:szCs w:val="21"/>
                <w:highlight w:val="none"/>
                <w:lang w:val="en-US" w:eastAsia="zh-CN"/>
              </w:rPr>
              <w:t>18分</w:t>
            </w:r>
            <w:r>
              <w:rPr>
                <w:rFonts w:hint="eastAsia" w:ascii="仿宋" w:hAnsi="仿宋" w:eastAsia="仿宋" w:cs="Times New Roman"/>
                <w:sz w:val="21"/>
                <w:szCs w:val="21"/>
                <w:highlight w:val="none"/>
                <w:lang w:eastAsia="zh-CN"/>
              </w:rPr>
              <w:t>为止；每缺失一条扣</w:t>
            </w:r>
            <w:r>
              <w:rPr>
                <w:rFonts w:hint="eastAsia" w:ascii="仿宋" w:hAnsi="仿宋" w:eastAsia="仿宋" w:cs="Times New Roman"/>
                <w:sz w:val="21"/>
                <w:szCs w:val="21"/>
                <w:highlight w:val="none"/>
                <w:lang w:val="en-US" w:eastAsia="zh-CN"/>
              </w:rPr>
              <w:t>2</w:t>
            </w:r>
            <w:r>
              <w:rPr>
                <w:rFonts w:hint="eastAsia" w:ascii="仿宋" w:hAnsi="仿宋" w:eastAsia="仿宋" w:cs="Times New Roman"/>
                <w:sz w:val="21"/>
                <w:szCs w:val="21"/>
                <w:highlight w:val="none"/>
                <w:lang w:eastAsia="zh-CN"/>
              </w:rPr>
              <w:t>分；每有一处描述不清或逻辑混乱有欠缺的扣</w:t>
            </w:r>
            <w:r>
              <w:rPr>
                <w:rFonts w:hint="eastAsia" w:ascii="仿宋" w:hAnsi="仿宋" w:eastAsia="仿宋" w:cs="Times New Roman"/>
                <w:sz w:val="21"/>
                <w:szCs w:val="21"/>
                <w:highlight w:val="none"/>
                <w:lang w:val="en-US" w:eastAsia="zh-CN"/>
              </w:rPr>
              <w:t>1</w:t>
            </w:r>
            <w:r>
              <w:rPr>
                <w:rFonts w:hint="eastAsia" w:ascii="仿宋" w:hAnsi="仿宋" w:eastAsia="仿宋" w:cs="Times New Roman"/>
                <w:sz w:val="21"/>
                <w:szCs w:val="21"/>
                <w:highlight w:val="none"/>
                <w:lang w:eastAsia="zh-CN"/>
              </w:rPr>
              <w:t>分，扣完为止。</w:t>
            </w:r>
          </w:p>
        </w:tc>
        <w:tc>
          <w:tcPr>
            <w:tcW w:w="0" w:type="auto"/>
            <w:tcBorders>
              <w:top w:val="single" w:color="auto" w:sz="4" w:space="0"/>
              <w:left w:val="single" w:color="auto" w:sz="4" w:space="0"/>
              <w:bottom w:val="single" w:color="auto" w:sz="4" w:space="0"/>
              <w:right w:val="single" w:color="auto" w:sz="4" w:space="0"/>
            </w:tcBorders>
            <w:vAlign w:val="center"/>
          </w:tcPr>
          <w:p w14:paraId="6F608DDC">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rPr>
              <w:t>1</w:t>
            </w:r>
            <w:r>
              <w:rPr>
                <w:rFonts w:hint="eastAsia" w:ascii="仿宋" w:hAnsi="仿宋" w:eastAsia="仿宋" w:cs="Courier New"/>
                <w:sz w:val="21"/>
                <w:szCs w:val="21"/>
                <w:highlight w:val="none"/>
                <w:lang w:val="en-US" w:eastAsia="zh-CN"/>
              </w:rPr>
              <w:t>8</w:t>
            </w:r>
            <w:r>
              <w:rPr>
                <w:rFonts w:hint="eastAsia" w:ascii="仿宋" w:hAnsi="仿宋" w:eastAsia="仿宋" w:cs="Courier New"/>
                <w:sz w:val="21"/>
                <w:szCs w:val="21"/>
                <w:highlight w:val="none"/>
              </w:rPr>
              <w:t>分</w:t>
            </w:r>
          </w:p>
        </w:tc>
      </w:tr>
      <w:tr w14:paraId="1F9DD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2" w:type="dxa"/>
            <w:vMerge w:val="continue"/>
            <w:tcBorders>
              <w:left w:val="single" w:color="auto" w:sz="4" w:space="0"/>
              <w:bottom w:val="single" w:color="auto" w:sz="4" w:space="0"/>
              <w:right w:val="single" w:color="auto" w:sz="4" w:space="0"/>
            </w:tcBorders>
            <w:vAlign w:val="center"/>
          </w:tcPr>
          <w:p w14:paraId="4C5A2CAF">
            <w:pPr>
              <w:pStyle w:val="12"/>
              <w:snapToGrid w:val="0"/>
              <w:spacing w:line="360" w:lineRule="auto"/>
              <w:ind w:firstLine="0"/>
              <w:rPr>
                <w:rFonts w:ascii="仿宋" w:hAnsi="仿宋" w:eastAsia="仿宋" w:cs="宋体"/>
                <w:sz w:val="21"/>
                <w:szCs w:val="21"/>
                <w:highlight w:val="none"/>
              </w:rPr>
            </w:pPr>
          </w:p>
        </w:tc>
        <w:tc>
          <w:tcPr>
            <w:tcW w:w="7095" w:type="dxa"/>
            <w:tcBorders>
              <w:top w:val="single" w:color="auto" w:sz="4" w:space="0"/>
              <w:left w:val="single" w:color="auto" w:sz="4" w:space="0"/>
              <w:bottom w:val="single" w:color="auto" w:sz="4" w:space="0"/>
              <w:right w:val="single" w:color="auto" w:sz="4" w:space="0"/>
            </w:tcBorders>
            <w:vAlign w:val="center"/>
          </w:tcPr>
          <w:p w14:paraId="15AD710A">
            <w:pPr>
              <w:rPr>
                <w:rFonts w:ascii="仿宋" w:hAnsi="仿宋" w:eastAsia="仿宋" w:cs="宋体"/>
                <w:kern w:val="0"/>
                <w:szCs w:val="21"/>
                <w:highlight w:val="none"/>
              </w:rPr>
            </w:pPr>
            <w:r>
              <w:rPr>
                <w:rFonts w:hint="eastAsia" w:ascii="仿宋" w:hAnsi="仿宋" w:eastAsia="仿宋" w:cs="宋体"/>
                <w:kern w:val="0"/>
                <w:szCs w:val="21"/>
                <w:highlight w:val="none"/>
              </w:rPr>
              <w:t>售后方案：</w:t>
            </w:r>
          </w:p>
          <w:p w14:paraId="466521E0">
            <w:pPr>
              <w:rPr>
                <w:rFonts w:ascii="仿宋" w:hAnsi="仿宋" w:eastAsia="仿宋" w:cs="宋体"/>
                <w:kern w:val="0"/>
                <w:szCs w:val="21"/>
                <w:highlight w:val="none"/>
              </w:rPr>
            </w:pPr>
            <w:r>
              <w:rPr>
                <w:rFonts w:hint="eastAsia" w:ascii="仿宋" w:hAnsi="仿宋" w:eastAsia="仿宋" w:cs="宋体"/>
                <w:kern w:val="0"/>
                <w:szCs w:val="21"/>
                <w:highlight w:val="none"/>
              </w:rPr>
              <w:t>编制售后服务体系、方案，服务承诺等，内容需包含：</w:t>
            </w:r>
          </w:p>
          <w:p w14:paraId="2F565E87">
            <w:pPr>
              <w:rPr>
                <w:rFonts w:ascii="仿宋" w:hAnsi="仿宋" w:eastAsia="仿宋" w:cs="宋体"/>
                <w:kern w:val="0"/>
                <w:szCs w:val="21"/>
                <w:highlight w:val="none"/>
              </w:rPr>
            </w:pPr>
            <w:r>
              <w:rPr>
                <w:rFonts w:hint="eastAsia" w:ascii="仿宋" w:hAnsi="仿宋" w:eastAsia="仿宋" w:cs="宋体"/>
                <w:kern w:val="0"/>
                <w:szCs w:val="21"/>
                <w:highlight w:val="none"/>
                <w:lang w:eastAsia="zh-CN"/>
              </w:rPr>
              <w:t>①</w:t>
            </w:r>
            <w:r>
              <w:rPr>
                <w:rFonts w:hint="eastAsia" w:ascii="仿宋" w:hAnsi="仿宋" w:eastAsia="仿宋" w:cs="宋体"/>
                <w:kern w:val="0"/>
                <w:szCs w:val="21"/>
                <w:highlight w:val="none"/>
              </w:rPr>
              <w:t>备品备件及耗材保障方案及承诺；</w:t>
            </w:r>
            <w:r>
              <w:rPr>
                <w:rFonts w:hint="eastAsia" w:ascii="仿宋" w:hAnsi="仿宋" w:eastAsia="仿宋" w:cs="宋体"/>
                <w:kern w:val="0"/>
                <w:szCs w:val="21"/>
                <w:highlight w:val="none"/>
                <w:lang w:eastAsia="zh-CN"/>
              </w:rPr>
              <w:t>②</w:t>
            </w:r>
            <w:r>
              <w:rPr>
                <w:rFonts w:hint="eastAsia" w:ascii="仿宋" w:hAnsi="仿宋" w:eastAsia="仿宋" w:cs="宋体"/>
                <w:kern w:val="0"/>
                <w:szCs w:val="21"/>
                <w:highlight w:val="none"/>
              </w:rPr>
              <w:t>质保期间的响应保障方案；</w:t>
            </w:r>
            <w:r>
              <w:rPr>
                <w:rFonts w:hint="eastAsia" w:ascii="仿宋" w:hAnsi="仿宋" w:eastAsia="仿宋" w:cs="宋体"/>
                <w:kern w:val="0"/>
                <w:szCs w:val="21"/>
                <w:highlight w:val="none"/>
                <w:lang w:eastAsia="zh-CN"/>
              </w:rPr>
              <w:t>③</w:t>
            </w:r>
            <w:r>
              <w:rPr>
                <w:rFonts w:hint="eastAsia" w:ascii="仿宋" w:hAnsi="仿宋" w:eastAsia="仿宋" w:cs="宋体"/>
                <w:kern w:val="0"/>
                <w:szCs w:val="21"/>
                <w:highlight w:val="none"/>
              </w:rPr>
              <w:t>相关服务承诺；</w:t>
            </w:r>
            <w:r>
              <w:rPr>
                <w:rFonts w:hint="eastAsia" w:ascii="仿宋" w:hAnsi="仿宋" w:eastAsia="仿宋" w:cs="宋体"/>
                <w:kern w:val="0"/>
                <w:szCs w:val="21"/>
                <w:highlight w:val="none"/>
                <w:lang w:eastAsia="zh-CN"/>
              </w:rPr>
              <w:t>④</w:t>
            </w:r>
            <w:r>
              <w:rPr>
                <w:rFonts w:hint="eastAsia" w:ascii="仿宋" w:hAnsi="仿宋" w:eastAsia="仿宋" w:cs="宋体"/>
                <w:kern w:val="0"/>
                <w:szCs w:val="21"/>
                <w:highlight w:val="none"/>
              </w:rPr>
              <w:t>售后人员保障等。</w:t>
            </w:r>
          </w:p>
          <w:p w14:paraId="5370574C">
            <w:pPr>
              <w:rPr>
                <w:highlight w:val="none"/>
              </w:rPr>
            </w:pPr>
            <w:r>
              <w:rPr>
                <w:rFonts w:hint="eastAsia" w:ascii="仿宋" w:hAnsi="仿宋" w:eastAsia="仿宋" w:cs="Times New Roman"/>
                <w:sz w:val="21"/>
                <w:szCs w:val="21"/>
                <w:highlight w:val="none"/>
                <w:lang w:eastAsia="zh-CN"/>
              </w:rPr>
              <w:t xml:space="preserve">提供相关方案的得 </w:t>
            </w:r>
            <w:r>
              <w:rPr>
                <w:rFonts w:hint="eastAsia" w:ascii="仿宋" w:hAnsi="仿宋" w:eastAsia="仿宋" w:cs="Times New Roman"/>
                <w:sz w:val="21"/>
                <w:szCs w:val="21"/>
                <w:highlight w:val="none"/>
                <w:lang w:val="en-US" w:eastAsia="zh-CN"/>
              </w:rPr>
              <w:t>8</w:t>
            </w:r>
            <w:r>
              <w:rPr>
                <w:rFonts w:hint="eastAsia" w:ascii="仿宋" w:hAnsi="仿宋" w:eastAsia="仿宋" w:cs="Times New Roman"/>
                <w:sz w:val="21"/>
                <w:szCs w:val="21"/>
                <w:highlight w:val="none"/>
                <w:lang w:eastAsia="zh-CN"/>
              </w:rPr>
              <w:t xml:space="preserve"> 分，以此为基础，</w:t>
            </w:r>
            <w:r>
              <w:rPr>
                <w:rFonts w:hint="eastAsia" w:ascii="仿宋" w:hAnsi="仿宋" w:eastAsia="仿宋" w:cs="Times New Roman"/>
                <w:sz w:val="21"/>
                <w:szCs w:val="21"/>
                <w:highlight w:val="none"/>
                <w:lang w:val="en-US" w:eastAsia="zh-CN"/>
              </w:rPr>
              <w:t>所提供的</w:t>
            </w:r>
            <w:r>
              <w:rPr>
                <w:rFonts w:hint="eastAsia" w:ascii="仿宋" w:hAnsi="仿宋" w:eastAsia="仿宋" w:cs="Times New Roman"/>
                <w:sz w:val="21"/>
                <w:szCs w:val="21"/>
                <w:highlight w:val="none"/>
                <w:lang w:eastAsia="zh-CN"/>
              </w:rPr>
              <w:t>方案</w:t>
            </w:r>
            <w:r>
              <w:rPr>
                <w:rFonts w:hint="eastAsia" w:ascii="仿宋" w:hAnsi="仿宋" w:eastAsia="仿宋" w:cs="Times New Roman"/>
                <w:sz w:val="21"/>
                <w:szCs w:val="21"/>
                <w:highlight w:val="none"/>
                <w:lang w:val="en-US" w:eastAsia="zh-CN"/>
              </w:rPr>
              <w:t>中</w:t>
            </w:r>
            <w:r>
              <w:rPr>
                <w:rFonts w:hint="eastAsia" w:ascii="仿宋" w:hAnsi="仿宋" w:eastAsia="仿宋" w:cs="Times New Roman"/>
                <w:sz w:val="21"/>
                <w:szCs w:val="21"/>
                <w:highlight w:val="none"/>
                <w:lang w:eastAsia="zh-CN"/>
              </w:rPr>
              <w:t>每有一项</w:t>
            </w:r>
            <w:r>
              <w:rPr>
                <w:rFonts w:hint="eastAsia" w:ascii="仿宋" w:hAnsi="仿宋" w:eastAsia="仿宋" w:cs="Times New Roman"/>
                <w:sz w:val="21"/>
                <w:szCs w:val="21"/>
                <w:highlight w:val="none"/>
                <w:lang w:val="en-US" w:eastAsia="zh-CN"/>
              </w:rPr>
              <w:t>内容</w:t>
            </w:r>
            <w:r>
              <w:rPr>
                <w:rFonts w:hint="eastAsia" w:ascii="仿宋" w:hAnsi="仿宋" w:eastAsia="仿宋" w:cs="Times New Roman"/>
                <w:sz w:val="21"/>
                <w:szCs w:val="21"/>
                <w:highlight w:val="none"/>
                <w:lang w:eastAsia="zh-CN"/>
              </w:rPr>
              <w:t>进行了深化、量化、拓展</w:t>
            </w:r>
            <w:r>
              <w:rPr>
                <w:rFonts w:hint="eastAsia" w:ascii="仿宋" w:hAnsi="仿宋" w:eastAsia="仿宋" w:cs="Times New Roman"/>
                <w:sz w:val="21"/>
                <w:szCs w:val="21"/>
                <w:highlight w:val="none"/>
                <w:lang w:val="en-US" w:eastAsia="zh-CN"/>
              </w:rPr>
              <w:t>或</w:t>
            </w:r>
            <w:r>
              <w:rPr>
                <w:rFonts w:hint="eastAsia" w:ascii="仿宋" w:hAnsi="仿宋" w:eastAsia="仿宋" w:cs="Times New Roman"/>
                <w:sz w:val="21"/>
                <w:szCs w:val="21"/>
                <w:highlight w:val="none"/>
                <w:lang w:eastAsia="zh-CN"/>
              </w:rPr>
              <w:t>提出经评审专家认可的合理化建议的加 1 分，加至</w:t>
            </w:r>
            <w:r>
              <w:rPr>
                <w:rFonts w:hint="eastAsia" w:ascii="仿宋" w:hAnsi="仿宋" w:eastAsia="仿宋" w:cs="Times New Roman"/>
                <w:sz w:val="21"/>
                <w:szCs w:val="21"/>
                <w:highlight w:val="none"/>
                <w:lang w:val="en-US" w:eastAsia="zh-CN"/>
              </w:rPr>
              <w:t>12分</w:t>
            </w:r>
            <w:r>
              <w:rPr>
                <w:rFonts w:hint="eastAsia" w:ascii="仿宋" w:hAnsi="仿宋" w:eastAsia="仿宋" w:cs="Times New Roman"/>
                <w:sz w:val="21"/>
                <w:szCs w:val="21"/>
                <w:highlight w:val="none"/>
                <w:lang w:eastAsia="zh-CN"/>
              </w:rPr>
              <w:t>为止；每缺失一条扣</w:t>
            </w:r>
            <w:r>
              <w:rPr>
                <w:rFonts w:hint="eastAsia" w:ascii="仿宋" w:hAnsi="仿宋" w:eastAsia="仿宋" w:cs="Times New Roman"/>
                <w:sz w:val="21"/>
                <w:szCs w:val="21"/>
                <w:highlight w:val="none"/>
                <w:lang w:val="en-US" w:eastAsia="zh-CN"/>
              </w:rPr>
              <w:t>2</w:t>
            </w:r>
            <w:r>
              <w:rPr>
                <w:rFonts w:hint="eastAsia" w:ascii="仿宋" w:hAnsi="仿宋" w:eastAsia="仿宋" w:cs="Times New Roman"/>
                <w:sz w:val="21"/>
                <w:szCs w:val="21"/>
                <w:highlight w:val="none"/>
                <w:lang w:eastAsia="zh-CN"/>
              </w:rPr>
              <w:t>分；每有一处描述不清或逻辑混乱有欠缺的扣</w:t>
            </w:r>
            <w:r>
              <w:rPr>
                <w:rFonts w:hint="eastAsia" w:ascii="仿宋" w:hAnsi="仿宋" w:eastAsia="仿宋" w:cs="Times New Roman"/>
                <w:sz w:val="21"/>
                <w:szCs w:val="21"/>
                <w:highlight w:val="none"/>
                <w:lang w:val="en-US" w:eastAsia="zh-CN"/>
              </w:rPr>
              <w:t>1</w:t>
            </w:r>
            <w:r>
              <w:rPr>
                <w:rFonts w:hint="eastAsia" w:ascii="仿宋" w:hAnsi="仿宋" w:eastAsia="仿宋" w:cs="Times New Roman"/>
                <w:sz w:val="21"/>
                <w:szCs w:val="21"/>
                <w:highlight w:val="none"/>
                <w:lang w:eastAsia="zh-CN"/>
              </w:rPr>
              <w:t>分，扣完为止。</w:t>
            </w:r>
          </w:p>
        </w:tc>
        <w:tc>
          <w:tcPr>
            <w:tcW w:w="0" w:type="auto"/>
            <w:tcBorders>
              <w:top w:val="single" w:color="auto" w:sz="4" w:space="0"/>
              <w:left w:val="single" w:color="auto" w:sz="4" w:space="0"/>
              <w:bottom w:val="single" w:color="auto" w:sz="4" w:space="0"/>
              <w:right w:val="single" w:color="auto" w:sz="4" w:space="0"/>
            </w:tcBorders>
            <w:vAlign w:val="center"/>
          </w:tcPr>
          <w:p w14:paraId="75ED54E8">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Courier New"/>
                <w:sz w:val="21"/>
                <w:szCs w:val="21"/>
                <w:highlight w:val="none"/>
                <w:lang w:val="en-US" w:eastAsia="zh-CN"/>
              </w:rPr>
              <w:t>12</w:t>
            </w:r>
            <w:r>
              <w:rPr>
                <w:rFonts w:hint="eastAsia" w:ascii="仿宋" w:hAnsi="仿宋" w:eastAsia="仿宋" w:cs="Courier New"/>
                <w:sz w:val="21"/>
                <w:szCs w:val="21"/>
                <w:highlight w:val="none"/>
              </w:rPr>
              <w:t>分</w:t>
            </w:r>
          </w:p>
        </w:tc>
      </w:tr>
      <w:tr w14:paraId="498C8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1052A703">
            <w:pPr>
              <w:pStyle w:val="12"/>
              <w:snapToGrid w:val="0"/>
              <w:spacing w:line="360" w:lineRule="auto"/>
              <w:ind w:firstLine="0"/>
              <w:rPr>
                <w:rFonts w:ascii="仿宋" w:hAnsi="仿宋" w:eastAsia="仿宋" w:cs="Courier New"/>
                <w:b/>
                <w:sz w:val="21"/>
                <w:szCs w:val="21"/>
                <w:highlight w:val="none"/>
              </w:rPr>
            </w:pPr>
            <w:r>
              <w:rPr>
                <w:rFonts w:ascii="仿宋" w:hAnsi="仿宋" w:eastAsia="仿宋" w:cs="Courier New"/>
                <w:b/>
                <w:sz w:val="21"/>
                <w:szCs w:val="21"/>
                <w:highlight w:val="none"/>
              </w:rPr>
              <w:t>D</w:t>
            </w:r>
            <w:r>
              <w:rPr>
                <w:rFonts w:hint="eastAsia" w:ascii="仿宋" w:hAnsi="仿宋" w:eastAsia="仿宋" w:cs="Courier New"/>
                <w:b/>
                <w:sz w:val="21"/>
                <w:szCs w:val="21"/>
                <w:highlight w:val="none"/>
              </w:rPr>
              <w:t>:</w:t>
            </w:r>
            <w:r>
              <w:rPr>
                <w:rFonts w:hint="eastAsia" w:ascii="仿宋" w:hAnsi="仿宋" w:eastAsia="仿宋"/>
                <w:sz w:val="21"/>
                <w:szCs w:val="21"/>
                <w:highlight w:val="none"/>
              </w:rPr>
              <w:t xml:space="preserve"> </w:t>
            </w:r>
            <w:r>
              <w:rPr>
                <w:rFonts w:hint="eastAsia" w:ascii="仿宋" w:hAnsi="仿宋" w:eastAsia="仿宋" w:cs="Courier New"/>
                <w:b/>
                <w:sz w:val="21"/>
                <w:szCs w:val="21"/>
                <w:highlight w:val="none"/>
              </w:rPr>
              <w:t>属于中小企业评审优惠内容及价格扣除幅度</w:t>
            </w:r>
          </w:p>
        </w:tc>
      </w:tr>
      <w:tr w14:paraId="6C59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14:paraId="4AB9C4B2">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根据中华人民共和国财政部、中华人民共和国工业和信息化部《政府采购促进中小企业发展管理办法》（财库[2020]46号）、《关于进一步加大政府采购支持中小企业力度的通知》（财库〔2022〕19号）文件的规定，属于中小企业评审优惠内容及幅度如下：</w:t>
            </w:r>
          </w:p>
          <w:p w14:paraId="060004B9">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（一）中小企业（含中型、小型、微型企业）应当同时符合以下条件：</w:t>
            </w:r>
          </w:p>
          <w:p w14:paraId="702D77AF">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①符合中小企业划分标准（按《关于印发中小企业划型标准规定的通知》（工信部联企业〔2011〕300号）执行）；</w:t>
            </w:r>
          </w:p>
          <w:p w14:paraId="751D7466">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②提供本企业制造的货物、承担的项目或者服务，或者提供其他中小企业制造的货物。本项所称货物不包括使用大型企业注册商标的货物；</w:t>
            </w:r>
          </w:p>
          <w:p w14:paraId="6158E9FA">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③小型、微型企业提供中型企业制造的货物的，视同为中型企业。</w:t>
            </w:r>
          </w:p>
          <w:p w14:paraId="264F761F">
            <w:pPr>
              <w:pStyle w:val="12"/>
              <w:snapToGrid w:val="0"/>
              <w:spacing w:line="360" w:lineRule="auto"/>
              <w:ind w:firstLine="0"/>
              <w:rPr>
                <w:rFonts w:ascii="仿宋" w:hAnsi="仿宋" w:eastAsia="仿宋" w:cs="仿宋"/>
                <w:bCs/>
                <w:sz w:val="21"/>
                <w:szCs w:val="21"/>
                <w:highlight w:val="none"/>
              </w:rPr>
            </w:pPr>
            <w:r>
              <w:rPr>
                <w:rFonts w:hint="eastAsia" w:ascii="仿宋" w:hAnsi="仿宋" w:eastAsia="仿宋" w:cs="仿宋"/>
                <w:bCs/>
                <w:sz w:val="21"/>
                <w:szCs w:val="21"/>
                <w:highlight w:val="none"/>
              </w:rPr>
              <w:t>监狱企业、残疾人福利性企业视同为小微企业。</w:t>
            </w:r>
          </w:p>
          <w:p w14:paraId="31189A05">
            <w:pPr>
              <w:pStyle w:val="12"/>
              <w:widowControl w:val="0"/>
              <w:numPr>
                <w:ilvl w:val="0"/>
                <w:numId w:val="3"/>
              </w:numPr>
              <w:snapToGrid w:val="0"/>
              <w:spacing w:line="360" w:lineRule="auto"/>
              <w:ind w:firstLine="0"/>
              <w:jc w:val="both"/>
              <w:rPr>
                <w:rFonts w:ascii="仿宋" w:hAnsi="仿宋" w:eastAsia="仿宋" w:cs="仿宋"/>
                <w:bCs/>
                <w:sz w:val="21"/>
                <w:szCs w:val="21"/>
                <w:highlight w:val="none"/>
              </w:rPr>
            </w:pPr>
            <w:r>
              <w:rPr>
                <w:rFonts w:hint="eastAsia" w:ascii="仿宋" w:hAnsi="仿宋" w:eastAsia="仿宋" w:cs="仿宋"/>
                <w:bCs/>
                <w:sz w:val="21"/>
                <w:szCs w:val="21"/>
                <w:highlight w:val="none"/>
              </w:rPr>
              <w:t>价格扣除办法：对于非专门面向中小企业的项目，对小型和微型企业（或联合体各方均为小型、微型企业的）产品的价格给予1</w:t>
            </w:r>
            <w:r>
              <w:rPr>
                <w:rFonts w:ascii="仿宋" w:hAnsi="仿宋" w:eastAsia="仿宋" w:cs="仿宋"/>
                <w:bCs/>
                <w:sz w:val="21"/>
                <w:szCs w:val="21"/>
                <w:highlight w:val="none"/>
              </w:rPr>
              <w:t>0</w:t>
            </w:r>
            <w:r>
              <w:rPr>
                <w:rFonts w:hint="eastAsia" w:ascii="仿宋" w:hAnsi="仿宋" w:eastAsia="仿宋" w:cs="仿宋"/>
                <w:bCs/>
                <w:sz w:val="21"/>
                <w:szCs w:val="21"/>
                <w:highlight w:val="none"/>
              </w:rPr>
              <w:t>%的扣除，用扣除后的价格参与价格分的评审。</w:t>
            </w:r>
          </w:p>
          <w:p w14:paraId="779ED76C">
            <w:pPr>
              <w:pStyle w:val="12"/>
              <w:snapToGrid w:val="0"/>
              <w:spacing w:line="360" w:lineRule="auto"/>
              <w:ind w:firstLine="0"/>
              <w:rPr>
                <w:rFonts w:ascii="仿宋" w:hAnsi="仿宋" w:eastAsia="仿宋" w:cs="Courier New"/>
                <w:sz w:val="21"/>
                <w:szCs w:val="21"/>
                <w:highlight w:val="none"/>
              </w:rPr>
            </w:pPr>
            <w:r>
              <w:rPr>
                <w:rFonts w:hint="eastAsia" w:ascii="仿宋" w:hAnsi="仿宋" w:eastAsia="仿宋" w:cs="仿宋"/>
                <w:bCs/>
                <w:sz w:val="21"/>
                <w:szCs w:val="21"/>
                <w:highlight w:val="none"/>
              </w:rPr>
              <w:t>（三）小型和微型企业适用价格扣除办法时应提供的相关资料：《中小企业声明函》。</w:t>
            </w:r>
          </w:p>
        </w:tc>
      </w:tr>
    </w:tbl>
    <w:p w14:paraId="0AA7A9B2">
      <w:pPr>
        <w:pStyle w:val="18"/>
        <w:rPr>
          <w:rFonts w:hint="default"/>
          <w:b/>
          <w:bCs/>
          <w:sz w:val="22"/>
          <w:szCs w:val="28"/>
          <w:highlight w:val="none"/>
          <w:lang w:val="en-US" w:eastAsia="zh-CN"/>
        </w:rPr>
      </w:pPr>
    </w:p>
    <w:p w14:paraId="793E9082">
      <w:pPr>
        <w:pStyle w:val="18"/>
        <w:rPr>
          <w:rFonts w:hint="default"/>
          <w:highlight w:val="none"/>
          <w:lang w:val="en-US" w:eastAsia="zh-CN"/>
        </w:rPr>
      </w:pPr>
    </w:p>
    <w:p w14:paraId="714FC0C0">
      <w:pPr>
        <w:widowControl/>
        <w:adjustRightInd w:val="0"/>
        <w:snapToGrid w:val="0"/>
        <w:spacing w:line="360" w:lineRule="auto"/>
        <w:jc w:val="left"/>
        <w:rPr>
          <w:rFonts w:ascii="宋体" w:hAnsi="宋体"/>
          <w:b/>
          <w:bCs/>
          <w:szCs w:val="21"/>
          <w:highlight w:val="none"/>
        </w:rPr>
      </w:pPr>
      <w:r>
        <w:rPr>
          <w:rFonts w:hint="eastAsia" w:ascii="宋体" w:hAnsi="宋体"/>
          <w:b/>
          <w:bCs/>
          <w:szCs w:val="21"/>
          <w:highlight w:val="none"/>
        </w:rPr>
        <w:t>29.提出中标候选人</w:t>
      </w:r>
    </w:p>
    <w:p w14:paraId="4A49B090">
      <w:pPr>
        <w:widowControl/>
        <w:adjustRightInd w:val="0"/>
        <w:snapToGrid w:val="0"/>
        <w:spacing w:line="360" w:lineRule="auto"/>
        <w:ind w:firstLine="420" w:firstLineChars="200"/>
        <w:jc w:val="left"/>
        <w:rPr>
          <w:rFonts w:ascii="宋体" w:hAnsi="宋体"/>
          <w:bCs/>
          <w:szCs w:val="21"/>
          <w:highlight w:val="none"/>
        </w:rPr>
      </w:pPr>
      <w:r>
        <w:rPr>
          <w:rFonts w:hint="eastAsia" w:ascii="宋体" w:hAnsi="宋体"/>
          <w:bCs/>
          <w:szCs w:val="21"/>
          <w:highlight w:val="none"/>
        </w:rPr>
        <w:t>29.1</w:t>
      </w:r>
      <w:r>
        <w:rPr>
          <w:rFonts w:hint="eastAsia" w:ascii="宋体" w:hAnsi="宋体" w:cs="宋体"/>
          <w:kern w:val="0"/>
          <w:szCs w:val="21"/>
          <w:highlight w:val="none"/>
        </w:rPr>
        <w:t>评审小组应当根据综合评分情况，按照评审得分由高到低顺序推荐3名及以上中标候选人，并编写评审报告。评审得分相同的，按照最后评审价格由低到高的顺序推荐。评审得分且最后评审价格相同的，按照技术指标优劣顺序推荐。</w:t>
      </w:r>
    </w:p>
    <w:p w14:paraId="4C917EB9">
      <w:pPr>
        <w:tabs>
          <w:tab w:val="left" w:pos="0"/>
        </w:tabs>
        <w:adjustRightInd w:val="0"/>
        <w:snapToGrid w:val="0"/>
        <w:spacing w:line="360" w:lineRule="auto"/>
        <w:rPr>
          <w:rFonts w:ascii="宋体" w:hAnsi="宋体"/>
          <w:b/>
          <w:bCs/>
          <w:szCs w:val="21"/>
          <w:highlight w:val="none"/>
        </w:rPr>
      </w:pPr>
      <w:r>
        <w:rPr>
          <w:rFonts w:hint="eastAsia" w:ascii="宋体" w:hAnsi="宋体"/>
          <w:b/>
          <w:bCs/>
          <w:szCs w:val="21"/>
          <w:highlight w:val="none"/>
        </w:rPr>
        <w:t>30.确定中标单位</w:t>
      </w:r>
    </w:p>
    <w:p w14:paraId="54E64CAA">
      <w:pPr>
        <w:widowControl/>
        <w:adjustRightInd w:val="0"/>
        <w:snapToGrid w:val="0"/>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30.1采购代理机构应当在评审结束后2个工作日内将评审报告送采购人确认。</w:t>
      </w:r>
    </w:p>
    <w:p w14:paraId="72658AE6">
      <w:pPr>
        <w:widowControl/>
        <w:adjustRightInd w:val="0"/>
        <w:snapToGrid w:val="0"/>
        <w:spacing w:line="360" w:lineRule="auto"/>
        <w:ind w:firstLine="420"/>
        <w:jc w:val="left"/>
        <w:rPr>
          <w:rFonts w:ascii="宋体" w:hAnsi="宋体" w:cs="宋体"/>
          <w:kern w:val="0"/>
          <w:szCs w:val="21"/>
          <w:highlight w:val="none"/>
        </w:rPr>
      </w:pPr>
      <w:r>
        <w:rPr>
          <w:rFonts w:hint="eastAsia" w:ascii="宋体" w:hAnsi="宋体" w:cs="宋体"/>
          <w:kern w:val="0"/>
          <w:szCs w:val="21"/>
          <w:highlight w:val="none"/>
        </w:rPr>
        <w:t>30.2采购人应当在收到评审报告后5个工作日内，从评审报告提出的中标候选人中，按照排序由高到低的原则确定中标单位，也可以书面授权评审小组直接确定中标单位。</w:t>
      </w:r>
    </w:p>
    <w:p w14:paraId="00D22EBD">
      <w:pPr>
        <w:pStyle w:val="24"/>
        <w:adjustRightInd w:val="0"/>
        <w:snapToGrid w:val="0"/>
        <w:spacing w:line="360" w:lineRule="auto"/>
        <w:ind w:left="632" w:hanging="632" w:hangingChars="300"/>
        <w:rPr>
          <w:rFonts w:ascii="宋体" w:hAnsi="宋体"/>
          <w:b/>
          <w:sz w:val="21"/>
          <w:szCs w:val="21"/>
          <w:highlight w:val="none"/>
        </w:rPr>
      </w:pPr>
      <w:r>
        <w:rPr>
          <w:rFonts w:hint="eastAsia" w:ascii="宋体" w:hAnsi="宋体"/>
          <w:b/>
          <w:sz w:val="21"/>
          <w:szCs w:val="21"/>
          <w:highlight w:val="none"/>
        </w:rPr>
        <w:t>31.</w:t>
      </w:r>
      <w:r>
        <w:rPr>
          <w:rFonts w:hint="eastAsia" w:ascii="宋体" w:hAnsi="宋体"/>
          <w:sz w:val="21"/>
          <w:szCs w:val="21"/>
          <w:highlight w:val="none"/>
        </w:rPr>
        <w:t xml:space="preserve"> </w:t>
      </w:r>
      <w:r>
        <w:rPr>
          <w:rFonts w:hint="eastAsia" w:ascii="宋体" w:hAnsi="宋体"/>
          <w:b/>
          <w:sz w:val="21"/>
          <w:szCs w:val="21"/>
          <w:highlight w:val="none"/>
        </w:rPr>
        <w:t>终止公开招标采购</w:t>
      </w:r>
    </w:p>
    <w:p w14:paraId="64933B54">
      <w:pPr>
        <w:widowControl/>
        <w:adjustRightInd w:val="0"/>
        <w:snapToGrid w:val="0"/>
        <w:spacing w:line="360" w:lineRule="auto"/>
        <w:ind w:firstLine="420" w:firstLineChars="200"/>
        <w:jc w:val="left"/>
        <w:rPr>
          <w:rFonts w:ascii="宋体" w:hAnsi="宋体" w:cs="宋体"/>
          <w:kern w:val="0"/>
          <w:szCs w:val="21"/>
          <w:highlight w:val="none"/>
        </w:rPr>
      </w:pPr>
      <w:r>
        <w:rPr>
          <w:rFonts w:hint="eastAsia" w:ascii="宋体" w:hAnsi="宋体"/>
          <w:bCs/>
          <w:szCs w:val="21"/>
          <w:highlight w:val="none"/>
        </w:rPr>
        <w:t>31.1</w:t>
      </w:r>
      <w:r>
        <w:rPr>
          <w:rFonts w:hint="eastAsia" w:ascii="宋体" w:hAnsi="宋体" w:cs="宋体"/>
          <w:kern w:val="0"/>
          <w:szCs w:val="21"/>
          <w:highlight w:val="none"/>
        </w:rPr>
        <w:t>出现下列情形之一的，采购人或者采购代理机构应当终止公开招标采购活动，</w:t>
      </w:r>
      <w:r>
        <w:rPr>
          <w:rFonts w:hint="eastAsia" w:ascii="宋体" w:hAnsi="宋体"/>
          <w:szCs w:val="21"/>
          <w:highlight w:val="none"/>
        </w:rPr>
        <w:t>在财政部门指定的媒体上</w:t>
      </w:r>
      <w:r>
        <w:rPr>
          <w:rFonts w:hint="eastAsia" w:ascii="宋体" w:hAnsi="宋体" w:cs="宋体"/>
          <w:kern w:val="0"/>
          <w:szCs w:val="21"/>
          <w:highlight w:val="none"/>
        </w:rPr>
        <w:t xml:space="preserve">发布项目终止公告并说明原因，重新开展采购活动： </w:t>
      </w:r>
    </w:p>
    <w:p w14:paraId="0363C98C">
      <w:pPr>
        <w:widowControl/>
        <w:adjustRightInd w:val="0"/>
        <w:snapToGrid w:val="0"/>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（1）因情况变化，不再符合规定的公开招标采购方式适用情形的；</w:t>
      </w:r>
    </w:p>
    <w:p w14:paraId="1DD7C44D">
      <w:pPr>
        <w:widowControl/>
        <w:adjustRightInd w:val="0"/>
        <w:snapToGrid w:val="0"/>
        <w:spacing w:line="360" w:lineRule="auto"/>
        <w:ind w:firstLine="420"/>
        <w:jc w:val="left"/>
        <w:rPr>
          <w:rFonts w:ascii="宋体" w:hAnsi="宋体" w:cs="宋体"/>
          <w:kern w:val="0"/>
          <w:szCs w:val="21"/>
          <w:highlight w:val="none"/>
        </w:rPr>
      </w:pPr>
      <w:r>
        <w:rPr>
          <w:rFonts w:hint="eastAsia" w:ascii="宋体" w:hAnsi="宋体" w:cs="宋体"/>
          <w:kern w:val="0"/>
          <w:szCs w:val="21"/>
          <w:highlight w:val="none"/>
        </w:rPr>
        <w:t>（2）出现影响采购公正的违法、违规行为的；</w:t>
      </w:r>
    </w:p>
    <w:p w14:paraId="34C9BD5E">
      <w:pPr>
        <w:widowControl/>
        <w:adjustRightInd w:val="0"/>
        <w:snapToGrid w:val="0"/>
        <w:spacing w:line="360" w:lineRule="auto"/>
        <w:ind w:firstLine="420"/>
        <w:jc w:val="left"/>
        <w:rPr>
          <w:rFonts w:ascii="宋体" w:hAnsi="宋体"/>
          <w:b/>
          <w:bCs/>
          <w:szCs w:val="21"/>
          <w:highlight w:val="none"/>
        </w:rPr>
      </w:pPr>
      <w:r>
        <w:rPr>
          <w:rFonts w:hint="eastAsia" w:ascii="宋体" w:hAnsi="宋体" w:cs="宋体"/>
          <w:kern w:val="0"/>
          <w:szCs w:val="21"/>
          <w:highlight w:val="none"/>
        </w:rPr>
        <w:t>（3）除市场竞争不充分的科研项目，以及需要扶持的科技成果转化项目外，在采购过程中符合竞争要求的投标人或者报价未超过采购预算的投标人不足3家的，或者提交最后报价的投标人少于3家的。</w:t>
      </w:r>
    </w:p>
    <w:p w14:paraId="6E6E2CEA">
      <w:pPr>
        <w:widowControl/>
        <w:adjustRightInd w:val="0"/>
        <w:snapToGrid w:val="0"/>
        <w:spacing w:line="360" w:lineRule="auto"/>
        <w:jc w:val="left"/>
        <w:rPr>
          <w:rFonts w:ascii="宋体" w:hAnsi="宋体" w:cs="宋体"/>
          <w:b/>
          <w:kern w:val="0"/>
          <w:szCs w:val="21"/>
          <w:highlight w:val="none"/>
        </w:rPr>
      </w:pPr>
      <w:r>
        <w:rPr>
          <w:rFonts w:hint="eastAsia" w:ascii="宋体" w:hAnsi="宋体" w:cs="宋体"/>
          <w:b/>
          <w:kern w:val="0"/>
          <w:szCs w:val="21"/>
          <w:highlight w:val="none"/>
        </w:rPr>
        <w:t>32．重新评审</w:t>
      </w:r>
    </w:p>
    <w:p w14:paraId="3D9849EB">
      <w:pPr>
        <w:widowControl/>
        <w:adjustRightInd w:val="0"/>
        <w:snapToGrid w:val="0"/>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32.1除资格性审查认定错误和分值汇总计算错误、分项评分超出评分标准范围、客观分评分不一致、经评审小组一致认定评分畸高、畸低的情形外，采购人或者采购代理机构不以任何理由组织重新评审。采购人、采购代理机构发现评审小组未按照采购文件规定的评定中标的标准进行评审的，应当重新开展采购活动，并同时书面报告本级财政部门。</w:t>
      </w:r>
    </w:p>
    <w:p w14:paraId="3C7FB0A3">
      <w:pPr>
        <w:adjustRightInd w:val="0"/>
        <w:snapToGrid w:val="0"/>
        <w:spacing w:line="360" w:lineRule="auto"/>
        <w:rPr>
          <w:rFonts w:ascii="宋体" w:hAnsi="宋体"/>
          <w:b/>
          <w:bCs/>
          <w:szCs w:val="21"/>
          <w:highlight w:val="none"/>
        </w:rPr>
      </w:pPr>
      <w:r>
        <w:rPr>
          <w:rFonts w:hint="eastAsia" w:ascii="宋体" w:hAnsi="宋体"/>
          <w:b/>
          <w:bCs/>
          <w:szCs w:val="21"/>
          <w:highlight w:val="none"/>
        </w:rPr>
        <w:t>33.保密及串通行为</w:t>
      </w:r>
    </w:p>
    <w:p w14:paraId="78CB9E59">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33.1评审小组成员以及与评审工作有关的人员不得泄露评审情况以及评审过程中获悉的国家秘密、商业秘密。</w:t>
      </w:r>
    </w:p>
    <w:p w14:paraId="003ED3F7">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33.2</w:t>
      </w:r>
      <w:r>
        <w:rPr>
          <w:rFonts w:hint="eastAsia" w:ascii="宋体" w:hAnsi="宋体" w:cs="宋体"/>
          <w:kern w:val="0"/>
          <w:szCs w:val="21"/>
          <w:highlight w:val="none"/>
        </w:rPr>
        <w:t>投标人</w:t>
      </w:r>
      <w:r>
        <w:rPr>
          <w:rFonts w:hint="eastAsia" w:ascii="宋体" w:hAnsi="宋体"/>
          <w:szCs w:val="21"/>
          <w:highlight w:val="none"/>
        </w:rPr>
        <w:t>不得与</w:t>
      </w:r>
      <w:r>
        <w:rPr>
          <w:rFonts w:hint="eastAsia" w:ascii="宋体" w:hAnsi="宋体" w:cs="宋体"/>
          <w:kern w:val="0"/>
          <w:szCs w:val="21"/>
          <w:highlight w:val="none"/>
        </w:rPr>
        <w:t>采购人、采购代理机构、其他投标人恶意</w:t>
      </w:r>
      <w:r>
        <w:rPr>
          <w:rFonts w:hint="eastAsia" w:ascii="宋体" w:hAnsi="宋体"/>
          <w:szCs w:val="21"/>
          <w:highlight w:val="none"/>
        </w:rPr>
        <w:t>串通；不得向</w:t>
      </w:r>
      <w:r>
        <w:rPr>
          <w:rFonts w:hint="eastAsia" w:ascii="宋体" w:hAnsi="宋体" w:cs="宋体"/>
          <w:kern w:val="0"/>
          <w:szCs w:val="21"/>
          <w:highlight w:val="none"/>
        </w:rPr>
        <w:t>采购人、采购代理机构</w:t>
      </w:r>
      <w:r>
        <w:rPr>
          <w:rFonts w:hint="eastAsia" w:ascii="宋体" w:hAnsi="宋体"/>
          <w:szCs w:val="21"/>
          <w:highlight w:val="none"/>
        </w:rPr>
        <w:t>或者评审小组成员行贿或者提供其他不正当利益；不得提供虚假材料谋取中标；不得以任何方式干扰、影响采购工作。</w:t>
      </w:r>
    </w:p>
    <w:p w14:paraId="17817E56">
      <w:pPr>
        <w:pStyle w:val="42"/>
        <w:adjustRightInd w:val="0"/>
        <w:snapToGrid w:val="0"/>
        <w:spacing w:before="0" w:beforeAutospacing="0" w:after="0" w:afterAutospacing="0" w:line="360" w:lineRule="auto"/>
        <w:ind w:firstLine="420" w:firstLineChars="200"/>
        <w:rPr>
          <w:sz w:val="21"/>
          <w:szCs w:val="21"/>
          <w:highlight w:val="none"/>
          <w:lang w:val="zh-CN"/>
        </w:rPr>
      </w:pPr>
      <w:r>
        <w:rPr>
          <w:rFonts w:hint="eastAsia" w:cs="Arial"/>
          <w:sz w:val="21"/>
          <w:szCs w:val="21"/>
          <w:highlight w:val="none"/>
        </w:rPr>
        <w:t>33.3</w:t>
      </w:r>
      <w:r>
        <w:rPr>
          <w:rFonts w:cs="Arial"/>
          <w:sz w:val="21"/>
          <w:szCs w:val="21"/>
          <w:highlight w:val="none"/>
        </w:rPr>
        <w:t>有下列情形之一的，</w:t>
      </w:r>
      <w:r>
        <w:rPr>
          <w:sz w:val="21"/>
          <w:szCs w:val="21"/>
          <w:highlight w:val="none"/>
          <w:lang w:val="zh-CN"/>
        </w:rPr>
        <w:t>属于恶意串通，</w:t>
      </w:r>
      <w:r>
        <w:rPr>
          <w:rFonts w:hint="eastAsia"/>
          <w:sz w:val="21"/>
          <w:szCs w:val="21"/>
          <w:highlight w:val="none"/>
        </w:rPr>
        <w:t>中标</w:t>
      </w:r>
      <w:r>
        <w:rPr>
          <w:sz w:val="21"/>
          <w:szCs w:val="21"/>
          <w:highlight w:val="none"/>
        </w:rPr>
        <w:t>无效，并</w:t>
      </w:r>
      <w:r>
        <w:rPr>
          <w:sz w:val="21"/>
          <w:szCs w:val="21"/>
          <w:highlight w:val="none"/>
          <w:lang w:val="zh-CN"/>
        </w:rPr>
        <w:t>依照《政府采购法》第七十七条的规定追究法律责任：</w:t>
      </w:r>
    </w:p>
    <w:p w14:paraId="1EE929D9">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（1）</w:t>
      </w:r>
      <w:r>
        <w:rPr>
          <w:rFonts w:hint="eastAsia" w:ascii="宋体" w:hAnsi="宋体" w:cs="宋体"/>
          <w:kern w:val="0"/>
          <w:szCs w:val="21"/>
          <w:highlight w:val="none"/>
        </w:rPr>
        <w:t>投标人</w:t>
      </w:r>
      <w:r>
        <w:rPr>
          <w:rFonts w:hint="eastAsia" w:ascii="宋体" w:hAnsi="宋体"/>
          <w:szCs w:val="21"/>
          <w:highlight w:val="none"/>
        </w:rPr>
        <w:t>直接或者间接从</w:t>
      </w:r>
      <w:r>
        <w:rPr>
          <w:rFonts w:hint="eastAsia" w:ascii="宋体" w:hAnsi="宋体"/>
          <w:bCs/>
          <w:szCs w:val="21"/>
          <w:highlight w:val="none"/>
        </w:rPr>
        <w:t>采购人、采购代理机构</w:t>
      </w:r>
      <w:r>
        <w:rPr>
          <w:rFonts w:hint="eastAsia" w:ascii="宋体" w:hAnsi="宋体"/>
          <w:szCs w:val="21"/>
          <w:highlight w:val="none"/>
        </w:rPr>
        <w:t>获得其他</w:t>
      </w:r>
      <w:r>
        <w:rPr>
          <w:rFonts w:hint="eastAsia" w:ascii="宋体" w:hAnsi="宋体" w:cs="宋体"/>
          <w:kern w:val="0"/>
          <w:szCs w:val="21"/>
          <w:highlight w:val="none"/>
        </w:rPr>
        <w:t>投标人</w:t>
      </w:r>
      <w:r>
        <w:rPr>
          <w:rFonts w:hint="eastAsia" w:ascii="宋体" w:hAnsi="宋体"/>
          <w:szCs w:val="21"/>
          <w:highlight w:val="none"/>
        </w:rPr>
        <w:t>的相应情况，并修改其投标文件的；</w:t>
      </w:r>
    </w:p>
    <w:p w14:paraId="45E23D1C">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（2）</w:t>
      </w:r>
      <w:r>
        <w:rPr>
          <w:rFonts w:hint="eastAsia" w:ascii="宋体" w:hAnsi="宋体"/>
          <w:bCs/>
          <w:szCs w:val="21"/>
          <w:highlight w:val="none"/>
        </w:rPr>
        <w:t>采购人、采购代理机构</w:t>
      </w:r>
      <w:r>
        <w:rPr>
          <w:rFonts w:hint="eastAsia" w:ascii="宋体" w:hAnsi="宋体"/>
          <w:szCs w:val="21"/>
          <w:highlight w:val="none"/>
        </w:rPr>
        <w:t>授意</w:t>
      </w:r>
      <w:r>
        <w:rPr>
          <w:rFonts w:hint="eastAsia" w:ascii="宋体" w:hAnsi="宋体" w:cs="宋体"/>
          <w:kern w:val="0"/>
          <w:szCs w:val="21"/>
          <w:highlight w:val="none"/>
        </w:rPr>
        <w:t>投标人</w:t>
      </w:r>
      <w:r>
        <w:rPr>
          <w:rFonts w:hint="eastAsia" w:ascii="宋体" w:hAnsi="宋体"/>
          <w:szCs w:val="21"/>
          <w:highlight w:val="none"/>
        </w:rPr>
        <w:t>撤换、修改投标文件的；</w:t>
      </w:r>
    </w:p>
    <w:p w14:paraId="66A4FD9F">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（3）</w:t>
      </w:r>
      <w:r>
        <w:rPr>
          <w:rFonts w:hint="eastAsia" w:ascii="宋体" w:hAnsi="宋体" w:cs="宋体"/>
          <w:kern w:val="0"/>
          <w:szCs w:val="21"/>
          <w:highlight w:val="none"/>
        </w:rPr>
        <w:t>投标人</w:t>
      </w:r>
      <w:r>
        <w:rPr>
          <w:rFonts w:hint="eastAsia" w:ascii="宋体" w:hAnsi="宋体"/>
          <w:szCs w:val="21"/>
          <w:highlight w:val="none"/>
        </w:rPr>
        <w:t>之间协商技术方案、合同条款以及报价等投标文件实质性内容的；</w:t>
      </w:r>
    </w:p>
    <w:p w14:paraId="5D2117CA">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（4）属于同一集团、协会、商会等组织成员的</w:t>
      </w:r>
      <w:r>
        <w:rPr>
          <w:rFonts w:hint="eastAsia" w:ascii="宋体" w:hAnsi="宋体" w:cs="宋体"/>
          <w:kern w:val="0"/>
          <w:szCs w:val="21"/>
          <w:highlight w:val="none"/>
        </w:rPr>
        <w:t>投标人</w:t>
      </w:r>
      <w:r>
        <w:rPr>
          <w:rFonts w:hint="eastAsia" w:ascii="宋体" w:hAnsi="宋体"/>
          <w:szCs w:val="21"/>
          <w:highlight w:val="none"/>
        </w:rPr>
        <w:t>按照该组织要求协同参加公开招标政府采购活动的；</w:t>
      </w:r>
    </w:p>
    <w:p w14:paraId="4BEF7997">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（5）</w:t>
      </w:r>
      <w:r>
        <w:rPr>
          <w:rFonts w:hint="eastAsia" w:ascii="宋体" w:hAnsi="宋体" w:cs="宋体"/>
          <w:kern w:val="0"/>
          <w:szCs w:val="21"/>
          <w:highlight w:val="none"/>
        </w:rPr>
        <w:t>投标人</w:t>
      </w:r>
      <w:r>
        <w:rPr>
          <w:rFonts w:hint="eastAsia" w:ascii="宋体" w:hAnsi="宋体"/>
          <w:szCs w:val="21"/>
          <w:highlight w:val="none"/>
        </w:rPr>
        <w:t>之间事先约定由某一特定</w:t>
      </w:r>
      <w:r>
        <w:rPr>
          <w:rFonts w:hint="eastAsia" w:ascii="宋体" w:hAnsi="宋体" w:cs="宋体"/>
          <w:kern w:val="0"/>
          <w:szCs w:val="21"/>
          <w:highlight w:val="none"/>
        </w:rPr>
        <w:t>投标人</w:t>
      </w:r>
      <w:r>
        <w:rPr>
          <w:rFonts w:hint="eastAsia" w:ascii="宋体" w:hAnsi="宋体"/>
          <w:szCs w:val="21"/>
          <w:highlight w:val="none"/>
        </w:rPr>
        <w:t>中标的；</w:t>
      </w:r>
    </w:p>
    <w:p w14:paraId="62CB1FFF">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（6）</w:t>
      </w:r>
      <w:r>
        <w:rPr>
          <w:rFonts w:hint="eastAsia" w:ascii="宋体" w:hAnsi="宋体" w:cs="宋体"/>
          <w:kern w:val="0"/>
          <w:szCs w:val="21"/>
          <w:highlight w:val="none"/>
        </w:rPr>
        <w:t>投标人</w:t>
      </w:r>
      <w:r>
        <w:rPr>
          <w:rFonts w:hint="eastAsia" w:ascii="宋体" w:hAnsi="宋体"/>
          <w:szCs w:val="21"/>
          <w:highlight w:val="none"/>
        </w:rPr>
        <w:t>之间商定部分</w:t>
      </w:r>
      <w:r>
        <w:rPr>
          <w:rFonts w:hint="eastAsia" w:ascii="宋体" w:hAnsi="宋体" w:cs="宋体"/>
          <w:kern w:val="0"/>
          <w:szCs w:val="21"/>
          <w:highlight w:val="none"/>
        </w:rPr>
        <w:t>投标人</w:t>
      </w:r>
      <w:r>
        <w:rPr>
          <w:rFonts w:hint="eastAsia" w:ascii="宋体" w:hAnsi="宋体"/>
          <w:szCs w:val="21"/>
          <w:highlight w:val="none"/>
        </w:rPr>
        <w:t>放弃提交投标文件或者退出投标或者放弃中标的；</w:t>
      </w:r>
    </w:p>
    <w:p w14:paraId="678559EB">
      <w:pPr>
        <w:adjustRightInd w:val="0"/>
        <w:snapToGrid w:val="0"/>
        <w:spacing w:line="360" w:lineRule="auto"/>
        <w:ind w:firstLine="420" w:firstLineChars="200"/>
        <w:rPr>
          <w:rFonts w:ascii="宋体" w:hAnsi="宋体"/>
          <w:b/>
          <w:szCs w:val="21"/>
          <w:highlight w:val="none"/>
        </w:rPr>
      </w:pPr>
      <w:r>
        <w:rPr>
          <w:rFonts w:hint="eastAsia" w:ascii="宋体" w:hAnsi="宋体"/>
          <w:szCs w:val="21"/>
          <w:highlight w:val="none"/>
        </w:rPr>
        <w:t>（7）</w:t>
      </w:r>
      <w:r>
        <w:rPr>
          <w:rFonts w:hint="eastAsia" w:ascii="宋体" w:hAnsi="宋体" w:cs="宋体"/>
          <w:kern w:val="0"/>
          <w:szCs w:val="21"/>
          <w:highlight w:val="none"/>
        </w:rPr>
        <w:t>投标人</w:t>
      </w:r>
      <w:r>
        <w:rPr>
          <w:rFonts w:hint="eastAsia" w:ascii="宋体" w:hAnsi="宋体"/>
          <w:szCs w:val="21"/>
          <w:highlight w:val="none"/>
        </w:rPr>
        <w:t>与</w:t>
      </w:r>
      <w:r>
        <w:rPr>
          <w:rFonts w:hint="eastAsia" w:ascii="宋体" w:hAnsi="宋体"/>
          <w:bCs/>
          <w:szCs w:val="21"/>
          <w:highlight w:val="none"/>
        </w:rPr>
        <w:t>采购人、采购代理机构以及</w:t>
      </w:r>
      <w:r>
        <w:rPr>
          <w:rFonts w:hint="eastAsia" w:ascii="宋体" w:hAnsi="宋体"/>
          <w:szCs w:val="21"/>
          <w:highlight w:val="none"/>
        </w:rPr>
        <w:t>评审小组成员之间、</w:t>
      </w:r>
      <w:r>
        <w:rPr>
          <w:rFonts w:hint="eastAsia" w:ascii="宋体" w:hAnsi="宋体" w:cs="宋体"/>
          <w:kern w:val="0"/>
          <w:szCs w:val="21"/>
          <w:highlight w:val="none"/>
        </w:rPr>
        <w:t>投标人</w:t>
      </w:r>
      <w:r>
        <w:rPr>
          <w:rFonts w:hint="eastAsia" w:ascii="宋体" w:hAnsi="宋体"/>
          <w:szCs w:val="21"/>
          <w:highlight w:val="none"/>
        </w:rPr>
        <w:t>相互之间，为谋求特定</w:t>
      </w:r>
      <w:r>
        <w:rPr>
          <w:rFonts w:hint="eastAsia" w:ascii="宋体" w:hAnsi="宋体" w:cs="宋体"/>
          <w:kern w:val="0"/>
          <w:szCs w:val="21"/>
          <w:highlight w:val="none"/>
        </w:rPr>
        <w:t>投标人</w:t>
      </w:r>
      <w:r>
        <w:rPr>
          <w:rFonts w:hint="eastAsia" w:ascii="宋体" w:hAnsi="宋体"/>
          <w:szCs w:val="21"/>
          <w:highlight w:val="none"/>
        </w:rPr>
        <w:t>中标或者排斥其他</w:t>
      </w:r>
      <w:r>
        <w:rPr>
          <w:rFonts w:hint="eastAsia" w:ascii="宋体" w:hAnsi="宋体" w:cs="宋体"/>
          <w:kern w:val="0"/>
          <w:szCs w:val="21"/>
          <w:highlight w:val="none"/>
        </w:rPr>
        <w:t>投标人</w:t>
      </w:r>
      <w:r>
        <w:rPr>
          <w:rFonts w:hint="eastAsia" w:ascii="宋体" w:hAnsi="宋体"/>
          <w:szCs w:val="21"/>
          <w:highlight w:val="none"/>
        </w:rPr>
        <w:t>的其他串通行为的。</w:t>
      </w:r>
    </w:p>
    <w:p w14:paraId="52C3A802">
      <w:pPr>
        <w:adjustRightInd w:val="0"/>
        <w:snapToGrid w:val="0"/>
        <w:spacing w:line="360" w:lineRule="auto"/>
        <w:ind w:firstLine="420" w:firstLineChars="200"/>
        <w:rPr>
          <w:rFonts w:ascii="宋体" w:hAnsi="宋体"/>
          <w:szCs w:val="21"/>
          <w:highlight w:val="none"/>
        </w:rPr>
      </w:pPr>
      <w:r>
        <w:rPr>
          <w:rFonts w:ascii="宋体" w:hAnsi="宋体" w:cs="Arial"/>
          <w:szCs w:val="21"/>
          <w:highlight w:val="none"/>
        </w:rPr>
        <w:t>（</w:t>
      </w:r>
      <w:r>
        <w:rPr>
          <w:rFonts w:hint="eastAsia" w:ascii="宋体" w:hAnsi="宋体" w:cs="Arial"/>
          <w:szCs w:val="21"/>
          <w:highlight w:val="none"/>
        </w:rPr>
        <w:t>8</w:t>
      </w:r>
      <w:r>
        <w:rPr>
          <w:rFonts w:ascii="宋体" w:hAnsi="宋体" w:cs="Arial"/>
          <w:szCs w:val="21"/>
          <w:highlight w:val="none"/>
        </w:rPr>
        <w:t>）</w:t>
      </w:r>
      <w:r>
        <w:rPr>
          <w:rFonts w:ascii="宋体" w:hAnsi="宋体"/>
          <w:szCs w:val="21"/>
          <w:highlight w:val="none"/>
        </w:rPr>
        <w:t>法律、行政法规或规章规定的其他串通行为。</w:t>
      </w:r>
    </w:p>
    <w:p w14:paraId="357760F2">
      <w:pPr>
        <w:pStyle w:val="3"/>
        <w:rPr>
          <w:rFonts w:ascii="宋体" w:hAnsi="宋体"/>
          <w:sz w:val="21"/>
          <w:szCs w:val="21"/>
          <w:highlight w:val="none"/>
        </w:rPr>
      </w:pPr>
      <w:bookmarkStart w:id="36" w:name="_Toc10571"/>
      <w:r>
        <w:rPr>
          <w:rFonts w:hint="eastAsia" w:ascii="宋体" w:hAnsi="宋体"/>
          <w:sz w:val="21"/>
          <w:szCs w:val="21"/>
          <w:highlight w:val="none"/>
        </w:rPr>
        <w:t>六、中标结果信息公布与授予合同</w:t>
      </w:r>
      <w:bookmarkEnd w:id="36"/>
    </w:p>
    <w:p w14:paraId="46C4A760">
      <w:pPr>
        <w:adjustRightInd w:val="0"/>
        <w:snapToGrid w:val="0"/>
        <w:spacing w:line="360" w:lineRule="auto"/>
        <w:rPr>
          <w:rFonts w:ascii="宋体" w:hAnsi="宋体"/>
          <w:b/>
          <w:bCs/>
          <w:szCs w:val="21"/>
          <w:highlight w:val="none"/>
        </w:rPr>
      </w:pPr>
      <w:r>
        <w:rPr>
          <w:rFonts w:hint="eastAsia" w:ascii="宋体" w:hAnsi="宋体"/>
          <w:b/>
          <w:bCs/>
          <w:szCs w:val="21"/>
          <w:highlight w:val="none"/>
        </w:rPr>
        <w:t>34.中标信息的公布</w:t>
      </w:r>
    </w:p>
    <w:p w14:paraId="0B59CCBA">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34.1中标投标人确定后2个工作日内，采购人或者采购代理机构应将中标结果信息在</w:t>
      </w:r>
      <w:r>
        <w:rPr>
          <w:rFonts w:hint="eastAsia" w:ascii="宋体" w:hAnsi="宋体"/>
          <w:b/>
          <w:sz w:val="21"/>
          <w:szCs w:val="21"/>
          <w:highlight w:val="none"/>
        </w:rPr>
        <w:t>投标须知前附表</w:t>
      </w:r>
      <w:r>
        <w:rPr>
          <w:rFonts w:hint="eastAsia" w:ascii="宋体" w:hAnsi="宋体"/>
          <w:sz w:val="21"/>
          <w:szCs w:val="21"/>
          <w:highlight w:val="none"/>
        </w:rPr>
        <w:t>指定的媒体上公布。</w:t>
      </w:r>
    </w:p>
    <w:p w14:paraId="75C51507">
      <w:pPr>
        <w:adjustRightInd w:val="0"/>
        <w:snapToGrid w:val="0"/>
        <w:spacing w:line="360" w:lineRule="auto"/>
        <w:rPr>
          <w:rFonts w:ascii="宋体" w:hAnsi="宋体"/>
          <w:b/>
          <w:bCs/>
          <w:szCs w:val="21"/>
          <w:highlight w:val="none"/>
        </w:rPr>
      </w:pPr>
      <w:r>
        <w:rPr>
          <w:rFonts w:hint="eastAsia" w:ascii="宋体" w:hAnsi="宋体"/>
          <w:b/>
          <w:bCs/>
          <w:szCs w:val="21"/>
          <w:highlight w:val="none"/>
        </w:rPr>
        <w:t>35.询问及质疑</w:t>
      </w:r>
    </w:p>
    <w:p w14:paraId="0633605C">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35.1投标人对采购文件提出询问或者质疑的，必须遵守政府采购的相关法规，且应提交纸质的质询或者质疑文件原件，并须附证明材料，同时说明投标人联系人、联系方式。原件需加盖投标人公章并由被授权代表签署。</w:t>
      </w:r>
    </w:p>
    <w:p w14:paraId="7D8DCAFD">
      <w:pPr>
        <w:adjustRightInd w:val="0"/>
        <w:snapToGrid w:val="0"/>
        <w:spacing w:line="360" w:lineRule="auto"/>
        <w:rPr>
          <w:rFonts w:ascii="宋体" w:hAnsi="宋体"/>
          <w:b/>
          <w:bCs/>
          <w:szCs w:val="21"/>
          <w:highlight w:val="none"/>
        </w:rPr>
      </w:pPr>
      <w:r>
        <w:rPr>
          <w:rFonts w:hint="eastAsia" w:ascii="宋体" w:hAnsi="宋体"/>
          <w:b/>
          <w:bCs/>
          <w:szCs w:val="21"/>
          <w:highlight w:val="none"/>
        </w:rPr>
        <w:t>36.中标通知</w:t>
      </w:r>
    </w:p>
    <w:p w14:paraId="2BF7FDF6">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36.1中标单位确定后，采购人或采购代理机构将以书面形式向中标</w:t>
      </w:r>
      <w:r>
        <w:rPr>
          <w:rFonts w:hint="eastAsia" w:ascii="宋体" w:hAnsi="宋体" w:cs="宋体"/>
          <w:kern w:val="0"/>
          <w:sz w:val="21"/>
          <w:szCs w:val="21"/>
          <w:highlight w:val="none"/>
        </w:rPr>
        <w:t>单位</w:t>
      </w:r>
      <w:r>
        <w:rPr>
          <w:rFonts w:hint="eastAsia" w:ascii="宋体" w:hAnsi="宋体"/>
          <w:sz w:val="21"/>
          <w:szCs w:val="21"/>
          <w:highlight w:val="none"/>
        </w:rPr>
        <w:t>发出中标通知书。中标通知书对采购人和中标单位具有同等法律效力。</w:t>
      </w:r>
    </w:p>
    <w:p w14:paraId="4979BEAB">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36.2 中标通知书是合同文件的组成部分。</w:t>
      </w:r>
    </w:p>
    <w:p w14:paraId="218F317E">
      <w:pPr>
        <w:tabs>
          <w:tab w:val="left" w:pos="7560"/>
          <w:tab w:val="left" w:pos="7740"/>
          <w:tab w:val="left" w:pos="7920"/>
        </w:tabs>
        <w:autoSpaceDN w:val="0"/>
        <w:adjustRightInd w:val="0"/>
        <w:snapToGrid w:val="0"/>
        <w:spacing w:line="360" w:lineRule="auto"/>
        <w:ind w:firstLine="420" w:firstLineChars="200"/>
        <w:rPr>
          <w:rFonts w:ascii="宋体" w:hAnsi="宋体"/>
          <w:szCs w:val="21"/>
          <w:highlight w:val="none"/>
        </w:rPr>
      </w:pPr>
      <w:r>
        <w:rPr>
          <w:rFonts w:hint="eastAsia" w:ascii="宋体" w:hAnsi="宋体" w:cs="宋体"/>
          <w:kern w:val="0"/>
          <w:szCs w:val="21"/>
          <w:highlight w:val="none"/>
        </w:rPr>
        <w:t xml:space="preserve">36.3 </w:t>
      </w:r>
      <w:r>
        <w:rPr>
          <w:rFonts w:hint="eastAsia" w:ascii="宋体" w:hAnsi="宋体"/>
          <w:szCs w:val="21"/>
          <w:highlight w:val="none"/>
        </w:rPr>
        <w:t>中标单位在收到采购代理机构的中标通知书后10日内，应按照</w:t>
      </w:r>
      <w:r>
        <w:rPr>
          <w:rFonts w:hint="eastAsia" w:ascii="宋体" w:hAnsi="宋体"/>
          <w:b/>
          <w:szCs w:val="21"/>
          <w:highlight w:val="none"/>
        </w:rPr>
        <w:t>投标须知前附表</w:t>
      </w:r>
      <w:r>
        <w:rPr>
          <w:rFonts w:hint="eastAsia" w:ascii="宋体" w:hAnsi="宋体"/>
          <w:szCs w:val="21"/>
          <w:highlight w:val="none"/>
        </w:rPr>
        <w:t>的规定，向采购人提交履约担保。</w:t>
      </w:r>
    </w:p>
    <w:p w14:paraId="5B336B93">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36.4 中标单位</w:t>
      </w:r>
      <w:r>
        <w:rPr>
          <w:rFonts w:hint="eastAsia" w:ascii="宋体" w:hAnsi="宋体"/>
          <w:spacing w:val="4"/>
          <w:sz w:val="21"/>
          <w:szCs w:val="21"/>
          <w:highlight w:val="none"/>
        </w:rPr>
        <w:t>没有按照本章第37.3</w:t>
      </w:r>
      <w:r>
        <w:rPr>
          <w:rFonts w:hint="eastAsia" w:ascii="宋体" w:hAnsi="宋体" w:cs="宋体"/>
          <w:kern w:val="0"/>
          <w:sz w:val="21"/>
          <w:szCs w:val="21"/>
          <w:highlight w:val="none"/>
          <w:lang w:val="zh-CN"/>
        </w:rPr>
        <w:t>款</w:t>
      </w:r>
      <w:r>
        <w:rPr>
          <w:rFonts w:hint="eastAsia" w:ascii="宋体" w:hAnsi="宋体"/>
          <w:spacing w:val="4"/>
          <w:sz w:val="21"/>
          <w:szCs w:val="21"/>
          <w:highlight w:val="none"/>
        </w:rPr>
        <w:t>规定</w:t>
      </w:r>
      <w:r>
        <w:rPr>
          <w:rFonts w:hint="eastAsia" w:ascii="宋体" w:hAnsi="宋体"/>
          <w:sz w:val="21"/>
          <w:szCs w:val="21"/>
          <w:highlight w:val="none"/>
        </w:rPr>
        <w:t>提交履约担保的</w:t>
      </w:r>
      <w:r>
        <w:rPr>
          <w:rFonts w:hint="eastAsia" w:ascii="宋体" w:hAnsi="宋体"/>
          <w:spacing w:val="4"/>
          <w:sz w:val="21"/>
          <w:szCs w:val="21"/>
          <w:highlight w:val="none"/>
        </w:rPr>
        <w:t>，视为放弃</w:t>
      </w:r>
      <w:r>
        <w:rPr>
          <w:rFonts w:hint="eastAsia" w:ascii="宋体" w:hAnsi="宋体"/>
          <w:sz w:val="21"/>
          <w:szCs w:val="21"/>
          <w:highlight w:val="none"/>
        </w:rPr>
        <w:t>中标资格</w:t>
      </w:r>
      <w:r>
        <w:rPr>
          <w:rFonts w:hint="eastAsia" w:ascii="宋体" w:hAnsi="宋体"/>
          <w:spacing w:val="4"/>
          <w:sz w:val="21"/>
          <w:szCs w:val="21"/>
          <w:highlight w:val="none"/>
        </w:rPr>
        <w:t>，</w:t>
      </w:r>
      <w:r>
        <w:rPr>
          <w:rFonts w:hint="eastAsia" w:ascii="宋体" w:hAnsi="宋体"/>
          <w:spacing w:val="2"/>
          <w:sz w:val="21"/>
          <w:szCs w:val="21"/>
          <w:highlight w:val="none"/>
        </w:rPr>
        <w:t>其投标保证金不予退还。</w:t>
      </w:r>
    </w:p>
    <w:p w14:paraId="46C7AAB3">
      <w:pPr>
        <w:adjustRightInd w:val="0"/>
        <w:snapToGrid w:val="0"/>
        <w:spacing w:line="360" w:lineRule="auto"/>
        <w:rPr>
          <w:rFonts w:ascii="宋体" w:hAnsi="宋体"/>
          <w:b/>
          <w:bCs/>
          <w:szCs w:val="21"/>
          <w:highlight w:val="none"/>
        </w:rPr>
      </w:pPr>
      <w:r>
        <w:rPr>
          <w:rFonts w:hint="eastAsia" w:ascii="宋体" w:hAnsi="宋体"/>
          <w:b/>
          <w:bCs/>
          <w:szCs w:val="21"/>
          <w:highlight w:val="none"/>
        </w:rPr>
        <w:t>37.签订合同</w:t>
      </w:r>
    </w:p>
    <w:p w14:paraId="7FFCA6DD">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37.1 采购文件、中标单位的投标文件及其补充的投标文件等均为签订政府采购合同的依据。</w:t>
      </w:r>
    </w:p>
    <w:p w14:paraId="542301AE">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37.2 中标单位应当在中标通知书发出之日起30日内与采购人签订政府采购合同。</w:t>
      </w:r>
    </w:p>
    <w:p w14:paraId="4FB6A837">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37.3 中标单位应当按照合同约定履行义务。中标单位不得向他人转让中标项目，也不得将中标项目分包后分别向他人转让。</w:t>
      </w:r>
    </w:p>
    <w:p w14:paraId="6D068517">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37.4 中标单位有下列情形之一的，责令限期改正，情节严重的，列入不良行为记录名单，在1至3年内禁止参加政府采购活动，并予以通报：</w:t>
      </w:r>
    </w:p>
    <w:p w14:paraId="6F833E58">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（一）中标后无正当理由不与采购人签订合同的；</w:t>
      </w:r>
    </w:p>
    <w:p w14:paraId="03C42BFF">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（二）未按照采购文件确定的事项签订政府采购合同，或者与采购人另行订立背离合同实质性内容的协议的；</w:t>
      </w:r>
    </w:p>
    <w:p w14:paraId="0F2DC141">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（三）拒绝履行合同义务的；</w:t>
      </w:r>
    </w:p>
    <w:p w14:paraId="19053177">
      <w:pPr>
        <w:pStyle w:val="24"/>
        <w:adjustRightInd w:val="0"/>
        <w:snapToGrid w:val="0"/>
        <w:spacing w:line="360" w:lineRule="auto"/>
        <w:ind w:firstLine="420" w:firstLineChars="200"/>
        <w:rPr>
          <w:rFonts w:ascii="宋体" w:hAnsi="宋体" w:cs="宋体"/>
          <w:kern w:val="0"/>
          <w:sz w:val="21"/>
          <w:szCs w:val="21"/>
          <w:highlight w:val="none"/>
        </w:rPr>
      </w:pPr>
      <w:r>
        <w:rPr>
          <w:rFonts w:hint="eastAsia" w:ascii="宋体" w:hAnsi="宋体"/>
          <w:sz w:val="21"/>
          <w:szCs w:val="21"/>
          <w:highlight w:val="none"/>
        </w:rPr>
        <w:t>（四）</w:t>
      </w:r>
      <w:r>
        <w:rPr>
          <w:rFonts w:hint="eastAsia" w:ascii="宋体" w:hAnsi="宋体" w:cs="宋体"/>
          <w:kern w:val="0"/>
          <w:sz w:val="21"/>
          <w:szCs w:val="21"/>
          <w:highlight w:val="none"/>
        </w:rPr>
        <w:t>违反法律、规章、规范性文件规定的。</w:t>
      </w:r>
    </w:p>
    <w:p w14:paraId="3AC07A2E">
      <w:pPr>
        <w:pStyle w:val="24"/>
        <w:adjustRightInd w:val="0"/>
        <w:snapToGrid w:val="0"/>
        <w:spacing w:line="360" w:lineRule="auto"/>
        <w:ind w:firstLine="422" w:firstLineChars="200"/>
        <w:rPr>
          <w:rFonts w:ascii="宋体" w:hAnsi="宋体" w:cs="宋体"/>
          <w:b/>
          <w:bCs/>
          <w:kern w:val="0"/>
          <w:sz w:val="21"/>
          <w:szCs w:val="21"/>
          <w:highlight w:val="none"/>
        </w:rPr>
      </w:pPr>
      <w:r>
        <w:rPr>
          <w:rFonts w:hint="eastAsia" w:ascii="宋体" w:hAnsi="宋体" w:cs="宋体"/>
          <w:b/>
          <w:bCs/>
          <w:kern w:val="0"/>
          <w:sz w:val="21"/>
          <w:szCs w:val="21"/>
          <w:highlight w:val="none"/>
        </w:rPr>
        <w:t>3</w:t>
      </w:r>
      <w:r>
        <w:rPr>
          <w:rFonts w:ascii="宋体" w:hAnsi="宋体" w:cs="宋体"/>
          <w:b/>
          <w:bCs/>
          <w:kern w:val="0"/>
          <w:sz w:val="21"/>
          <w:szCs w:val="21"/>
          <w:highlight w:val="none"/>
        </w:rPr>
        <w:t>7.5</w:t>
      </w:r>
      <w:r>
        <w:rPr>
          <w:rFonts w:hint="eastAsia" w:ascii="宋体" w:hAnsi="宋体" w:cs="宋体"/>
          <w:b/>
          <w:bCs/>
          <w:kern w:val="0"/>
          <w:sz w:val="21"/>
          <w:szCs w:val="21"/>
          <w:highlight w:val="none"/>
        </w:rPr>
        <w:t>验收时候须邀请评标专家之一共同跟甲方参与验收，产生的专家费由中标方承担。</w:t>
      </w:r>
    </w:p>
    <w:p w14:paraId="280ED5AD">
      <w:pPr>
        <w:pStyle w:val="3"/>
        <w:rPr>
          <w:rFonts w:ascii="宋体" w:hAnsi="宋体"/>
          <w:sz w:val="21"/>
          <w:szCs w:val="21"/>
          <w:highlight w:val="none"/>
        </w:rPr>
      </w:pPr>
      <w:bookmarkStart w:id="37" w:name="_Toc425613608"/>
      <w:bookmarkStart w:id="38" w:name="_Toc1708"/>
      <w:r>
        <w:rPr>
          <w:rFonts w:hint="eastAsia" w:ascii="宋体" w:hAnsi="宋体"/>
          <w:sz w:val="21"/>
          <w:szCs w:val="21"/>
          <w:highlight w:val="none"/>
        </w:rPr>
        <w:t>七、其他规定</w:t>
      </w:r>
      <w:bookmarkEnd w:id="37"/>
      <w:bookmarkEnd w:id="38"/>
    </w:p>
    <w:p w14:paraId="536B1F40">
      <w:pPr>
        <w:adjustRightInd w:val="0"/>
        <w:snapToGrid w:val="0"/>
        <w:spacing w:line="360" w:lineRule="auto"/>
        <w:jc w:val="left"/>
        <w:rPr>
          <w:rFonts w:ascii="宋体" w:hAnsi="宋体"/>
          <w:b/>
          <w:szCs w:val="21"/>
          <w:highlight w:val="none"/>
        </w:rPr>
      </w:pPr>
      <w:r>
        <w:rPr>
          <w:rFonts w:hint="eastAsia" w:ascii="宋体" w:hAnsi="宋体"/>
          <w:b/>
          <w:szCs w:val="21"/>
          <w:highlight w:val="none"/>
        </w:rPr>
        <w:t>38.采购代理服务费</w:t>
      </w:r>
    </w:p>
    <w:p w14:paraId="18A37E55">
      <w:pPr>
        <w:tabs>
          <w:tab w:val="left" w:pos="420"/>
          <w:tab w:val="left" w:pos="7560"/>
          <w:tab w:val="left" w:pos="7740"/>
          <w:tab w:val="left" w:pos="7920"/>
        </w:tabs>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38.1采购代理机构应按</w:t>
      </w:r>
      <w:r>
        <w:rPr>
          <w:rFonts w:hint="eastAsia" w:ascii="宋体" w:hAnsi="宋体"/>
          <w:b/>
          <w:szCs w:val="21"/>
          <w:highlight w:val="none"/>
        </w:rPr>
        <w:t>投标须知前附表</w:t>
      </w:r>
      <w:r>
        <w:rPr>
          <w:rFonts w:hint="eastAsia" w:ascii="宋体" w:hAnsi="宋体"/>
          <w:szCs w:val="21"/>
          <w:highlight w:val="none"/>
        </w:rPr>
        <w:t>规定收取采购代理服务费。</w:t>
      </w:r>
    </w:p>
    <w:p w14:paraId="4E90110A">
      <w:pPr>
        <w:tabs>
          <w:tab w:val="left" w:pos="420"/>
          <w:tab w:val="left" w:pos="7560"/>
          <w:tab w:val="left" w:pos="7740"/>
          <w:tab w:val="left" w:pos="7920"/>
        </w:tabs>
        <w:adjustRightInd w:val="0"/>
        <w:snapToGrid w:val="0"/>
        <w:spacing w:line="360" w:lineRule="auto"/>
        <w:rPr>
          <w:rFonts w:ascii="宋体" w:hAnsi="宋体"/>
          <w:b/>
          <w:szCs w:val="21"/>
          <w:highlight w:val="none"/>
        </w:rPr>
      </w:pPr>
      <w:r>
        <w:rPr>
          <w:rFonts w:hint="eastAsia" w:ascii="宋体" w:hAnsi="宋体"/>
          <w:b/>
          <w:szCs w:val="21"/>
          <w:highlight w:val="none"/>
        </w:rPr>
        <w:t>39. 其他规定</w:t>
      </w:r>
    </w:p>
    <w:p w14:paraId="2AAFCB12">
      <w:pPr>
        <w:spacing w:line="360" w:lineRule="auto"/>
        <w:ind w:firstLine="420" w:firstLineChars="200"/>
        <w:rPr>
          <w:rFonts w:ascii="宋体" w:hAnsi="宋体" w:cs="仿宋_GB2312"/>
          <w:szCs w:val="21"/>
          <w:highlight w:val="none"/>
        </w:rPr>
      </w:pPr>
      <w:r>
        <w:rPr>
          <w:rFonts w:hint="eastAsia" w:ascii="宋体" w:hAnsi="宋体"/>
          <w:szCs w:val="21"/>
          <w:highlight w:val="none"/>
        </w:rPr>
        <w:t>39.1采购文件的其他规定见</w:t>
      </w:r>
      <w:r>
        <w:rPr>
          <w:rFonts w:hint="eastAsia" w:ascii="宋体" w:hAnsi="宋体"/>
          <w:b/>
          <w:szCs w:val="21"/>
          <w:highlight w:val="none"/>
        </w:rPr>
        <w:t>投标须知前附表</w:t>
      </w:r>
      <w:r>
        <w:rPr>
          <w:rFonts w:hint="eastAsia" w:ascii="宋体" w:hAnsi="宋体"/>
          <w:szCs w:val="21"/>
          <w:highlight w:val="none"/>
        </w:rPr>
        <w:t>。</w:t>
      </w:r>
    </w:p>
    <w:p w14:paraId="337BE35F">
      <w:pPr>
        <w:widowControl/>
        <w:jc w:val="left"/>
        <w:rPr>
          <w:b/>
          <w:bCs/>
          <w:sz w:val="28"/>
          <w:szCs w:val="20"/>
          <w:highlight w:val="none"/>
        </w:rPr>
      </w:pPr>
      <w:bookmarkStart w:id="39" w:name="_Toc420948016"/>
      <w:bookmarkStart w:id="40" w:name="_Toc433113176"/>
      <w:r>
        <w:rPr>
          <w:highlight w:val="none"/>
        </w:rPr>
        <w:br w:type="page"/>
      </w:r>
    </w:p>
    <w:p w14:paraId="3E366AA4">
      <w:pPr>
        <w:pStyle w:val="2"/>
        <w:rPr>
          <w:highlight w:val="none"/>
        </w:rPr>
      </w:pPr>
      <w:bookmarkStart w:id="41" w:name="_Toc363"/>
      <w:r>
        <w:rPr>
          <w:rFonts w:hint="eastAsia"/>
          <w:highlight w:val="none"/>
        </w:rPr>
        <w:t xml:space="preserve">第三章  </w:t>
      </w:r>
      <w:bookmarkEnd w:id="39"/>
      <w:bookmarkEnd w:id="40"/>
      <w:r>
        <w:rPr>
          <w:rFonts w:hint="eastAsia"/>
          <w:highlight w:val="none"/>
        </w:rPr>
        <w:t>合同协议书</w:t>
      </w:r>
      <w:bookmarkEnd w:id="41"/>
      <w:bookmarkStart w:id="42" w:name="_Toc420948017"/>
      <w:bookmarkStart w:id="43" w:name="_Toc433187361"/>
    </w:p>
    <w:p w14:paraId="34B9E3C3">
      <w:pPr>
        <w:spacing w:line="440" w:lineRule="exact"/>
        <w:ind w:firstLine="442" w:firstLineChars="200"/>
        <w:jc w:val="center"/>
        <w:rPr>
          <w:b/>
          <w:sz w:val="22"/>
          <w:szCs w:val="22"/>
          <w:highlight w:val="none"/>
        </w:rPr>
      </w:pPr>
      <w:bookmarkStart w:id="44" w:name="_Toc420948020"/>
      <w:bookmarkStart w:id="45" w:name="_Toc446500166"/>
      <w:r>
        <w:rPr>
          <w:rFonts w:hint="eastAsia"/>
          <w:b/>
          <w:sz w:val="22"/>
          <w:szCs w:val="22"/>
          <w:highlight w:val="none"/>
        </w:rPr>
        <w:t>（本合同仅供参考，具体以实际签订的为准）</w:t>
      </w:r>
    </w:p>
    <w:p w14:paraId="014FE337">
      <w:pPr>
        <w:spacing w:line="480" w:lineRule="auto"/>
        <w:ind w:firstLine="2209" w:firstLineChars="500"/>
        <w:rPr>
          <w:rFonts w:ascii="宋体" w:hAnsi="宋体" w:cs="宋体"/>
          <w:b/>
          <w:sz w:val="44"/>
          <w:szCs w:val="44"/>
          <w:highlight w:val="none"/>
        </w:rPr>
      </w:pPr>
      <w:r>
        <w:rPr>
          <w:rFonts w:hint="eastAsia" w:ascii="宋体" w:hAnsi="宋体" w:cs="宋体"/>
          <w:b/>
          <w:sz w:val="44"/>
          <w:szCs w:val="44"/>
          <w:highlight w:val="none"/>
        </w:rPr>
        <w:t>政府采购合同参考范本</w:t>
      </w:r>
    </w:p>
    <w:p w14:paraId="06156419">
      <w:pPr>
        <w:spacing w:line="480" w:lineRule="auto"/>
        <w:jc w:val="center"/>
        <w:rPr>
          <w:rFonts w:ascii="宋体" w:hAnsi="宋体" w:cs="宋体"/>
          <w:b/>
          <w:sz w:val="24"/>
          <w:highlight w:val="none"/>
        </w:rPr>
      </w:pPr>
      <w:r>
        <w:rPr>
          <w:rFonts w:hint="eastAsia" w:ascii="宋体" w:hAnsi="宋体" w:cs="宋体"/>
          <w:b/>
          <w:sz w:val="24"/>
          <w:highlight w:val="none"/>
        </w:rPr>
        <w:t>（货物类）</w:t>
      </w:r>
    </w:p>
    <w:p w14:paraId="10902062">
      <w:pPr>
        <w:pStyle w:val="284"/>
        <w:spacing w:line="560" w:lineRule="exact"/>
        <w:ind w:firstLine="200"/>
        <w:jc w:val="center"/>
        <w:rPr>
          <w:rFonts w:hAnsi="宋体" w:cs="宋体"/>
          <w:b/>
          <w:szCs w:val="24"/>
          <w:highlight w:val="none"/>
        </w:rPr>
      </w:pPr>
      <w:r>
        <w:rPr>
          <w:rFonts w:hint="eastAsia" w:hAnsi="宋体" w:cs="宋体"/>
          <w:b/>
          <w:szCs w:val="24"/>
          <w:highlight w:val="none"/>
        </w:rPr>
        <w:t>第一部分 合同书</w:t>
      </w:r>
    </w:p>
    <w:p w14:paraId="1A709E68">
      <w:pPr>
        <w:pStyle w:val="284"/>
        <w:ind w:firstLine="0"/>
        <w:rPr>
          <w:rFonts w:hAnsi="宋体" w:cs="宋体"/>
          <w:szCs w:val="24"/>
          <w:highlight w:val="none"/>
        </w:rPr>
      </w:pPr>
    </w:p>
    <w:p w14:paraId="469632FF">
      <w:pPr>
        <w:spacing w:line="360" w:lineRule="auto"/>
        <w:jc w:val="center"/>
        <w:rPr>
          <w:rFonts w:ascii="宋体" w:hAnsi="宋体" w:cs="宋体"/>
          <w:b/>
          <w:sz w:val="24"/>
          <w:highlight w:val="none"/>
        </w:rPr>
      </w:pPr>
      <w:bookmarkStart w:id="46" w:name="_Toc331685783"/>
      <w:r>
        <w:rPr>
          <w:rFonts w:hint="eastAsia" w:ascii="宋体" w:hAnsi="宋体" w:cs="宋体"/>
          <w:b/>
          <w:sz w:val="24"/>
          <w:highlight w:val="none"/>
          <w:lang w:bidi="ar"/>
        </w:rPr>
        <w:t>政府采购合同协议书</w:t>
      </w:r>
    </w:p>
    <w:p w14:paraId="79C2F963">
      <w:pPr>
        <w:spacing w:line="360" w:lineRule="auto"/>
        <w:ind w:firstLine="4800" w:firstLineChars="2000"/>
        <w:rPr>
          <w:rFonts w:ascii="宋体" w:hAnsi="宋体" w:cs="宋体"/>
          <w:b/>
          <w:sz w:val="32"/>
          <w:szCs w:val="32"/>
          <w:highlight w:val="none"/>
        </w:rPr>
      </w:pPr>
      <w:r>
        <w:rPr>
          <w:rFonts w:hint="eastAsia" w:ascii="宋体" w:hAnsi="宋体" w:cs="宋体"/>
          <w:sz w:val="24"/>
          <w:highlight w:val="none"/>
          <w:lang w:bidi="ar"/>
        </w:rPr>
        <w:t>采购合同编号：</w:t>
      </w:r>
      <w:r>
        <w:rPr>
          <w:rFonts w:hint="eastAsia" w:ascii="宋体" w:hAnsi="宋体" w:cs="宋体"/>
          <w:sz w:val="24"/>
          <w:highlight w:val="none"/>
          <w:u w:val="single"/>
          <w:lang w:bidi="ar"/>
        </w:rPr>
        <w:t xml:space="preserve">                 </w:t>
      </w:r>
    </w:p>
    <w:p w14:paraId="39E74499">
      <w:pPr>
        <w:adjustRightInd w:val="0"/>
        <w:snapToGrid w:val="0"/>
        <w:spacing w:before="120" w:beforeLines="50" w:line="360" w:lineRule="auto"/>
        <w:jc w:val="center"/>
        <w:rPr>
          <w:rFonts w:ascii="宋体" w:hAnsi="宋体" w:cs="宋体"/>
          <w:b/>
          <w:sz w:val="32"/>
          <w:szCs w:val="32"/>
          <w:highlight w:val="none"/>
        </w:rPr>
      </w:pPr>
    </w:p>
    <w:p w14:paraId="6EC08C6E">
      <w:pPr>
        <w:adjustRightInd w:val="0"/>
        <w:snapToGrid w:val="0"/>
        <w:spacing w:line="360" w:lineRule="auto"/>
        <w:rPr>
          <w:rFonts w:ascii="宋体" w:hAnsi="宋体" w:cs="宋体"/>
          <w:szCs w:val="21"/>
          <w:highlight w:val="none"/>
        </w:rPr>
      </w:pPr>
      <w:r>
        <w:rPr>
          <w:rFonts w:hint="eastAsia" w:ascii="宋体" w:hAnsi="宋体" w:cs="宋体"/>
          <w:szCs w:val="21"/>
          <w:highlight w:val="none"/>
          <w:lang w:bidi="ar"/>
        </w:rPr>
        <w:t>招标人（全称）：</w:t>
      </w:r>
      <w:r>
        <w:rPr>
          <w:rFonts w:hint="eastAsia" w:ascii="宋体" w:hAnsi="宋体" w:cs="宋体"/>
          <w:szCs w:val="21"/>
          <w:highlight w:val="none"/>
          <w:u w:val="single"/>
          <w:lang w:bidi="ar"/>
        </w:rPr>
        <w:t xml:space="preserve">                             </w:t>
      </w:r>
      <w:r>
        <w:rPr>
          <w:rFonts w:hint="eastAsia" w:ascii="宋体" w:hAnsi="宋体" w:cs="宋体"/>
          <w:szCs w:val="21"/>
          <w:highlight w:val="none"/>
          <w:lang w:bidi="ar"/>
        </w:rPr>
        <w:t>（甲方）</w:t>
      </w:r>
    </w:p>
    <w:p w14:paraId="46C1876C">
      <w:pPr>
        <w:adjustRightInd w:val="0"/>
        <w:snapToGrid w:val="0"/>
        <w:spacing w:line="360" w:lineRule="auto"/>
        <w:rPr>
          <w:rFonts w:ascii="宋体" w:hAnsi="宋体" w:cs="宋体"/>
          <w:szCs w:val="21"/>
          <w:highlight w:val="none"/>
        </w:rPr>
      </w:pPr>
      <w:r>
        <w:rPr>
          <w:rFonts w:hint="eastAsia" w:ascii="宋体" w:hAnsi="宋体" w:cs="宋体"/>
          <w:szCs w:val="21"/>
          <w:highlight w:val="none"/>
          <w:lang w:bidi="ar"/>
        </w:rPr>
        <w:t>投标人（全称）：</w:t>
      </w:r>
      <w:r>
        <w:rPr>
          <w:rFonts w:hint="eastAsia" w:ascii="宋体" w:hAnsi="宋体" w:cs="宋体"/>
          <w:szCs w:val="21"/>
          <w:highlight w:val="none"/>
          <w:u w:val="single"/>
          <w:lang w:bidi="ar"/>
        </w:rPr>
        <w:t xml:space="preserve">                             </w:t>
      </w:r>
      <w:r>
        <w:rPr>
          <w:rFonts w:hint="eastAsia" w:ascii="宋体" w:hAnsi="宋体" w:cs="宋体"/>
          <w:szCs w:val="21"/>
          <w:highlight w:val="none"/>
          <w:lang w:bidi="ar"/>
        </w:rPr>
        <w:t>（乙方）</w:t>
      </w:r>
    </w:p>
    <w:p w14:paraId="244BD2AF">
      <w:pPr>
        <w:pStyle w:val="42"/>
        <w:widowControl w:val="0"/>
        <w:adjustRightInd w:val="0"/>
        <w:snapToGrid w:val="0"/>
        <w:spacing w:before="0" w:beforeAutospacing="0" w:after="120" w:afterAutospacing="0" w:line="360" w:lineRule="auto"/>
        <w:ind w:left="420" w:leftChars="200"/>
        <w:jc w:val="both"/>
        <w:rPr>
          <w:szCs w:val="21"/>
          <w:highlight w:val="none"/>
        </w:rPr>
      </w:pPr>
    </w:p>
    <w:p w14:paraId="28B7DFCF">
      <w:pPr>
        <w:pStyle w:val="42"/>
        <w:widowControl w:val="0"/>
        <w:adjustRightInd w:val="0"/>
        <w:snapToGrid w:val="0"/>
        <w:spacing w:before="0" w:beforeAutospacing="0" w:after="0" w:afterAutospacing="0" w:line="360" w:lineRule="auto"/>
        <w:ind w:firstLine="420" w:firstLineChars="200"/>
        <w:jc w:val="both"/>
        <w:rPr>
          <w:szCs w:val="21"/>
          <w:highlight w:val="none"/>
        </w:rPr>
      </w:pPr>
      <w:r>
        <w:rPr>
          <w:rFonts w:hint="eastAsia"/>
          <w:kern w:val="2"/>
          <w:sz w:val="21"/>
          <w:szCs w:val="21"/>
          <w:highlight w:val="none"/>
          <w:lang w:bidi="ar"/>
        </w:rPr>
        <w:t>为了保护甲、乙双方合法权益，根据《中华人民共和国合同法》、《中华人民共和国政府采购法》及其他有关法律、法规、规章，双方签订本合同协议书。</w:t>
      </w:r>
    </w:p>
    <w:p w14:paraId="3D753943">
      <w:pPr>
        <w:adjustRightInd w:val="0"/>
        <w:snapToGrid w:val="0"/>
        <w:spacing w:line="360" w:lineRule="auto"/>
        <w:ind w:firstLine="422" w:firstLineChars="200"/>
        <w:rPr>
          <w:rFonts w:ascii="宋体" w:hAnsi="宋体" w:cs="宋体"/>
          <w:b/>
          <w:szCs w:val="21"/>
          <w:highlight w:val="none"/>
        </w:rPr>
      </w:pPr>
      <w:r>
        <w:rPr>
          <w:rFonts w:hint="eastAsia" w:ascii="宋体" w:hAnsi="宋体" w:cs="宋体"/>
          <w:b/>
          <w:szCs w:val="21"/>
          <w:highlight w:val="none"/>
          <w:lang w:bidi="ar"/>
        </w:rPr>
        <w:t>1.项目信息</w:t>
      </w:r>
    </w:p>
    <w:p w14:paraId="7F22C9D2">
      <w:pPr>
        <w:pStyle w:val="42"/>
        <w:widowControl w:val="0"/>
        <w:adjustRightInd w:val="0"/>
        <w:snapToGrid w:val="0"/>
        <w:spacing w:before="0" w:beforeAutospacing="0" w:after="120" w:afterAutospacing="0" w:line="360" w:lineRule="auto"/>
        <w:ind w:left="420" w:leftChars="200"/>
        <w:jc w:val="both"/>
        <w:rPr>
          <w:szCs w:val="21"/>
          <w:highlight w:val="none"/>
        </w:rPr>
      </w:pPr>
      <w:r>
        <w:rPr>
          <w:rFonts w:hint="eastAsia"/>
          <w:kern w:val="2"/>
          <w:sz w:val="21"/>
          <w:szCs w:val="21"/>
          <w:highlight w:val="none"/>
          <w:lang w:bidi="ar"/>
        </w:rPr>
        <w:t>（1）采购项目名称：</w:t>
      </w:r>
      <w:r>
        <w:rPr>
          <w:rFonts w:hint="eastAsia"/>
          <w:kern w:val="2"/>
          <w:sz w:val="21"/>
          <w:szCs w:val="21"/>
          <w:highlight w:val="none"/>
          <w:u w:val="single"/>
          <w:lang w:bidi="ar"/>
        </w:rPr>
        <w:t xml:space="preserve">                                          </w:t>
      </w:r>
    </w:p>
    <w:p w14:paraId="267BC0CE">
      <w:pPr>
        <w:pStyle w:val="42"/>
        <w:widowControl w:val="0"/>
        <w:adjustRightInd w:val="0"/>
        <w:snapToGrid w:val="0"/>
        <w:spacing w:before="0" w:beforeAutospacing="0" w:after="120" w:afterAutospacing="0" w:line="360" w:lineRule="auto"/>
        <w:ind w:left="420" w:leftChars="200"/>
        <w:jc w:val="both"/>
        <w:rPr>
          <w:szCs w:val="21"/>
          <w:highlight w:val="none"/>
        </w:rPr>
      </w:pPr>
      <w:r>
        <w:rPr>
          <w:rFonts w:hint="eastAsia"/>
          <w:kern w:val="2"/>
          <w:sz w:val="21"/>
          <w:szCs w:val="21"/>
          <w:highlight w:val="none"/>
          <w:lang w:bidi="ar"/>
        </w:rPr>
        <w:t>（2）采购计划编号：</w:t>
      </w:r>
      <w:r>
        <w:rPr>
          <w:rFonts w:hint="eastAsia"/>
          <w:kern w:val="2"/>
          <w:sz w:val="21"/>
          <w:szCs w:val="21"/>
          <w:highlight w:val="none"/>
          <w:u w:val="single"/>
          <w:lang w:bidi="ar"/>
        </w:rPr>
        <w:t xml:space="preserve">                          </w:t>
      </w:r>
      <w:r>
        <w:rPr>
          <w:rFonts w:hint="eastAsia"/>
          <w:kern w:val="2"/>
          <w:sz w:val="21"/>
          <w:szCs w:val="21"/>
          <w:highlight w:val="none"/>
          <w:lang w:bidi="ar"/>
        </w:rPr>
        <w:t xml:space="preserve"> </w:t>
      </w:r>
    </w:p>
    <w:p w14:paraId="54B0A318">
      <w:pP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（3）项目内容：</w:t>
      </w:r>
      <w:r>
        <w:rPr>
          <w:rFonts w:hint="eastAsia" w:ascii="宋体" w:hAnsi="宋体" w:cs="宋体"/>
          <w:szCs w:val="21"/>
          <w:highlight w:val="none"/>
          <w:u w:val="single"/>
          <w:lang w:bidi="ar"/>
        </w:rPr>
        <w:t xml:space="preserve">                              </w:t>
      </w:r>
    </w:p>
    <w:p w14:paraId="58FAAE72">
      <w:pPr>
        <w:spacing w:line="460" w:lineRule="exact"/>
        <w:ind w:firstLine="413" w:firstLineChars="196"/>
        <w:rPr>
          <w:rFonts w:ascii="宋体" w:hAnsi="宋体" w:cs="宋体"/>
          <w:b/>
          <w:szCs w:val="21"/>
          <w:highlight w:val="none"/>
        </w:rPr>
      </w:pPr>
      <w:bookmarkStart w:id="47" w:name="_Toc86481557"/>
      <w:r>
        <w:rPr>
          <w:rFonts w:hint="eastAsia" w:ascii="宋体" w:hAnsi="宋体" w:cs="宋体"/>
          <w:b/>
          <w:szCs w:val="21"/>
          <w:highlight w:val="none"/>
          <w:lang w:bidi="ar"/>
        </w:rPr>
        <w:t>2、</w:t>
      </w:r>
      <w:bookmarkEnd w:id="47"/>
      <w:r>
        <w:rPr>
          <w:rFonts w:hint="eastAsia" w:ascii="宋体" w:hAnsi="宋体" w:cs="宋体"/>
          <w:b/>
          <w:szCs w:val="21"/>
          <w:highlight w:val="none"/>
          <w:lang w:bidi="ar"/>
        </w:rPr>
        <w:t>产品名称、型号、数量、金额</w:t>
      </w:r>
    </w:p>
    <w:tbl>
      <w:tblPr>
        <w:tblStyle w:val="46"/>
        <w:tblW w:w="7080"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929"/>
        <w:gridCol w:w="807"/>
        <w:gridCol w:w="962"/>
        <w:gridCol w:w="720"/>
        <w:gridCol w:w="697"/>
        <w:gridCol w:w="697"/>
        <w:gridCol w:w="697"/>
        <w:gridCol w:w="924"/>
      </w:tblGrid>
      <w:tr w14:paraId="3AEF2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vAlign w:val="center"/>
          </w:tcPr>
          <w:p w14:paraId="79F4A8AA">
            <w:pPr>
              <w:spacing w:line="460" w:lineRule="exact"/>
              <w:jc w:val="center"/>
              <w:rPr>
                <w:rFonts w:ascii="宋体" w:hAnsi="宋体" w:cs="宋体"/>
                <w:szCs w:val="21"/>
                <w:highlight w:val="none"/>
              </w:rPr>
            </w:pPr>
            <w:r>
              <w:rPr>
                <w:rFonts w:hint="eastAsia" w:ascii="宋体" w:hAnsi="宋体" w:cs="宋体"/>
                <w:szCs w:val="21"/>
                <w:highlight w:val="none"/>
                <w:lang w:bidi="ar"/>
              </w:rPr>
              <w:t>序号</w:t>
            </w:r>
          </w:p>
        </w:tc>
        <w:tc>
          <w:tcPr>
            <w:tcW w:w="930" w:type="dxa"/>
            <w:tcBorders>
              <w:top w:val="single" w:color="auto" w:sz="4" w:space="0"/>
              <w:left w:val="single" w:color="auto" w:sz="4" w:space="0"/>
              <w:bottom w:val="single" w:color="auto" w:sz="4" w:space="0"/>
              <w:right w:val="single" w:color="auto" w:sz="4" w:space="0"/>
            </w:tcBorders>
            <w:vAlign w:val="center"/>
          </w:tcPr>
          <w:p w14:paraId="21BF9606">
            <w:pPr>
              <w:spacing w:line="460" w:lineRule="exact"/>
              <w:jc w:val="center"/>
              <w:rPr>
                <w:rFonts w:ascii="宋体" w:hAnsi="宋体" w:cs="宋体"/>
                <w:szCs w:val="21"/>
                <w:highlight w:val="none"/>
              </w:rPr>
            </w:pPr>
            <w:r>
              <w:rPr>
                <w:rFonts w:hint="eastAsia" w:ascii="宋体" w:hAnsi="宋体" w:cs="宋体"/>
                <w:szCs w:val="21"/>
                <w:highlight w:val="none"/>
                <w:lang w:bidi="ar"/>
              </w:rPr>
              <w:t>货物</w:t>
            </w:r>
          </w:p>
          <w:p w14:paraId="63DB4DEE">
            <w:pPr>
              <w:spacing w:line="460" w:lineRule="exact"/>
              <w:jc w:val="center"/>
              <w:rPr>
                <w:rFonts w:ascii="宋体" w:hAnsi="宋体" w:cs="宋体"/>
                <w:szCs w:val="21"/>
                <w:highlight w:val="none"/>
              </w:rPr>
            </w:pPr>
            <w:r>
              <w:rPr>
                <w:rFonts w:hint="eastAsia" w:ascii="宋体" w:hAnsi="宋体" w:cs="宋体"/>
                <w:szCs w:val="21"/>
                <w:highlight w:val="none"/>
                <w:lang w:bidi="ar"/>
              </w:rPr>
              <w:t>名称</w:t>
            </w:r>
          </w:p>
        </w:tc>
        <w:tc>
          <w:tcPr>
            <w:tcW w:w="808" w:type="dxa"/>
            <w:tcBorders>
              <w:top w:val="single" w:color="auto" w:sz="4" w:space="0"/>
              <w:left w:val="single" w:color="auto" w:sz="4" w:space="0"/>
              <w:bottom w:val="single" w:color="auto" w:sz="4" w:space="0"/>
              <w:right w:val="single" w:color="auto" w:sz="4" w:space="0"/>
            </w:tcBorders>
            <w:vAlign w:val="center"/>
          </w:tcPr>
          <w:p w14:paraId="18438CC4">
            <w:pPr>
              <w:spacing w:line="460" w:lineRule="exact"/>
              <w:jc w:val="center"/>
              <w:rPr>
                <w:rFonts w:ascii="宋体" w:hAnsi="宋体" w:cs="宋体"/>
                <w:szCs w:val="21"/>
                <w:highlight w:val="none"/>
              </w:rPr>
            </w:pPr>
            <w:r>
              <w:rPr>
                <w:rFonts w:hint="eastAsia" w:ascii="宋体" w:hAnsi="宋体" w:cs="宋体"/>
                <w:szCs w:val="21"/>
                <w:highlight w:val="none"/>
                <w:lang w:bidi="ar"/>
              </w:rPr>
              <w:t>型号</w:t>
            </w:r>
          </w:p>
          <w:p w14:paraId="550A8622">
            <w:pPr>
              <w:spacing w:line="460" w:lineRule="exact"/>
              <w:jc w:val="center"/>
              <w:rPr>
                <w:rFonts w:ascii="宋体" w:hAnsi="宋体" w:cs="宋体"/>
                <w:szCs w:val="21"/>
                <w:highlight w:val="none"/>
              </w:rPr>
            </w:pPr>
            <w:r>
              <w:rPr>
                <w:rFonts w:hint="eastAsia" w:ascii="宋体" w:hAnsi="宋体" w:cs="宋体"/>
                <w:szCs w:val="21"/>
                <w:highlight w:val="none"/>
                <w:lang w:bidi="ar"/>
              </w:rPr>
              <w:t>规格</w:t>
            </w:r>
          </w:p>
        </w:tc>
        <w:tc>
          <w:tcPr>
            <w:tcW w:w="962" w:type="dxa"/>
            <w:tcBorders>
              <w:top w:val="single" w:color="auto" w:sz="4" w:space="0"/>
              <w:left w:val="single" w:color="auto" w:sz="4" w:space="0"/>
              <w:bottom w:val="single" w:color="auto" w:sz="4" w:space="0"/>
              <w:right w:val="single" w:color="auto" w:sz="4" w:space="0"/>
            </w:tcBorders>
            <w:vAlign w:val="center"/>
          </w:tcPr>
          <w:p w14:paraId="55B312BD">
            <w:pPr>
              <w:spacing w:line="460" w:lineRule="exact"/>
              <w:jc w:val="center"/>
              <w:rPr>
                <w:rFonts w:ascii="宋体" w:hAnsi="宋体" w:cs="宋体"/>
                <w:szCs w:val="21"/>
                <w:highlight w:val="none"/>
              </w:rPr>
            </w:pPr>
            <w:r>
              <w:rPr>
                <w:rFonts w:hint="eastAsia" w:ascii="宋体" w:hAnsi="宋体" w:cs="宋体"/>
                <w:szCs w:val="21"/>
                <w:highlight w:val="none"/>
                <w:lang w:bidi="ar"/>
              </w:rPr>
              <w:t>制造商</w:t>
            </w:r>
          </w:p>
        </w:tc>
        <w:tc>
          <w:tcPr>
            <w:tcW w:w="720" w:type="dxa"/>
            <w:tcBorders>
              <w:top w:val="single" w:color="auto" w:sz="4" w:space="0"/>
              <w:left w:val="single" w:color="auto" w:sz="4" w:space="0"/>
              <w:bottom w:val="single" w:color="auto" w:sz="4" w:space="0"/>
              <w:right w:val="single" w:color="auto" w:sz="4" w:space="0"/>
            </w:tcBorders>
            <w:vAlign w:val="center"/>
          </w:tcPr>
          <w:p w14:paraId="6234FA45">
            <w:pPr>
              <w:spacing w:line="460" w:lineRule="exact"/>
              <w:jc w:val="center"/>
              <w:rPr>
                <w:rFonts w:ascii="宋体" w:hAnsi="宋体" w:cs="宋体"/>
                <w:szCs w:val="21"/>
                <w:highlight w:val="none"/>
              </w:rPr>
            </w:pPr>
            <w:r>
              <w:rPr>
                <w:rFonts w:hint="eastAsia" w:ascii="宋体" w:hAnsi="宋体" w:cs="宋体"/>
                <w:szCs w:val="21"/>
                <w:highlight w:val="none"/>
                <w:lang w:bidi="ar"/>
              </w:rPr>
              <w:t>单位</w:t>
            </w:r>
          </w:p>
        </w:tc>
        <w:tc>
          <w:tcPr>
            <w:tcW w:w="697" w:type="dxa"/>
            <w:tcBorders>
              <w:top w:val="single" w:color="auto" w:sz="4" w:space="0"/>
              <w:left w:val="single" w:color="auto" w:sz="4" w:space="0"/>
              <w:bottom w:val="single" w:color="auto" w:sz="4" w:space="0"/>
              <w:right w:val="single" w:color="auto" w:sz="4" w:space="0"/>
            </w:tcBorders>
            <w:vAlign w:val="center"/>
          </w:tcPr>
          <w:p w14:paraId="458C585C">
            <w:pPr>
              <w:spacing w:line="460" w:lineRule="exact"/>
              <w:jc w:val="center"/>
              <w:rPr>
                <w:rFonts w:ascii="宋体" w:hAnsi="宋体" w:cs="宋体"/>
                <w:szCs w:val="21"/>
                <w:highlight w:val="none"/>
              </w:rPr>
            </w:pPr>
            <w:r>
              <w:rPr>
                <w:rFonts w:hint="eastAsia" w:ascii="宋体" w:hAnsi="宋体" w:cs="宋体"/>
                <w:szCs w:val="21"/>
                <w:highlight w:val="none"/>
                <w:lang w:bidi="ar"/>
              </w:rPr>
              <w:t>数量</w:t>
            </w:r>
          </w:p>
        </w:tc>
        <w:tc>
          <w:tcPr>
            <w:tcW w:w="697" w:type="dxa"/>
            <w:tcBorders>
              <w:top w:val="single" w:color="auto" w:sz="4" w:space="0"/>
              <w:left w:val="single" w:color="auto" w:sz="4" w:space="0"/>
              <w:bottom w:val="single" w:color="auto" w:sz="4" w:space="0"/>
              <w:right w:val="single" w:color="auto" w:sz="4" w:space="0"/>
            </w:tcBorders>
            <w:vAlign w:val="center"/>
          </w:tcPr>
          <w:p w14:paraId="735EDD5E">
            <w:pPr>
              <w:spacing w:line="460" w:lineRule="exact"/>
              <w:jc w:val="center"/>
              <w:rPr>
                <w:rFonts w:ascii="宋体" w:hAnsi="宋体" w:cs="宋体"/>
                <w:szCs w:val="21"/>
                <w:highlight w:val="none"/>
              </w:rPr>
            </w:pPr>
            <w:r>
              <w:rPr>
                <w:rFonts w:hint="eastAsia" w:ascii="宋体" w:hAnsi="宋体" w:cs="宋体"/>
                <w:szCs w:val="21"/>
                <w:highlight w:val="none"/>
                <w:lang w:bidi="ar"/>
              </w:rPr>
              <w:t>单价</w:t>
            </w:r>
          </w:p>
        </w:tc>
        <w:tc>
          <w:tcPr>
            <w:tcW w:w="697" w:type="dxa"/>
            <w:tcBorders>
              <w:top w:val="single" w:color="auto" w:sz="4" w:space="0"/>
              <w:left w:val="single" w:color="auto" w:sz="4" w:space="0"/>
              <w:bottom w:val="single" w:color="auto" w:sz="4" w:space="0"/>
              <w:right w:val="single" w:color="auto" w:sz="4" w:space="0"/>
            </w:tcBorders>
            <w:vAlign w:val="center"/>
          </w:tcPr>
          <w:p w14:paraId="3164F65A">
            <w:pPr>
              <w:spacing w:line="460" w:lineRule="exact"/>
              <w:jc w:val="center"/>
              <w:rPr>
                <w:rFonts w:ascii="宋体" w:hAnsi="宋体" w:cs="宋体"/>
                <w:szCs w:val="21"/>
                <w:highlight w:val="none"/>
              </w:rPr>
            </w:pPr>
            <w:r>
              <w:rPr>
                <w:rFonts w:hint="eastAsia" w:ascii="宋体" w:hAnsi="宋体" w:cs="宋体"/>
                <w:szCs w:val="21"/>
                <w:highlight w:val="none"/>
                <w:lang w:bidi="ar"/>
              </w:rPr>
              <w:t>金额</w:t>
            </w:r>
          </w:p>
        </w:tc>
        <w:tc>
          <w:tcPr>
            <w:tcW w:w="924" w:type="dxa"/>
            <w:tcBorders>
              <w:top w:val="single" w:color="auto" w:sz="4" w:space="0"/>
              <w:left w:val="single" w:color="auto" w:sz="4" w:space="0"/>
              <w:bottom w:val="single" w:color="auto" w:sz="4" w:space="0"/>
              <w:right w:val="single" w:color="auto" w:sz="4" w:space="0"/>
            </w:tcBorders>
            <w:vAlign w:val="center"/>
          </w:tcPr>
          <w:p w14:paraId="5B04DE26">
            <w:pPr>
              <w:spacing w:line="460" w:lineRule="exact"/>
              <w:jc w:val="center"/>
              <w:rPr>
                <w:rFonts w:ascii="宋体" w:hAnsi="宋体" w:cs="宋体"/>
                <w:szCs w:val="21"/>
                <w:highlight w:val="none"/>
              </w:rPr>
            </w:pPr>
            <w:r>
              <w:rPr>
                <w:rFonts w:hint="eastAsia" w:ascii="宋体" w:hAnsi="宋体" w:cs="宋体"/>
                <w:szCs w:val="21"/>
                <w:highlight w:val="none"/>
                <w:lang w:bidi="ar"/>
              </w:rPr>
              <w:t>备注</w:t>
            </w:r>
          </w:p>
        </w:tc>
      </w:tr>
      <w:tr w14:paraId="0CCD1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tcPr>
          <w:p w14:paraId="5390946C">
            <w:pPr>
              <w:spacing w:line="460" w:lineRule="exact"/>
              <w:rPr>
                <w:rFonts w:ascii="宋体" w:hAnsi="宋体" w:cs="宋体"/>
                <w:szCs w:val="21"/>
                <w:highlight w:val="none"/>
              </w:rPr>
            </w:pPr>
          </w:p>
        </w:tc>
        <w:tc>
          <w:tcPr>
            <w:tcW w:w="930" w:type="dxa"/>
            <w:tcBorders>
              <w:top w:val="single" w:color="auto" w:sz="4" w:space="0"/>
              <w:left w:val="single" w:color="auto" w:sz="4" w:space="0"/>
              <w:bottom w:val="single" w:color="auto" w:sz="4" w:space="0"/>
              <w:right w:val="single" w:color="auto" w:sz="4" w:space="0"/>
            </w:tcBorders>
          </w:tcPr>
          <w:p w14:paraId="76706F02">
            <w:pPr>
              <w:spacing w:line="460" w:lineRule="exact"/>
              <w:rPr>
                <w:rFonts w:ascii="宋体" w:hAnsi="宋体" w:cs="宋体"/>
                <w:szCs w:val="21"/>
                <w:highlight w:val="none"/>
              </w:rPr>
            </w:pPr>
          </w:p>
        </w:tc>
        <w:tc>
          <w:tcPr>
            <w:tcW w:w="808" w:type="dxa"/>
            <w:tcBorders>
              <w:top w:val="single" w:color="auto" w:sz="4" w:space="0"/>
              <w:left w:val="single" w:color="auto" w:sz="4" w:space="0"/>
              <w:bottom w:val="single" w:color="auto" w:sz="4" w:space="0"/>
              <w:right w:val="single" w:color="auto" w:sz="4" w:space="0"/>
            </w:tcBorders>
          </w:tcPr>
          <w:p w14:paraId="38F14898">
            <w:pPr>
              <w:spacing w:line="460" w:lineRule="exact"/>
              <w:ind w:left="-288" w:leftChars="-137" w:firstLine="287" w:firstLineChars="137"/>
              <w:rPr>
                <w:rFonts w:ascii="宋体" w:hAnsi="宋体" w:cs="宋体"/>
                <w:szCs w:val="21"/>
                <w:highlight w:val="none"/>
              </w:rPr>
            </w:pPr>
          </w:p>
        </w:tc>
        <w:tc>
          <w:tcPr>
            <w:tcW w:w="962" w:type="dxa"/>
            <w:tcBorders>
              <w:top w:val="single" w:color="auto" w:sz="4" w:space="0"/>
              <w:left w:val="single" w:color="auto" w:sz="4" w:space="0"/>
              <w:bottom w:val="single" w:color="auto" w:sz="4" w:space="0"/>
              <w:right w:val="single" w:color="auto" w:sz="4" w:space="0"/>
            </w:tcBorders>
          </w:tcPr>
          <w:p w14:paraId="488EC145">
            <w:pPr>
              <w:spacing w:line="460" w:lineRule="exact"/>
              <w:rPr>
                <w:rFonts w:ascii="宋体" w:hAnsi="宋体" w:cs="宋体"/>
                <w:szCs w:val="21"/>
                <w:highlight w:val="none"/>
              </w:rPr>
            </w:pPr>
          </w:p>
        </w:tc>
        <w:tc>
          <w:tcPr>
            <w:tcW w:w="720" w:type="dxa"/>
            <w:tcBorders>
              <w:top w:val="single" w:color="auto" w:sz="4" w:space="0"/>
              <w:left w:val="single" w:color="auto" w:sz="4" w:space="0"/>
              <w:bottom w:val="single" w:color="auto" w:sz="4" w:space="0"/>
              <w:right w:val="single" w:color="auto" w:sz="4" w:space="0"/>
            </w:tcBorders>
          </w:tcPr>
          <w:p w14:paraId="7E2ED156">
            <w:pPr>
              <w:spacing w:line="460" w:lineRule="exact"/>
              <w:rPr>
                <w:rFonts w:ascii="宋体" w:hAnsi="宋体" w:cs="宋体"/>
                <w:szCs w:val="21"/>
                <w:highlight w:val="none"/>
              </w:rPr>
            </w:pPr>
          </w:p>
        </w:tc>
        <w:tc>
          <w:tcPr>
            <w:tcW w:w="697" w:type="dxa"/>
            <w:tcBorders>
              <w:top w:val="single" w:color="auto" w:sz="4" w:space="0"/>
              <w:left w:val="single" w:color="auto" w:sz="4" w:space="0"/>
              <w:bottom w:val="single" w:color="auto" w:sz="4" w:space="0"/>
              <w:right w:val="single" w:color="auto" w:sz="4" w:space="0"/>
            </w:tcBorders>
          </w:tcPr>
          <w:p w14:paraId="3D9FCC4D">
            <w:pPr>
              <w:spacing w:line="460" w:lineRule="exact"/>
              <w:rPr>
                <w:rFonts w:ascii="宋体" w:hAnsi="宋体" w:cs="宋体"/>
                <w:szCs w:val="21"/>
                <w:highlight w:val="none"/>
              </w:rPr>
            </w:pPr>
          </w:p>
        </w:tc>
        <w:tc>
          <w:tcPr>
            <w:tcW w:w="697" w:type="dxa"/>
            <w:tcBorders>
              <w:top w:val="single" w:color="auto" w:sz="4" w:space="0"/>
              <w:left w:val="single" w:color="auto" w:sz="4" w:space="0"/>
              <w:bottom w:val="single" w:color="auto" w:sz="4" w:space="0"/>
              <w:right w:val="single" w:color="auto" w:sz="4" w:space="0"/>
            </w:tcBorders>
          </w:tcPr>
          <w:p w14:paraId="7AA2BC51">
            <w:pPr>
              <w:spacing w:line="460" w:lineRule="exact"/>
              <w:rPr>
                <w:rFonts w:ascii="宋体" w:hAnsi="宋体" w:cs="宋体"/>
                <w:szCs w:val="21"/>
                <w:highlight w:val="none"/>
              </w:rPr>
            </w:pPr>
          </w:p>
        </w:tc>
        <w:tc>
          <w:tcPr>
            <w:tcW w:w="697" w:type="dxa"/>
            <w:tcBorders>
              <w:top w:val="single" w:color="auto" w:sz="4" w:space="0"/>
              <w:left w:val="single" w:color="auto" w:sz="4" w:space="0"/>
              <w:bottom w:val="single" w:color="auto" w:sz="4" w:space="0"/>
              <w:right w:val="single" w:color="auto" w:sz="4" w:space="0"/>
            </w:tcBorders>
          </w:tcPr>
          <w:p w14:paraId="5B8C9A1D">
            <w:pPr>
              <w:spacing w:line="460" w:lineRule="exact"/>
              <w:rPr>
                <w:rFonts w:ascii="宋体" w:hAnsi="宋体" w:cs="宋体"/>
                <w:szCs w:val="21"/>
                <w:highlight w:val="none"/>
              </w:rPr>
            </w:pPr>
          </w:p>
        </w:tc>
        <w:tc>
          <w:tcPr>
            <w:tcW w:w="924" w:type="dxa"/>
            <w:tcBorders>
              <w:top w:val="single" w:color="auto" w:sz="4" w:space="0"/>
              <w:left w:val="single" w:color="auto" w:sz="4" w:space="0"/>
              <w:bottom w:val="single" w:color="auto" w:sz="4" w:space="0"/>
              <w:right w:val="single" w:color="auto" w:sz="4" w:space="0"/>
            </w:tcBorders>
          </w:tcPr>
          <w:p w14:paraId="7DBFBE6D">
            <w:pPr>
              <w:spacing w:line="460" w:lineRule="exact"/>
              <w:rPr>
                <w:rFonts w:ascii="宋体" w:hAnsi="宋体" w:cs="宋体"/>
                <w:szCs w:val="21"/>
                <w:highlight w:val="none"/>
              </w:rPr>
            </w:pPr>
          </w:p>
        </w:tc>
      </w:tr>
      <w:tr w14:paraId="77E3D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tcPr>
          <w:p w14:paraId="482A50A1">
            <w:pPr>
              <w:spacing w:line="460" w:lineRule="exact"/>
              <w:rPr>
                <w:rFonts w:ascii="宋体" w:hAnsi="宋体" w:cs="宋体"/>
                <w:szCs w:val="21"/>
                <w:highlight w:val="none"/>
              </w:rPr>
            </w:pPr>
          </w:p>
        </w:tc>
        <w:tc>
          <w:tcPr>
            <w:tcW w:w="930" w:type="dxa"/>
            <w:tcBorders>
              <w:top w:val="single" w:color="auto" w:sz="4" w:space="0"/>
              <w:left w:val="single" w:color="auto" w:sz="4" w:space="0"/>
              <w:bottom w:val="single" w:color="auto" w:sz="4" w:space="0"/>
              <w:right w:val="single" w:color="auto" w:sz="4" w:space="0"/>
            </w:tcBorders>
          </w:tcPr>
          <w:p w14:paraId="2D940F33">
            <w:pPr>
              <w:spacing w:line="460" w:lineRule="exact"/>
              <w:rPr>
                <w:rFonts w:ascii="宋体" w:hAnsi="宋体" w:cs="宋体"/>
                <w:szCs w:val="21"/>
                <w:highlight w:val="none"/>
              </w:rPr>
            </w:pPr>
          </w:p>
        </w:tc>
        <w:tc>
          <w:tcPr>
            <w:tcW w:w="808" w:type="dxa"/>
            <w:tcBorders>
              <w:top w:val="single" w:color="auto" w:sz="4" w:space="0"/>
              <w:left w:val="single" w:color="auto" w:sz="4" w:space="0"/>
              <w:bottom w:val="single" w:color="auto" w:sz="4" w:space="0"/>
              <w:right w:val="single" w:color="auto" w:sz="4" w:space="0"/>
            </w:tcBorders>
          </w:tcPr>
          <w:p w14:paraId="75CBE1D4">
            <w:pPr>
              <w:spacing w:line="460" w:lineRule="exact"/>
              <w:rPr>
                <w:rFonts w:ascii="宋体" w:hAnsi="宋体" w:cs="宋体"/>
                <w:szCs w:val="21"/>
                <w:highlight w:val="none"/>
              </w:rPr>
            </w:pPr>
          </w:p>
        </w:tc>
        <w:tc>
          <w:tcPr>
            <w:tcW w:w="962" w:type="dxa"/>
            <w:tcBorders>
              <w:top w:val="single" w:color="auto" w:sz="4" w:space="0"/>
              <w:left w:val="single" w:color="auto" w:sz="4" w:space="0"/>
              <w:bottom w:val="single" w:color="auto" w:sz="4" w:space="0"/>
              <w:right w:val="single" w:color="auto" w:sz="4" w:space="0"/>
            </w:tcBorders>
          </w:tcPr>
          <w:p w14:paraId="5C211698">
            <w:pPr>
              <w:spacing w:line="460" w:lineRule="exact"/>
              <w:rPr>
                <w:rFonts w:ascii="宋体" w:hAnsi="宋体" w:cs="宋体"/>
                <w:szCs w:val="21"/>
                <w:highlight w:val="none"/>
              </w:rPr>
            </w:pPr>
          </w:p>
        </w:tc>
        <w:tc>
          <w:tcPr>
            <w:tcW w:w="720" w:type="dxa"/>
            <w:tcBorders>
              <w:top w:val="single" w:color="auto" w:sz="4" w:space="0"/>
              <w:left w:val="single" w:color="auto" w:sz="4" w:space="0"/>
              <w:bottom w:val="single" w:color="auto" w:sz="4" w:space="0"/>
              <w:right w:val="single" w:color="auto" w:sz="4" w:space="0"/>
            </w:tcBorders>
          </w:tcPr>
          <w:p w14:paraId="1A078270">
            <w:pPr>
              <w:spacing w:line="460" w:lineRule="exact"/>
              <w:rPr>
                <w:rFonts w:ascii="宋体" w:hAnsi="宋体" w:cs="宋体"/>
                <w:szCs w:val="21"/>
                <w:highlight w:val="none"/>
              </w:rPr>
            </w:pPr>
          </w:p>
        </w:tc>
        <w:tc>
          <w:tcPr>
            <w:tcW w:w="697" w:type="dxa"/>
            <w:tcBorders>
              <w:top w:val="single" w:color="auto" w:sz="4" w:space="0"/>
              <w:left w:val="single" w:color="auto" w:sz="4" w:space="0"/>
              <w:bottom w:val="single" w:color="auto" w:sz="4" w:space="0"/>
              <w:right w:val="single" w:color="auto" w:sz="4" w:space="0"/>
            </w:tcBorders>
          </w:tcPr>
          <w:p w14:paraId="6D65BC03">
            <w:pPr>
              <w:spacing w:line="460" w:lineRule="exact"/>
              <w:rPr>
                <w:rFonts w:ascii="宋体" w:hAnsi="宋体" w:cs="宋体"/>
                <w:szCs w:val="21"/>
                <w:highlight w:val="none"/>
              </w:rPr>
            </w:pPr>
          </w:p>
        </w:tc>
        <w:tc>
          <w:tcPr>
            <w:tcW w:w="697" w:type="dxa"/>
            <w:tcBorders>
              <w:top w:val="single" w:color="auto" w:sz="4" w:space="0"/>
              <w:left w:val="single" w:color="auto" w:sz="4" w:space="0"/>
              <w:bottom w:val="single" w:color="auto" w:sz="4" w:space="0"/>
              <w:right w:val="single" w:color="auto" w:sz="4" w:space="0"/>
            </w:tcBorders>
          </w:tcPr>
          <w:p w14:paraId="1FC25B40">
            <w:pPr>
              <w:spacing w:line="460" w:lineRule="exact"/>
              <w:rPr>
                <w:rFonts w:ascii="宋体" w:hAnsi="宋体" w:cs="宋体"/>
                <w:szCs w:val="21"/>
                <w:highlight w:val="none"/>
              </w:rPr>
            </w:pPr>
          </w:p>
        </w:tc>
        <w:tc>
          <w:tcPr>
            <w:tcW w:w="697" w:type="dxa"/>
            <w:tcBorders>
              <w:top w:val="single" w:color="auto" w:sz="4" w:space="0"/>
              <w:left w:val="single" w:color="auto" w:sz="4" w:space="0"/>
              <w:bottom w:val="single" w:color="auto" w:sz="4" w:space="0"/>
              <w:right w:val="single" w:color="auto" w:sz="4" w:space="0"/>
            </w:tcBorders>
          </w:tcPr>
          <w:p w14:paraId="7175C179">
            <w:pPr>
              <w:spacing w:line="460" w:lineRule="exact"/>
              <w:rPr>
                <w:rFonts w:ascii="宋体" w:hAnsi="宋体" w:cs="宋体"/>
                <w:szCs w:val="21"/>
                <w:highlight w:val="none"/>
              </w:rPr>
            </w:pPr>
          </w:p>
        </w:tc>
        <w:tc>
          <w:tcPr>
            <w:tcW w:w="924" w:type="dxa"/>
            <w:tcBorders>
              <w:top w:val="single" w:color="auto" w:sz="4" w:space="0"/>
              <w:left w:val="single" w:color="auto" w:sz="4" w:space="0"/>
              <w:bottom w:val="single" w:color="auto" w:sz="4" w:space="0"/>
              <w:right w:val="single" w:color="auto" w:sz="4" w:space="0"/>
            </w:tcBorders>
          </w:tcPr>
          <w:p w14:paraId="65F01E52">
            <w:pPr>
              <w:spacing w:line="460" w:lineRule="exact"/>
              <w:rPr>
                <w:rFonts w:ascii="宋体" w:hAnsi="宋体" w:cs="宋体"/>
                <w:szCs w:val="21"/>
                <w:highlight w:val="none"/>
              </w:rPr>
            </w:pPr>
          </w:p>
        </w:tc>
      </w:tr>
      <w:tr w14:paraId="04667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tcPr>
          <w:p w14:paraId="2A1D4FB9">
            <w:pPr>
              <w:spacing w:line="460" w:lineRule="exact"/>
              <w:rPr>
                <w:rFonts w:ascii="宋体" w:hAnsi="宋体" w:cs="宋体"/>
                <w:szCs w:val="21"/>
                <w:highlight w:val="none"/>
              </w:rPr>
            </w:pPr>
          </w:p>
        </w:tc>
        <w:tc>
          <w:tcPr>
            <w:tcW w:w="930" w:type="dxa"/>
            <w:tcBorders>
              <w:top w:val="single" w:color="auto" w:sz="4" w:space="0"/>
              <w:left w:val="single" w:color="auto" w:sz="4" w:space="0"/>
              <w:bottom w:val="single" w:color="auto" w:sz="4" w:space="0"/>
              <w:right w:val="single" w:color="auto" w:sz="4" w:space="0"/>
            </w:tcBorders>
          </w:tcPr>
          <w:p w14:paraId="7A9BDB12">
            <w:pPr>
              <w:spacing w:line="460" w:lineRule="exact"/>
              <w:rPr>
                <w:rFonts w:ascii="宋体" w:hAnsi="宋体" w:cs="宋体"/>
                <w:szCs w:val="21"/>
                <w:highlight w:val="none"/>
              </w:rPr>
            </w:pPr>
          </w:p>
        </w:tc>
        <w:tc>
          <w:tcPr>
            <w:tcW w:w="808" w:type="dxa"/>
            <w:tcBorders>
              <w:top w:val="single" w:color="auto" w:sz="4" w:space="0"/>
              <w:left w:val="single" w:color="auto" w:sz="4" w:space="0"/>
              <w:bottom w:val="single" w:color="auto" w:sz="4" w:space="0"/>
              <w:right w:val="single" w:color="auto" w:sz="4" w:space="0"/>
            </w:tcBorders>
          </w:tcPr>
          <w:p w14:paraId="02E1C457">
            <w:pPr>
              <w:spacing w:line="460" w:lineRule="exact"/>
              <w:rPr>
                <w:rFonts w:ascii="宋体" w:hAnsi="宋体" w:cs="宋体"/>
                <w:szCs w:val="21"/>
                <w:highlight w:val="none"/>
              </w:rPr>
            </w:pPr>
          </w:p>
        </w:tc>
        <w:tc>
          <w:tcPr>
            <w:tcW w:w="962" w:type="dxa"/>
            <w:tcBorders>
              <w:top w:val="single" w:color="auto" w:sz="4" w:space="0"/>
              <w:left w:val="single" w:color="auto" w:sz="4" w:space="0"/>
              <w:bottom w:val="single" w:color="auto" w:sz="4" w:space="0"/>
              <w:right w:val="single" w:color="auto" w:sz="4" w:space="0"/>
            </w:tcBorders>
          </w:tcPr>
          <w:p w14:paraId="726C7428">
            <w:pPr>
              <w:spacing w:line="460" w:lineRule="exact"/>
              <w:rPr>
                <w:rFonts w:ascii="宋体" w:hAnsi="宋体" w:cs="宋体"/>
                <w:szCs w:val="21"/>
                <w:highlight w:val="none"/>
              </w:rPr>
            </w:pPr>
          </w:p>
        </w:tc>
        <w:tc>
          <w:tcPr>
            <w:tcW w:w="720" w:type="dxa"/>
            <w:tcBorders>
              <w:top w:val="single" w:color="auto" w:sz="4" w:space="0"/>
              <w:left w:val="single" w:color="auto" w:sz="4" w:space="0"/>
              <w:bottom w:val="single" w:color="auto" w:sz="4" w:space="0"/>
              <w:right w:val="single" w:color="auto" w:sz="4" w:space="0"/>
            </w:tcBorders>
          </w:tcPr>
          <w:p w14:paraId="7DB659D0">
            <w:pPr>
              <w:spacing w:line="460" w:lineRule="exact"/>
              <w:rPr>
                <w:rFonts w:ascii="宋体" w:hAnsi="宋体" w:cs="宋体"/>
                <w:szCs w:val="21"/>
                <w:highlight w:val="none"/>
              </w:rPr>
            </w:pPr>
          </w:p>
        </w:tc>
        <w:tc>
          <w:tcPr>
            <w:tcW w:w="697" w:type="dxa"/>
            <w:tcBorders>
              <w:top w:val="single" w:color="auto" w:sz="4" w:space="0"/>
              <w:left w:val="single" w:color="auto" w:sz="4" w:space="0"/>
              <w:bottom w:val="single" w:color="auto" w:sz="4" w:space="0"/>
              <w:right w:val="single" w:color="auto" w:sz="4" w:space="0"/>
            </w:tcBorders>
          </w:tcPr>
          <w:p w14:paraId="1278F374">
            <w:pPr>
              <w:spacing w:line="460" w:lineRule="exact"/>
              <w:rPr>
                <w:rFonts w:ascii="宋体" w:hAnsi="宋体" w:cs="宋体"/>
                <w:szCs w:val="21"/>
                <w:highlight w:val="none"/>
              </w:rPr>
            </w:pPr>
          </w:p>
        </w:tc>
        <w:tc>
          <w:tcPr>
            <w:tcW w:w="697" w:type="dxa"/>
            <w:tcBorders>
              <w:top w:val="single" w:color="auto" w:sz="4" w:space="0"/>
              <w:left w:val="single" w:color="auto" w:sz="4" w:space="0"/>
              <w:bottom w:val="single" w:color="auto" w:sz="4" w:space="0"/>
              <w:right w:val="single" w:color="auto" w:sz="4" w:space="0"/>
            </w:tcBorders>
          </w:tcPr>
          <w:p w14:paraId="46790456">
            <w:pPr>
              <w:spacing w:line="460" w:lineRule="exact"/>
              <w:rPr>
                <w:rFonts w:ascii="宋体" w:hAnsi="宋体" w:cs="宋体"/>
                <w:szCs w:val="21"/>
                <w:highlight w:val="none"/>
              </w:rPr>
            </w:pPr>
          </w:p>
        </w:tc>
        <w:tc>
          <w:tcPr>
            <w:tcW w:w="697" w:type="dxa"/>
            <w:tcBorders>
              <w:top w:val="single" w:color="auto" w:sz="4" w:space="0"/>
              <w:left w:val="single" w:color="auto" w:sz="4" w:space="0"/>
              <w:bottom w:val="single" w:color="auto" w:sz="4" w:space="0"/>
              <w:right w:val="single" w:color="auto" w:sz="4" w:space="0"/>
            </w:tcBorders>
          </w:tcPr>
          <w:p w14:paraId="51902B36">
            <w:pPr>
              <w:spacing w:line="460" w:lineRule="exact"/>
              <w:rPr>
                <w:rFonts w:ascii="宋体" w:hAnsi="宋体" w:cs="宋体"/>
                <w:szCs w:val="21"/>
                <w:highlight w:val="none"/>
              </w:rPr>
            </w:pPr>
          </w:p>
        </w:tc>
        <w:tc>
          <w:tcPr>
            <w:tcW w:w="924" w:type="dxa"/>
            <w:tcBorders>
              <w:top w:val="single" w:color="auto" w:sz="4" w:space="0"/>
              <w:left w:val="single" w:color="auto" w:sz="4" w:space="0"/>
              <w:bottom w:val="single" w:color="auto" w:sz="4" w:space="0"/>
              <w:right w:val="single" w:color="auto" w:sz="4" w:space="0"/>
            </w:tcBorders>
          </w:tcPr>
          <w:p w14:paraId="4E50BDD2">
            <w:pPr>
              <w:spacing w:line="460" w:lineRule="exact"/>
              <w:rPr>
                <w:rFonts w:ascii="宋体" w:hAnsi="宋体" w:cs="宋体"/>
                <w:szCs w:val="21"/>
                <w:highlight w:val="none"/>
              </w:rPr>
            </w:pPr>
          </w:p>
        </w:tc>
      </w:tr>
      <w:tr w14:paraId="63BD6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tcPr>
          <w:p w14:paraId="5A12B372">
            <w:pPr>
              <w:spacing w:line="460" w:lineRule="exact"/>
              <w:rPr>
                <w:rFonts w:ascii="宋体" w:hAnsi="宋体" w:cs="宋体"/>
                <w:szCs w:val="21"/>
                <w:highlight w:val="none"/>
              </w:rPr>
            </w:pPr>
          </w:p>
        </w:tc>
        <w:tc>
          <w:tcPr>
            <w:tcW w:w="4814" w:type="dxa"/>
            <w:gridSpan w:val="6"/>
            <w:tcBorders>
              <w:top w:val="single" w:color="auto" w:sz="4" w:space="0"/>
              <w:left w:val="single" w:color="auto" w:sz="4" w:space="0"/>
              <w:bottom w:val="single" w:color="auto" w:sz="4" w:space="0"/>
              <w:right w:val="single" w:color="auto" w:sz="4" w:space="0"/>
            </w:tcBorders>
          </w:tcPr>
          <w:p w14:paraId="751112AD">
            <w:pPr>
              <w:spacing w:line="460" w:lineRule="exact"/>
              <w:rPr>
                <w:rFonts w:ascii="宋体" w:hAnsi="宋体" w:cs="宋体"/>
                <w:szCs w:val="21"/>
                <w:highlight w:val="none"/>
              </w:rPr>
            </w:pPr>
            <w:r>
              <w:rPr>
                <w:rFonts w:hint="eastAsia" w:ascii="宋体" w:hAnsi="宋体" w:cs="宋体"/>
                <w:szCs w:val="21"/>
                <w:highlight w:val="none"/>
                <w:lang w:bidi="ar"/>
              </w:rPr>
              <w:t>金额合计</w:t>
            </w:r>
          </w:p>
        </w:tc>
        <w:tc>
          <w:tcPr>
            <w:tcW w:w="697" w:type="dxa"/>
            <w:tcBorders>
              <w:top w:val="single" w:color="auto" w:sz="4" w:space="0"/>
              <w:left w:val="single" w:color="auto" w:sz="4" w:space="0"/>
              <w:bottom w:val="single" w:color="auto" w:sz="4" w:space="0"/>
              <w:right w:val="single" w:color="auto" w:sz="4" w:space="0"/>
            </w:tcBorders>
          </w:tcPr>
          <w:p w14:paraId="5075EDB3">
            <w:pPr>
              <w:spacing w:line="460" w:lineRule="exact"/>
              <w:rPr>
                <w:rFonts w:ascii="宋体" w:hAnsi="宋体" w:cs="宋体"/>
                <w:szCs w:val="21"/>
                <w:highlight w:val="none"/>
              </w:rPr>
            </w:pPr>
          </w:p>
        </w:tc>
        <w:tc>
          <w:tcPr>
            <w:tcW w:w="924" w:type="dxa"/>
            <w:tcBorders>
              <w:top w:val="single" w:color="auto" w:sz="4" w:space="0"/>
              <w:left w:val="single" w:color="auto" w:sz="4" w:space="0"/>
              <w:bottom w:val="single" w:color="auto" w:sz="4" w:space="0"/>
              <w:right w:val="single" w:color="auto" w:sz="4" w:space="0"/>
            </w:tcBorders>
          </w:tcPr>
          <w:p w14:paraId="5E04D431">
            <w:pPr>
              <w:spacing w:line="460" w:lineRule="exact"/>
              <w:rPr>
                <w:rFonts w:ascii="宋体" w:hAnsi="宋体" w:cs="宋体"/>
                <w:szCs w:val="21"/>
                <w:highlight w:val="none"/>
              </w:rPr>
            </w:pPr>
          </w:p>
        </w:tc>
      </w:tr>
    </w:tbl>
    <w:p w14:paraId="31B51F51">
      <w:pPr>
        <w:adjustRightInd w:val="0"/>
        <w:snapToGrid w:val="0"/>
        <w:spacing w:line="360" w:lineRule="auto"/>
        <w:ind w:firstLine="422" w:firstLineChars="200"/>
        <w:rPr>
          <w:rFonts w:ascii="宋体" w:hAnsi="宋体" w:cs="宋体"/>
          <w:b/>
          <w:szCs w:val="21"/>
          <w:highlight w:val="none"/>
        </w:rPr>
      </w:pPr>
      <w:r>
        <w:rPr>
          <w:rFonts w:hint="eastAsia" w:ascii="宋体" w:hAnsi="宋体" w:cs="宋体"/>
          <w:b/>
          <w:szCs w:val="21"/>
          <w:highlight w:val="none"/>
          <w:lang w:bidi="ar"/>
        </w:rPr>
        <w:t>3.合同金额</w:t>
      </w:r>
    </w:p>
    <w:p w14:paraId="3F36F222">
      <w:pPr>
        <w:adjustRightInd w:val="0"/>
        <w:snapToGrid w:val="0"/>
        <w:spacing w:line="360" w:lineRule="auto"/>
        <w:ind w:firstLine="420" w:firstLineChars="200"/>
        <w:rPr>
          <w:rFonts w:ascii="宋体" w:hAnsi="宋体" w:cs="宋体"/>
          <w:szCs w:val="21"/>
          <w:highlight w:val="none"/>
          <w:u w:val="single"/>
        </w:rPr>
      </w:pPr>
      <w:r>
        <w:rPr>
          <w:rFonts w:hint="eastAsia" w:ascii="宋体" w:hAnsi="宋体" w:cs="宋体"/>
          <w:szCs w:val="21"/>
          <w:highlight w:val="none"/>
          <w:lang w:bidi="ar"/>
        </w:rPr>
        <w:t>3.1合同总价：</w:t>
      </w:r>
      <w:r>
        <w:rPr>
          <w:rFonts w:hint="eastAsia" w:ascii="宋体" w:hAnsi="宋体" w:cs="宋体"/>
          <w:szCs w:val="21"/>
          <w:highlight w:val="none"/>
          <w:u w:val="single"/>
          <w:lang w:bidi="ar"/>
        </w:rPr>
        <w:t xml:space="preserve">（人民币）大写                （¥        ）。           </w:t>
      </w:r>
    </w:p>
    <w:p w14:paraId="37362D11">
      <w:pP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3.2本合同价为固定总价。</w:t>
      </w:r>
    </w:p>
    <w:p w14:paraId="264F269D">
      <w:pPr>
        <w:adjustRightInd w:val="0"/>
        <w:snapToGrid w:val="0"/>
        <w:spacing w:line="360" w:lineRule="auto"/>
        <w:ind w:firstLine="422" w:firstLineChars="200"/>
        <w:rPr>
          <w:rFonts w:ascii="宋体" w:hAnsi="宋体" w:cs="宋体"/>
          <w:b/>
          <w:szCs w:val="21"/>
          <w:highlight w:val="none"/>
        </w:rPr>
      </w:pPr>
      <w:r>
        <w:rPr>
          <w:rFonts w:hint="eastAsia" w:ascii="宋体" w:hAnsi="宋体" w:cs="宋体"/>
          <w:b/>
          <w:szCs w:val="21"/>
          <w:highlight w:val="none"/>
          <w:lang w:bidi="ar"/>
        </w:rPr>
        <w:t xml:space="preserve">4.履行合同的时间、地点及方式 </w:t>
      </w:r>
    </w:p>
    <w:p w14:paraId="7A290DDC">
      <w:pP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交货时间：</w:t>
      </w:r>
    </w:p>
    <w:p w14:paraId="1E30010B">
      <w:pP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 xml:space="preserve">交货地点：                             </w:t>
      </w:r>
    </w:p>
    <w:p w14:paraId="10D89ABE">
      <w:pP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 xml:space="preserve">交货方式：                             </w:t>
      </w:r>
    </w:p>
    <w:p w14:paraId="78CC7F64">
      <w:pPr>
        <w:adjustRightInd w:val="0"/>
        <w:snapToGrid w:val="0"/>
        <w:spacing w:line="360" w:lineRule="auto"/>
        <w:ind w:firstLine="422" w:firstLineChars="200"/>
        <w:rPr>
          <w:rFonts w:ascii="宋体" w:hAnsi="宋体" w:cs="宋体"/>
          <w:b/>
          <w:szCs w:val="21"/>
          <w:highlight w:val="none"/>
        </w:rPr>
      </w:pPr>
      <w:r>
        <w:rPr>
          <w:rFonts w:hint="eastAsia" w:ascii="宋体" w:hAnsi="宋体" w:cs="宋体"/>
          <w:b/>
          <w:szCs w:val="21"/>
          <w:highlight w:val="none"/>
          <w:lang w:bidi="ar"/>
        </w:rPr>
        <w:t>5.付款方式：</w:t>
      </w:r>
    </w:p>
    <w:p w14:paraId="7E003D89">
      <w:pPr>
        <w:spacing w:line="360" w:lineRule="auto"/>
        <w:ind w:firstLine="632" w:firstLineChars="300"/>
        <w:rPr>
          <w:rFonts w:ascii="宋体" w:hAnsi="宋体" w:cs="宋体"/>
          <w:b/>
          <w:szCs w:val="21"/>
          <w:highlight w:val="none"/>
          <w:u w:val="single"/>
        </w:rPr>
      </w:pPr>
      <w:r>
        <w:rPr>
          <w:rFonts w:hint="eastAsia" w:ascii="宋体" w:hAnsi="宋体" w:cs="宋体"/>
          <w:b/>
          <w:szCs w:val="21"/>
          <w:highlight w:val="none"/>
          <w:u w:val="single"/>
          <w:lang w:bidi="ar"/>
        </w:rPr>
        <w:t xml:space="preserve">                                 </w:t>
      </w:r>
    </w:p>
    <w:p w14:paraId="5D2E7FF4">
      <w:pPr>
        <w:adjustRightInd w:val="0"/>
        <w:snapToGrid w:val="0"/>
        <w:spacing w:line="360" w:lineRule="auto"/>
        <w:ind w:firstLine="422" w:firstLineChars="200"/>
        <w:rPr>
          <w:rFonts w:ascii="宋体" w:hAnsi="宋体" w:cs="宋体"/>
          <w:b/>
          <w:szCs w:val="21"/>
          <w:highlight w:val="none"/>
        </w:rPr>
      </w:pPr>
      <w:r>
        <w:rPr>
          <w:rFonts w:hint="eastAsia" w:ascii="宋体" w:hAnsi="宋体" w:cs="宋体"/>
          <w:b/>
          <w:szCs w:val="21"/>
          <w:highlight w:val="none"/>
          <w:lang w:bidi="ar"/>
        </w:rPr>
        <w:t>6.解决合同纠纷方式</w:t>
      </w:r>
    </w:p>
    <w:p w14:paraId="22419B5E">
      <w:pP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首先通过双方协商解决，协商解决不成，则通过以下途径之一解决纠纷：</w:t>
      </w:r>
    </w:p>
    <w:p w14:paraId="7D234F7D">
      <w:pPr>
        <w:adjustRightInd w:val="0"/>
        <w:snapToGrid w:val="0"/>
        <w:spacing w:line="360" w:lineRule="auto"/>
        <w:ind w:firstLine="840" w:firstLineChars="400"/>
        <w:rPr>
          <w:rFonts w:ascii="宋体" w:hAnsi="宋体" w:cs="宋体"/>
          <w:szCs w:val="21"/>
          <w:highlight w:val="none"/>
        </w:rPr>
      </w:pPr>
      <w:r>
        <w:rPr>
          <w:rFonts w:hint="eastAsia" w:ascii="宋体" w:hAnsi="宋体" w:cs="宋体"/>
          <w:szCs w:val="21"/>
          <w:highlight w:val="none"/>
          <w:lang w:bidi="ar"/>
        </w:rPr>
        <w:t>□ 提请仲裁       □ 向人民法院提起诉讼</w:t>
      </w:r>
    </w:p>
    <w:p w14:paraId="31BD3EB1">
      <w:pPr>
        <w:adjustRightInd w:val="0"/>
        <w:snapToGrid w:val="0"/>
        <w:spacing w:line="360" w:lineRule="auto"/>
        <w:ind w:firstLine="422" w:firstLineChars="200"/>
        <w:rPr>
          <w:rFonts w:ascii="宋体" w:hAnsi="宋体" w:cs="宋体"/>
          <w:b/>
          <w:szCs w:val="21"/>
          <w:highlight w:val="none"/>
        </w:rPr>
      </w:pPr>
      <w:r>
        <w:rPr>
          <w:rFonts w:hint="eastAsia" w:ascii="宋体" w:hAnsi="宋体" w:cs="宋体"/>
          <w:b/>
          <w:szCs w:val="21"/>
          <w:highlight w:val="none"/>
          <w:lang w:bidi="ar"/>
        </w:rPr>
        <w:t>7.组成合同的文件</w:t>
      </w:r>
    </w:p>
    <w:p w14:paraId="35292EC9">
      <w:pP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下列文件一起构成合同文件，如下述文件之间有任何抵触、矛盾或歧义，应按以下顺序解释：</w:t>
      </w:r>
    </w:p>
    <w:p w14:paraId="6CBB7450">
      <w:pP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（1）采购合同协议书</w:t>
      </w:r>
    </w:p>
    <w:p w14:paraId="22B5AF15">
      <w:pP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（2）中标通知书</w:t>
      </w:r>
    </w:p>
    <w:p w14:paraId="4249F253">
      <w:pP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（3）投标文件</w:t>
      </w:r>
    </w:p>
    <w:p w14:paraId="175AD9C2">
      <w:pP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（4）专用合同条款</w:t>
      </w:r>
    </w:p>
    <w:p w14:paraId="7C6E8410">
      <w:pP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（5）通用合同条款</w:t>
      </w:r>
    </w:p>
    <w:p w14:paraId="4920A95D">
      <w:pP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（6）标准、规范及有关技术文件，图纸。</w:t>
      </w:r>
    </w:p>
    <w:p w14:paraId="7D6AB3B2">
      <w:pP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（7）其他合同文件。</w:t>
      </w:r>
    </w:p>
    <w:p w14:paraId="2F347B98">
      <w:pPr>
        <w:adjustRightInd w:val="0"/>
        <w:snapToGrid w:val="0"/>
        <w:spacing w:line="360" w:lineRule="auto"/>
        <w:ind w:firstLine="310" w:firstLineChars="147"/>
        <w:rPr>
          <w:rFonts w:ascii="宋体" w:hAnsi="宋体" w:cs="宋体"/>
          <w:b/>
          <w:szCs w:val="21"/>
          <w:highlight w:val="none"/>
        </w:rPr>
      </w:pPr>
      <w:r>
        <w:rPr>
          <w:rFonts w:hint="eastAsia" w:ascii="宋体" w:hAnsi="宋体" w:cs="宋体"/>
          <w:b/>
          <w:szCs w:val="21"/>
          <w:highlight w:val="none"/>
          <w:lang w:bidi="ar"/>
        </w:rPr>
        <w:t>8.合同生效</w:t>
      </w:r>
    </w:p>
    <w:p w14:paraId="470D413A">
      <w:pP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本合同自</w:t>
      </w:r>
      <w:r>
        <w:rPr>
          <w:rFonts w:hint="eastAsia" w:ascii="宋体" w:hAnsi="宋体" w:cs="宋体"/>
          <w:szCs w:val="21"/>
          <w:highlight w:val="none"/>
          <w:u w:val="single"/>
          <w:lang w:bidi="ar"/>
        </w:rPr>
        <w:t xml:space="preserve">                               </w:t>
      </w:r>
      <w:r>
        <w:rPr>
          <w:rFonts w:hint="eastAsia" w:ascii="宋体" w:hAnsi="宋体" w:cs="宋体"/>
          <w:szCs w:val="21"/>
          <w:highlight w:val="none"/>
          <w:lang w:bidi="ar"/>
        </w:rPr>
        <w:t>生效。</w:t>
      </w:r>
    </w:p>
    <w:p w14:paraId="64A5C938">
      <w:pPr>
        <w:adjustRightInd w:val="0"/>
        <w:snapToGrid w:val="0"/>
        <w:spacing w:line="360" w:lineRule="auto"/>
        <w:ind w:firstLine="310" w:firstLineChars="147"/>
        <w:rPr>
          <w:rFonts w:ascii="宋体" w:hAnsi="宋体" w:cs="宋体"/>
          <w:b/>
          <w:szCs w:val="21"/>
          <w:highlight w:val="none"/>
        </w:rPr>
      </w:pPr>
      <w:r>
        <w:rPr>
          <w:rFonts w:hint="eastAsia" w:ascii="宋体" w:hAnsi="宋体" w:cs="宋体"/>
          <w:b/>
          <w:szCs w:val="21"/>
          <w:highlight w:val="none"/>
          <w:lang w:bidi="ar"/>
        </w:rPr>
        <w:t>9.合同份数</w:t>
      </w:r>
    </w:p>
    <w:p w14:paraId="29ABDC03">
      <w:pP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本合同一式</w:t>
      </w:r>
      <w:r>
        <w:rPr>
          <w:rFonts w:hint="eastAsia" w:ascii="宋体" w:hAnsi="宋体" w:cs="宋体"/>
          <w:szCs w:val="21"/>
          <w:highlight w:val="none"/>
          <w:u w:val="single"/>
          <w:lang w:bidi="ar"/>
        </w:rPr>
        <w:t xml:space="preserve">    </w:t>
      </w:r>
      <w:r>
        <w:rPr>
          <w:rFonts w:hint="eastAsia" w:ascii="宋体" w:hAnsi="宋体" w:cs="宋体"/>
          <w:szCs w:val="21"/>
          <w:highlight w:val="none"/>
          <w:lang w:bidi="ar"/>
        </w:rPr>
        <w:t>份，招标人执</w:t>
      </w:r>
      <w:r>
        <w:rPr>
          <w:rFonts w:hint="eastAsia" w:ascii="宋体" w:hAnsi="宋体" w:cs="宋体"/>
          <w:szCs w:val="21"/>
          <w:highlight w:val="none"/>
          <w:u w:val="single"/>
          <w:lang w:bidi="ar"/>
        </w:rPr>
        <w:t xml:space="preserve">   </w:t>
      </w:r>
      <w:r>
        <w:rPr>
          <w:rFonts w:hint="eastAsia" w:ascii="宋体" w:hAnsi="宋体" w:cs="宋体"/>
          <w:szCs w:val="21"/>
          <w:highlight w:val="none"/>
          <w:lang w:bidi="ar"/>
        </w:rPr>
        <w:t>份，投标人执</w:t>
      </w:r>
      <w:r>
        <w:rPr>
          <w:rFonts w:hint="eastAsia" w:ascii="宋体" w:hAnsi="宋体" w:cs="宋体"/>
          <w:szCs w:val="21"/>
          <w:highlight w:val="none"/>
          <w:u w:val="single"/>
          <w:lang w:bidi="ar"/>
        </w:rPr>
        <w:t xml:space="preserve">   </w:t>
      </w:r>
      <w:r>
        <w:rPr>
          <w:rFonts w:hint="eastAsia" w:ascii="宋体" w:hAnsi="宋体" w:cs="宋体"/>
          <w:szCs w:val="21"/>
          <w:highlight w:val="none"/>
          <w:lang w:bidi="ar"/>
        </w:rPr>
        <w:t>份，均具有同等法律效力。</w:t>
      </w:r>
    </w:p>
    <w:p w14:paraId="2D794276">
      <w:pPr>
        <w:adjustRightInd w:val="0"/>
        <w:snapToGrid w:val="0"/>
        <w:spacing w:line="360" w:lineRule="auto"/>
        <w:rPr>
          <w:rFonts w:ascii="宋体" w:hAnsi="宋体" w:cs="宋体"/>
          <w:szCs w:val="21"/>
          <w:highlight w:val="none"/>
        </w:rPr>
      </w:pPr>
    </w:p>
    <w:p w14:paraId="2A094678">
      <w:pPr>
        <w:adjustRightInd w:val="0"/>
        <w:snapToGrid w:val="0"/>
        <w:spacing w:line="360" w:lineRule="auto"/>
        <w:rPr>
          <w:rFonts w:ascii="宋体" w:hAnsi="宋体" w:cs="宋体"/>
          <w:szCs w:val="21"/>
          <w:highlight w:val="none"/>
        </w:rPr>
      </w:pPr>
      <w:r>
        <w:rPr>
          <w:rFonts w:hint="eastAsia" w:ascii="宋体" w:hAnsi="宋体" w:cs="宋体"/>
          <w:szCs w:val="21"/>
          <w:highlight w:val="none"/>
          <w:lang w:bidi="ar"/>
        </w:rPr>
        <w:t>合同订立时间：</w:t>
      </w:r>
      <w:r>
        <w:rPr>
          <w:rFonts w:hint="eastAsia" w:ascii="宋体" w:hAnsi="宋体" w:cs="宋体"/>
          <w:szCs w:val="21"/>
          <w:highlight w:val="none"/>
          <w:u w:val="single"/>
          <w:lang w:bidi="ar"/>
        </w:rPr>
        <w:t xml:space="preserve">         </w:t>
      </w:r>
      <w:r>
        <w:rPr>
          <w:rFonts w:hint="eastAsia" w:ascii="宋体" w:hAnsi="宋体" w:cs="宋体"/>
          <w:szCs w:val="21"/>
          <w:highlight w:val="none"/>
          <w:lang w:bidi="ar"/>
        </w:rPr>
        <w:t>年</w:t>
      </w:r>
      <w:r>
        <w:rPr>
          <w:rFonts w:hint="eastAsia" w:ascii="宋体" w:hAnsi="宋体" w:cs="宋体"/>
          <w:szCs w:val="21"/>
          <w:highlight w:val="none"/>
          <w:u w:val="single"/>
          <w:lang w:bidi="ar"/>
        </w:rPr>
        <w:t xml:space="preserve">      </w:t>
      </w:r>
      <w:r>
        <w:rPr>
          <w:rFonts w:hint="eastAsia" w:ascii="宋体" w:hAnsi="宋体" w:cs="宋体"/>
          <w:szCs w:val="21"/>
          <w:highlight w:val="none"/>
          <w:lang w:bidi="ar"/>
        </w:rPr>
        <w:t>月</w:t>
      </w:r>
      <w:r>
        <w:rPr>
          <w:rFonts w:hint="eastAsia" w:ascii="宋体" w:hAnsi="宋体" w:cs="宋体"/>
          <w:szCs w:val="21"/>
          <w:highlight w:val="none"/>
          <w:u w:val="single"/>
          <w:lang w:bidi="ar"/>
        </w:rPr>
        <w:t xml:space="preserve">      </w:t>
      </w:r>
      <w:r>
        <w:rPr>
          <w:rFonts w:hint="eastAsia" w:ascii="宋体" w:hAnsi="宋体" w:cs="宋体"/>
          <w:szCs w:val="21"/>
          <w:highlight w:val="none"/>
          <w:lang w:bidi="ar"/>
        </w:rPr>
        <w:t>日</w:t>
      </w:r>
    </w:p>
    <w:p w14:paraId="66FD13A4">
      <w:pPr>
        <w:adjustRightInd w:val="0"/>
        <w:snapToGrid w:val="0"/>
        <w:spacing w:line="360" w:lineRule="auto"/>
        <w:rPr>
          <w:rFonts w:ascii="宋体" w:hAnsi="宋体" w:cs="宋体"/>
          <w:szCs w:val="21"/>
          <w:highlight w:val="none"/>
        </w:rPr>
      </w:pPr>
      <w:r>
        <w:rPr>
          <w:rFonts w:hint="eastAsia" w:ascii="宋体" w:hAnsi="宋体" w:cs="宋体"/>
          <w:szCs w:val="21"/>
          <w:highlight w:val="none"/>
          <w:lang w:bidi="ar"/>
        </w:rPr>
        <w:t>合同订立地点：</w:t>
      </w:r>
      <w:r>
        <w:rPr>
          <w:rFonts w:hint="eastAsia" w:ascii="宋体" w:hAnsi="宋体" w:cs="宋体"/>
          <w:szCs w:val="21"/>
          <w:highlight w:val="none"/>
          <w:u w:val="single"/>
          <w:lang w:bidi="ar"/>
        </w:rPr>
        <w:t xml:space="preserve">                           </w:t>
      </w:r>
    </w:p>
    <w:p w14:paraId="7C0CB8AA">
      <w:pP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 xml:space="preserve">    </w:t>
      </w:r>
    </w:p>
    <w:p w14:paraId="1E404D54">
      <w:pPr>
        <w:adjustRightInd w:val="0"/>
        <w:snapToGrid w:val="0"/>
        <w:spacing w:line="360" w:lineRule="auto"/>
        <w:rPr>
          <w:rFonts w:ascii="宋体" w:hAnsi="宋体" w:cs="宋体"/>
          <w:szCs w:val="21"/>
          <w:highlight w:val="none"/>
        </w:rPr>
      </w:pPr>
      <w:r>
        <w:rPr>
          <w:rFonts w:hint="eastAsia" w:ascii="宋体" w:hAnsi="宋体" w:cs="宋体"/>
          <w:szCs w:val="21"/>
          <w:highlight w:val="none"/>
          <w:lang w:bidi="ar"/>
        </w:rPr>
        <w:t>甲      方：（公章）                     乙      方：（公章）</w:t>
      </w:r>
    </w:p>
    <w:p w14:paraId="2FD4248F">
      <w:pPr>
        <w:adjustRightInd w:val="0"/>
        <w:snapToGrid w:val="0"/>
        <w:spacing w:line="360" w:lineRule="auto"/>
        <w:rPr>
          <w:rFonts w:ascii="宋体" w:hAnsi="宋体" w:cs="宋体"/>
          <w:szCs w:val="21"/>
          <w:highlight w:val="none"/>
        </w:rPr>
      </w:pPr>
      <w:r>
        <w:rPr>
          <w:rFonts w:hint="eastAsia" w:ascii="宋体" w:hAnsi="宋体" w:cs="宋体"/>
          <w:szCs w:val="21"/>
          <w:highlight w:val="none"/>
          <w:lang w:bidi="ar"/>
        </w:rPr>
        <w:t>法定代表人：</w:t>
      </w:r>
      <w:r>
        <w:rPr>
          <w:rFonts w:hint="eastAsia" w:ascii="宋体" w:hAnsi="宋体" w:cs="宋体"/>
          <w:szCs w:val="21"/>
          <w:highlight w:val="none"/>
          <w:u w:val="single"/>
          <w:lang w:bidi="ar"/>
        </w:rPr>
        <w:t xml:space="preserve">                   </w:t>
      </w:r>
      <w:r>
        <w:rPr>
          <w:rFonts w:hint="eastAsia" w:ascii="宋体" w:hAnsi="宋体" w:cs="宋体"/>
          <w:szCs w:val="21"/>
          <w:highlight w:val="none"/>
          <w:lang w:bidi="ar"/>
        </w:rPr>
        <w:t xml:space="preserve">         法定代表人：</w:t>
      </w:r>
      <w:r>
        <w:rPr>
          <w:rFonts w:hint="eastAsia" w:ascii="宋体" w:hAnsi="宋体" w:cs="宋体"/>
          <w:szCs w:val="21"/>
          <w:highlight w:val="none"/>
          <w:u w:val="single"/>
          <w:lang w:bidi="ar"/>
        </w:rPr>
        <w:t xml:space="preserve">                   </w:t>
      </w:r>
    </w:p>
    <w:p w14:paraId="0E4C6540">
      <w:pPr>
        <w:adjustRightInd w:val="0"/>
        <w:snapToGrid w:val="0"/>
        <w:spacing w:line="360" w:lineRule="auto"/>
        <w:rPr>
          <w:rFonts w:ascii="宋体" w:hAnsi="宋体" w:cs="宋体"/>
          <w:szCs w:val="21"/>
          <w:highlight w:val="none"/>
        </w:rPr>
      </w:pPr>
      <w:r>
        <w:rPr>
          <w:rFonts w:hint="eastAsia" w:ascii="宋体" w:hAnsi="宋体" w:cs="宋体"/>
          <w:szCs w:val="21"/>
          <w:highlight w:val="none"/>
          <w:lang w:bidi="ar"/>
        </w:rPr>
        <w:t>委托代理人：</w:t>
      </w:r>
      <w:r>
        <w:rPr>
          <w:rFonts w:hint="eastAsia" w:ascii="宋体" w:hAnsi="宋体" w:cs="宋体"/>
          <w:szCs w:val="21"/>
          <w:highlight w:val="none"/>
          <w:u w:val="single"/>
          <w:lang w:bidi="ar"/>
        </w:rPr>
        <w:t xml:space="preserve">                   </w:t>
      </w:r>
      <w:r>
        <w:rPr>
          <w:rFonts w:hint="eastAsia" w:ascii="宋体" w:hAnsi="宋体" w:cs="宋体"/>
          <w:szCs w:val="21"/>
          <w:highlight w:val="none"/>
          <w:lang w:bidi="ar"/>
        </w:rPr>
        <w:t xml:space="preserve">         委托代理人：</w:t>
      </w:r>
      <w:r>
        <w:rPr>
          <w:rFonts w:hint="eastAsia" w:ascii="宋体" w:hAnsi="宋体" w:cs="宋体"/>
          <w:szCs w:val="21"/>
          <w:highlight w:val="none"/>
          <w:u w:val="single"/>
          <w:lang w:bidi="ar"/>
        </w:rPr>
        <w:t xml:space="preserve">                   </w:t>
      </w:r>
    </w:p>
    <w:p w14:paraId="7B7A2123">
      <w:pPr>
        <w:adjustRightInd w:val="0"/>
        <w:snapToGrid w:val="0"/>
        <w:spacing w:line="360" w:lineRule="auto"/>
        <w:rPr>
          <w:rFonts w:ascii="宋体" w:hAnsi="宋体" w:cs="宋体"/>
          <w:szCs w:val="21"/>
          <w:highlight w:val="none"/>
        </w:rPr>
      </w:pPr>
      <w:r>
        <w:rPr>
          <w:rFonts w:hint="eastAsia" w:ascii="宋体" w:hAnsi="宋体" w:cs="宋体"/>
          <w:szCs w:val="21"/>
          <w:highlight w:val="none"/>
          <w:lang w:bidi="ar"/>
        </w:rPr>
        <w:t>电      话：</w:t>
      </w:r>
      <w:r>
        <w:rPr>
          <w:rFonts w:hint="eastAsia" w:ascii="宋体" w:hAnsi="宋体" w:cs="宋体"/>
          <w:szCs w:val="21"/>
          <w:highlight w:val="none"/>
          <w:u w:val="single"/>
          <w:lang w:bidi="ar"/>
        </w:rPr>
        <w:t xml:space="preserve">                   </w:t>
      </w:r>
      <w:r>
        <w:rPr>
          <w:rFonts w:hint="eastAsia" w:ascii="宋体" w:hAnsi="宋体" w:cs="宋体"/>
          <w:szCs w:val="21"/>
          <w:highlight w:val="none"/>
          <w:lang w:bidi="ar"/>
        </w:rPr>
        <w:t xml:space="preserve">         电      话：</w:t>
      </w:r>
      <w:r>
        <w:rPr>
          <w:rFonts w:hint="eastAsia" w:ascii="宋体" w:hAnsi="宋体" w:cs="宋体"/>
          <w:szCs w:val="21"/>
          <w:highlight w:val="none"/>
          <w:u w:val="single"/>
          <w:lang w:bidi="ar"/>
        </w:rPr>
        <w:t xml:space="preserve">                   </w:t>
      </w:r>
    </w:p>
    <w:p w14:paraId="4B6400C0">
      <w:pPr>
        <w:adjustRightInd w:val="0"/>
        <w:snapToGrid w:val="0"/>
        <w:spacing w:line="360" w:lineRule="auto"/>
        <w:rPr>
          <w:rFonts w:ascii="宋体" w:hAnsi="宋体" w:cs="宋体"/>
          <w:szCs w:val="21"/>
          <w:highlight w:val="none"/>
        </w:rPr>
      </w:pPr>
      <w:r>
        <w:rPr>
          <w:rFonts w:hint="eastAsia" w:ascii="宋体" w:hAnsi="宋体" w:cs="宋体"/>
          <w:szCs w:val="21"/>
          <w:highlight w:val="none"/>
          <w:lang w:bidi="ar"/>
        </w:rPr>
        <w:t>传      真：</w:t>
      </w:r>
      <w:r>
        <w:rPr>
          <w:rFonts w:hint="eastAsia" w:ascii="宋体" w:hAnsi="宋体" w:cs="宋体"/>
          <w:szCs w:val="21"/>
          <w:highlight w:val="none"/>
          <w:u w:val="single"/>
          <w:lang w:bidi="ar"/>
        </w:rPr>
        <w:t xml:space="preserve">                   </w:t>
      </w:r>
      <w:r>
        <w:rPr>
          <w:rFonts w:hint="eastAsia" w:ascii="宋体" w:hAnsi="宋体" w:cs="宋体"/>
          <w:szCs w:val="21"/>
          <w:highlight w:val="none"/>
          <w:lang w:bidi="ar"/>
        </w:rPr>
        <w:t xml:space="preserve">         传      真：</w:t>
      </w:r>
      <w:r>
        <w:rPr>
          <w:rFonts w:hint="eastAsia" w:ascii="宋体" w:hAnsi="宋体" w:cs="宋体"/>
          <w:szCs w:val="21"/>
          <w:highlight w:val="none"/>
          <w:u w:val="single"/>
          <w:lang w:bidi="ar"/>
        </w:rPr>
        <w:t xml:space="preserve">                   </w:t>
      </w:r>
    </w:p>
    <w:p w14:paraId="125E3BEA">
      <w:pP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 xml:space="preserve">                                    开 户 银 行：</w:t>
      </w:r>
      <w:r>
        <w:rPr>
          <w:rFonts w:hint="eastAsia" w:ascii="宋体" w:hAnsi="宋体" w:cs="宋体"/>
          <w:szCs w:val="21"/>
          <w:highlight w:val="none"/>
          <w:u w:val="single"/>
          <w:lang w:bidi="ar"/>
        </w:rPr>
        <w:t xml:space="preserve">                  </w:t>
      </w:r>
    </w:p>
    <w:p w14:paraId="0727D114">
      <w:pPr>
        <w:widowControl/>
        <w:jc w:val="left"/>
        <w:rPr>
          <w:highlight w:val="none"/>
        </w:rPr>
      </w:pPr>
      <w:r>
        <w:rPr>
          <w:rFonts w:hint="eastAsia" w:ascii="宋体" w:hAnsi="宋体"/>
          <w:szCs w:val="21"/>
          <w:highlight w:val="none"/>
          <w:lang w:bidi="ar"/>
        </w:rPr>
        <w:t xml:space="preserve">                                        帐       号：</w:t>
      </w:r>
      <w:r>
        <w:rPr>
          <w:rFonts w:hint="eastAsia" w:ascii="宋体" w:hAnsi="宋体"/>
          <w:szCs w:val="21"/>
          <w:highlight w:val="none"/>
          <w:u w:val="single"/>
          <w:lang w:bidi="ar"/>
        </w:rPr>
        <w:t xml:space="preserve">                  </w:t>
      </w:r>
    </w:p>
    <w:p w14:paraId="233F4FB5">
      <w:pPr>
        <w:widowControl/>
        <w:spacing w:line="560" w:lineRule="exact"/>
        <w:jc w:val="left"/>
        <w:rPr>
          <w:rFonts w:ascii="宋体" w:hAnsi="宋体" w:cs="宋体"/>
          <w:b/>
          <w:kern w:val="0"/>
          <w:sz w:val="24"/>
          <w:highlight w:val="none"/>
        </w:rPr>
        <w:sectPr>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start="1"/>
          <w:cols w:space="720" w:num="1"/>
          <w:docGrid w:linePitch="312" w:charSpace="0"/>
        </w:sectPr>
      </w:pPr>
    </w:p>
    <w:p w14:paraId="26A1FBFF">
      <w:pPr>
        <w:pStyle w:val="284"/>
        <w:spacing w:line="560" w:lineRule="exact"/>
        <w:ind w:firstLine="200"/>
        <w:jc w:val="center"/>
        <w:rPr>
          <w:rFonts w:hAnsi="宋体" w:cs="宋体"/>
          <w:b/>
          <w:szCs w:val="24"/>
          <w:highlight w:val="none"/>
        </w:rPr>
      </w:pPr>
      <w:r>
        <w:rPr>
          <w:rFonts w:hint="eastAsia" w:hAnsi="宋体" w:cs="宋体"/>
          <w:b/>
          <w:szCs w:val="24"/>
          <w:highlight w:val="none"/>
        </w:rPr>
        <w:t xml:space="preserve">第二部分 </w:t>
      </w:r>
      <w:bookmarkEnd w:id="46"/>
      <w:r>
        <w:rPr>
          <w:rFonts w:hint="eastAsia" w:hAnsi="宋体" w:cs="宋体"/>
          <w:b/>
          <w:szCs w:val="24"/>
          <w:highlight w:val="none"/>
        </w:rPr>
        <w:t>政府采购合同通用条款</w:t>
      </w:r>
    </w:p>
    <w:p w14:paraId="700D0744">
      <w:pPr>
        <w:tabs>
          <w:tab w:val="left" w:pos="8820"/>
          <w:tab w:val="left" w:pos="9345"/>
          <w:tab w:val="left" w:pos="9765"/>
        </w:tabs>
        <w:adjustRightInd w:val="0"/>
        <w:snapToGrid w:val="0"/>
        <w:spacing w:before="120" w:beforeLines="50" w:line="360" w:lineRule="auto"/>
        <w:ind w:right="384" w:rightChars="183"/>
        <w:jc w:val="center"/>
        <w:rPr>
          <w:rFonts w:ascii="宋体" w:hAnsi="宋体" w:cs="宋体"/>
          <w:b/>
          <w:bCs/>
          <w:sz w:val="24"/>
          <w:highlight w:val="none"/>
        </w:rPr>
      </w:pPr>
      <w:r>
        <w:rPr>
          <w:rFonts w:hint="eastAsia" w:ascii="宋体" w:hAnsi="宋体" w:cs="宋体"/>
          <w:b/>
          <w:bCs/>
          <w:sz w:val="24"/>
          <w:highlight w:val="none"/>
          <w:lang w:bidi="ar"/>
        </w:rPr>
        <w:t xml:space="preserve">政府采购合同通用条款 </w:t>
      </w:r>
    </w:p>
    <w:p w14:paraId="1D7B303D">
      <w:pPr>
        <w:pStyle w:val="42"/>
        <w:widowControl w:val="0"/>
        <w:snapToGrid w:val="0"/>
        <w:spacing w:before="0" w:beforeAutospacing="0" w:after="120" w:afterAutospacing="0" w:line="360" w:lineRule="auto"/>
        <w:ind w:left="105" w:leftChars="50"/>
        <w:jc w:val="both"/>
        <w:rPr>
          <w:b/>
          <w:bCs/>
          <w:sz w:val="28"/>
          <w:szCs w:val="28"/>
          <w:highlight w:val="none"/>
        </w:rPr>
      </w:pPr>
    </w:p>
    <w:p w14:paraId="63345183">
      <w:pPr>
        <w:tabs>
          <w:tab w:val="left" w:pos="8820"/>
          <w:tab w:val="left" w:pos="9345"/>
          <w:tab w:val="left" w:pos="9765"/>
        </w:tabs>
        <w:adjustRightInd w:val="0"/>
        <w:snapToGrid w:val="0"/>
        <w:spacing w:line="360" w:lineRule="auto"/>
        <w:ind w:right="384" w:rightChars="183"/>
        <w:rPr>
          <w:rFonts w:ascii="宋体" w:hAnsi="宋体" w:cs="宋体"/>
          <w:b/>
          <w:bCs/>
          <w:szCs w:val="21"/>
          <w:highlight w:val="none"/>
        </w:rPr>
      </w:pPr>
      <w:r>
        <w:rPr>
          <w:rFonts w:hint="eastAsia" w:ascii="宋体" w:hAnsi="宋体" w:cs="宋体"/>
          <w:b/>
          <w:szCs w:val="21"/>
          <w:highlight w:val="none"/>
          <w:lang w:bidi="ar"/>
        </w:rPr>
        <w:t>1.</w:t>
      </w:r>
      <w:r>
        <w:rPr>
          <w:rFonts w:hint="eastAsia" w:ascii="宋体" w:hAnsi="宋体" w:cs="宋体"/>
          <w:b/>
          <w:bCs/>
          <w:szCs w:val="21"/>
          <w:highlight w:val="none"/>
          <w:lang w:bidi="ar"/>
        </w:rPr>
        <w:t>定义</w:t>
      </w:r>
    </w:p>
    <w:p w14:paraId="29B708DA">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1.1合同当事人</w:t>
      </w:r>
    </w:p>
    <w:p w14:paraId="3617A2CE">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（1）采购人(以下称甲方)是指使用财政性资金，通过政府采购程序向投标人购买货物、服务的国家机关、事业单位、团体组织。</w:t>
      </w:r>
    </w:p>
    <w:p w14:paraId="66B3C0EC">
      <w:pPr>
        <w:autoSpaceDE w:val="0"/>
        <w:autoSpaceDN w:val="0"/>
        <w:adjustRightInd w:val="0"/>
        <w:snapToGrid w:val="0"/>
        <w:spacing w:line="360" w:lineRule="auto"/>
        <w:ind w:firstLine="420" w:firstLineChars="200"/>
        <w:rPr>
          <w:rFonts w:ascii="宋体" w:hAnsi="宋体" w:cs="宋体"/>
          <w:b/>
          <w:szCs w:val="21"/>
          <w:highlight w:val="none"/>
        </w:rPr>
      </w:pPr>
      <w:r>
        <w:rPr>
          <w:rFonts w:hint="eastAsia" w:ascii="宋体" w:hAnsi="宋体" w:cs="宋体"/>
          <w:szCs w:val="21"/>
          <w:highlight w:val="none"/>
          <w:lang w:bidi="ar"/>
        </w:rPr>
        <w:t>（2）投标人(以下称乙方)是指参加政府采购活动而取得中标资格，并向采购人提供货物、服务的法人、其他组织或者自然人。</w:t>
      </w:r>
    </w:p>
    <w:p w14:paraId="0BFCC02C">
      <w:pPr>
        <w:tabs>
          <w:tab w:val="left" w:pos="570"/>
          <w:tab w:val="left" w:pos="9240"/>
          <w:tab w:val="left" w:pos="9555"/>
        </w:tabs>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1.2本合同下列术语应解释为：</w:t>
      </w:r>
    </w:p>
    <w:p w14:paraId="3E433556">
      <w:pPr>
        <w:tabs>
          <w:tab w:val="left" w:pos="570"/>
          <w:tab w:val="left" w:pos="9240"/>
          <w:tab w:val="left" w:pos="9555"/>
        </w:tabs>
        <w:adjustRightInd w:val="0"/>
        <w:snapToGrid w:val="0"/>
        <w:spacing w:line="360" w:lineRule="auto"/>
        <w:ind w:right="-92" w:rightChars="-44" w:firstLine="420" w:firstLineChars="200"/>
        <w:rPr>
          <w:rFonts w:ascii="宋体" w:hAnsi="宋体" w:cs="宋体"/>
          <w:szCs w:val="21"/>
          <w:highlight w:val="none"/>
        </w:rPr>
      </w:pPr>
      <w:r>
        <w:rPr>
          <w:rFonts w:hint="eastAsia" w:ascii="宋体" w:hAnsi="宋体" w:cs="宋体"/>
          <w:szCs w:val="21"/>
          <w:highlight w:val="none"/>
          <w:lang w:bidi="ar"/>
        </w:rPr>
        <w:t>（1）“合同”系指甲乙双方签署的、政府采购合同协议书中载明的甲乙双方所达成的协议，包括所有的附件、附录和上述文件所提到的构成合同的所有文件。</w:t>
      </w:r>
    </w:p>
    <w:p w14:paraId="7EB0AACB">
      <w:pPr>
        <w:tabs>
          <w:tab w:val="left" w:pos="570"/>
          <w:tab w:val="left" w:pos="9240"/>
          <w:tab w:val="left" w:pos="9555"/>
        </w:tabs>
        <w:adjustRightInd w:val="0"/>
        <w:snapToGrid w:val="0"/>
        <w:spacing w:line="360" w:lineRule="auto"/>
        <w:ind w:right="-92" w:rightChars="-44" w:firstLine="420" w:firstLineChars="200"/>
        <w:rPr>
          <w:rFonts w:ascii="宋体" w:hAnsi="宋体" w:cs="宋体"/>
          <w:szCs w:val="21"/>
          <w:highlight w:val="none"/>
        </w:rPr>
      </w:pPr>
      <w:r>
        <w:rPr>
          <w:rFonts w:hint="eastAsia" w:ascii="宋体" w:hAnsi="宋体" w:cs="宋体"/>
          <w:szCs w:val="21"/>
          <w:highlight w:val="none"/>
          <w:lang w:bidi="ar"/>
        </w:rPr>
        <w:t>（2）“合同价”系指根据本合同规定乙方在正确地完全履行合同义务后甲方应支付给乙方的价款。</w:t>
      </w:r>
    </w:p>
    <w:p w14:paraId="5CD3E83A">
      <w:pPr>
        <w:tabs>
          <w:tab w:val="left" w:pos="570"/>
          <w:tab w:val="left" w:pos="9240"/>
          <w:tab w:val="left" w:pos="9555"/>
        </w:tabs>
        <w:adjustRightInd w:val="0"/>
        <w:snapToGrid w:val="0"/>
        <w:spacing w:line="360" w:lineRule="auto"/>
        <w:ind w:right="-92" w:rightChars="-44" w:firstLine="420" w:firstLineChars="200"/>
        <w:rPr>
          <w:rFonts w:ascii="宋体" w:hAnsi="宋体" w:cs="宋体"/>
          <w:szCs w:val="21"/>
          <w:highlight w:val="none"/>
        </w:rPr>
      </w:pPr>
      <w:r>
        <w:rPr>
          <w:rFonts w:hint="eastAsia" w:ascii="宋体" w:hAnsi="宋体" w:cs="宋体"/>
          <w:szCs w:val="21"/>
          <w:highlight w:val="none"/>
          <w:lang w:bidi="ar"/>
        </w:rPr>
        <w:t>（3）“货物”系指乙方根据本合同规定须向甲方提供的各种形态和种类的物品，包括原材料、设备、产品(包括软件)及相关的其备品备件、工具、手册及其它技术资料和材料。</w:t>
      </w:r>
    </w:p>
    <w:p w14:paraId="623F3AF0">
      <w:pPr>
        <w:tabs>
          <w:tab w:val="left" w:pos="570"/>
          <w:tab w:val="left" w:pos="8880"/>
          <w:tab w:val="left" w:pos="9555"/>
        </w:tabs>
        <w:adjustRightInd w:val="0"/>
        <w:snapToGrid w:val="0"/>
        <w:spacing w:line="360" w:lineRule="auto"/>
        <w:ind w:right="-92" w:rightChars="-44" w:firstLine="420" w:firstLineChars="200"/>
        <w:rPr>
          <w:rFonts w:ascii="宋体" w:hAnsi="宋体" w:cs="宋体"/>
          <w:szCs w:val="21"/>
          <w:highlight w:val="none"/>
        </w:rPr>
      </w:pPr>
      <w:r>
        <w:rPr>
          <w:rFonts w:hint="eastAsia" w:ascii="宋体" w:hAnsi="宋体" w:cs="宋体"/>
          <w:szCs w:val="21"/>
          <w:highlight w:val="none"/>
          <w:lang w:bidi="ar"/>
        </w:rPr>
        <w:t>（4）“伴随服务”系指根据本合同规定乙方承担与供货有关的辅助服务，如运输、保</w:t>
      </w:r>
      <w:r>
        <w:rPr>
          <w:rFonts w:hint="eastAsia" w:ascii="宋体" w:hAnsi="宋体" w:cs="宋体"/>
          <w:spacing w:val="2"/>
          <w:szCs w:val="21"/>
          <w:highlight w:val="none"/>
          <w:lang w:bidi="ar"/>
        </w:rPr>
        <w:t>险以及其它的伴随服务，例如安装、调试、提供技术</w:t>
      </w:r>
      <w:r>
        <w:rPr>
          <w:rFonts w:hint="eastAsia" w:ascii="宋体" w:hAnsi="宋体" w:cs="宋体"/>
          <w:szCs w:val="21"/>
          <w:highlight w:val="none"/>
          <w:lang w:bidi="ar"/>
        </w:rPr>
        <w:t>协</w:t>
      </w:r>
      <w:r>
        <w:rPr>
          <w:rFonts w:hint="eastAsia" w:ascii="宋体" w:hAnsi="宋体" w:cs="宋体"/>
          <w:spacing w:val="2"/>
          <w:szCs w:val="21"/>
          <w:highlight w:val="none"/>
          <w:lang w:bidi="ar"/>
        </w:rPr>
        <w:t>助、培训和合同中规定</w:t>
      </w:r>
      <w:r>
        <w:rPr>
          <w:rFonts w:hint="eastAsia" w:ascii="宋体" w:hAnsi="宋体" w:cs="宋体"/>
          <w:szCs w:val="21"/>
          <w:highlight w:val="none"/>
          <w:lang w:bidi="ar"/>
        </w:rPr>
        <w:t>乙方应承担的其它义务。</w:t>
      </w:r>
    </w:p>
    <w:p w14:paraId="170EAD4A">
      <w:pPr>
        <w:tabs>
          <w:tab w:val="left" w:pos="570"/>
          <w:tab w:val="left" w:pos="9240"/>
          <w:tab w:val="left" w:pos="9555"/>
        </w:tabs>
        <w:adjustRightInd w:val="0"/>
        <w:snapToGrid w:val="0"/>
        <w:spacing w:line="360" w:lineRule="auto"/>
        <w:ind w:right="-92" w:rightChars="-44" w:firstLine="420" w:firstLineChars="200"/>
        <w:rPr>
          <w:rFonts w:ascii="宋体" w:hAnsi="宋体" w:cs="宋体"/>
          <w:szCs w:val="21"/>
          <w:highlight w:val="none"/>
        </w:rPr>
      </w:pPr>
      <w:r>
        <w:rPr>
          <w:rFonts w:hint="eastAsia" w:ascii="宋体" w:hAnsi="宋体" w:cs="宋体"/>
          <w:szCs w:val="21"/>
          <w:highlight w:val="none"/>
          <w:lang w:bidi="ar"/>
        </w:rPr>
        <w:t>（5）“合同条款”系指本合同条款。</w:t>
      </w:r>
    </w:p>
    <w:p w14:paraId="18CDEBD2">
      <w:pPr>
        <w:tabs>
          <w:tab w:val="left" w:pos="570"/>
          <w:tab w:val="left" w:pos="9240"/>
          <w:tab w:val="left" w:pos="9555"/>
        </w:tabs>
        <w:adjustRightInd w:val="0"/>
        <w:snapToGrid w:val="0"/>
        <w:spacing w:line="360" w:lineRule="auto"/>
        <w:ind w:right="-92" w:rightChars="-44" w:firstLine="420" w:firstLineChars="200"/>
        <w:rPr>
          <w:rFonts w:ascii="宋体" w:hAnsi="宋体" w:cs="宋体"/>
          <w:szCs w:val="21"/>
          <w:highlight w:val="none"/>
        </w:rPr>
      </w:pPr>
      <w:r>
        <w:rPr>
          <w:rFonts w:hint="eastAsia" w:ascii="宋体" w:hAnsi="宋体" w:cs="宋体"/>
          <w:szCs w:val="21"/>
          <w:highlight w:val="none"/>
          <w:lang w:bidi="ar"/>
        </w:rPr>
        <w:t>（6）“项目现场”系指本合同项下货物安装、运行的现场，其名称在</w:t>
      </w:r>
      <w:r>
        <w:rPr>
          <w:rFonts w:hint="eastAsia" w:ascii="宋体" w:hAnsi="宋体" w:cs="宋体"/>
          <w:b/>
          <w:bCs/>
          <w:szCs w:val="21"/>
          <w:highlight w:val="none"/>
          <w:lang w:bidi="ar"/>
        </w:rPr>
        <w:t>政府采购合同专用条款</w:t>
      </w:r>
      <w:r>
        <w:rPr>
          <w:rFonts w:hint="eastAsia" w:ascii="宋体" w:hAnsi="宋体" w:cs="宋体"/>
          <w:szCs w:val="21"/>
          <w:highlight w:val="none"/>
          <w:lang w:bidi="ar"/>
        </w:rPr>
        <w:t>指明。</w:t>
      </w:r>
    </w:p>
    <w:p w14:paraId="669B5270">
      <w:pPr>
        <w:autoSpaceDE w:val="0"/>
        <w:autoSpaceDN w:val="0"/>
        <w:adjustRightInd w:val="0"/>
        <w:snapToGrid w:val="0"/>
        <w:spacing w:line="360" w:lineRule="auto"/>
        <w:rPr>
          <w:rFonts w:ascii="宋体" w:hAnsi="宋体" w:cs="宋体"/>
          <w:b/>
          <w:szCs w:val="21"/>
          <w:highlight w:val="none"/>
        </w:rPr>
      </w:pPr>
      <w:r>
        <w:rPr>
          <w:rFonts w:hint="eastAsia" w:ascii="宋体" w:hAnsi="宋体" w:cs="宋体"/>
          <w:b/>
          <w:szCs w:val="21"/>
          <w:highlight w:val="none"/>
          <w:lang w:bidi="ar"/>
        </w:rPr>
        <w:t>2.合同的适用范围</w:t>
      </w:r>
    </w:p>
    <w:p w14:paraId="14164E14">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2.1 本合同条款适用于没有被本合同其他部分的条款所取代的范围。</w:t>
      </w:r>
    </w:p>
    <w:p w14:paraId="42FD70EB">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2.2 合同内容根据招标文件、投标文件而确定。</w:t>
      </w:r>
    </w:p>
    <w:p w14:paraId="70104653">
      <w:pPr>
        <w:autoSpaceDE w:val="0"/>
        <w:autoSpaceDN w:val="0"/>
        <w:adjustRightInd w:val="0"/>
        <w:snapToGrid w:val="0"/>
        <w:spacing w:line="360" w:lineRule="auto"/>
        <w:rPr>
          <w:rFonts w:ascii="宋体" w:hAnsi="宋体" w:cs="宋体"/>
          <w:b/>
          <w:bCs/>
          <w:szCs w:val="21"/>
          <w:highlight w:val="none"/>
        </w:rPr>
      </w:pPr>
      <w:r>
        <w:rPr>
          <w:rFonts w:hint="eastAsia" w:ascii="宋体" w:hAnsi="宋体" w:cs="宋体"/>
          <w:b/>
          <w:bCs/>
          <w:szCs w:val="21"/>
          <w:highlight w:val="none"/>
          <w:lang w:bidi="ar"/>
        </w:rPr>
        <w:t>3.</w:t>
      </w:r>
      <w:r>
        <w:rPr>
          <w:rFonts w:hint="eastAsia" w:ascii="宋体" w:hAnsi="宋体" w:cs="宋体"/>
          <w:b/>
          <w:szCs w:val="21"/>
          <w:highlight w:val="none"/>
          <w:lang w:bidi="ar"/>
        </w:rPr>
        <w:t>合同标的及金额</w:t>
      </w:r>
    </w:p>
    <w:p w14:paraId="53EEBF19">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3.1 合同标的及金额应与中标结果一致，具体的货物名称、规格、型号、数量和价格见</w:t>
      </w:r>
      <w:r>
        <w:rPr>
          <w:rFonts w:hint="eastAsia" w:ascii="宋体" w:hAnsi="宋体" w:cs="宋体"/>
          <w:b/>
          <w:bCs/>
          <w:szCs w:val="21"/>
          <w:highlight w:val="none"/>
          <w:lang w:bidi="ar"/>
        </w:rPr>
        <w:t>政府采购合同专用条款</w:t>
      </w:r>
      <w:r>
        <w:rPr>
          <w:rFonts w:hint="eastAsia" w:ascii="宋体" w:hAnsi="宋体" w:cs="宋体"/>
          <w:szCs w:val="21"/>
          <w:highlight w:val="none"/>
          <w:lang w:bidi="ar"/>
        </w:rPr>
        <w:t>。</w:t>
      </w:r>
    </w:p>
    <w:p w14:paraId="119FCF48">
      <w:pPr>
        <w:autoSpaceDE w:val="0"/>
        <w:autoSpaceDN w:val="0"/>
        <w:adjustRightInd w:val="0"/>
        <w:snapToGrid w:val="0"/>
        <w:spacing w:line="360" w:lineRule="auto"/>
        <w:rPr>
          <w:rFonts w:ascii="宋体" w:hAnsi="宋体" w:cs="宋体"/>
          <w:b/>
          <w:bCs/>
          <w:szCs w:val="21"/>
          <w:highlight w:val="none"/>
        </w:rPr>
      </w:pPr>
      <w:r>
        <w:rPr>
          <w:rFonts w:hint="eastAsia" w:ascii="宋体" w:hAnsi="宋体" w:cs="宋体"/>
          <w:b/>
          <w:bCs/>
          <w:szCs w:val="21"/>
          <w:highlight w:val="none"/>
          <w:lang w:bidi="ar"/>
        </w:rPr>
        <w:t>4.</w:t>
      </w:r>
      <w:r>
        <w:rPr>
          <w:rFonts w:hint="eastAsia" w:ascii="宋体" w:hAnsi="宋体" w:cs="宋体"/>
          <w:b/>
          <w:szCs w:val="21"/>
          <w:highlight w:val="none"/>
          <w:lang w:bidi="ar"/>
        </w:rPr>
        <w:t>合同价款</w:t>
      </w:r>
    </w:p>
    <w:p w14:paraId="7454C5F0">
      <w:pPr>
        <w:adjustRightInd w:val="0"/>
        <w:snapToGrid w:val="0"/>
        <w:spacing w:line="360" w:lineRule="auto"/>
        <w:ind w:firstLine="560"/>
        <w:rPr>
          <w:rFonts w:ascii="宋体" w:hAnsi="宋体" w:cs="宋体"/>
          <w:b/>
          <w:bCs/>
          <w:i/>
          <w:iCs/>
          <w:szCs w:val="21"/>
          <w:highlight w:val="none"/>
        </w:rPr>
      </w:pPr>
      <w:r>
        <w:rPr>
          <w:rFonts w:hint="eastAsia" w:ascii="宋体" w:hAnsi="宋体" w:cs="宋体"/>
          <w:szCs w:val="21"/>
          <w:highlight w:val="none"/>
          <w:lang w:bidi="ar"/>
        </w:rPr>
        <w:t>4.1具体合同价款见本合同第3.1项。乙方为履行本合同而发生的所有费用均应包含在合同价款中，甲方不再另行支付其它任何费用。</w:t>
      </w:r>
    </w:p>
    <w:p w14:paraId="1EF6049A">
      <w:pPr>
        <w:adjustRightInd w:val="0"/>
        <w:snapToGrid w:val="0"/>
        <w:spacing w:line="360" w:lineRule="auto"/>
        <w:rPr>
          <w:rFonts w:ascii="宋体" w:hAnsi="宋体" w:cs="宋体"/>
          <w:b/>
          <w:szCs w:val="21"/>
          <w:highlight w:val="none"/>
        </w:rPr>
      </w:pPr>
      <w:r>
        <w:rPr>
          <w:rFonts w:hint="eastAsia" w:ascii="宋体" w:hAnsi="宋体" w:cs="宋体"/>
          <w:b/>
          <w:szCs w:val="21"/>
          <w:highlight w:val="none"/>
          <w:lang w:bidi="ar"/>
        </w:rPr>
        <w:t>5.履行合同的时间、地点和方式</w:t>
      </w:r>
    </w:p>
    <w:p w14:paraId="73C98DC1">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5.1 乙方应当在甲方确定的时间、指定的地点履行合同，具体的交货时间、地点和方式见</w:t>
      </w:r>
      <w:r>
        <w:rPr>
          <w:rFonts w:hint="eastAsia" w:ascii="宋体" w:hAnsi="宋体" w:cs="宋体"/>
          <w:b/>
          <w:bCs/>
          <w:szCs w:val="21"/>
          <w:highlight w:val="none"/>
          <w:lang w:bidi="ar"/>
        </w:rPr>
        <w:t>政府采购合同专用条款</w:t>
      </w:r>
      <w:r>
        <w:rPr>
          <w:rFonts w:hint="eastAsia" w:ascii="宋体" w:hAnsi="宋体" w:cs="宋体"/>
          <w:szCs w:val="21"/>
          <w:highlight w:val="none"/>
          <w:lang w:bidi="ar"/>
        </w:rPr>
        <w:t>。</w:t>
      </w:r>
    </w:p>
    <w:p w14:paraId="3A9B64C1">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5.2 乙方提供服务的应当在甲方指定的地点完成服务项目。</w:t>
      </w:r>
    </w:p>
    <w:p w14:paraId="5B943A54">
      <w:pPr>
        <w:adjustRightInd w:val="0"/>
        <w:snapToGrid w:val="0"/>
        <w:spacing w:line="360" w:lineRule="auto"/>
        <w:rPr>
          <w:rFonts w:ascii="宋体" w:hAnsi="宋体" w:cs="宋体"/>
          <w:b/>
          <w:bCs/>
          <w:szCs w:val="21"/>
          <w:highlight w:val="none"/>
        </w:rPr>
      </w:pPr>
      <w:r>
        <w:rPr>
          <w:rFonts w:hint="eastAsia" w:ascii="宋体" w:hAnsi="宋体" w:cs="宋体"/>
          <w:b/>
          <w:bCs/>
          <w:szCs w:val="21"/>
          <w:highlight w:val="none"/>
          <w:lang w:bidi="ar"/>
        </w:rPr>
        <w:t>6.</w:t>
      </w:r>
      <w:r>
        <w:rPr>
          <w:rFonts w:hint="eastAsia" w:ascii="宋体" w:hAnsi="宋体" w:cs="宋体"/>
          <w:b/>
          <w:szCs w:val="21"/>
          <w:highlight w:val="none"/>
          <w:lang w:bidi="ar"/>
        </w:rPr>
        <w:t>货物的验收</w:t>
      </w:r>
    </w:p>
    <w:p w14:paraId="7C21AB34">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6.1 甲方在收到乙方交付的货物后应当及时组织验收。</w:t>
      </w:r>
    </w:p>
    <w:p w14:paraId="0180A19F">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6.2 货物的表面瑕疵，甲方应在验收时当面提出；对质量问题有异议的应在安装调试后十个工作日内提出。</w:t>
      </w:r>
    </w:p>
    <w:p w14:paraId="1F936612">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6.3 在验收过程中发现数量不足或有质量、技术等问题，乙方应负责按照甲方的要求采取补足、更换或退货等处理措施，并承担由此发生的一切费用和损失。</w:t>
      </w:r>
    </w:p>
    <w:p w14:paraId="6BC03C9B">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6.4 甲方在乙方按合同规定交货或安装、调试后，无正当理由而拖延接收、验收或拒绝接收、验收的，应承担因此给乙方造成的直接损失。</w:t>
      </w:r>
    </w:p>
    <w:p w14:paraId="5926EA9F">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6.5 甲方对货物进行检查验收合格后，应当收取发票并在《交货验收单》上签署验收意见及加盖单位印章。</w:t>
      </w:r>
    </w:p>
    <w:p w14:paraId="34B13A83">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6.6 大型或者复杂的货物采购项目，甲方可以邀请国家认可的质量检测机构参加验收工作，并由其出具验收报告单。</w:t>
      </w:r>
    </w:p>
    <w:p w14:paraId="78C3FB07">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6.7 乙方提供的进口产品，乙方应出示中华人民共和国进出口商品检验部门出具的检验证书（采购文件另有约定的除外）。</w:t>
      </w:r>
    </w:p>
    <w:p w14:paraId="33072199">
      <w:pPr>
        <w:adjustRightInd w:val="0"/>
        <w:snapToGrid w:val="0"/>
        <w:spacing w:line="360" w:lineRule="auto"/>
        <w:rPr>
          <w:rFonts w:ascii="宋体" w:hAnsi="宋体" w:cs="宋体"/>
          <w:b/>
          <w:bCs/>
          <w:szCs w:val="21"/>
          <w:highlight w:val="none"/>
        </w:rPr>
      </w:pPr>
      <w:r>
        <w:rPr>
          <w:rFonts w:hint="eastAsia" w:ascii="宋体" w:hAnsi="宋体" w:cs="宋体"/>
          <w:b/>
          <w:bCs/>
          <w:szCs w:val="21"/>
          <w:highlight w:val="none"/>
          <w:lang w:bidi="ar"/>
        </w:rPr>
        <w:t>7.货物包装要求</w:t>
      </w:r>
    </w:p>
    <w:p w14:paraId="3C9BBB68">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7.1 乙方所出售的全部货物均应按标准保护措施进行包装，包装应适应于远距离运输、防潮、防震、防锈和防野蛮装卸等要求，以确保货物安全无损地运抵指定现场。由于包装防护措施不妥而引起的损坏、丢失由乙方负责。</w:t>
      </w:r>
    </w:p>
    <w:p w14:paraId="40064D6A">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7.2 每一个包装箱内应附一份详细装箱单、质量证书和保修保养证书。</w:t>
      </w:r>
    </w:p>
    <w:p w14:paraId="29A0B18B">
      <w:pPr>
        <w:spacing w:line="360" w:lineRule="auto"/>
        <w:rPr>
          <w:rFonts w:ascii="宋体" w:hAnsi="宋体" w:cs="宋体"/>
          <w:b/>
          <w:bCs/>
          <w:szCs w:val="21"/>
          <w:highlight w:val="none"/>
        </w:rPr>
      </w:pPr>
      <w:bookmarkStart w:id="48" w:name="_Toc427862412"/>
      <w:bookmarkStart w:id="49" w:name="_Toc432175161"/>
      <w:bookmarkStart w:id="50" w:name="_Toc420948019"/>
      <w:bookmarkStart w:id="51" w:name="_Toc438052043"/>
      <w:bookmarkStart w:id="52" w:name="_Toc428285930"/>
      <w:bookmarkStart w:id="53" w:name="_Toc437365960"/>
      <w:bookmarkStart w:id="54" w:name="_Toc437359748"/>
      <w:bookmarkStart w:id="55" w:name="_Toc437365887"/>
      <w:r>
        <w:rPr>
          <w:rFonts w:hint="eastAsia" w:ascii="宋体" w:hAnsi="宋体" w:cs="宋体"/>
          <w:b/>
          <w:bCs/>
          <w:szCs w:val="21"/>
          <w:highlight w:val="none"/>
          <w:lang w:bidi="ar"/>
        </w:rPr>
        <w:t>8.</w:t>
      </w:r>
      <w:r>
        <w:rPr>
          <w:rFonts w:hint="eastAsia" w:ascii="宋体" w:hAnsi="宋体" w:cs="宋体"/>
          <w:b/>
          <w:szCs w:val="21"/>
          <w:highlight w:val="none"/>
          <w:lang w:bidi="ar"/>
        </w:rPr>
        <w:t>运输和保险</w:t>
      </w:r>
      <w:bookmarkEnd w:id="48"/>
      <w:bookmarkEnd w:id="49"/>
      <w:bookmarkEnd w:id="50"/>
      <w:bookmarkEnd w:id="51"/>
      <w:bookmarkEnd w:id="52"/>
      <w:bookmarkEnd w:id="53"/>
      <w:bookmarkEnd w:id="54"/>
      <w:bookmarkEnd w:id="55"/>
    </w:p>
    <w:p w14:paraId="51943BE4">
      <w:pP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8.1乙方负责办理将货物运抵本合同第五条规定的交货地点的一切运输事项，相关费用应包括在合同总价中。</w:t>
      </w:r>
    </w:p>
    <w:p w14:paraId="1080D7EC">
      <w:pP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8.2乙方应向保险公司投保以甲方为受益人的发运合同货物发票金额的110％运输一切险。</w:t>
      </w:r>
    </w:p>
    <w:p w14:paraId="678A2CC6">
      <w:pPr>
        <w:adjustRightInd w:val="0"/>
        <w:snapToGrid w:val="0"/>
        <w:spacing w:line="360" w:lineRule="auto"/>
        <w:rPr>
          <w:rFonts w:ascii="宋体" w:hAnsi="宋体" w:cs="宋体"/>
          <w:b/>
          <w:szCs w:val="21"/>
          <w:highlight w:val="none"/>
        </w:rPr>
      </w:pPr>
      <w:r>
        <w:rPr>
          <w:rFonts w:hint="eastAsia" w:ascii="宋体" w:hAnsi="宋体" w:cs="宋体"/>
          <w:b/>
          <w:szCs w:val="21"/>
          <w:highlight w:val="none"/>
          <w:lang w:bidi="ar"/>
        </w:rPr>
        <w:t>9.质量标准和保证</w:t>
      </w:r>
    </w:p>
    <w:p w14:paraId="2E98B38A">
      <w:pP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9.1 质量标准</w:t>
      </w:r>
    </w:p>
    <w:p w14:paraId="40A93E27">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（1）本合同下交付的货物应符合第七章采购需求所述的标准。如果没有提及适用标准，则应符合中华人民共和国有关机构发布的最新版本的标准。</w:t>
      </w:r>
    </w:p>
    <w:p w14:paraId="140D45A8">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（2）采用中华人民共和国法定计量单位。</w:t>
      </w:r>
    </w:p>
    <w:p w14:paraId="10FFBA47">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（3）乙方所出售的货物还应符合国家有关安全、环保、卫生之规定。</w:t>
      </w:r>
    </w:p>
    <w:p w14:paraId="10447378">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9.2 保证</w:t>
      </w:r>
    </w:p>
    <w:p w14:paraId="1DC73593">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乙方应保证所供货物是全新的、未使用过的，并完全符合合同规定的质量、规格和性能的要求。乙方应保证其货物在正确安装、正常使用和保养条件下，在其使用寿命期内应具有满意的性能，或者没有因乙方的行为或疏忽而产生的缺陷。在货物最终交付验收后不少于</w:t>
      </w:r>
      <w:r>
        <w:rPr>
          <w:rFonts w:hint="eastAsia" w:ascii="宋体" w:hAnsi="宋体" w:cs="宋体"/>
          <w:b/>
          <w:bCs/>
          <w:szCs w:val="21"/>
          <w:highlight w:val="none"/>
          <w:lang w:bidi="ar"/>
        </w:rPr>
        <w:t>政府采购合同专用条款</w:t>
      </w:r>
      <w:r>
        <w:rPr>
          <w:rFonts w:hint="eastAsia" w:ascii="宋体" w:hAnsi="宋体" w:cs="宋体"/>
          <w:szCs w:val="21"/>
          <w:highlight w:val="none"/>
          <w:lang w:bidi="ar"/>
        </w:rPr>
        <w:t>规定或乙方承诺（两者以较长的为准）的质量保证期内，本保证保持有效。</w:t>
      </w:r>
    </w:p>
    <w:p w14:paraId="26C9EDE5">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（2）在质量保证期内所发现的缺陷，甲方应尽快以书面形式通知乙方。</w:t>
      </w:r>
    </w:p>
    <w:p w14:paraId="3B71786A">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（3）乙方收到通知后应在</w:t>
      </w:r>
      <w:r>
        <w:rPr>
          <w:rFonts w:hint="eastAsia" w:ascii="宋体" w:hAnsi="宋体" w:cs="宋体"/>
          <w:b/>
          <w:bCs/>
          <w:szCs w:val="21"/>
          <w:highlight w:val="none"/>
          <w:lang w:bidi="ar"/>
        </w:rPr>
        <w:t>政府采购合同专用条款</w:t>
      </w:r>
      <w:r>
        <w:rPr>
          <w:rFonts w:hint="eastAsia" w:ascii="宋体" w:hAnsi="宋体" w:cs="宋体"/>
          <w:szCs w:val="21"/>
          <w:highlight w:val="none"/>
          <w:lang w:bidi="ar"/>
        </w:rPr>
        <w:t>规定的响应承诺售后服务时间内以合理的速度免费维修或更换有缺陷的货物或部件。</w:t>
      </w:r>
    </w:p>
    <w:p w14:paraId="0CF7F9B4">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（4）在质量保证期内，如果货物的质量或规格与合同不符，或证实货物是有缺陷的，包括潜在的缺陷或使用不符合要求的材料等，甲方可以根据本合同第15.1项规定以书面形式向乙方提出补救措施或索赔。</w:t>
      </w:r>
    </w:p>
    <w:p w14:paraId="7BEBF05C">
      <w:pPr>
        <w:adjustRightInd w:val="0"/>
        <w:snapToGrid w:val="0"/>
        <w:spacing w:line="360" w:lineRule="auto"/>
        <w:ind w:firstLine="420" w:firstLineChars="200"/>
        <w:rPr>
          <w:rFonts w:ascii="宋体" w:hAnsi="宋体" w:cs="宋体"/>
          <w:b/>
          <w:szCs w:val="21"/>
          <w:highlight w:val="none"/>
        </w:rPr>
      </w:pPr>
      <w:r>
        <w:rPr>
          <w:rFonts w:hint="eastAsia" w:ascii="宋体" w:hAnsi="宋体" w:cs="宋体"/>
          <w:szCs w:val="21"/>
          <w:highlight w:val="none"/>
          <w:lang w:bidi="ar"/>
        </w:rPr>
        <w:t>（5）乙方在约定的时间内未能弥补缺陷，甲方可采取必要的补救措施，但其风险和费用将由乙方承担，甲方根据合同规定对乙方行使的其他权利不受影响。</w:t>
      </w:r>
    </w:p>
    <w:p w14:paraId="513D97B8">
      <w:pPr>
        <w:adjustRightInd w:val="0"/>
        <w:snapToGrid w:val="0"/>
        <w:spacing w:line="360" w:lineRule="auto"/>
        <w:rPr>
          <w:rFonts w:ascii="宋体" w:hAnsi="宋体" w:cs="宋体"/>
          <w:b/>
          <w:bCs/>
          <w:szCs w:val="21"/>
          <w:highlight w:val="none"/>
        </w:rPr>
      </w:pPr>
      <w:r>
        <w:rPr>
          <w:rFonts w:hint="eastAsia" w:ascii="宋体" w:hAnsi="宋体" w:cs="宋体"/>
          <w:b/>
          <w:bCs/>
          <w:szCs w:val="21"/>
          <w:highlight w:val="none"/>
          <w:lang w:bidi="ar"/>
        </w:rPr>
        <w:t>10.权利瑕疵担保</w:t>
      </w:r>
    </w:p>
    <w:p w14:paraId="49D2EBA5">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10.1 乙方保证对其出售的货物享有合法的权利。</w:t>
      </w:r>
    </w:p>
    <w:p w14:paraId="7B7C91FB">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10.2 乙方保证在其出售的货物上不存在任何未曾向甲方透露的担保物权，如抵押权、质押权、留置权等。</w:t>
      </w:r>
    </w:p>
    <w:p w14:paraId="55CC2A21">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10.3 如甲方使用该货物构成上述侵权的，则由乙方承担全部责任。</w:t>
      </w:r>
    </w:p>
    <w:p w14:paraId="31F6238D">
      <w:pPr>
        <w:autoSpaceDE w:val="0"/>
        <w:autoSpaceDN w:val="0"/>
        <w:adjustRightInd w:val="0"/>
        <w:snapToGrid w:val="0"/>
        <w:spacing w:line="360" w:lineRule="auto"/>
        <w:rPr>
          <w:rFonts w:ascii="宋体" w:hAnsi="宋体" w:cs="宋体"/>
          <w:b/>
          <w:bCs/>
          <w:szCs w:val="21"/>
          <w:highlight w:val="none"/>
        </w:rPr>
      </w:pPr>
      <w:r>
        <w:rPr>
          <w:rFonts w:hint="eastAsia" w:ascii="宋体" w:hAnsi="宋体" w:cs="宋体"/>
          <w:b/>
          <w:bCs/>
          <w:szCs w:val="21"/>
          <w:highlight w:val="none"/>
          <w:lang w:bidi="ar"/>
        </w:rPr>
        <w:t>11.知识产权保护</w:t>
      </w:r>
    </w:p>
    <w:p w14:paraId="3C7A7C5C">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11.1 乙方对其所销售的货物应当享有知识产权或经权利人合法授权，保证没有侵犯任何第三人的知识产权和商业秘密等权利。</w:t>
      </w:r>
    </w:p>
    <w:p w14:paraId="023ADA8B">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11.2 甲方使用乙方提供的货物对第三人构成侵权的，应当由乙方承担全部法律责任，给甲方造成损害的，乙方应当承担赔偿责任。</w:t>
      </w:r>
    </w:p>
    <w:p w14:paraId="2B968140">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11.3 甲方委托乙方开发的产品，甲方享有知识产权，未经甲方许可不得转让任何第三人。</w:t>
      </w:r>
    </w:p>
    <w:p w14:paraId="12152EC2">
      <w:pPr>
        <w:autoSpaceDE w:val="0"/>
        <w:autoSpaceDN w:val="0"/>
        <w:adjustRightInd w:val="0"/>
        <w:snapToGrid w:val="0"/>
        <w:spacing w:line="360" w:lineRule="auto"/>
        <w:rPr>
          <w:rFonts w:ascii="宋体" w:hAnsi="宋体" w:cs="宋体"/>
          <w:b/>
          <w:bCs/>
          <w:szCs w:val="21"/>
          <w:highlight w:val="none"/>
        </w:rPr>
      </w:pPr>
      <w:r>
        <w:rPr>
          <w:rFonts w:hint="eastAsia" w:ascii="宋体" w:hAnsi="宋体" w:cs="宋体"/>
          <w:b/>
          <w:bCs/>
          <w:szCs w:val="21"/>
          <w:highlight w:val="none"/>
          <w:lang w:bidi="ar"/>
        </w:rPr>
        <w:t>12.保密义务</w:t>
      </w:r>
    </w:p>
    <w:p w14:paraId="2647CCA2">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12.1 甲、乙双方在采购和履行合同过程中所获悉的对方属于保密的内容，甲乙双方均有保密义务。</w:t>
      </w:r>
    </w:p>
    <w:p w14:paraId="63E6611C">
      <w:pPr>
        <w:autoSpaceDE w:val="0"/>
        <w:autoSpaceDN w:val="0"/>
        <w:adjustRightInd w:val="0"/>
        <w:snapToGrid w:val="0"/>
        <w:spacing w:line="360" w:lineRule="auto"/>
        <w:rPr>
          <w:rFonts w:ascii="宋体" w:hAnsi="宋体" w:cs="宋体"/>
          <w:b/>
          <w:bCs/>
          <w:szCs w:val="21"/>
          <w:highlight w:val="none"/>
        </w:rPr>
      </w:pPr>
      <w:r>
        <w:rPr>
          <w:rFonts w:hint="eastAsia" w:ascii="宋体" w:hAnsi="宋体" w:cs="宋体"/>
          <w:b/>
          <w:bCs/>
          <w:szCs w:val="21"/>
          <w:highlight w:val="none"/>
          <w:lang w:bidi="ar"/>
        </w:rPr>
        <w:t>13.合同价款支付</w:t>
      </w:r>
    </w:p>
    <w:p w14:paraId="34D5EB7E">
      <w:pP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13.1验收合格后，乙方出具正规发票给甲方，凭甲方开具的《政府采购合同验收报告单》办理合同价</w:t>
      </w:r>
      <w:r>
        <w:rPr>
          <w:rFonts w:hint="eastAsia" w:ascii="宋体" w:hAnsi="宋体" w:cs="宋体"/>
          <w:bCs/>
          <w:szCs w:val="21"/>
          <w:highlight w:val="none"/>
          <w:lang w:bidi="ar"/>
        </w:rPr>
        <w:t>款</w:t>
      </w:r>
      <w:r>
        <w:rPr>
          <w:rFonts w:hint="eastAsia" w:ascii="宋体" w:hAnsi="宋体" w:cs="宋体"/>
          <w:szCs w:val="21"/>
          <w:highlight w:val="none"/>
          <w:lang w:bidi="ar"/>
        </w:rPr>
        <w:t>结算手续。</w:t>
      </w:r>
    </w:p>
    <w:p w14:paraId="117929A0">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13.2 合同价款构成中应当由财政支付的部分，甲方应当在货物验收合格后的十五个工作日内向国库管理部门申请支付，经国库管理部门审核后直接支付给乙方。</w:t>
      </w:r>
    </w:p>
    <w:p w14:paraId="60B9D3D3">
      <w:pP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13.3 合同价款构成中应当由甲方自行支付的部分，甲方应当在货物验收合格后十五个工作内支付。</w:t>
      </w:r>
    </w:p>
    <w:p w14:paraId="49D856F3">
      <w:pP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13.4支付合同价</w:t>
      </w:r>
      <w:r>
        <w:rPr>
          <w:rFonts w:hint="eastAsia" w:ascii="宋体" w:hAnsi="宋体" w:cs="宋体"/>
          <w:bCs/>
          <w:szCs w:val="21"/>
          <w:highlight w:val="none"/>
          <w:lang w:bidi="ar"/>
        </w:rPr>
        <w:t>款</w:t>
      </w:r>
      <w:r>
        <w:rPr>
          <w:rFonts w:hint="eastAsia" w:ascii="宋体" w:hAnsi="宋体" w:cs="宋体"/>
          <w:szCs w:val="21"/>
          <w:highlight w:val="none"/>
          <w:lang w:bidi="ar"/>
        </w:rPr>
        <w:t>时，一律不向乙方以外的任何第三方办理付款手续。开户行和帐号以签订的政府采购合同为准，如果乙方要求变更，则乙方必须提供加盖财务专用章、法人代表签字的证明文件，报经甲方审查核准，并报财政部门备案。</w:t>
      </w:r>
    </w:p>
    <w:p w14:paraId="3B627E4B">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13.5 合同价款支付方式</w:t>
      </w:r>
      <w:r>
        <w:rPr>
          <w:rFonts w:hint="eastAsia" w:ascii="宋体" w:hAnsi="宋体" w:cs="宋体"/>
          <w:bCs/>
          <w:szCs w:val="21"/>
          <w:highlight w:val="none"/>
          <w:lang w:bidi="ar"/>
        </w:rPr>
        <w:t>和条件在</w:t>
      </w:r>
      <w:r>
        <w:rPr>
          <w:rFonts w:hint="eastAsia" w:ascii="宋体" w:hAnsi="宋体" w:cs="宋体"/>
          <w:b/>
          <w:bCs/>
          <w:szCs w:val="21"/>
          <w:highlight w:val="none"/>
          <w:lang w:bidi="ar"/>
        </w:rPr>
        <w:t>政府采购合同专用条款</w:t>
      </w:r>
      <w:r>
        <w:rPr>
          <w:rFonts w:hint="eastAsia" w:ascii="宋体" w:hAnsi="宋体" w:cs="宋体"/>
          <w:szCs w:val="21"/>
          <w:highlight w:val="none"/>
          <w:lang w:bidi="ar"/>
        </w:rPr>
        <w:t>中另有规定。</w:t>
      </w:r>
    </w:p>
    <w:p w14:paraId="51BDEABA">
      <w:pPr>
        <w:autoSpaceDE w:val="0"/>
        <w:autoSpaceDN w:val="0"/>
        <w:adjustRightInd w:val="0"/>
        <w:snapToGrid w:val="0"/>
        <w:spacing w:line="360" w:lineRule="auto"/>
        <w:rPr>
          <w:rFonts w:ascii="宋体" w:hAnsi="宋体" w:cs="宋体"/>
          <w:b/>
          <w:szCs w:val="21"/>
          <w:highlight w:val="none"/>
        </w:rPr>
      </w:pPr>
      <w:r>
        <w:rPr>
          <w:rFonts w:hint="eastAsia" w:ascii="宋体" w:hAnsi="宋体" w:cs="宋体"/>
          <w:b/>
          <w:bCs/>
          <w:szCs w:val="21"/>
          <w:highlight w:val="none"/>
          <w:lang w:bidi="ar"/>
        </w:rPr>
        <w:t>14.</w:t>
      </w:r>
      <w:r>
        <w:rPr>
          <w:rFonts w:hint="eastAsia" w:ascii="宋体" w:hAnsi="宋体" w:cs="宋体"/>
          <w:b/>
          <w:szCs w:val="21"/>
          <w:highlight w:val="none"/>
          <w:lang w:bidi="ar"/>
        </w:rPr>
        <w:t>伴随服务</w:t>
      </w:r>
    </w:p>
    <w:p w14:paraId="4B3EB33F">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14.1 乙方应向甲方提交所提供货物的技术文件，包括相应的中文技术文件，如：产品目录、图纸、操作手册、使用说明、维护手册或服务指南。这些文件应包装好随同货物一起发运。</w:t>
      </w:r>
    </w:p>
    <w:p w14:paraId="7E99CF22">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14.2 乙方还应提供下列服务：</w:t>
      </w:r>
    </w:p>
    <w:p w14:paraId="1A36211F">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（1）货物的现场移动、安装、调试、启动监督及技术支持；</w:t>
      </w:r>
    </w:p>
    <w:p w14:paraId="627C43D9">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（2）提供货物组装和维修所需的专用工具和辅助材料；</w:t>
      </w:r>
    </w:p>
    <w:p w14:paraId="55D46F72">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（3）在合同各方商定的一定期限内对所有的货物实施运行监督、维修，但前提条件是该服务并不能免除乙方在质量保证期内所承担的义务；</w:t>
      </w:r>
    </w:p>
    <w:p w14:paraId="61796FC5">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（4）在制造商或项目现场就货物的安装、启动、运营、维护对甲方操作人员进行培训。</w:t>
      </w:r>
    </w:p>
    <w:p w14:paraId="08D6504D">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（5）</w:t>
      </w:r>
      <w:r>
        <w:rPr>
          <w:rFonts w:hint="eastAsia" w:ascii="宋体" w:hAnsi="宋体" w:cs="宋体"/>
          <w:b/>
          <w:bCs/>
          <w:szCs w:val="21"/>
          <w:highlight w:val="none"/>
          <w:lang w:bidi="ar"/>
        </w:rPr>
        <w:t>政府采购合同专用条款</w:t>
      </w:r>
      <w:r>
        <w:rPr>
          <w:rFonts w:hint="eastAsia" w:ascii="宋体" w:hAnsi="宋体" w:cs="宋体"/>
          <w:szCs w:val="21"/>
          <w:highlight w:val="none"/>
          <w:lang w:bidi="ar"/>
        </w:rPr>
        <w:t>与第五章采购需求规定的其他伴随服务。</w:t>
      </w:r>
    </w:p>
    <w:p w14:paraId="782BA97B">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14.3 乙方提供的伴随服务的费用应包含在合同价款中，甲方不再另行支付。</w:t>
      </w:r>
    </w:p>
    <w:p w14:paraId="71358859">
      <w:pPr>
        <w:adjustRightInd w:val="0"/>
        <w:snapToGrid w:val="0"/>
        <w:spacing w:line="360" w:lineRule="auto"/>
        <w:rPr>
          <w:rFonts w:ascii="宋体" w:hAnsi="宋体" w:cs="宋体"/>
          <w:b/>
          <w:bCs/>
          <w:szCs w:val="21"/>
          <w:highlight w:val="none"/>
        </w:rPr>
      </w:pPr>
      <w:r>
        <w:rPr>
          <w:rFonts w:hint="eastAsia" w:ascii="宋体" w:hAnsi="宋体" w:cs="宋体"/>
          <w:b/>
          <w:bCs/>
          <w:szCs w:val="21"/>
          <w:highlight w:val="none"/>
          <w:lang w:bidi="ar"/>
        </w:rPr>
        <w:t>15.违约责任</w:t>
      </w:r>
    </w:p>
    <w:p w14:paraId="355CEDF0">
      <w:pPr>
        <w:adjustRightInd w:val="0"/>
        <w:snapToGrid w:val="0"/>
        <w:spacing w:line="360" w:lineRule="auto"/>
        <w:ind w:firstLine="315" w:firstLineChars="150"/>
        <w:rPr>
          <w:rFonts w:ascii="宋体" w:hAnsi="宋体" w:cs="宋体"/>
          <w:bCs/>
          <w:szCs w:val="21"/>
          <w:highlight w:val="none"/>
        </w:rPr>
      </w:pPr>
      <w:r>
        <w:rPr>
          <w:rFonts w:hint="eastAsia" w:ascii="宋体" w:hAnsi="宋体" w:cs="宋体"/>
          <w:bCs/>
          <w:szCs w:val="21"/>
          <w:highlight w:val="none"/>
          <w:lang w:bidi="ar"/>
        </w:rPr>
        <w:t>15.1质量瑕疵的补救措施和索赔</w:t>
      </w:r>
    </w:p>
    <w:p w14:paraId="2E37FB02">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如果乙方提供的产品不符合质量标准或存在产品质量缺陷，而甲方在合同条款第9条或合同的其他条款规定的检验、安装、调试、验收和质量保证期内，根据法定质量检测部门出具的检验证书向乙方提出了索赔，乙方应按照甲方同意的下列一种或几种方式结合起来解决索赔事宜：</w:t>
      </w:r>
    </w:p>
    <w:p w14:paraId="6567938C">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①乙方同意退货并将货款退还给甲方，由此发生的一切费用和损失由乙方承担。</w:t>
      </w:r>
    </w:p>
    <w:p w14:paraId="3FE65FC9">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②根据货物的质量状况以及甲方所遭受的损失，经过甲乙双方商定降低货物的价格。</w:t>
      </w:r>
    </w:p>
    <w:p w14:paraId="4271146C">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③乙方应在接到甲方通知后七日内负责采用符合合同规定的规格、质量和性能要求的新零件、部件和设备来更换有缺陷的部分或修补缺陷部分，其费用由乙方负担。同时，乙方应在约定的质量保证期基础上相应延长修补和更换件的质量保证期。</w:t>
      </w:r>
    </w:p>
    <w:p w14:paraId="36DBA3BA">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2）如果在甲方发出索赔通知后十日内乙方未作答复，上述索赔应视为已被乙方接受。如果乙方未能在甲方发出索赔通知后十日内或甲方同意延长的期限内，按照上述规定的任何一种方法采取补救措施，甲方有权从应付货款中扣除索赔金额或者没收质量保证金，如不足以弥补甲方损失的，甲方有权进一步要求乙方赔偿。</w:t>
      </w:r>
    </w:p>
    <w:p w14:paraId="4AEBE80A">
      <w:pPr>
        <w:autoSpaceDE w:val="0"/>
        <w:autoSpaceDN w:val="0"/>
        <w:adjustRightInd w:val="0"/>
        <w:snapToGrid w:val="0"/>
        <w:spacing w:line="360" w:lineRule="auto"/>
        <w:ind w:firstLine="420" w:firstLineChars="200"/>
        <w:rPr>
          <w:rFonts w:ascii="宋体" w:hAnsi="宋体" w:cs="宋体"/>
          <w:bCs/>
          <w:szCs w:val="21"/>
          <w:highlight w:val="none"/>
        </w:rPr>
      </w:pPr>
      <w:r>
        <w:rPr>
          <w:rFonts w:hint="eastAsia" w:ascii="宋体" w:hAnsi="宋体" w:cs="宋体"/>
          <w:bCs/>
          <w:szCs w:val="21"/>
          <w:highlight w:val="none"/>
          <w:lang w:bidi="ar"/>
        </w:rPr>
        <w:t>15.2 迟延交货的违约责任</w:t>
      </w:r>
    </w:p>
    <w:p w14:paraId="65089E35">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乙方应按照本合同规定的时间、地点交货和提供服务。在履行合同过程中，如果乙方遇到可能妨碍按时交货和提供服务的情形时，应及时以书面形式将迟延的事实、可能迟延的期限和理由通知甲方。甲方在收到乙方通知后，应尽快对情况进行评价，并确定是否同意迟延交货时间或延期提供服务。</w:t>
      </w:r>
    </w:p>
    <w:p w14:paraId="1EF3C880">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（2）除本合同</w:t>
      </w:r>
      <w:r>
        <w:rPr>
          <w:rFonts w:hint="eastAsia" w:ascii="宋体" w:hAnsi="宋体" w:cs="宋体"/>
          <w:bCs/>
          <w:szCs w:val="21"/>
          <w:highlight w:val="none"/>
          <w:lang w:bidi="ar"/>
        </w:rPr>
        <w:t>第19条</w:t>
      </w:r>
      <w:r>
        <w:rPr>
          <w:rFonts w:hint="eastAsia" w:ascii="宋体" w:hAnsi="宋体" w:cs="宋体"/>
          <w:szCs w:val="21"/>
          <w:highlight w:val="none"/>
          <w:lang w:bidi="ar"/>
        </w:rPr>
        <w:t>规定情况外，如果乙方没有按照合同规定的时间交货和提供服务，甲方有权从货款中扣除误期赔偿费而不影响合同项下的其他补救方法，赔偿费按每周（一周按七日计算，不足七日按一周计算）赔偿迟交货物的交货价或延期服务的服务费用的百分之零点五（0.5%）计收，直至交货或提供服务为止。但误期赔偿费的最高限额不超过合同价的百分之五（5%）。一旦达到误期赔偿的最高限额，甲方可以终止合同。</w:t>
      </w:r>
    </w:p>
    <w:p w14:paraId="0C8CD420">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3）如果乙方迟延交货，甲方有权终止全部或部分合同，并依其认为适当的条件和方法购买与未交货物类似的货物，乙方应对购买类似货物所超出的那部分费用负责。但是，乙方应继续执行合同中未终止的部分。</w:t>
      </w:r>
    </w:p>
    <w:p w14:paraId="5C304C0E">
      <w:pPr>
        <w:autoSpaceDE w:val="0"/>
        <w:autoSpaceDN w:val="0"/>
        <w:adjustRightInd w:val="0"/>
        <w:snapToGrid w:val="0"/>
        <w:spacing w:line="360" w:lineRule="auto"/>
        <w:rPr>
          <w:rFonts w:ascii="宋体" w:hAnsi="宋体" w:cs="宋体"/>
          <w:b/>
          <w:szCs w:val="21"/>
          <w:highlight w:val="none"/>
        </w:rPr>
      </w:pPr>
      <w:r>
        <w:rPr>
          <w:rFonts w:hint="eastAsia" w:ascii="宋体" w:hAnsi="宋体" w:cs="宋体"/>
          <w:b/>
          <w:szCs w:val="21"/>
          <w:highlight w:val="none"/>
          <w:lang w:bidi="ar"/>
        </w:rPr>
        <w:t>16.合同的变更</w:t>
      </w:r>
    </w:p>
    <w:p w14:paraId="23DA7461">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16.1 在合同履行过程中，甲、乙双方可就合同履行的时间、地点和方式等协商进行变更。协商一致后，双方应签订书面的补充协议。</w:t>
      </w:r>
    </w:p>
    <w:p w14:paraId="20B18F78">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16.2 在不改变合同其他条款的前提下，甲方有权在合同价款百分之十的范围内追加与合同标的相同的货物或服务，并就此与乙方签订补充合同，乙方不得拒绝。</w:t>
      </w:r>
    </w:p>
    <w:p w14:paraId="2E44981D">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16.3 除双方签署书面协议，并成为合同不可分割的一部分外，本合同条件不得有任何变更。</w:t>
      </w:r>
    </w:p>
    <w:p w14:paraId="2FA9562D">
      <w:pPr>
        <w:autoSpaceDE w:val="0"/>
        <w:autoSpaceDN w:val="0"/>
        <w:adjustRightInd w:val="0"/>
        <w:snapToGrid w:val="0"/>
        <w:spacing w:line="360" w:lineRule="auto"/>
        <w:rPr>
          <w:rFonts w:ascii="宋体" w:hAnsi="宋体" w:cs="宋体"/>
          <w:b/>
          <w:szCs w:val="21"/>
          <w:highlight w:val="none"/>
        </w:rPr>
      </w:pPr>
      <w:r>
        <w:rPr>
          <w:rFonts w:hint="eastAsia" w:ascii="宋体" w:hAnsi="宋体" w:cs="宋体"/>
          <w:b/>
          <w:szCs w:val="21"/>
          <w:highlight w:val="none"/>
          <w:lang w:bidi="ar"/>
        </w:rPr>
        <w:t>17.合同中止与终止</w:t>
      </w:r>
    </w:p>
    <w:p w14:paraId="7A810B10">
      <w:pP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17.1合同的中止</w:t>
      </w:r>
    </w:p>
    <w:p w14:paraId="262A77FD">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（1）合同在履行过程中，因采购计划调整，甲方可以要求中止履行，待计划确定后继续履行；</w:t>
      </w:r>
    </w:p>
    <w:p w14:paraId="2A64BF18">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（2）合同履行过程中因投标人就采购过程或结果提起投诉的，甲方认为有必要或财政部门责令中止的，应当中止合同的履行。</w:t>
      </w:r>
    </w:p>
    <w:p w14:paraId="64A0904B">
      <w:pP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17.2合同的终止</w:t>
      </w:r>
    </w:p>
    <w:p w14:paraId="2E55092B">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（1）合同因有效期限届满而终止；</w:t>
      </w:r>
    </w:p>
    <w:p w14:paraId="13D08FD8">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（2）乙方未能依照本合同约定条件履行合同，已构成根本性违约的，甲方有权终止本合同，并追究乙方的违约责任。</w:t>
      </w:r>
    </w:p>
    <w:p w14:paraId="1BD8045E">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（3）如果乙方丧失履约能力或被宣告破产，甲方可在任何时候以书面形式通知乙方终止合同而不给乙方补偿。</w:t>
      </w:r>
    </w:p>
    <w:p w14:paraId="2BBACE5E">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（4）如果乙方在履行合同过程中有不正当竞争行为，甲方有权解除合同，并按《中华人民共和国反不正当竞争法》规定由有关部门追究其法律责任。</w:t>
      </w:r>
    </w:p>
    <w:p w14:paraId="579C7E37">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（5）如果合同的履行将损害国家利益或社会公共利益，甲方有权终止合同的履行，给乙方造成损失的予以相应补偿。</w:t>
      </w:r>
    </w:p>
    <w:p w14:paraId="3EA6969A">
      <w:pPr>
        <w:autoSpaceDE w:val="0"/>
        <w:autoSpaceDN w:val="0"/>
        <w:adjustRightInd w:val="0"/>
        <w:snapToGrid w:val="0"/>
        <w:spacing w:line="360" w:lineRule="auto"/>
        <w:rPr>
          <w:rFonts w:ascii="宋体" w:hAnsi="宋体" w:cs="宋体"/>
          <w:b/>
          <w:bCs/>
          <w:szCs w:val="21"/>
          <w:highlight w:val="none"/>
        </w:rPr>
      </w:pPr>
      <w:r>
        <w:rPr>
          <w:rFonts w:hint="eastAsia" w:ascii="宋体" w:hAnsi="宋体" w:cs="宋体"/>
          <w:b/>
          <w:bCs/>
          <w:szCs w:val="21"/>
          <w:highlight w:val="none"/>
          <w:lang w:bidi="ar"/>
        </w:rPr>
        <w:t>18.合同转让和分包</w:t>
      </w:r>
    </w:p>
    <w:p w14:paraId="6A560C5B">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18.1 乙方不得以任何形式将合同转包。</w:t>
      </w:r>
    </w:p>
    <w:p w14:paraId="0E11683B">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18.2 乙方未在投标文件中说明，且未经甲方书面同意，乙方不得将</w:t>
      </w:r>
      <w:r>
        <w:rPr>
          <w:rFonts w:hint="eastAsia" w:ascii="宋体" w:hAnsi="宋体" w:cs="宋体"/>
          <w:bCs/>
          <w:szCs w:val="21"/>
          <w:highlight w:val="none"/>
          <w:lang w:bidi="ar"/>
        </w:rPr>
        <w:t>合同</w:t>
      </w:r>
      <w:r>
        <w:rPr>
          <w:rFonts w:hint="eastAsia" w:ascii="宋体" w:hAnsi="宋体" w:cs="宋体"/>
          <w:szCs w:val="21"/>
          <w:highlight w:val="none"/>
          <w:lang w:bidi="ar"/>
        </w:rPr>
        <w:t>的主体、关键性工作分包给他人。</w:t>
      </w:r>
    </w:p>
    <w:p w14:paraId="7EC14834">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18.3 根据政府采购</w:t>
      </w:r>
      <w:r>
        <w:rPr>
          <w:rFonts w:hint="eastAsia" w:ascii="宋体" w:hAnsi="宋体" w:cs="宋体"/>
          <w:bCs/>
          <w:kern w:val="0"/>
          <w:szCs w:val="21"/>
          <w:highlight w:val="none"/>
          <w:lang w:bidi="ar"/>
        </w:rPr>
        <w:t>支持</w:t>
      </w:r>
      <w:r>
        <w:rPr>
          <w:rFonts w:hint="eastAsia" w:ascii="宋体" w:hAnsi="宋体" w:cs="宋体"/>
          <w:szCs w:val="21"/>
          <w:highlight w:val="none"/>
          <w:lang w:bidi="ar"/>
        </w:rPr>
        <w:t>中小企业发展政策规定，经甲方同意，获得政府采购合同的大型企业可依法向中小企业分包。</w:t>
      </w:r>
    </w:p>
    <w:p w14:paraId="5D76DBD0">
      <w:pPr>
        <w:autoSpaceDE w:val="0"/>
        <w:autoSpaceDN w:val="0"/>
        <w:adjustRightInd w:val="0"/>
        <w:snapToGrid w:val="0"/>
        <w:spacing w:line="360" w:lineRule="auto"/>
        <w:rPr>
          <w:rFonts w:ascii="宋体" w:hAnsi="宋体" w:cs="宋体"/>
          <w:b/>
          <w:bCs/>
          <w:szCs w:val="21"/>
          <w:highlight w:val="none"/>
        </w:rPr>
      </w:pPr>
      <w:r>
        <w:rPr>
          <w:rFonts w:hint="eastAsia" w:ascii="宋体" w:hAnsi="宋体" w:cs="宋体"/>
          <w:b/>
          <w:bCs/>
          <w:szCs w:val="21"/>
          <w:highlight w:val="none"/>
          <w:lang w:bidi="ar"/>
        </w:rPr>
        <w:t>19.不可抗力</w:t>
      </w:r>
    </w:p>
    <w:p w14:paraId="06F6E9E8">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19.1 不可抗力是指合同双方不可预见、不可避免、不可克服的自然灾害和社会事件。</w:t>
      </w:r>
    </w:p>
    <w:p w14:paraId="406AC285">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19.2 任何一方对由于不可抗力造成的部分或全部不能履行合同不承担违约责任。但迟延履行后发生不可抗力的，不能免除责任。</w:t>
      </w:r>
    </w:p>
    <w:p w14:paraId="06AC4024">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19.3 遇有不可抗力的一方，应在三日内将事件的情况以书面形式通知另一方，并在事件发生后十日内，向另一方提交合同不能履行或部分不能履行或需要延期履行理由的报告。</w:t>
      </w:r>
    </w:p>
    <w:p w14:paraId="53DB7029">
      <w:pPr>
        <w:autoSpaceDE w:val="0"/>
        <w:autoSpaceDN w:val="0"/>
        <w:adjustRightInd w:val="0"/>
        <w:snapToGrid w:val="0"/>
        <w:spacing w:line="360" w:lineRule="auto"/>
        <w:rPr>
          <w:rFonts w:ascii="宋体" w:hAnsi="宋体" w:cs="宋体"/>
          <w:b/>
          <w:bCs/>
          <w:szCs w:val="21"/>
          <w:highlight w:val="none"/>
        </w:rPr>
      </w:pPr>
      <w:r>
        <w:rPr>
          <w:rFonts w:hint="eastAsia" w:ascii="宋体" w:hAnsi="宋体" w:cs="宋体"/>
          <w:b/>
          <w:bCs/>
          <w:szCs w:val="21"/>
          <w:highlight w:val="none"/>
          <w:lang w:bidi="ar"/>
        </w:rPr>
        <w:t>20.解决争议的方法</w:t>
      </w:r>
    </w:p>
    <w:p w14:paraId="30A01FFE">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20.1 合同各方应通过友好协商，解决在执行合同过程中所发生的或与合同有关的一切争端。如从协商开始后十日内仍不能解决，可以向财政部门提请调解。</w:t>
      </w:r>
    </w:p>
    <w:p w14:paraId="16AE25EB">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20.2 调解不成可以按</w:t>
      </w:r>
      <w:r>
        <w:rPr>
          <w:rFonts w:hint="eastAsia" w:ascii="宋体" w:hAnsi="宋体" w:cs="宋体"/>
          <w:b/>
          <w:bCs/>
          <w:szCs w:val="21"/>
          <w:highlight w:val="none"/>
          <w:lang w:bidi="ar"/>
        </w:rPr>
        <w:t>政府采购合同专用条款</w:t>
      </w:r>
      <w:r>
        <w:rPr>
          <w:rFonts w:hint="eastAsia" w:ascii="宋体" w:hAnsi="宋体" w:cs="宋体"/>
          <w:szCs w:val="21"/>
          <w:highlight w:val="none"/>
          <w:lang w:bidi="ar"/>
        </w:rPr>
        <w:t>中规定下列方式之一提起仲裁或诉讼：</w:t>
      </w:r>
    </w:p>
    <w:p w14:paraId="546773A4">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（1）向甲方所在地仲裁机构提起仲裁；</w:t>
      </w:r>
    </w:p>
    <w:p w14:paraId="3F3FF81F">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（2）向甲方所在地人民法院提起诉讼。</w:t>
      </w:r>
    </w:p>
    <w:p w14:paraId="0781C681">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20.3 如仲裁或诉讼事项不影响合同其它部分的履行，则在仲裁或诉讼期间，除正在进行仲裁或诉讼的部分外，合同的其它部分应继续执行。</w:t>
      </w:r>
    </w:p>
    <w:p w14:paraId="4CB772A1">
      <w:pPr>
        <w:autoSpaceDE w:val="0"/>
        <w:autoSpaceDN w:val="0"/>
        <w:adjustRightInd w:val="0"/>
        <w:snapToGrid w:val="0"/>
        <w:spacing w:line="360" w:lineRule="auto"/>
        <w:rPr>
          <w:rFonts w:ascii="宋体" w:hAnsi="宋体" w:cs="宋体"/>
          <w:b/>
          <w:szCs w:val="21"/>
          <w:highlight w:val="none"/>
        </w:rPr>
      </w:pPr>
      <w:r>
        <w:rPr>
          <w:rFonts w:hint="eastAsia" w:ascii="宋体" w:hAnsi="宋体" w:cs="宋体"/>
          <w:b/>
          <w:szCs w:val="21"/>
          <w:highlight w:val="none"/>
          <w:lang w:bidi="ar"/>
        </w:rPr>
        <w:t>21.法律适用</w:t>
      </w:r>
    </w:p>
    <w:p w14:paraId="485C1939">
      <w:pPr>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21.1 本合同适用中华人民共和国现行法律、行政法规和规章，如合同条款与法律、行政法规和规章不一致的，按照法律、行政法规和规章修改本合同。</w:t>
      </w:r>
    </w:p>
    <w:p w14:paraId="23A6FBC5">
      <w:pPr>
        <w:autoSpaceDE w:val="0"/>
        <w:autoSpaceDN w:val="0"/>
        <w:adjustRightInd w:val="0"/>
        <w:snapToGrid w:val="0"/>
        <w:spacing w:line="360" w:lineRule="auto"/>
        <w:rPr>
          <w:rFonts w:ascii="宋体" w:hAnsi="宋体" w:cs="宋体"/>
          <w:b/>
          <w:szCs w:val="21"/>
          <w:highlight w:val="none"/>
        </w:rPr>
      </w:pPr>
      <w:r>
        <w:rPr>
          <w:rFonts w:hint="eastAsia" w:ascii="宋体" w:hAnsi="宋体" w:cs="宋体"/>
          <w:b/>
          <w:bCs/>
          <w:szCs w:val="21"/>
          <w:highlight w:val="none"/>
          <w:lang w:bidi="ar"/>
        </w:rPr>
        <w:t>22.</w:t>
      </w:r>
      <w:r>
        <w:rPr>
          <w:rFonts w:hint="eastAsia" w:ascii="宋体" w:hAnsi="宋体" w:cs="宋体"/>
          <w:b/>
          <w:szCs w:val="21"/>
          <w:highlight w:val="none"/>
          <w:lang w:bidi="ar"/>
        </w:rPr>
        <w:t>通知</w:t>
      </w:r>
    </w:p>
    <w:p w14:paraId="560A3C8F">
      <w:pP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22.1本合同一方给另一方的通知均应采用书面形式，传真或快递送到本合同中规定的对方的地址和办理签收手续，</w:t>
      </w:r>
    </w:p>
    <w:p w14:paraId="3BB9C608">
      <w:pPr>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lang w:bidi="ar"/>
        </w:rPr>
        <w:t>22.2通知以送到之日或通知书中规定的生效之日起生效，两者中以较迟之日为准。</w:t>
      </w:r>
    </w:p>
    <w:p w14:paraId="15BD468D">
      <w:pPr>
        <w:adjustRightInd w:val="0"/>
        <w:snapToGrid w:val="0"/>
        <w:spacing w:line="360" w:lineRule="auto"/>
        <w:rPr>
          <w:rFonts w:ascii="宋体" w:hAnsi="宋体" w:cs="宋体"/>
          <w:b/>
          <w:bCs/>
          <w:szCs w:val="21"/>
          <w:highlight w:val="none"/>
        </w:rPr>
      </w:pPr>
      <w:r>
        <w:rPr>
          <w:rFonts w:hint="eastAsia" w:ascii="宋体" w:hAnsi="宋体" w:cs="宋体"/>
          <w:b/>
          <w:bCs/>
          <w:szCs w:val="21"/>
          <w:highlight w:val="none"/>
          <w:lang w:bidi="ar"/>
        </w:rPr>
        <w:t>23.合同生效</w:t>
      </w:r>
    </w:p>
    <w:p w14:paraId="05C9D17C">
      <w:pPr>
        <w:adjustRightInd w:val="0"/>
        <w:snapToGrid w:val="0"/>
        <w:spacing w:line="360" w:lineRule="auto"/>
        <w:ind w:firstLine="420" w:firstLineChars="200"/>
        <w:rPr>
          <w:rFonts w:ascii="宋体" w:hAnsi="宋体" w:cs="宋体"/>
          <w:b/>
          <w:szCs w:val="21"/>
          <w:highlight w:val="none"/>
        </w:rPr>
      </w:pPr>
      <w:r>
        <w:rPr>
          <w:rFonts w:hint="eastAsia" w:ascii="宋体" w:hAnsi="宋体" w:cs="宋体"/>
          <w:szCs w:val="21"/>
          <w:highlight w:val="none"/>
          <w:lang w:bidi="ar"/>
        </w:rPr>
        <w:t>23.1 本合同在合同各方签字盖章后生效</w:t>
      </w:r>
    </w:p>
    <w:p w14:paraId="2797DACB">
      <w:pPr>
        <w:pStyle w:val="42"/>
        <w:widowControl w:val="0"/>
        <w:adjustRightInd w:val="0"/>
        <w:snapToGrid w:val="0"/>
        <w:spacing w:before="0" w:beforeAutospacing="0" w:after="0" w:afterAutospacing="0" w:line="360" w:lineRule="auto"/>
        <w:jc w:val="both"/>
        <w:rPr>
          <w:b/>
          <w:highlight w:val="none"/>
        </w:rPr>
      </w:pPr>
      <w:r>
        <w:rPr>
          <w:rFonts w:ascii="Times New Roman" w:cs="Times New Roman"/>
          <w:b/>
          <w:kern w:val="2"/>
          <w:szCs w:val="20"/>
          <w:highlight w:val="none"/>
          <w:lang w:bidi="ar"/>
        </w:rPr>
        <w:t>24.</w:t>
      </w:r>
      <w:r>
        <w:rPr>
          <w:rFonts w:hint="eastAsia" w:ascii="Times New Roman"/>
          <w:b/>
          <w:kern w:val="2"/>
          <w:szCs w:val="20"/>
          <w:highlight w:val="none"/>
          <w:lang w:bidi="ar"/>
        </w:rPr>
        <w:t>附则</w:t>
      </w:r>
    </w:p>
    <w:p w14:paraId="7776BB0D">
      <w:pPr>
        <w:adjustRightInd w:val="0"/>
        <w:snapToGrid w:val="0"/>
        <w:spacing w:line="360" w:lineRule="auto"/>
        <w:ind w:firstLine="420" w:firstLineChars="200"/>
        <w:rPr>
          <w:rFonts w:ascii="宋体" w:hAnsi="宋体" w:cs="宋体"/>
          <w:b/>
          <w:szCs w:val="21"/>
          <w:highlight w:val="none"/>
        </w:rPr>
      </w:pPr>
      <w:r>
        <w:rPr>
          <w:rFonts w:hint="eastAsia" w:ascii="宋体" w:hAnsi="宋体" w:cs="宋体"/>
          <w:szCs w:val="21"/>
          <w:highlight w:val="none"/>
          <w:lang w:bidi="ar"/>
        </w:rPr>
        <w:t>24.1本合同未尽事宜，见</w:t>
      </w:r>
      <w:r>
        <w:rPr>
          <w:rFonts w:hint="eastAsia" w:ascii="宋体" w:hAnsi="宋体" w:cs="宋体"/>
          <w:b/>
          <w:bCs/>
          <w:szCs w:val="21"/>
          <w:highlight w:val="none"/>
          <w:lang w:bidi="ar"/>
        </w:rPr>
        <w:t>政府采购合同专用条款</w:t>
      </w:r>
      <w:r>
        <w:rPr>
          <w:rFonts w:hint="eastAsia" w:ascii="宋体" w:hAnsi="宋体" w:cs="宋体"/>
          <w:b/>
          <w:szCs w:val="21"/>
          <w:highlight w:val="none"/>
          <w:lang w:bidi="ar"/>
        </w:rPr>
        <w:t>。</w:t>
      </w:r>
    </w:p>
    <w:p w14:paraId="07657453">
      <w:pPr>
        <w:pStyle w:val="42"/>
        <w:widowControl w:val="0"/>
        <w:snapToGrid w:val="0"/>
        <w:spacing w:before="0" w:beforeAutospacing="0" w:after="120" w:afterAutospacing="0"/>
        <w:ind w:left="105" w:leftChars="50"/>
        <w:jc w:val="center"/>
        <w:rPr>
          <w:szCs w:val="21"/>
          <w:highlight w:val="none"/>
        </w:rPr>
      </w:pPr>
      <w:r>
        <w:rPr>
          <w:rFonts w:hint="eastAsia" w:cs="Times New Roman"/>
          <w:kern w:val="2"/>
          <w:sz w:val="21"/>
          <w:highlight w:val="none"/>
          <w:lang w:bidi="ar"/>
        </w:rPr>
        <w:br w:type="page"/>
      </w:r>
    </w:p>
    <w:p w14:paraId="359AB1D0">
      <w:pPr>
        <w:pStyle w:val="284"/>
        <w:spacing w:line="560" w:lineRule="exact"/>
        <w:ind w:firstLine="200"/>
        <w:jc w:val="center"/>
        <w:rPr>
          <w:rFonts w:hAnsi="宋体" w:cs="宋体"/>
          <w:b/>
          <w:szCs w:val="24"/>
          <w:highlight w:val="none"/>
        </w:rPr>
      </w:pPr>
      <w:bookmarkStart w:id="56" w:name="_Toc5279207"/>
      <w:bookmarkStart w:id="57" w:name="_Toc489960702"/>
      <w:r>
        <w:rPr>
          <w:rFonts w:hint="eastAsia" w:hAnsi="宋体" w:cs="宋体"/>
          <w:b/>
          <w:szCs w:val="24"/>
          <w:highlight w:val="none"/>
        </w:rPr>
        <w:t>第三部分 政府采购合同专用条款</w:t>
      </w:r>
    </w:p>
    <w:bookmarkEnd w:id="56"/>
    <w:bookmarkEnd w:id="57"/>
    <w:p w14:paraId="36C76C55">
      <w:pPr>
        <w:pStyle w:val="42"/>
        <w:widowControl w:val="0"/>
        <w:snapToGrid w:val="0"/>
        <w:spacing w:before="0" w:beforeAutospacing="0" w:after="120" w:afterAutospacing="0"/>
        <w:ind w:left="105" w:leftChars="50"/>
        <w:jc w:val="both"/>
        <w:rPr>
          <w:b/>
          <w:bCs/>
          <w:sz w:val="28"/>
          <w:szCs w:val="28"/>
          <w:highlight w:val="none"/>
        </w:rPr>
      </w:pPr>
    </w:p>
    <w:p w14:paraId="3AD8687E">
      <w:pPr>
        <w:pStyle w:val="42"/>
        <w:widowControl w:val="0"/>
        <w:snapToGrid w:val="0"/>
        <w:spacing w:before="0" w:beforeAutospacing="0" w:after="120" w:afterAutospacing="0"/>
        <w:ind w:left="105" w:leftChars="50"/>
        <w:jc w:val="center"/>
        <w:rPr>
          <w:b/>
          <w:bCs/>
          <w:highlight w:val="none"/>
        </w:rPr>
      </w:pPr>
      <w:r>
        <w:rPr>
          <w:rFonts w:hint="eastAsia"/>
          <w:b/>
          <w:bCs/>
          <w:kern w:val="2"/>
          <w:highlight w:val="none"/>
          <w:lang w:bidi="ar"/>
        </w:rPr>
        <w:t>政府采购合同专用条款</w:t>
      </w:r>
    </w:p>
    <w:tbl>
      <w:tblPr>
        <w:tblStyle w:val="46"/>
        <w:tblW w:w="83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702"/>
        <w:gridCol w:w="4981"/>
      </w:tblGrid>
      <w:tr w14:paraId="781E1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702" w:type="dxa"/>
            <w:tcBorders>
              <w:top w:val="single" w:color="auto" w:sz="4" w:space="0"/>
              <w:left w:val="single" w:color="auto" w:sz="4" w:space="0"/>
              <w:bottom w:val="single" w:color="auto" w:sz="4" w:space="0"/>
              <w:right w:val="single" w:color="auto" w:sz="4" w:space="0"/>
            </w:tcBorders>
            <w:vAlign w:val="center"/>
          </w:tcPr>
          <w:p w14:paraId="40B64E94">
            <w:pPr>
              <w:pStyle w:val="42"/>
              <w:widowControl w:val="0"/>
              <w:snapToGrid w:val="0"/>
              <w:spacing w:before="0" w:beforeAutospacing="0" w:after="120" w:afterAutospacing="0" w:line="400" w:lineRule="exact"/>
              <w:jc w:val="center"/>
              <w:rPr>
                <w:b/>
                <w:bCs/>
                <w:highlight w:val="none"/>
              </w:rPr>
            </w:pPr>
            <w:r>
              <w:rPr>
                <w:rFonts w:hint="eastAsia"/>
                <w:b/>
                <w:kern w:val="2"/>
                <w:sz w:val="21"/>
                <w:szCs w:val="21"/>
                <w:highlight w:val="none"/>
                <w:lang w:bidi="ar"/>
              </w:rPr>
              <w:t>条款号</w:t>
            </w:r>
          </w:p>
        </w:tc>
        <w:tc>
          <w:tcPr>
            <w:tcW w:w="1703" w:type="dxa"/>
            <w:tcBorders>
              <w:top w:val="single" w:color="auto" w:sz="4" w:space="0"/>
              <w:left w:val="single" w:color="auto" w:sz="4" w:space="0"/>
              <w:bottom w:val="single" w:color="auto" w:sz="4" w:space="0"/>
              <w:right w:val="single" w:color="auto" w:sz="4" w:space="0"/>
            </w:tcBorders>
            <w:vAlign w:val="center"/>
          </w:tcPr>
          <w:p w14:paraId="3558E72A">
            <w:pPr>
              <w:pStyle w:val="42"/>
              <w:widowControl w:val="0"/>
              <w:snapToGrid w:val="0"/>
              <w:spacing w:before="0" w:beforeAutospacing="0" w:after="120" w:afterAutospacing="0" w:line="400" w:lineRule="exact"/>
              <w:jc w:val="center"/>
              <w:rPr>
                <w:b/>
                <w:bCs/>
                <w:highlight w:val="none"/>
              </w:rPr>
            </w:pPr>
            <w:r>
              <w:rPr>
                <w:rFonts w:hint="eastAsia"/>
                <w:b/>
                <w:kern w:val="2"/>
                <w:sz w:val="21"/>
                <w:szCs w:val="21"/>
                <w:highlight w:val="none"/>
                <w:lang w:bidi="ar"/>
              </w:rPr>
              <w:t>条款名称</w:t>
            </w:r>
          </w:p>
        </w:tc>
        <w:tc>
          <w:tcPr>
            <w:tcW w:w="4983" w:type="dxa"/>
            <w:tcBorders>
              <w:top w:val="single" w:color="auto" w:sz="4" w:space="0"/>
              <w:left w:val="single" w:color="auto" w:sz="4" w:space="0"/>
              <w:bottom w:val="single" w:color="auto" w:sz="4" w:space="0"/>
              <w:right w:val="single" w:color="auto" w:sz="4" w:space="0"/>
            </w:tcBorders>
            <w:vAlign w:val="center"/>
          </w:tcPr>
          <w:p w14:paraId="0AF2A1DC">
            <w:pPr>
              <w:tabs>
                <w:tab w:val="left" w:pos="2466"/>
                <w:tab w:val="left" w:pos="5464"/>
              </w:tabs>
              <w:adjustRightInd w:val="0"/>
              <w:snapToGrid w:val="0"/>
              <w:spacing w:line="400" w:lineRule="exact"/>
              <w:ind w:left="108"/>
              <w:jc w:val="center"/>
              <w:rPr>
                <w:rFonts w:ascii="宋体" w:hAnsi="宋体" w:cs="宋体"/>
                <w:highlight w:val="none"/>
              </w:rPr>
            </w:pPr>
            <w:r>
              <w:rPr>
                <w:rFonts w:hint="eastAsia" w:ascii="宋体" w:hAnsi="宋体" w:cs="宋体"/>
                <w:b/>
                <w:szCs w:val="21"/>
                <w:highlight w:val="none"/>
                <w:lang w:bidi="ar"/>
              </w:rPr>
              <w:t>编列内容规定</w:t>
            </w:r>
          </w:p>
        </w:tc>
      </w:tr>
      <w:tr w14:paraId="226A7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exact"/>
        </w:trPr>
        <w:tc>
          <w:tcPr>
            <w:tcW w:w="1702" w:type="dxa"/>
            <w:tcBorders>
              <w:top w:val="single" w:color="auto" w:sz="4" w:space="0"/>
              <w:left w:val="single" w:color="auto" w:sz="4" w:space="0"/>
              <w:bottom w:val="single" w:color="auto" w:sz="4" w:space="0"/>
              <w:right w:val="single" w:color="auto" w:sz="4" w:space="0"/>
            </w:tcBorders>
            <w:vAlign w:val="center"/>
          </w:tcPr>
          <w:p w14:paraId="0D51BCD8">
            <w:pPr>
              <w:pStyle w:val="42"/>
              <w:widowControl w:val="0"/>
              <w:snapToGrid w:val="0"/>
              <w:spacing w:before="0" w:beforeAutospacing="0" w:after="120" w:afterAutospacing="0" w:line="400" w:lineRule="exact"/>
              <w:jc w:val="center"/>
              <w:rPr>
                <w:b/>
                <w:bCs/>
                <w:highlight w:val="none"/>
              </w:rPr>
            </w:pPr>
            <w:r>
              <w:rPr>
                <w:rFonts w:hint="eastAsia"/>
                <w:kern w:val="2"/>
                <w:sz w:val="21"/>
                <w:szCs w:val="21"/>
                <w:highlight w:val="none"/>
                <w:lang w:bidi="ar"/>
              </w:rPr>
              <w:t>第1.2（6）款</w:t>
            </w:r>
          </w:p>
        </w:tc>
        <w:tc>
          <w:tcPr>
            <w:tcW w:w="1703" w:type="dxa"/>
            <w:tcBorders>
              <w:top w:val="single" w:color="auto" w:sz="4" w:space="0"/>
              <w:left w:val="single" w:color="auto" w:sz="4" w:space="0"/>
              <w:bottom w:val="single" w:color="auto" w:sz="4" w:space="0"/>
              <w:right w:val="single" w:color="auto" w:sz="4" w:space="0"/>
            </w:tcBorders>
            <w:vAlign w:val="center"/>
          </w:tcPr>
          <w:p w14:paraId="3144D201">
            <w:pPr>
              <w:pStyle w:val="42"/>
              <w:widowControl w:val="0"/>
              <w:snapToGrid w:val="0"/>
              <w:spacing w:before="0" w:beforeAutospacing="0" w:after="120" w:afterAutospacing="0" w:line="400" w:lineRule="exact"/>
              <w:jc w:val="center"/>
              <w:rPr>
                <w:b/>
                <w:bCs/>
                <w:highlight w:val="none"/>
              </w:rPr>
            </w:pPr>
            <w:r>
              <w:rPr>
                <w:rFonts w:hint="eastAsia"/>
                <w:kern w:val="2"/>
                <w:sz w:val="21"/>
                <w:szCs w:val="21"/>
                <w:highlight w:val="none"/>
                <w:lang w:bidi="ar"/>
              </w:rPr>
              <w:t>项目现场</w:t>
            </w:r>
          </w:p>
        </w:tc>
        <w:tc>
          <w:tcPr>
            <w:tcW w:w="4983" w:type="dxa"/>
            <w:tcBorders>
              <w:top w:val="single" w:color="auto" w:sz="4" w:space="0"/>
              <w:left w:val="single" w:color="auto" w:sz="4" w:space="0"/>
              <w:bottom w:val="single" w:color="auto" w:sz="4" w:space="0"/>
              <w:right w:val="single" w:color="auto" w:sz="4" w:space="0"/>
            </w:tcBorders>
            <w:vAlign w:val="center"/>
          </w:tcPr>
          <w:p w14:paraId="64B9BE2B">
            <w:pPr>
              <w:pStyle w:val="42"/>
              <w:widowControl w:val="0"/>
              <w:snapToGrid w:val="0"/>
              <w:spacing w:before="0" w:beforeAutospacing="0" w:after="120" w:afterAutospacing="0" w:line="400" w:lineRule="exact"/>
              <w:jc w:val="both"/>
              <w:rPr>
                <w:szCs w:val="21"/>
                <w:highlight w:val="none"/>
              </w:rPr>
            </w:pPr>
          </w:p>
        </w:tc>
      </w:tr>
      <w:tr w14:paraId="096E7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1702" w:type="dxa"/>
            <w:vMerge w:val="restart"/>
            <w:tcBorders>
              <w:top w:val="single" w:color="auto" w:sz="4" w:space="0"/>
              <w:left w:val="single" w:color="auto" w:sz="4" w:space="0"/>
              <w:bottom w:val="single" w:color="auto" w:sz="4" w:space="0"/>
              <w:right w:val="single" w:color="auto" w:sz="4" w:space="0"/>
            </w:tcBorders>
            <w:vAlign w:val="center"/>
          </w:tcPr>
          <w:p w14:paraId="5E187419">
            <w:pPr>
              <w:pStyle w:val="42"/>
              <w:widowControl w:val="0"/>
              <w:snapToGrid w:val="0"/>
              <w:spacing w:before="0" w:beforeAutospacing="0" w:after="120" w:afterAutospacing="0" w:line="400" w:lineRule="exact"/>
              <w:jc w:val="center"/>
              <w:rPr>
                <w:szCs w:val="21"/>
                <w:highlight w:val="none"/>
              </w:rPr>
            </w:pPr>
            <w:r>
              <w:rPr>
                <w:rFonts w:hint="eastAsia"/>
                <w:kern w:val="2"/>
                <w:sz w:val="21"/>
                <w:szCs w:val="21"/>
                <w:highlight w:val="none"/>
                <w:lang w:bidi="ar"/>
              </w:rPr>
              <w:t>第5.1条</w:t>
            </w:r>
          </w:p>
        </w:tc>
        <w:tc>
          <w:tcPr>
            <w:tcW w:w="1703" w:type="dxa"/>
            <w:vMerge w:val="restart"/>
            <w:tcBorders>
              <w:top w:val="single" w:color="auto" w:sz="4" w:space="0"/>
              <w:left w:val="single" w:color="auto" w:sz="4" w:space="0"/>
              <w:bottom w:val="single" w:color="auto" w:sz="4" w:space="0"/>
              <w:right w:val="single" w:color="auto" w:sz="4" w:space="0"/>
            </w:tcBorders>
            <w:vAlign w:val="center"/>
          </w:tcPr>
          <w:p w14:paraId="4F85C70F">
            <w:pPr>
              <w:pStyle w:val="42"/>
              <w:widowControl w:val="0"/>
              <w:snapToGrid w:val="0"/>
              <w:spacing w:before="0" w:beforeAutospacing="0" w:after="120" w:afterAutospacing="0" w:line="400" w:lineRule="exact"/>
              <w:jc w:val="center"/>
              <w:rPr>
                <w:b/>
                <w:bCs/>
                <w:highlight w:val="none"/>
              </w:rPr>
            </w:pPr>
            <w:r>
              <w:rPr>
                <w:rFonts w:hint="eastAsia"/>
                <w:kern w:val="2"/>
                <w:sz w:val="21"/>
                <w:szCs w:val="21"/>
                <w:highlight w:val="none"/>
                <w:lang w:bidi="ar"/>
              </w:rPr>
              <w:t>履行合同</w:t>
            </w:r>
          </w:p>
        </w:tc>
        <w:tc>
          <w:tcPr>
            <w:tcW w:w="4983" w:type="dxa"/>
            <w:tcBorders>
              <w:top w:val="single" w:color="auto" w:sz="4" w:space="0"/>
              <w:left w:val="single" w:color="auto" w:sz="4" w:space="0"/>
              <w:bottom w:val="single" w:color="auto" w:sz="4" w:space="0"/>
              <w:right w:val="single" w:color="auto" w:sz="4" w:space="0"/>
            </w:tcBorders>
            <w:vAlign w:val="center"/>
          </w:tcPr>
          <w:p w14:paraId="5A774F00">
            <w:pPr>
              <w:pStyle w:val="42"/>
              <w:widowControl w:val="0"/>
              <w:snapToGrid w:val="0"/>
              <w:spacing w:before="0" w:beforeAutospacing="0" w:after="120" w:afterAutospacing="0" w:line="320" w:lineRule="exact"/>
              <w:jc w:val="both"/>
              <w:rPr>
                <w:szCs w:val="21"/>
                <w:highlight w:val="none"/>
              </w:rPr>
            </w:pPr>
            <w:r>
              <w:rPr>
                <w:rFonts w:hint="eastAsia"/>
                <w:sz w:val="21"/>
                <w:szCs w:val="21"/>
                <w:highlight w:val="none"/>
                <w:lang w:bidi="ar"/>
              </w:rPr>
              <w:t>交货地点：</w:t>
            </w:r>
            <w:r>
              <w:rPr>
                <w:rFonts w:hint="eastAsia"/>
                <w:kern w:val="2"/>
                <w:sz w:val="21"/>
                <w:szCs w:val="21"/>
                <w:highlight w:val="none"/>
                <w:lang w:bidi="ar"/>
              </w:rPr>
              <w:t xml:space="preserve"> </w:t>
            </w:r>
          </w:p>
        </w:tc>
      </w:tr>
      <w:tr w14:paraId="0343E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exact"/>
        </w:trPr>
        <w:tc>
          <w:tcPr>
            <w:tcW w:w="1702" w:type="dxa"/>
            <w:vMerge w:val="continue"/>
            <w:tcBorders>
              <w:top w:val="single" w:color="auto" w:sz="4" w:space="0"/>
              <w:left w:val="single" w:color="auto" w:sz="4" w:space="0"/>
              <w:bottom w:val="single" w:color="auto" w:sz="4" w:space="0"/>
              <w:right w:val="single" w:color="auto" w:sz="4" w:space="0"/>
            </w:tcBorders>
            <w:vAlign w:val="center"/>
          </w:tcPr>
          <w:p w14:paraId="33156F40">
            <w:pPr>
              <w:rPr>
                <w:szCs w:val="22"/>
                <w:highlight w:val="none"/>
              </w:rPr>
            </w:pPr>
          </w:p>
        </w:tc>
        <w:tc>
          <w:tcPr>
            <w:tcW w:w="1703" w:type="dxa"/>
            <w:vMerge w:val="continue"/>
            <w:tcBorders>
              <w:top w:val="single" w:color="auto" w:sz="4" w:space="0"/>
              <w:left w:val="single" w:color="auto" w:sz="4" w:space="0"/>
              <w:bottom w:val="single" w:color="auto" w:sz="4" w:space="0"/>
              <w:right w:val="single" w:color="auto" w:sz="4" w:space="0"/>
            </w:tcBorders>
            <w:vAlign w:val="center"/>
          </w:tcPr>
          <w:p w14:paraId="6D97732F">
            <w:pPr>
              <w:rPr>
                <w:szCs w:val="22"/>
                <w:highlight w:val="none"/>
              </w:rPr>
            </w:pPr>
          </w:p>
        </w:tc>
        <w:tc>
          <w:tcPr>
            <w:tcW w:w="4983" w:type="dxa"/>
            <w:tcBorders>
              <w:top w:val="single" w:color="auto" w:sz="4" w:space="0"/>
              <w:left w:val="single" w:color="auto" w:sz="4" w:space="0"/>
              <w:bottom w:val="single" w:color="auto" w:sz="4" w:space="0"/>
              <w:right w:val="single" w:color="auto" w:sz="4" w:space="0"/>
            </w:tcBorders>
            <w:vAlign w:val="center"/>
          </w:tcPr>
          <w:p w14:paraId="38CB30EE">
            <w:pPr>
              <w:pStyle w:val="42"/>
              <w:widowControl w:val="0"/>
              <w:snapToGrid w:val="0"/>
              <w:spacing w:before="0" w:beforeAutospacing="0" w:after="120" w:afterAutospacing="0" w:line="320" w:lineRule="exact"/>
              <w:jc w:val="both"/>
              <w:rPr>
                <w:szCs w:val="21"/>
                <w:highlight w:val="none"/>
              </w:rPr>
            </w:pPr>
            <w:r>
              <w:rPr>
                <w:rFonts w:hint="eastAsia"/>
                <w:sz w:val="21"/>
                <w:szCs w:val="21"/>
                <w:highlight w:val="none"/>
                <w:lang w:bidi="ar"/>
              </w:rPr>
              <w:t>交货时间：</w:t>
            </w:r>
            <w:r>
              <w:rPr>
                <w:rFonts w:hint="eastAsia"/>
                <w:kern w:val="2"/>
                <w:sz w:val="21"/>
                <w:szCs w:val="21"/>
                <w:highlight w:val="none"/>
                <w:lang w:bidi="ar"/>
              </w:rPr>
              <w:t xml:space="preserve"> </w:t>
            </w:r>
          </w:p>
        </w:tc>
      </w:tr>
      <w:tr w14:paraId="2B6A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702" w:type="dxa"/>
            <w:tcBorders>
              <w:top w:val="single" w:color="auto" w:sz="4" w:space="0"/>
              <w:left w:val="single" w:color="auto" w:sz="4" w:space="0"/>
              <w:bottom w:val="single" w:color="auto" w:sz="4" w:space="0"/>
              <w:right w:val="single" w:color="auto" w:sz="4" w:space="0"/>
            </w:tcBorders>
            <w:vAlign w:val="center"/>
          </w:tcPr>
          <w:p w14:paraId="79977654">
            <w:pPr>
              <w:pStyle w:val="42"/>
              <w:widowControl w:val="0"/>
              <w:snapToGrid w:val="0"/>
              <w:spacing w:before="0" w:beforeAutospacing="0" w:after="120" w:afterAutospacing="0" w:line="400" w:lineRule="exact"/>
              <w:jc w:val="center"/>
              <w:rPr>
                <w:szCs w:val="21"/>
                <w:highlight w:val="none"/>
              </w:rPr>
            </w:pPr>
            <w:r>
              <w:rPr>
                <w:rFonts w:hint="eastAsia"/>
                <w:kern w:val="2"/>
                <w:sz w:val="21"/>
                <w:szCs w:val="21"/>
                <w:highlight w:val="none"/>
                <w:lang w:bidi="ar"/>
              </w:rPr>
              <w:t>第9.2(1) 款</w:t>
            </w:r>
          </w:p>
        </w:tc>
        <w:tc>
          <w:tcPr>
            <w:tcW w:w="1703" w:type="dxa"/>
            <w:tcBorders>
              <w:top w:val="single" w:color="auto" w:sz="4" w:space="0"/>
              <w:left w:val="single" w:color="auto" w:sz="4" w:space="0"/>
              <w:bottom w:val="single" w:color="auto" w:sz="4" w:space="0"/>
              <w:right w:val="single" w:color="auto" w:sz="4" w:space="0"/>
            </w:tcBorders>
            <w:vAlign w:val="center"/>
          </w:tcPr>
          <w:p w14:paraId="1A2CAFFE">
            <w:pPr>
              <w:pStyle w:val="42"/>
              <w:widowControl w:val="0"/>
              <w:snapToGrid w:val="0"/>
              <w:spacing w:before="0" w:beforeAutospacing="0" w:after="120" w:afterAutospacing="0" w:line="400" w:lineRule="exact"/>
              <w:jc w:val="center"/>
              <w:rPr>
                <w:b/>
                <w:bCs/>
                <w:highlight w:val="none"/>
              </w:rPr>
            </w:pPr>
            <w:r>
              <w:rPr>
                <w:rFonts w:hint="eastAsia"/>
                <w:kern w:val="2"/>
                <w:sz w:val="21"/>
                <w:szCs w:val="21"/>
                <w:highlight w:val="none"/>
                <w:lang w:bidi="ar"/>
              </w:rPr>
              <w:t>质量保证期</w:t>
            </w:r>
          </w:p>
        </w:tc>
        <w:tc>
          <w:tcPr>
            <w:tcW w:w="4983" w:type="dxa"/>
            <w:tcBorders>
              <w:top w:val="single" w:color="auto" w:sz="4" w:space="0"/>
              <w:left w:val="single" w:color="auto" w:sz="4" w:space="0"/>
              <w:bottom w:val="single" w:color="auto" w:sz="4" w:space="0"/>
              <w:right w:val="single" w:color="auto" w:sz="4" w:space="0"/>
            </w:tcBorders>
            <w:vAlign w:val="center"/>
          </w:tcPr>
          <w:p w14:paraId="201E4CFD">
            <w:pPr>
              <w:pStyle w:val="42"/>
              <w:widowControl w:val="0"/>
              <w:snapToGrid w:val="0"/>
              <w:spacing w:before="0" w:beforeAutospacing="0" w:after="120" w:afterAutospacing="0" w:line="400" w:lineRule="exact"/>
              <w:jc w:val="both"/>
              <w:rPr>
                <w:szCs w:val="21"/>
                <w:highlight w:val="none"/>
              </w:rPr>
            </w:pPr>
            <w:r>
              <w:rPr>
                <w:rFonts w:hint="eastAsia"/>
                <w:bCs/>
                <w:kern w:val="2"/>
                <w:sz w:val="21"/>
                <w:szCs w:val="21"/>
                <w:highlight w:val="none"/>
                <w:lang w:bidi="ar"/>
              </w:rPr>
              <w:t xml:space="preserve"> </w:t>
            </w:r>
          </w:p>
        </w:tc>
      </w:tr>
      <w:tr w14:paraId="5478D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702" w:type="dxa"/>
            <w:tcBorders>
              <w:top w:val="single" w:color="auto" w:sz="4" w:space="0"/>
              <w:left w:val="single" w:color="auto" w:sz="4" w:space="0"/>
              <w:bottom w:val="single" w:color="auto" w:sz="4" w:space="0"/>
              <w:right w:val="single" w:color="auto" w:sz="4" w:space="0"/>
            </w:tcBorders>
            <w:vAlign w:val="center"/>
          </w:tcPr>
          <w:p w14:paraId="1BDD3184">
            <w:pPr>
              <w:pStyle w:val="42"/>
              <w:widowControl w:val="0"/>
              <w:snapToGrid w:val="0"/>
              <w:spacing w:before="0" w:beforeAutospacing="0" w:after="120" w:afterAutospacing="0" w:line="400" w:lineRule="exact"/>
              <w:jc w:val="center"/>
              <w:rPr>
                <w:szCs w:val="21"/>
                <w:highlight w:val="none"/>
              </w:rPr>
            </w:pPr>
            <w:r>
              <w:rPr>
                <w:rFonts w:hint="eastAsia"/>
                <w:kern w:val="2"/>
                <w:sz w:val="21"/>
                <w:szCs w:val="21"/>
                <w:highlight w:val="none"/>
                <w:lang w:bidi="ar"/>
              </w:rPr>
              <w:t>第9.2(3) 款</w:t>
            </w:r>
          </w:p>
        </w:tc>
        <w:tc>
          <w:tcPr>
            <w:tcW w:w="1703" w:type="dxa"/>
            <w:tcBorders>
              <w:top w:val="single" w:color="auto" w:sz="4" w:space="0"/>
              <w:left w:val="single" w:color="auto" w:sz="4" w:space="0"/>
              <w:bottom w:val="single" w:color="auto" w:sz="4" w:space="0"/>
              <w:right w:val="single" w:color="auto" w:sz="4" w:space="0"/>
            </w:tcBorders>
            <w:vAlign w:val="center"/>
          </w:tcPr>
          <w:p w14:paraId="36E3A919">
            <w:pPr>
              <w:pStyle w:val="42"/>
              <w:widowControl w:val="0"/>
              <w:snapToGrid w:val="0"/>
              <w:spacing w:before="0" w:beforeAutospacing="0" w:after="120" w:afterAutospacing="0" w:line="400" w:lineRule="exact"/>
              <w:jc w:val="center"/>
              <w:rPr>
                <w:b/>
                <w:bCs/>
                <w:highlight w:val="none"/>
              </w:rPr>
            </w:pPr>
            <w:r>
              <w:rPr>
                <w:rFonts w:hint="eastAsia"/>
                <w:kern w:val="2"/>
                <w:sz w:val="21"/>
                <w:szCs w:val="21"/>
                <w:highlight w:val="none"/>
                <w:lang w:bidi="ar"/>
              </w:rPr>
              <w:t>响应时间</w:t>
            </w:r>
          </w:p>
        </w:tc>
        <w:tc>
          <w:tcPr>
            <w:tcW w:w="4983" w:type="dxa"/>
            <w:tcBorders>
              <w:top w:val="single" w:color="auto" w:sz="4" w:space="0"/>
              <w:left w:val="single" w:color="auto" w:sz="4" w:space="0"/>
              <w:bottom w:val="single" w:color="auto" w:sz="4" w:space="0"/>
              <w:right w:val="single" w:color="auto" w:sz="4" w:space="0"/>
            </w:tcBorders>
            <w:vAlign w:val="center"/>
          </w:tcPr>
          <w:p w14:paraId="6C0EE775">
            <w:pPr>
              <w:pStyle w:val="42"/>
              <w:widowControl w:val="0"/>
              <w:snapToGrid w:val="0"/>
              <w:spacing w:before="0" w:beforeAutospacing="0" w:after="120" w:afterAutospacing="0" w:line="400" w:lineRule="exact"/>
              <w:jc w:val="both"/>
              <w:rPr>
                <w:szCs w:val="21"/>
                <w:highlight w:val="none"/>
              </w:rPr>
            </w:pPr>
          </w:p>
        </w:tc>
      </w:tr>
      <w:tr w14:paraId="4BDC9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exact"/>
        </w:trPr>
        <w:tc>
          <w:tcPr>
            <w:tcW w:w="1702" w:type="dxa"/>
            <w:tcBorders>
              <w:top w:val="single" w:color="auto" w:sz="4" w:space="0"/>
              <w:left w:val="single" w:color="auto" w:sz="4" w:space="0"/>
              <w:bottom w:val="single" w:color="auto" w:sz="4" w:space="0"/>
              <w:right w:val="single" w:color="auto" w:sz="4" w:space="0"/>
            </w:tcBorders>
            <w:vAlign w:val="center"/>
          </w:tcPr>
          <w:p w14:paraId="49839D2A">
            <w:pPr>
              <w:pStyle w:val="42"/>
              <w:widowControl w:val="0"/>
              <w:snapToGrid w:val="0"/>
              <w:spacing w:before="0" w:beforeAutospacing="0" w:after="120" w:afterAutospacing="0" w:line="400" w:lineRule="exact"/>
              <w:jc w:val="center"/>
              <w:rPr>
                <w:szCs w:val="21"/>
                <w:highlight w:val="none"/>
              </w:rPr>
            </w:pPr>
            <w:r>
              <w:rPr>
                <w:rFonts w:hint="eastAsia"/>
                <w:kern w:val="2"/>
                <w:sz w:val="21"/>
                <w:szCs w:val="21"/>
                <w:highlight w:val="none"/>
                <w:lang w:bidi="ar"/>
              </w:rPr>
              <w:t>第13.5条</w:t>
            </w:r>
          </w:p>
        </w:tc>
        <w:tc>
          <w:tcPr>
            <w:tcW w:w="1703" w:type="dxa"/>
            <w:tcBorders>
              <w:top w:val="single" w:color="auto" w:sz="4" w:space="0"/>
              <w:left w:val="single" w:color="auto" w:sz="4" w:space="0"/>
              <w:bottom w:val="single" w:color="auto" w:sz="4" w:space="0"/>
              <w:right w:val="single" w:color="auto" w:sz="4" w:space="0"/>
            </w:tcBorders>
            <w:vAlign w:val="center"/>
          </w:tcPr>
          <w:p w14:paraId="6B7A7851">
            <w:pPr>
              <w:pStyle w:val="42"/>
              <w:widowControl w:val="0"/>
              <w:snapToGrid w:val="0"/>
              <w:spacing w:before="0" w:beforeAutospacing="0" w:after="120" w:afterAutospacing="0" w:line="400" w:lineRule="exact"/>
              <w:jc w:val="center"/>
              <w:rPr>
                <w:b/>
                <w:bCs/>
                <w:highlight w:val="none"/>
              </w:rPr>
            </w:pPr>
            <w:r>
              <w:rPr>
                <w:rFonts w:hint="eastAsia"/>
                <w:kern w:val="2"/>
                <w:sz w:val="21"/>
                <w:szCs w:val="21"/>
                <w:highlight w:val="none"/>
                <w:lang w:bidi="ar"/>
              </w:rPr>
              <w:t>合同价款支付方式和条件</w:t>
            </w:r>
          </w:p>
        </w:tc>
        <w:tc>
          <w:tcPr>
            <w:tcW w:w="4983" w:type="dxa"/>
            <w:tcBorders>
              <w:top w:val="single" w:color="auto" w:sz="4" w:space="0"/>
              <w:left w:val="single" w:color="auto" w:sz="4" w:space="0"/>
              <w:bottom w:val="single" w:color="auto" w:sz="4" w:space="0"/>
              <w:right w:val="single" w:color="auto" w:sz="4" w:space="0"/>
            </w:tcBorders>
            <w:vAlign w:val="center"/>
          </w:tcPr>
          <w:p w14:paraId="5CAE1D97">
            <w:pPr>
              <w:spacing w:line="400" w:lineRule="exact"/>
              <w:rPr>
                <w:rFonts w:ascii="宋体" w:hAnsi="宋体" w:cs="宋体"/>
                <w:highlight w:val="none"/>
              </w:rPr>
            </w:pPr>
          </w:p>
        </w:tc>
      </w:tr>
      <w:tr w14:paraId="60632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exact"/>
        </w:trPr>
        <w:tc>
          <w:tcPr>
            <w:tcW w:w="1702" w:type="dxa"/>
            <w:tcBorders>
              <w:top w:val="single" w:color="auto" w:sz="4" w:space="0"/>
              <w:left w:val="single" w:color="auto" w:sz="4" w:space="0"/>
              <w:bottom w:val="single" w:color="auto" w:sz="4" w:space="0"/>
              <w:right w:val="single" w:color="auto" w:sz="4" w:space="0"/>
            </w:tcBorders>
            <w:vAlign w:val="center"/>
          </w:tcPr>
          <w:p w14:paraId="2FDE81A4">
            <w:pPr>
              <w:pStyle w:val="42"/>
              <w:widowControl w:val="0"/>
              <w:snapToGrid w:val="0"/>
              <w:spacing w:before="0" w:beforeAutospacing="0" w:after="120" w:afterAutospacing="0" w:line="400" w:lineRule="exact"/>
              <w:jc w:val="center"/>
              <w:rPr>
                <w:szCs w:val="21"/>
                <w:highlight w:val="none"/>
              </w:rPr>
            </w:pPr>
            <w:r>
              <w:rPr>
                <w:rFonts w:hint="eastAsia"/>
                <w:kern w:val="2"/>
                <w:sz w:val="21"/>
                <w:szCs w:val="21"/>
                <w:highlight w:val="none"/>
                <w:lang w:bidi="ar"/>
              </w:rPr>
              <w:t>第14.2(6) 款</w:t>
            </w:r>
          </w:p>
        </w:tc>
        <w:tc>
          <w:tcPr>
            <w:tcW w:w="1703" w:type="dxa"/>
            <w:tcBorders>
              <w:top w:val="single" w:color="auto" w:sz="4" w:space="0"/>
              <w:left w:val="single" w:color="auto" w:sz="4" w:space="0"/>
              <w:bottom w:val="single" w:color="auto" w:sz="4" w:space="0"/>
              <w:right w:val="single" w:color="auto" w:sz="4" w:space="0"/>
            </w:tcBorders>
            <w:vAlign w:val="center"/>
          </w:tcPr>
          <w:p w14:paraId="5018BD26">
            <w:pPr>
              <w:pStyle w:val="42"/>
              <w:widowControl w:val="0"/>
              <w:snapToGrid w:val="0"/>
              <w:spacing w:before="0" w:beforeAutospacing="0" w:after="120" w:afterAutospacing="0" w:line="400" w:lineRule="exact"/>
              <w:jc w:val="center"/>
              <w:rPr>
                <w:szCs w:val="21"/>
                <w:highlight w:val="none"/>
              </w:rPr>
            </w:pPr>
            <w:r>
              <w:rPr>
                <w:rFonts w:hint="eastAsia"/>
                <w:kern w:val="2"/>
                <w:sz w:val="21"/>
                <w:szCs w:val="21"/>
                <w:highlight w:val="none"/>
                <w:lang w:bidi="ar"/>
              </w:rPr>
              <w:t>伴随服务</w:t>
            </w:r>
          </w:p>
        </w:tc>
        <w:tc>
          <w:tcPr>
            <w:tcW w:w="4983" w:type="dxa"/>
            <w:tcBorders>
              <w:top w:val="single" w:color="auto" w:sz="4" w:space="0"/>
              <w:left w:val="single" w:color="auto" w:sz="4" w:space="0"/>
              <w:bottom w:val="single" w:color="auto" w:sz="4" w:space="0"/>
              <w:right w:val="single" w:color="auto" w:sz="4" w:space="0"/>
            </w:tcBorders>
            <w:vAlign w:val="center"/>
          </w:tcPr>
          <w:p w14:paraId="1A29888E">
            <w:pPr>
              <w:pStyle w:val="42"/>
              <w:widowControl w:val="0"/>
              <w:snapToGrid w:val="0"/>
              <w:spacing w:before="0" w:beforeAutospacing="0" w:after="120" w:afterAutospacing="0" w:line="400" w:lineRule="exact"/>
              <w:jc w:val="both"/>
              <w:rPr>
                <w:szCs w:val="21"/>
                <w:highlight w:val="none"/>
              </w:rPr>
            </w:pPr>
            <w:r>
              <w:rPr>
                <w:rFonts w:hint="eastAsia"/>
                <w:kern w:val="2"/>
                <w:sz w:val="21"/>
                <w:szCs w:val="21"/>
                <w:highlight w:val="none"/>
                <w:lang w:bidi="ar"/>
              </w:rPr>
              <w:t>1、售后维修维护、缺陷坏损货物更换</w:t>
            </w:r>
          </w:p>
          <w:p w14:paraId="0347D305">
            <w:pPr>
              <w:pStyle w:val="42"/>
              <w:widowControl w:val="0"/>
              <w:snapToGrid w:val="0"/>
              <w:spacing w:before="0" w:beforeAutospacing="0" w:after="120" w:afterAutospacing="0" w:line="400" w:lineRule="exact"/>
              <w:jc w:val="both"/>
              <w:rPr>
                <w:szCs w:val="21"/>
                <w:highlight w:val="none"/>
              </w:rPr>
            </w:pPr>
            <w:r>
              <w:rPr>
                <w:rFonts w:hint="eastAsia"/>
                <w:kern w:val="2"/>
                <w:sz w:val="21"/>
                <w:szCs w:val="21"/>
                <w:highlight w:val="none"/>
                <w:lang w:bidi="ar"/>
              </w:rPr>
              <w:t>2、按通用条款执行</w:t>
            </w:r>
          </w:p>
        </w:tc>
      </w:tr>
      <w:tr w14:paraId="221AA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exact"/>
        </w:trPr>
        <w:tc>
          <w:tcPr>
            <w:tcW w:w="1702" w:type="dxa"/>
            <w:tcBorders>
              <w:top w:val="single" w:color="auto" w:sz="4" w:space="0"/>
              <w:left w:val="single" w:color="auto" w:sz="4" w:space="0"/>
              <w:bottom w:val="single" w:color="auto" w:sz="4" w:space="0"/>
              <w:right w:val="single" w:color="auto" w:sz="4" w:space="0"/>
            </w:tcBorders>
            <w:vAlign w:val="center"/>
          </w:tcPr>
          <w:p w14:paraId="02D814DD">
            <w:pPr>
              <w:pStyle w:val="42"/>
              <w:widowControl w:val="0"/>
              <w:snapToGrid w:val="0"/>
              <w:spacing w:before="0" w:beforeAutospacing="0" w:after="120" w:afterAutospacing="0" w:line="400" w:lineRule="exact"/>
              <w:jc w:val="center"/>
              <w:rPr>
                <w:szCs w:val="21"/>
                <w:highlight w:val="none"/>
              </w:rPr>
            </w:pPr>
            <w:r>
              <w:rPr>
                <w:rFonts w:hint="eastAsia"/>
                <w:kern w:val="2"/>
                <w:sz w:val="21"/>
                <w:szCs w:val="21"/>
                <w:highlight w:val="none"/>
                <w:lang w:bidi="ar"/>
              </w:rPr>
              <w:t>第20.2条</w:t>
            </w:r>
          </w:p>
        </w:tc>
        <w:tc>
          <w:tcPr>
            <w:tcW w:w="1703" w:type="dxa"/>
            <w:tcBorders>
              <w:top w:val="single" w:color="auto" w:sz="4" w:space="0"/>
              <w:left w:val="single" w:color="auto" w:sz="4" w:space="0"/>
              <w:bottom w:val="single" w:color="auto" w:sz="4" w:space="0"/>
              <w:right w:val="single" w:color="auto" w:sz="4" w:space="0"/>
            </w:tcBorders>
            <w:vAlign w:val="center"/>
          </w:tcPr>
          <w:p w14:paraId="48E6C795">
            <w:pPr>
              <w:pStyle w:val="42"/>
              <w:widowControl w:val="0"/>
              <w:snapToGrid w:val="0"/>
              <w:spacing w:before="0" w:beforeAutospacing="0" w:after="120" w:afterAutospacing="0" w:line="400" w:lineRule="exact"/>
              <w:jc w:val="center"/>
              <w:rPr>
                <w:szCs w:val="21"/>
                <w:highlight w:val="none"/>
              </w:rPr>
            </w:pPr>
            <w:r>
              <w:rPr>
                <w:rFonts w:hint="eastAsia"/>
                <w:kern w:val="2"/>
                <w:sz w:val="21"/>
                <w:szCs w:val="21"/>
                <w:highlight w:val="none"/>
                <w:lang w:bidi="ar"/>
              </w:rPr>
              <w:t>解决争议的方式</w:t>
            </w:r>
          </w:p>
        </w:tc>
        <w:tc>
          <w:tcPr>
            <w:tcW w:w="4983" w:type="dxa"/>
            <w:tcBorders>
              <w:top w:val="single" w:color="auto" w:sz="4" w:space="0"/>
              <w:left w:val="single" w:color="auto" w:sz="4" w:space="0"/>
              <w:bottom w:val="single" w:color="auto" w:sz="4" w:space="0"/>
              <w:right w:val="single" w:color="auto" w:sz="4" w:space="0"/>
            </w:tcBorders>
            <w:vAlign w:val="center"/>
          </w:tcPr>
          <w:p w14:paraId="0AF3EE74">
            <w:pPr>
              <w:pStyle w:val="42"/>
              <w:widowControl w:val="0"/>
              <w:snapToGrid w:val="0"/>
              <w:spacing w:before="0" w:beforeAutospacing="0" w:after="120" w:afterAutospacing="0" w:line="400" w:lineRule="exact"/>
              <w:jc w:val="both"/>
              <w:rPr>
                <w:szCs w:val="21"/>
                <w:highlight w:val="none"/>
              </w:rPr>
            </w:pPr>
          </w:p>
        </w:tc>
      </w:tr>
      <w:tr w14:paraId="53CB6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exact"/>
        </w:trPr>
        <w:tc>
          <w:tcPr>
            <w:tcW w:w="1702" w:type="dxa"/>
            <w:tcBorders>
              <w:top w:val="single" w:color="auto" w:sz="4" w:space="0"/>
              <w:left w:val="single" w:color="auto" w:sz="4" w:space="0"/>
              <w:bottom w:val="single" w:color="auto" w:sz="4" w:space="0"/>
              <w:right w:val="single" w:color="auto" w:sz="4" w:space="0"/>
            </w:tcBorders>
            <w:vAlign w:val="center"/>
          </w:tcPr>
          <w:p w14:paraId="10D290C5">
            <w:pPr>
              <w:pStyle w:val="42"/>
              <w:widowControl w:val="0"/>
              <w:snapToGrid w:val="0"/>
              <w:spacing w:before="0" w:beforeAutospacing="0" w:after="120" w:afterAutospacing="0" w:line="400" w:lineRule="exact"/>
              <w:jc w:val="center"/>
              <w:rPr>
                <w:szCs w:val="21"/>
                <w:highlight w:val="none"/>
              </w:rPr>
            </w:pPr>
            <w:r>
              <w:rPr>
                <w:rFonts w:hint="eastAsia"/>
                <w:kern w:val="2"/>
                <w:sz w:val="21"/>
                <w:szCs w:val="21"/>
                <w:highlight w:val="none"/>
                <w:lang w:bidi="ar"/>
              </w:rPr>
              <w:t>第24.1条</w:t>
            </w:r>
          </w:p>
        </w:tc>
        <w:tc>
          <w:tcPr>
            <w:tcW w:w="1703" w:type="dxa"/>
            <w:tcBorders>
              <w:top w:val="single" w:color="auto" w:sz="4" w:space="0"/>
              <w:left w:val="single" w:color="auto" w:sz="4" w:space="0"/>
              <w:bottom w:val="single" w:color="auto" w:sz="4" w:space="0"/>
              <w:right w:val="single" w:color="auto" w:sz="4" w:space="0"/>
            </w:tcBorders>
            <w:vAlign w:val="center"/>
          </w:tcPr>
          <w:p w14:paraId="157A7820">
            <w:pPr>
              <w:pStyle w:val="42"/>
              <w:widowControl w:val="0"/>
              <w:snapToGrid w:val="0"/>
              <w:spacing w:before="0" w:beforeAutospacing="0" w:after="120" w:afterAutospacing="0" w:line="400" w:lineRule="exact"/>
              <w:jc w:val="center"/>
              <w:rPr>
                <w:szCs w:val="21"/>
                <w:highlight w:val="none"/>
              </w:rPr>
            </w:pPr>
            <w:r>
              <w:rPr>
                <w:rFonts w:hint="eastAsia"/>
                <w:kern w:val="2"/>
                <w:sz w:val="21"/>
                <w:szCs w:val="21"/>
                <w:highlight w:val="none"/>
                <w:lang w:bidi="ar"/>
              </w:rPr>
              <w:t>合同未尽事项</w:t>
            </w:r>
          </w:p>
        </w:tc>
        <w:tc>
          <w:tcPr>
            <w:tcW w:w="4983" w:type="dxa"/>
            <w:tcBorders>
              <w:top w:val="single" w:color="auto" w:sz="4" w:space="0"/>
              <w:left w:val="single" w:color="auto" w:sz="4" w:space="0"/>
              <w:bottom w:val="single" w:color="auto" w:sz="4" w:space="0"/>
              <w:right w:val="single" w:color="auto" w:sz="4" w:space="0"/>
            </w:tcBorders>
            <w:vAlign w:val="center"/>
          </w:tcPr>
          <w:p w14:paraId="006BE3DC">
            <w:pPr>
              <w:pStyle w:val="42"/>
              <w:widowControl w:val="0"/>
              <w:snapToGrid w:val="0"/>
              <w:spacing w:before="0" w:beforeAutospacing="0" w:after="120" w:afterAutospacing="0" w:line="400" w:lineRule="exact"/>
              <w:jc w:val="both"/>
              <w:rPr>
                <w:szCs w:val="21"/>
                <w:highlight w:val="none"/>
              </w:rPr>
            </w:pPr>
          </w:p>
        </w:tc>
      </w:tr>
      <w:tr w14:paraId="03513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exact"/>
        </w:trPr>
        <w:tc>
          <w:tcPr>
            <w:tcW w:w="8388" w:type="dxa"/>
            <w:gridSpan w:val="3"/>
            <w:tcBorders>
              <w:top w:val="single" w:color="auto" w:sz="4" w:space="0"/>
              <w:left w:val="single" w:color="auto" w:sz="4" w:space="0"/>
              <w:bottom w:val="single" w:color="auto" w:sz="4" w:space="0"/>
              <w:right w:val="single" w:color="auto" w:sz="4" w:space="0"/>
            </w:tcBorders>
            <w:vAlign w:val="center"/>
          </w:tcPr>
          <w:p w14:paraId="76D12093">
            <w:pPr>
              <w:pStyle w:val="42"/>
              <w:widowControl w:val="0"/>
              <w:snapToGrid w:val="0"/>
              <w:spacing w:before="0" w:beforeAutospacing="0" w:after="120" w:afterAutospacing="0" w:line="400" w:lineRule="exact"/>
              <w:jc w:val="both"/>
              <w:rPr>
                <w:szCs w:val="21"/>
                <w:highlight w:val="none"/>
              </w:rPr>
            </w:pPr>
            <w:r>
              <w:rPr>
                <w:rFonts w:hint="eastAsia"/>
                <w:b/>
                <w:kern w:val="2"/>
                <w:sz w:val="21"/>
                <w:szCs w:val="21"/>
                <w:highlight w:val="none"/>
                <w:lang w:bidi="ar"/>
              </w:rPr>
              <w:t>附件1 供货明细表</w:t>
            </w:r>
          </w:p>
        </w:tc>
      </w:tr>
    </w:tbl>
    <w:p w14:paraId="2FCBD3C9">
      <w:pPr>
        <w:rPr>
          <w:highlight w:val="none"/>
        </w:rPr>
      </w:pPr>
    </w:p>
    <w:p w14:paraId="7910BF3C">
      <w:pPr>
        <w:rPr>
          <w:highlight w:val="none"/>
        </w:rPr>
      </w:pPr>
    </w:p>
    <w:p w14:paraId="5208CD41">
      <w:pPr>
        <w:spacing w:line="360" w:lineRule="auto"/>
        <w:ind w:firstLine="252" w:firstLineChars="98"/>
        <w:rPr>
          <w:rFonts w:ascii="宋体" w:hAnsi="宋体" w:cs="宋体"/>
          <w:b/>
          <w:sz w:val="24"/>
          <w:highlight w:val="none"/>
        </w:rPr>
      </w:pPr>
      <w:r>
        <w:rPr>
          <w:rFonts w:hint="eastAsia" w:ascii="宋体" w:hAnsi="宋体"/>
          <w:b/>
          <w:spacing w:val="8"/>
          <w:sz w:val="24"/>
          <w:highlight w:val="none"/>
          <w:lang w:bidi="ar"/>
        </w:rPr>
        <w:br w:type="page"/>
      </w:r>
      <w:r>
        <w:rPr>
          <w:rFonts w:hint="eastAsia" w:ascii="宋体" w:hAnsi="宋体" w:cs="宋体"/>
          <w:b/>
          <w:spacing w:val="8"/>
          <w:sz w:val="24"/>
          <w:highlight w:val="none"/>
          <w:lang w:bidi="ar"/>
        </w:rPr>
        <w:t>附件1</w:t>
      </w:r>
    </w:p>
    <w:p w14:paraId="0A1D1254">
      <w:pPr>
        <w:spacing w:line="360" w:lineRule="auto"/>
        <w:jc w:val="center"/>
        <w:rPr>
          <w:rFonts w:ascii="宋体" w:hAnsi="宋体" w:cs="宋体"/>
          <w:b/>
          <w:spacing w:val="12"/>
          <w:sz w:val="24"/>
          <w:highlight w:val="none"/>
        </w:rPr>
      </w:pPr>
      <w:r>
        <w:rPr>
          <w:rFonts w:hint="eastAsia" w:ascii="宋体" w:hAnsi="宋体" w:cs="宋体"/>
          <w:b/>
          <w:spacing w:val="12"/>
          <w:sz w:val="24"/>
          <w:highlight w:val="none"/>
          <w:lang w:bidi="ar"/>
        </w:rPr>
        <w:t>货物配置清单</w:t>
      </w:r>
    </w:p>
    <w:p w14:paraId="5D58F69A">
      <w:pPr>
        <w:spacing w:line="360" w:lineRule="auto"/>
        <w:ind w:right="-334" w:rightChars="-159"/>
        <w:rPr>
          <w:rFonts w:ascii="宋体" w:hAnsi="宋体" w:cs="宋体"/>
          <w:spacing w:val="8"/>
          <w:szCs w:val="21"/>
          <w:highlight w:val="none"/>
        </w:rPr>
      </w:pPr>
      <w:r>
        <w:rPr>
          <w:rFonts w:hint="eastAsia" w:ascii="宋体" w:hAnsi="宋体" w:cs="宋体"/>
          <w:szCs w:val="21"/>
          <w:highlight w:val="none"/>
          <w:lang w:bidi="ar"/>
        </w:rPr>
        <w:t xml:space="preserve">                                                                             </w:t>
      </w:r>
    </w:p>
    <w:p w14:paraId="50F2CDF2">
      <w:pPr>
        <w:spacing w:line="360" w:lineRule="auto"/>
        <w:ind w:firstLine="630" w:firstLineChars="300"/>
        <w:rPr>
          <w:rFonts w:ascii="宋体" w:hAnsi="宋体" w:cs="宋体"/>
          <w:szCs w:val="21"/>
          <w:highlight w:val="none"/>
          <w:u w:val="single"/>
        </w:rPr>
      </w:pPr>
      <w:r>
        <w:rPr>
          <w:rFonts w:hint="eastAsia" w:ascii="宋体" w:hAnsi="宋体" w:cs="宋体"/>
          <w:szCs w:val="21"/>
          <w:highlight w:val="none"/>
          <w:lang w:bidi="ar"/>
        </w:rPr>
        <w:t>货物名称 ：</w:t>
      </w:r>
      <w:r>
        <w:rPr>
          <w:rFonts w:hint="eastAsia" w:ascii="宋体" w:hAnsi="宋体" w:cs="宋体"/>
          <w:szCs w:val="21"/>
          <w:highlight w:val="none"/>
          <w:u w:val="single"/>
          <w:lang w:bidi="ar"/>
        </w:rPr>
        <w:t xml:space="preserve">                  </w:t>
      </w:r>
    </w:p>
    <w:p w14:paraId="3BF81614">
      <w:pPr>
        <w:snapToGrid w:val="0"/>
        <w:spacing w:line="360" w:lineRule="auto"/>
        <w:ind w:firstLine="630" w:firstLineChars="300"/>
        <w:rPr>
          <w:rFonts w:ascii="宋体" w:hAnsi="宋体" w:cs="宋体"/>
          <w:szCs w:val="21"/>
          <w:highlight w:val="none"/>
          <w:u w:val="single"/>
        </w:rPr>
      </w:pPr>
      <w:r>
        <w:rPr>
          <w:rFonts w:hint="eastAsia" w:ascii="宋体" w:hAnsi="宋体" w:cs="宋体"/>
          <w:szCs w:val="21"/>
          <w:highlight w:val="none"/>
          <w:lang w:bidi="ar"/>
        </w:rPr>
        <w:t>合同编号 ：</w:t>
      </w:r>
      <w:r>
        <w:rPr>
          <w:rFonts w:hint="eastAsia" w:ascii="宋体" w:hAnsi="宋体" w:cs="宋体"/>
          <w:szCs w:val="21"/>
          <w:highlight w:val="none"/>
          <w:u w:val="single"/>
          <w:lang w:bidi="ar"/>
        </w:rPr>
        <w:t xml:space="preserve">                  </w:t>
      </w:r>
    </w:p>
    <w:tbl>
      <w:tblPr>
        <w:tblStyle w:val="46"/>
        <w:tblW w:w="79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831"/>
        <w:gridCol w:w="1167"/>
        <w:gridCol w:w="1509"/>
        <w:gridCol w:w="904"/>
        <w:gridCol w:w="976"/>
        <w:gridCol w:w="836"/>
        <w:gridCol w:w="964"/>
      </w:tblGrid>
      <w:tr w14:paraId="4E4D49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jc w:val="center"/>
        </w:trPr>
        <w:tc>
          <w:tcPr>
            <w:tcW w:w="719" w:type="dxa"/>
            <w:tcBorders>
              <w:top w:val="single" w:color="auto" w:sz="12" w:space="0"/>
              <w:left w:val="single" w:color="auto" w:sz="12" w:space="0"/>
              <w:bottom w:val="single" w:color="auto" w:sz="6" w:space="0"/>
              <w:right w:val="single" w:color="auto" w:sz="6" w:space="0"/>
            </w:tcBorders>
            <w:vAlign w:val="center"/>
          </w:tcPr>
          <w:p w14:paraId="34F6E224">
            <w:pPr>
              <w:spacing w:line="360" w:lineRule="auto"/>
              <w:jc w:val="center"/>
              <w:rPr>
                <w:rFonts w:ascii="宋体" w:hAnsi="宋体" w:cs="宋体"/>
                <w:szCs w:val="21"/>
                <w:highlight w:val="none"/>
              </w:rPr>
            </w:pPr>
            <w:r>
              <w:rPr>
                <w:rFonts w:hint="eastAsia" w:ascii="宋体" w:hAnsi="宋体" w:cs="宋体"/>
                <w:szCs w:val="21"/>
                <w:highlight w:val="none"/>
                <w:lang w:bidi="ar"/>
              </w:rPr>
              <w:t>序号</w:t>
            </w:r>
          </w:p>
        </w:tc>
        <w:tc>
          <w:tcPr>
            <w:tcW w:w="831" w:type="dxa"/>
            <w:tcBorders>
              <w:top w:val="single" w:color="auto" w:sz="12" w:space="0"/>
              <w:left w:val="single" w:color="auto" w:sz="6" w:space="0"/>
              <w:bottom w:val="single" w:color="auto" w:sz="6" w:space="0"/>
              <w:right w:val="single" w:color="auto" w:sz="6" w:space="0"/>
            </w:tcBorders>
            <w:vAlign w:val="center"/>
          </w:tcPr>
          <w:p w14:paraId="605EE034">
            <w:pPr>
              <w:spacing w:line="360" w:lineRule="auto"/>
              <w:jc w:val="center"/>
              <w:rPr>
                <w:rFonts w:ascii="宋体" w:hAnsi="宋体" w:cs="宋体"/>
                <w:szCs w:val="21"/>
                <w:highlight w:val="none"/>
              </w:rPr>
            </w:pPr>
            <w:r>
              <w:rPr>
                <w:rFonts w:hint="eastAsia" w:ascii="宋体" w:hAnsi="宋体" w:cs="宋体"/>
                <w:szCs w:val="21"/>
                <w:highlight w:val="none"/>
                <w:lang w:bidi="ar"/>
              </w:rPr>
              <w:t>名称</w:t>
            </w:r>
          </w:p>
        </w:tc>
        <w:tc>
          <w:tcPr>
            <w:tcW w:w="1167" w:type="dxa"/>
            <w:tcBorders>
              <w:top w:val="single" w:color="auto" w:sz="12" w:space="0"/>
              <w:left w:val="single" w:color="auto" w:sz="6" w:space="0"/>
              <w:bottom w:val="single" w:color="auto" w:sz="6" w:space="0"/>
              <w:right w:val="single" w:color="auto" w:sz="6" w:space="0"/>
            </w:tcBorders>
            <w:vAlign w:val="center"/>
          </w:tcPr>
          <w:p w14:paraId="4D465D59">
            <w:pPr>
              <w:spacing w:line="360" w:lineRule="auto"/>
              <w:jc w:val="center"/>
              <w:rPr>
                <w:rFonts w:ascii="宋体" w:hAnsi="宋体" w:cs="宋体"/>
                <w:b/>
                <w:szCs w:val="21"/>
                <w:highlight w:val="none"/>
              </w:rPr>
            </w:pPr>
            <w:r>
              <w:rPr>
                <w:rFonts w:hint="eastAsia" w:ascii="宋体" w:hAnsi="宋体" w:cs="宋体"/>
                <w:szCs w:val="21"/>
                <w:highlight w:val="none"/>
                <w:lang w:bidi="ar"/>
              </w:rPr>
              <w:t>型号规格</w:t>
            </w:r>
          </w:p>
        </w:tc>
        <w:tc>
          <w:tcPr>
            <w:tcW w:w="1509" w:type="dxa"/>
            <w:tcBorders>
              <w:top w:val="single" w:color="auto" w:sz="12" w:space="0"/>
              <w:left w:val="single" w:color="auto" w:sz="6" w:space="0"/>
              <w:bottom w:val="single" w:color="auto" w:sz="6" w:space="0"/>
              <w:right w:val="single" w:color="auto" w:sz="6" w:space="0"/>
            </w:tcBorders>
            <w:vAlign w:val="center"/>
          </w:tcPr>
          <w:p w14:paraId="1B327EBC">
            <w:pPr>
              <w:spacing w:line="360" w:lineRule="auto"/>
              <w:jc w:val="center"/>
              <w:rPr>
                <w:rFonts w:ascii="宋体" w:hAnsi="宋体" w:cs="宋体"/>
                <w:szCs w:val="21"/>
                <w:highlight w:val="none"/>
              </w:rPr>
            </w:pPr>
            <w:r>
              <w:rPr>
                <w:rFonts w:hint="eastAsia" w:ascii="宋体" w:hAnsi="宋体" w:cs="宋体"/>
                <w:szCs w:val="21"/>
                <w:highlight w:val="none"/>
                <w:lang w:bidi="ar"/>
              </w:rPr>
              <w:t>厂家、产地</w:t>
            </w:r>
          </w:p>
        </w:tc>
        <w:tc>
          <w:tcPr>
            <w:tcW w:w="904" w:type="dxa"/>
            <w:tcBorders>
              <w:top w:val="single" w:color="auto" w:sz="12" w:space="0"/>
              <w:left w:val="single" w:color="auto" w:sz="6" w:space="0"/>
              <w:bottom w:val="single" w:color="auto" w:sz="6" w:space="0"/>
              <w:right w:val="single" w:color="auto" w:sz="6" w:space="0"/>
            </w:tcBorders>
            <w:vAlign w:val="center"/>
          </w:tcPr>
          <w:p w14:paraId="18BC13D3">
            <w:pPr>
              <w:spacing w:line="360" w:lineRule="auto"/>
              <w:jc w:val="center"/>
              <w:rPr>
                <w:rFonts w:ascii="宋体" w:hAnsi="宋体" w:cs="宋体"/>
                <w:szCs w:val="21"/>
                <w:highlight w:val="none"/>
              </w:rPr>
            </w:pPr>
            <w:r>
              <w:rPr>
                <w:rFonts w:hint="eastAsia" w:ascii="宋体" w:hAnsi="宋体" w:cs="宋体"/>
                <w:szCs w:val="21"/>
                <w:highlight w:val="none"/>
                <w:lang w:bidi="ar"/>
              </w:rPr>
              <w:t>单位</w:t>
            </w:r>
          </w:p>
        </w:tc>
        <w:tc>
          <w:tcPr>
            <w:tcW w:w="976" w:type="dxa"/>
            <w:tcBorders>
              <w:top w:val="single" w:color="auto" w:sz="12" w:space="0"/>
              <w:left w:val="single" w:color="auto" w:sz="6" w:space="0"/>
              <w:bottom w:val="single" w:color="auto" w:sz="6" w:space="0"/>
              <w:right w:val="single" w:color="auto" w:sz="6" w:space="0"/>
            </w:tcBorders>
            <w:vAlign w:val="center"/>
          </w:tcPr>
          <w:p w14:paraId="6281FC50">
            <w:pPr>
              <w:spacing w:line="360" w:lineRule="auto"/>
              <w:ind w:firstLine="205" w:firstLineChars="98"/>
              <w:jc w:val="center"/>
              <w:rPr>
                <w:rFonts w:ascii="宋体" w:hAnsi="宋体" w:cs="宋体"/>
                <w:b/>
                <w:szCs w:val="21"/>
                <w:highlight w:val="none"/>
              </w:rPr>
            </w:pPr>
            <w:r>
              <w:rPr>
                <w:rFonts w:hint="eastAsia" w:ascii="宋体" w:hAnsi="宋体" w:cs="宋体"/>
                <w:szCs w:val="21"/>
                <w:highlight w:val="none"/>
                <w:lang w:bidi="ar"/>
              </w:rPr>
              <w:t>数量</w:t>
            </w:r>
          </w:p>
        </w:tc>
        <w:tc>
          <w:tcPr>
            <w:tcW w:w="836" w:type="dxa"/>
            <w:tcBorders>
              <w:top w:val="single" w:color="auto" w:sz="12" w:space="0"/>
              <w:left w:val="single" w:color="auto" w:sz="6" w:space="0"/>
              <w:bottom w:val="single" w:color="auto" w:sz="6" w:space="0"/>
              <w:right w:val="single" w:color="auto" w:sz="6" w:space="0"/>
            </w:tcBorders>
            <w:vAlign w:val="center"/>
          </w:tcPr>
          <w:p w14:paraId="1F71C547">
            <w:pPr>
              <w:spacing w:line="360" w:lineRule="auto"/>
              <w:jc w:val="center"/>
              <w:rPr>
                <w:rFonts w:ascii="宋体" w:hAnsi="宋体" w:cs="宋体"/>
                <w:szCs w:val="21"/>
                <w:highlight w:val="none"/>
              </w:rPr>
            </w:pPr>
            <w:r>
              <w:rPr>
                <w:rFonts w:hint="eastAsia" w:ascii="宋体" w:hAnsi="宋体" w:cs="宋体"/>
                <w:szCs w:val="21"/>
                <w:highlight w:val="none"/>
                <w:lang w:bidi="ar"/>
              </w:rPr>
              <w:t>单价</w:t>
            </w:r>
          </w:p>
        </w:tc>
        <w:tc>
          <w:tcPr>
            <w:tcW w:w="964" w:type="dxa"/>
            <w:tcBorders>
              <w:top w:val="single" w:color="auto" w:sz="12" w:space="0"/>
              <w:left w:val="single" w:color="auto" w:sz="6" w:space="0"/>
              <w:bottom w:val="single" w:color="auto" w:sz="6" w:space="0"/>
              <w:right w:val="single" w:color="auto" w:sz="12" w:space="0"/>
            </w:tcBorders>
            <w:vAlign w:val="center"/>
          </w:tcPr>
          <w:p w14:paraId="466C7168">
            <w:pPr>
              <w:spacing w:line="360" w:lineRule="auto"/>
              <w:jc w:val="center"/>
              <w:rPr>
                <w:rFonts w:ascii="宋体" w:hAnsi="宋体" w:cs="宋体"/>
                <w:szCs w:val="21"/>
                <w:highlight w:val="none"/>
              </w:rPr>
            </w:pPr>
            <w:r>
              <w:rPr>
                <w:rFonts w:hint="eastAsia" w:ascii="宋体" w:hAnsi="宋体" w:cs="宋体"/>
                <w:szCs w:val="21"/>
                <w:highlight w:val="none"/>
                <w:lang w:bidi="ar"/>
              </w:rPr>
              <w:t>备 注</w:t>
            </w:r>
          </w:p>
        </w:tc>
      </w:tr>
      <w:tr w14:paraId="53096E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719" w:type="dxa"/>
            <w:tcBorders>
              <w:top w:val="single" w:color="auto" w:sz="6" w:space="0"/>
              <w:left w:val="single" w:color="auto" w:sz="12" w:space="0"/>
              <w:bottom w:val="single" w:color="auto" w:sz="6" w:space="0"/>
              <w:right w:val="single" w:color="auto" w:sz="6" w:space="0"/>
            </w:tcBorders>
            <w:vAlign w:val="center"/>
          </w:tcPr>
          <w:p w14:paraId="0777D029">
            <w:pPr>
              <w:spacing w:line="360" w:lineRule="auto"/>
              <w:jc w:val="center"/>
              <w:rPr>
                <w:rFonts w:ascii="宋体" w:hAnsi="宋体" w:cs="宋体"/>
                <w:szCs w:val="21"/>
                <w:highlight w:val="none"/>
              </w:rPr>
            </w:pPr>
          </w:p>
        </w:tc>
        <w:tc>
          <w:tcPr>
            <w:tcW w:w="831" w:type="dxa"/>
            <w:tcBorders>
              <w:top w:val="single" w:color="auto" w:sz="6" w:space="0"/>
              <w:left w:val="single" w:color="auto" w:sz="6" w:space="0"/>
              <w:bottom w:val="single" w:color="auto" w:sz="6" w:space="0"/>
              <w:right w:val="single" w:color="auto" w:sz="6" w:space="0"/>
            </w:tcBorders>
            <w:vAlign w:val="center"/>
          </w:tcPr>
          <w:p w14:paraId="346DC8D4">
            <w:pPr>
              <w:spacing w:line="360" w:lineRule="auto"/>
              <w:jc w:val="center"/>
              <w:rPr>
                <w:rFonts w:ascii="宋体" w:hAnsi="宋体" w:cs="宋体"/>
                <w:szCs w:val="21"/>
                <w:highlight w:val="none"/>
              </w:rPr>
            </w:pPr>
          </w:p>
        </w:tc>
        <w:tc>
          <w:tcPr>
            <w:tcW w:w="1167" w:type="dxa"/>
            <w:tcBorders>
              <w:top w:val="single" w:color="auto" w:sz="6" w:space="0"/>
              <w:left w:val="single" w:color="auto" w:sz="6" w:space="0"/>
              <w:bottom w:val="single" w:color="auto" w:sz="6" w:space="0"/>
              <w:right w:val="single" w:color="auto" w:sz="6" w:space="0"/>
            </w:tcBorders>
            <w:vAlign w:val="center"/>
          </w:tcPr>
          <w:p w14:paraId="5983BDC2">
            <w:pPr>
              <w:spacing w:line="360" w:lineRule="auto"/>
              <w:jc w:val="center"/>
              <w:rPr>
                <w:rFonts w:ascii="宋体" w:hAnsi="宋体" w:cs="宋体"/>
                <w:szCs w:val="21"/>
                <w:highlight w:val="none"/>
              </w:rPr>
            </w:pPr>
          </w:p>
        </w:tc>
        <w:tc>
          <w:tcPr>
            <w:tcW w:w="1509" w:type="dxa"/>
            <w:tcBorders>
              <w:top w:val="single" w:color="auto" w:sz="6" w:space="0"/>
              <w:left w:val="single" w:color="auto" w:sz="6" w:space="0"/>
              <w:bottom w:val="single" w:color="auto" w:sz="6" w:space="0"/>
              <w:right w:val="single" w:color="auto" w:sz="6" w:space="0"/>
            </w:tcBorders>
            <w:vAlign w:val="center"/>
          </w:tcPr>
          <w:p w14:paraId="0D05AEB9">
            <w:pPr>
              <w:spacing w:line="360" w:lineRule="auto"/>
              <w:jc w:val="center"/>
              <w:rPr>
                <w:rFonts w:ascii="宋体" w:hAnsi="宋体" w:cs="宋体"/>
                <w:szCs w:val="21"/>
                <w:highlight w:val="none"/>
              </w:rPr>
            </w:pPr>
          </w:p>
        </w:tc>
        <w:tc>
          <w:tcPr>
            <w:tcW w:w="904" w:type="dxa"/>
            <w:tcBorders>
              <w:top w:val="single" w:color="auto" w:sz="6" w:space="0"/>
              <w:left w:val="single" w:color="auto" w:sz="6" w:space="0"/>
              <w:bottom w:val="single" w:color="auto" w:sz="6" w:space="0"/>
              <w:right w:val="single" w:color="auto" w:sz="6" w:space="0"/>
            </w:tcBorders>
            <w:vAlign w:val="center"/>
          </w:tcPr>
          <w:p w14:paraId="4DBC2B13">
            <w:pPr>
              <w:spacing w:line="360" w:lineRule="auto"/>
              <w:jc w:val="center"/>
              <w:rPr>
                <w:rFonts w:ascii="宋体" w:hAnsi="宋体" w:cs="宋体"/>
                <w:szCs w:val="21"/>
                <w:highlight w:val="none"/>
              </w:rPr>
            </w:pPr>
          </w:p>
        </w:tc>
        <w:tc>
          <w:tcPr>
            <w:tcW w:w="976" w:type="dxa"/>
            <w:tcBorders>
              <w:top w:val="single" w:color="auto" w:sz="6" w:space="0"/>
              <w:left w:val="single" w:color="auto" w:sz="6" w:space="0"/>
              <w:bottom w:val="single" w:color="auto" w:sz="6" w:space="0"/>
              <w:right w:val="single" w:color="auto" w:sz="6" w:space="0"/>
            </w:tcBorders>
            <w:vAlign w:val="center"/>
          </w:tcPr>
          <w:p w14:paraId="1B352AE8">
            <w:pPr>
              <w:spacing w:line="360" w:lineRule="auto"/>
              <w:jc w:val="center"/>
              <w:rPr>
                <w:rFonts w:ascii="宋体" w:hAnsi="宋体" w:cs="宋体"/>
                <w:szCs w:val="21"/>
                <w:highlight w:val="none"/>
              </w:rPr>
            </w:pPr>
          </w:p>
        </w:tc>
        <w:tc>
          <w:tcPr>
            <w:tcW w:w="836" w:type="dxa"/>
            <w:tcBorders>
              <w:top w:val="single" w:color="auto" w:sz="6" w:space="0"/>
              <w:left w:val="single" w:color="auto" w:sz="6" w:space="0"/>
              <w:bottom w:val="single" w:color="auto" w:sz="6" w:space="0"/>
              <w:right w:val="single" w:color="auto" w:sz="6" w:space="0"/>
            </w:tcBorders>
          </w:tcPr>
          <w:p w14:paraId="127C1DAC">
            <w:pPr>
              <w:spacing w:line="360" w:lineRule="auto"/>
              <w:jc w:val="center"/>
              <w:rPr>
                <w:rFonts w:ascii="宋体" w:hAnsi="宋体" w:cs="宋体"/>
                <w:szCs w:val="21"/>
                <w:highlight w:val="none"/>
              </w:rPr>
            </w:pPr>
          </w:p>
        </w:tc>
        <w:tc>
          <w:tcPr>
            <w:tcW w:w="964" w:type="dxa"/>
            <w:tcBorders>
              <w:top w:val="single" w:color="auto" w:sz="6" w:space="0"/>
              <w:left w:val="single" w:color="auto" w:sz="6" w:space="0"/>
              <w:bottom w:val="single" w:color="auto" w:sz="6" w:space="0"/>
              <w:right w:val="single" w:color="auto" w:sz="12" w:space="0"/>
            </w:tcBorders>
            <w:vAlign w:val="center"/>
          </w:tcPr>
          <w:p w14:paraId="0CE2E4B2">
            <w:pPr>
              <w:spacing w:line="360" w:lineRule="auto"/>
              <w:jc w:val="center"/>
              <w:rPr>
                <w:rFonts w:ascii="宋体" w:hAnsi="宋体" w:cs="宋体"/>
                <w:szCs w:val="21"/>
                <w:highlight w:val="none"/>
              </w:rPr>
            </w:pPr>
          </w:p>
        </w:tc>
      </w:tr>
      <w:tr w14:paraId="7D9D05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719" w:type="dxa"/>
            <w:tcBorders>
              <w:top w:val="single" w:color="auto" w:sz="6" w:space="0"/>
              <w:left w:val="single" w:color="auto" w:sz="12" w:space="0"/>
              <w:bottom w:val="single" w:color="auto" w:sz="6" w:space="0"/>
              <w:right w:val="single" w:color="auto" w:sz="6" w:space="0"/>
            </w:tcBorders>
            <w:vAlign w:val="center"/>
          </w:tcPr>
          <w:p w14:paraId="76244424">
            <w:pPr>
              <w:spacing w:line="360" w:lineRule="auto"/>
              <w:jc w:val="center"/>
              <w:rPr>
                <w:rFonts w:ascii="宋体" w:hAnsi="宋体" w:cs="宋体"/>
                <w:szCs w:val="21"/>
                <w:highlight w:val="none"/>
              </w:rPr>
            </w:pPr>
          </w:p>
        </w:tc>
        <w:tc>
          <w:tcPr>
            <w:tcW w:w="831" w:type="dxa"/>
            <w:tcBorders>
              <w:top w:val="single" w:color="auto" w:sz="6" w:space="0"/>
              <w:left w:val="single" w:color="auto" w:sz="6" w:space="0"/>
              <w:bottom w:val="single" w:color="auto" w:sz="6" w:space="0"/>
              <w:right w:val="single" w:color="auto" w:sz="6" w:space="0"/>
            </w:tcBorders>
            <w:vAlign w:val="center"/>
          </w:tcPr>
          <w:p w14:paraId="0E959B82">
            <w:pPr>
              <w:spacing w:line="360" w:lineRule="auto"/>
              <w:jc w:val="center"/>
              <w:rPr>
                <w:rFonts w:ascii="宋体" w:hAnsi="宋体" w:cs="宋体"/>
                <w:szCs w:val="21"/>
                <w:highlight w:val="none"/>
              </w:rPr>
            </w:pPr>
          </w:p>
        </w:tc>
        <w:tc>
          <w:tcPr>
            <w:tcW w:w="1167" w:type="dxa"/>
            <w:tcBorders>
              <w:top w:val="single" w:color="auto" w:sz="6" w:space="0"/>
              <w:left w:val="single" w:color="auto" w:sz="6" w:space="0"/>
              <w:bottom w:val="single" w:color="auto" w:sz="6" w:space="0"/>
              <w:right w:val="single" w:color="auto" w:sz="6" w:space="0"/>
            </w:tcBorders>
            <w:vAlign w:val="center"/>
          </w:tcPr>
          <w:p w14:paraId="62FCF203">
            <w:pPr>
              <w:spacing w:line="360" w:lineRule="auto"/>
              <w:jc w:val="center"/>
              <w:rPr>
                <w:rFonts w:ascii="宋体" w:hAnsi="宋体" w:cs="宋体"/>
                <w:szCs w:val="21"/>
                <w:highlight w:val="none"/>
              </w:rPr>
            </w:pPr>
          </w:p>
        </w:tc>
        <w:tc>
          <w:tcPr>
            <w:tcW w:w="1509" w:type="dxa"/>
            <w:tcBorders>
              <w:top w:val="single" w:color="auto" w:sz="6" w:space="0"/>
              <w:left w:val="single" w:color="auto" w:sz="6" w:space="0"/>
              <w:bottom w:val="single" w:color="auto" w:sz="6" w:space="0"/>
              <w:right w:val="single" w:color="auto" w:sz="6" w:space="0"/>
            </w:tcBorders>
            <w:vAlign w:val="center"/>
          </w:tcPr>
          <w:p w14:paraId="12A0F32E">
            <w:pPr>
              <w:spacing w:line="360" w:lineRule="auto"/>
              <w:jc w:val="center"/>
              <w:rPr>
                <w:rFonts w:ascii="宋体" w:hAnsi="宋体" w:cs="宋体"/>
                <w:szCs w:val="21"/>
                <w:highlight w:val="none"/>
              </w:rPr>
            </w:pPr>
          </w:p>
        </w:tc>
        <w:tc>
          <w:tcPr>
            <w:tcW w:w="904" w:type="dxa"/>
            <w:tcBorders>
              <w:top w:val="single" w:color="auto" w:sz="6" w:space="0"/>
              <w:left w:val="single" w:color="auto" w:sz="6" w:space="0"/>
              <w:bottom w:val="single" w:color="auto" w:sz="6" w:space="0"/>
              <w:right w:val="single" w:color="auto" w:sz="6" w:space="0"/>
            </w:tcBorders>
            <w:vAlign w:val="center"/>
          </w:tcPr>
          <w:p w14:paraId="05C406A7">
            <w:pPr>
              <w:spacing w:line="360" w:lineRule="auto"/>
              <w:jc w:val="center"/>
              <w:rPr>
                <w:rFonts w:ascii="宋体" w:hAnsi="宋体" w:cs="宋体"/>
                <w:szCs w:val="21"/>
                <w:highlight w:val="none"/>
              </w:rPr>
            </w:pPr>
          </w:p>
        </w:tc>
        <w:tc>
          <w:tcPr>
            <w:tcW w:w="976" w:type="dxa"/>
            <w:tcBorders>
              <w:top w:val="single" w:color="auto" w:sz="6" w:space="0"/>
              <w:left w:val="single" w:color="auto" w:sz="6" w:space="0"/>
              <w:bottom w:val="single" w:color="auto" w:sz="6" w:space="0"/>
              <w:right w:val="single" w:color="auto" w:sz="6" w:space="0"/>
            </w:tcBorders>
            <w:vAlign w:val="center"/>
          </w:tcPr>
          <w:p w14:paraId="5CB5CFA8">
            <w:pPr>
              <w:spacing w:line="360" w:lineRule="auto"/>
              <w:jc w:val="center"/>
              <w:rPr>
                <w:rFonts w:ascii="宋体" w:hAnsi="宋体" w:cs="宋体"/>
                <w:szCs w:val="21"/>
                <w:highlight w:val="none"/>
              </w:rPr>
            </w:pPr>
          </w:p>
        </w:tc>
        <w:tc>
          <w:tcPr>
            <w:tcW w:w="836" w:type="dxa"/>
            <w:tcBorders>
              <w:top w:val="single" w:color="auto" w:sz="6" w:space="0"/>
              <w:left w:val="single" w:color="auto" w:sz="6" w:space="0"/>
              <w:bottom w:val="single" w:color="auto" w:sz="6" w:space="0"/>
              <w:right w:val="single" w:color="auto" w:sz="6" w:space="0"/>
            </w:tcBorders>
          </w:tcPr>
          <w:p w14:paraId="7BE5A901">
            <w:pPr>
              <w:spacing w:line="360" w:lineRule="auto"/>
              <w:jc w:val="center"/>
              <w:rPr>
                <w:rFonts w:ascii="宋体" w:hAnsi="宋体" w:cs="宋体"/>
                <w:szCs w:val="21"/>
                <w:highlight w:val="none"/>
              </w:rPr>
            </w:pPr>
          </w:p>
        </w:tc>
        <w:tc>
          <w:tcPr>
            <w:tcW w:w="964" w:type="dxa"/>
            <w:tcBorders>
              <w:top w:val="single" w:color="auto" w:sz="6" w:space="0"/>
              <w:left w:val="single" w:color="auto" w:sz="6" w:space="0"/>
              <w:bottom w:val="single" w:color="auto" w:sz="6" w:space="0"/>
              <w:right w:val="single" w:color="auto" w:sz="12" w:space="0"/>
            </w:tcBorders>
            <w:vAlign w:val="center"/>
          </w:tcPr>
          <w:p w14:paraId="7124808F">
            <w:pPr>
              <w:spacing w:line="360" w:lineRule="auto"/>
              <w:jc w:val="center"/>
              <w:rPr>
                <w:rFonts w:ascii="宋体" w:hAnsi="宋体" w:cs="宋体"/>
                <w:szCs w:val="21"/>
                <w:highlight w:val="none"/>
              </w:rPr>
            </w:pPr>
          </w:p>
        </w:tc>
      </w:tr>
      <w:tr w14:paraId="665F70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719" w:type="dxa"/>
            <w:tcBorders>
              <w:top w:val="single" w:color="auto" w:sz="6" w:space="0"/>
              <w:left w:val="single" w:color="auto" w:sz="12" w:space="0"/>
              <w:bottom w:val="single" w:color="auto" w:sz="6" w:space="0"/>
              <w:right w:val="single" w:color="auto" w:sz="6" w:space="0"/>
            </w:tcBorders>
            <w:vAlign w:val="center"/>
          </w:tcPr>
          <w:p w14:paraId="5282D7BA">
            <w:pPr>
              <w:spacing w:line="360" w:lineRule="auto"/>
              <w:rPr>
                <w:rFonts w:ascii="宋体" w:hAnsi="宋体" w:cs="宋体"/>
                <w:szCs w:val="21"/>
                <w:highlight w:val="none"/>
              </w:rPr>
            </w:pPr>
          </w:p>
        </w:tc>
        <w:tc>
          <w:tcPr>
            <w:tcW w:w="831" w:type="dxa"/>
            <w:tcBorders>
              <w:top w:val="single" w:color="auto" w:sz="6" w:space="0"/>
              <w:left w:val="single" w:color="auto" w:sz="6" w:space="0"/>
              <w:bottom w:val="single" w:color="auto" w:sz="6" w:space="0"/>
              <w:right w:val="single" w:color="auto" w:sz="6" w:space="0"/>
            </w:tcBorders>
            <w:vAlign w:val="center"/>
          </w:tcPr>
          <w:p w14:paraId="0EA4C1A6">
            <w:pPr>
              <w:spacing w:line="360" w:lineRule="auto"/>
              <w:jc w:val="center"/>
              <w:rPr>
                <w:rFonts w:ascii="宋体" w:hAnsi="宋体" w:cs="宋体"/>
                <w:szCs w:val="21"/>
                <w:highlight w:val="none"/>
              </w:rPr>
            </w:pPr>
          </w:p>
        </w:tc>
        <w:tc>
          <w:tcPr>
            <w:tcW w:w="1167" w:type="dxa"/>
            <w:tcBorders>
              <w:top w:val="single" w:color="auto" w:sz="6" w:space="0"/>
              <w:left w:val="single" w:color="auto" w:sz="6" w:space="0"/>
              <w:bottom w:val="single" w:color="auto" w:sz="6" w:space="0"/>
              <w:right w:val="single" w:color="auto" w:sz="6" w:space="0"/>
            </w:tcBorders>
            <w:vAlign w:val="center"/>
          </w:tcPr>
          <w:p w14:paraId="3FC47C5D">
            <w:pPr>
              <w:spacing w:line="360" w:lineRule="auto"/>
              <w:jc w:val="center"/>
              <w:rPr>
                <w:rFonts w:ascii="宋体" w:hAnsi="宋体" w:cs="宋体"/>
                <w:szCs w:val="21"/>
                <w:highlight w:val="none"/>
              </w:rPr>
            </w:pPr>
          </w:p>
        </w:tc>
        <w:tc>
          <w:tcPr>
            <w:tcW w:w="1509" w:type="dxa"/>
            <w:tcBorders>
              <w:top w:val="single" w:color="auto" w:sz="6" w:space="0"/>
              <w:left w:val="single" w:color="auto" w:sz="6" w:space="0"/>
              <w:bottom w:val="single" w:color="auto" w:sz="6" w:space="0"/>
              <w:right w:val="single" w:color="auto" w:sz="6" w:space="0"/>
            </w:tcBorders>
            <w:vAlign w:val="center"/>
          </w:tcPr>
          <w:p w14:paraId="36D4B498">
            <w:pPr>
              <w:spacing w:line="360" w:lineRule="auto"/>
              <w:jc w:val="center"/>
              <w:rPr>
                <w:rFonts w:ascii="宋体" w:hAnsi="宋体" w:cs="宋体"/>
                <w:szCs w:val="21"/>
                <w:highlight w:val="none"/>
              </w:rPr>
            </w:pPr>
          </w:p>
        </w:tc>
        <w:tc>
          <w:tcPr>
            <w:tcW w:w="904" w:type="dxa"/>
            <w:tcBorders>
              <w:top w:val="single" w:color="auto" w:sz="6" w:space="0"/>
              <w:left w:val="single" w:color="auto" w:sz="6" w:space="0"/>
              <w:bottom w:val="single" w:color="auto" w:sz="6" w:space="0"/>
              <w:right w:val="single" w:color="auto" w:sz="6" w:space="0"/>
            </w:tcBorders>
            <w:vAlign w:val="center"/>
          </w:tcPr>
          <w:p w14:paraId="3BC9E75C">
            <w:pPr>
              <w:spacing w:line="360" w:lineRule="auto"/>
              <w:jc w:val="center"/>
              <w:rPr>
                <w:rFonts w:ascii="宋体" w:hAnsi="宋体" w:cs="宋体"/>
                <w:szCs w:val="21"/>
                <w:highlight w:val="none"/>
              </w:rPr>
            </w:pPr>
          </w:p>
        </w:tc>
        <w:tc>
          <w:tcPr>
            <w:tcW w:w="976" w:type="dxa"/>
            <w:tcBorders>
              <w:top w:val="single" w:color="auto" w:sz="6" w:space="0"/>
              <w:left w:val="single" w:color="auto" w:sz="6" w:space="0"/>
              <w:bottom w:val="single" w:color="auto" w:sz="6" w:space="0"/>
              <w:right w:val="single" w:color="auto" w:sz="6" w:space="0"/>
            </w:tcBorders>
            <w:vAlign w:val="center"/>
          </w:tcPr>
          <w:p w14:paraId="51DD37BB">
            <w:pPr>
              <w:spacing w:line="360" w:lineRule="auto"/>
              <w:jc w:val="center"/>
              <w:rPr>
                <w:rFonts w:ascii="宋体" w:hAnsi="宋体" w:cs="宋体"/>
                <w:szCs w:val="21"/>
                <w:highlight w:val="none"/>
              </w:rPr>
            </w:pPr>
          </w:p>
        </w:tc>
        <w:tc>
          <w:tcPr>
            <w:tcW w:w="836" w:type="dxa"/>
            <w:tcBorders>
              <w:top w:val="single" w:color="auto" w:sz="6" w:space="0"/>
              <w:left w:val="single" w:color="auto" w:sz="6" w:space="0"/>
              <w:bottom w:val="single" w:color="auto" w:sz="6" w:space="0"/>
              <w:right w:val="single" w:color="auto" w:sz="6" w:space="0"/>
            </w:tcBorders>
          </w:tcPr>
          <w:p w14:paraId="75CD630E">
            <w:pPr>
              <w:spacing w:line="360" w:lineRule="auto"/>
              <w:jc w:val="center"/>
              <w:rPr>
                <w:rFonts w:ascii="宋体" w:hAnsi="宋体" w:cs="宋体"/>
                <w:szCs w:val="21"/>
                <w:highlight w:val="none"/>
              </w:rPr>
            </w:pPr>
          </w:p>
        </w:tc>
        <w:tc>
          <w:tcPr>
            <w:tcW w:w="964" w:type="dxa"/>
            <w:tcBorders>
              <w:top w:val="single" w:color="auto" w:sz="6" w:space="0"/>
              <w:left w:val="single" w:color="auto" w:sz="6" w:space="0"/>
              <w:bottom w:val="single" w:color="auto" w:sz="6" w:space="0"/>
              <w:right w:val="single" w:color="auto" w:sz="12" w:space="0"/>
            </w:tcBorders>
            <w:vAlign w:val="center"/>
          </w:tcPr>
          <w:p w14:paraId="45D8C499">
            <w:pPr>
              <w:spacing w:line="360" w:lineRule="auto"/>
              <w:jc w:val="center"/>
              <w:rPr>
                <w:rFonts w:ascii="宋体" w:hAnsi="宋体" w:cs="宋体"/>
                <w:szCs w:val="21"/>
                <w:highlight w:val="none"/>
              </w:rPr>
            </w:pPr>
          </w:p>
        </w:tc>
      </w:tr>
      <w:tr w14:paraId="09C180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719" w:type="dxa"/>
            <w:tcBorders>
              <w:top w:val="single" w:color="auto" w:sz="6" w:space="0"/>
              <w:left w:val="single" w:color="auto" w:sz="12" w:space="0"/>
              <w:bottom w:val="single" w:color="auto" w:sz="6" w:space="0"/>
              <w:right w:val="single" w:color="auto" w:sz="6" w:space="0"/>
            </w:tcBorders>
            <w:vAlign w:val="center"/>
          </w:tcPr>
          <w:p w14:paraId="650EC7FF">
            <w:pPr>
              <w:spacing w:line="360" w:lineRule="auto"/>
              <w:jc w:val="center"/>
              <w:rPr>
                <w:rFonts w:ascii="宋体" w:hAnsi="宋体" w:cs="宋体"/>
                <w:szCs w:val="21"/>
                <w:highlight w:val="none"/>
              </w:rPr>
            </w:pPr>
          </w:p>
        </w:tc>
        <w:tc>
          <w:tcPr>
            <w:tcW w:w="831" w:type="dxa"/>
            <w:tcBorders>
              <w:top w:val="single" w:color="auto" w:sz="6" w:space="0"/>
              <w:left w:val="single" w:color="auto" w:sz="6" w:space="0"/>
              <w:bottom w:val="single" w:color="auto" w:sz="6" w:space="0"/>
              <w:right w:val="single" w:color="auto" w:sz="6" w:space="0"/>
            </w:tcBorders>
            <w:vAlign w:val="center"/>
          </w:tcPr>
          <w:p w14:paraId="44456157">
            <w:pPr>
              <w:spacing w:line="360" w:lineRule="auto"/>
              <w:jc w:val="center"/>
              <w:rPr>
                <w:rFonts w:ascii="宋体" w:hAnsi="宋体" w:cs="宋体"/>
                <w:szCs w:val="21"/>
                <w:highlight w:val="none"/>
              </w:rPr>
            </w:pPr>
          </w:p>
        </w:tc>
        <w:tc>
          <w:tcPr>
            <w:tcW w:w="1167" w:type="dxa"/>
            <w:tcBorders>
              <w:top w:val="single" w:color="auto" w:sz="6" w:space="0"/>
              <w:left w:val="single" w:color="auto" w:sz="6" w:space="0"/>
              <w:bottom w:val="single" w:color="auto" w:sz="6" w:space="0"/>
              <w:right w:val="single" w:color="auto" w:sz="6" w:space="0"/>
            </w:tcBorders>
            <w:vAlign w:val="center"/>
          </w:tcPr>
          <w:p w14:paraId="0BCF4D14">
            <w:pPr>
              <w:spacing w:line="360" w:lineRule="auto"/>
              <w:jc w:val="center"/>
              <w:rPr>
                <w:rFonts w:ascii="宋体" w:hAnsi="宋体" w:cs="宋体"/>
                <w:szCs w:val="21"/>
                <w:highlight w:val="none"/>
              </w:rPr>
            </w:pPr>
          </w:p>
        </w:tc>
        <w:tc>
          <w:tcPr>
            <w:tcW w:w="1509" w:type="dxa"/>
            <w:tcBorders>
              <w:top w:val="single" w:color="auto" w:sz="6" w:space="0"/>
              <w:left w:val="single" w:color="auto" w:sz="6" w:space="0"/>
              <w:bottom w:val="single" w:color="auto" w:sz="6" w:space="0"/>
              <w:right w:val="single" w:color="auto" w:sz="6" w:space="0"/>
            </w:tcBorders>
            <w:vAlign w:val="center"/>
          </w:tcPr>
          <w:p w14:paraId="270A1E51">
            <w:pPr>
              <w:spacing w:line="360" w:lineRule="auto"/>
              <w:jc w:val="center"/>
              <w:rPr>
                <w:rFonts w:ascii="宋体" w:hAnsi="宋体" w:cs="宋体"/>
                <w:szCs w:val="21"/>
                <w:highlight w:val="none"/>
              </w:rPr>
            </w:pPr>
          </w:p>
        </w:tc>
        <w:tc>
          <w:tcPr>
            <w:tcW w:w="904" w:type="dxa"/>
            <w:tcBorders>
              <w:top w:val="single" w:color="auto" w:sz="6" w:space="0"/>
              <w:left w:val="single" w:color="auto" w:sz="6" w:space="0"/>
              <w:bottom w:val="single" w:color="auto" w:sz="6" w:space="0"/>
              <w:right w:val="single" w:color="auto" w:sz="6" w:space="0"/>
            </w:tcBorders>
            <w:vAlign w:val="center"/>
          </w:tcPr>
          <w:p w14:paraId="5DBF29AB">
            <w:pPr>
              <w:spacing w:line="360" w:lineRule="auto"/>
              <w:jc w:val="center"/>
              <w:rPr>
                <w:rFonts w:ascii="宋体" w:hAnsi="宋体" w:cs="宋体"/>
                <w:szCs w:val="21"/>
                <w:highlight w:val="none"/>
              </w:rPr>
            </w:pPr>
          </w:p>
        </w:tc>
        <w:tc>
          <w:tcPr>
            <w:tcW w:w="976" w:type="dxa"/>
            <w:tcBorders>
              <w:top w:val="single" w:color="auto" w:sz="6" w:space="0"/>
              <w:left w:val="single" w:color="auto" w:sz="6" w:space="0"/>
              <w:bottom w:val="single" w:color="auto" w:sz="6" w:space="0"/>
              <w:right w:val="single" w:color="auto" w:sz="6" w:space="0"/>
            </w:tcBorders>
            <w:vAlign w:val="center"/>
          </w:tcPr>
          <w:p w14:paraId="735660FA">
            <w:pPr>
              <w:spacing w:line="360" w:lineRule="auto"/>
              <w:jc w:val="center"/>
              <w:rPr>
                <w:rFonts w:ascii="宋体" w:hAnsi="宋体" w:cs="宋体"/>
                <w:szCs w:val="21"/>
                <w:highlight w:val="none"/>
              </w:rPr>
            </w:pPr>
          </w:p>
        </w:tc>
        <w:tc>
          <w:tcPr>
            <w:tcW w:w="836" w:type="dxa"/>
            <w:tcBorders>
              <w:top w:val="single" w:color="auto" w:sz="6" w:space="0"/>
              <w:left w:val="single" w:color="auto" w:sz="6" w:space="0"/>
              <w:bottom w:val="single" w:color="auto" w:sz="6" w:space="0"/>
              <w:right w:val="single" w:color="auto" w:sz="6" w:space="0"/>
            </w:tcBorders>
          </w:tcPr>
          <w:p w14:paraId="55B0BFFA">
            <w:pPr>
              <w:spacing w:line="360" w:lineRule="auto"/>
              <w:jc w:val="center"/>
              <w:rPr>
                <w:rFonts w:ascii="宋体" w:hAnsi="宋体" w:cs="宋体"/>
                <w:szCs w:val="21"/>
                <w:highlight w:val="none"/>
              </w:rPr>
            </w:pPr>
          </w:p>
        </w:tc>
        <w:tc>
          <w:tcPr>
            <w:tcW w:w="964" w:type="dxa"/>
            <w:tcBorders>
              <w:top w:val="single" w:color="auto" w:sz="6" w:space="0"/>
              <w:left w:val="single" w:color="auto" w:sz="6" w:space="0"/>
              <w:bottom w:val="single" w:color="auto" w:sz="6" w:space="0"/>
              <w:right w:val="single" w:color="auto" w:sz="12" w:space="0"/>
            </w:tcBorders>
            <w:vAlign w:val="center"/>
          </w:tcPr>
          <w:p w14:paraId="366D8EF2">
            <w:pPr>
              <w:spacing w:line="360" w:lineRule="auto"/>
              <w:jc w:val="center"/>
              <w:rPr>
                <w:rFonts w:ascii="宋体" w:hAnsi="宋体" w:cs="宋体"/>
                <w:szCs w:val="21"/>
                <w:highlight w:val="none"/>
              </w:rPr>
            </w:pPr>
          </w:p>
        </w:tc>
      </w:tr>
      <w:tr w14:paraId="170F6B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719" w:type="dxa"/>
            <w:tcBorders>
              <w:top w:val="single" w:color="auto" w:sz="6" w:space="0"/>
              <w:left w:val="single" w:color="auto" w:sz="12" w:space="0"/>
              <w:bottom w:val="single" w:color="auto" w:sz="6" w:space="0"/>
              <w:right w:val="single" w:color="auto" w:sz="6" w:space="0"/>
            </w:tcBorders>
            <w:vAlign w:val="center"/>
          </w:tcPr>
          <w:p w14:paraId="090403B3">
            <w:pPr>
              <w:spacing w:line="360" w:lineRule="auto"/>
              <w:jc w:val="center"/>
              <w:rPr>
                <w:rFonts w:ascii="宋体" w:hAnsi="宋体" w:cs="宋体"/>
                <w:szCs w:val="21"/>
                <w:highlight w:val="none"/>
              </w:rPr>
            </w:pPr>
          </w:p>
        </w:tc>
        <w:tc>
          <w:tcPr>
            <w:tcW w:w="831" w:type="dxa"/>
            <w:tcBorders>
              <w:top w:val="single" w:color="auto" w:sz="6" w:space="0"/>
              <w:left w:val="single" w:color="auto" w:sz="6" w:space="0"/>
              <w:bottom w:val="single" w:color="auto" w:sz="6" w:space="0"/>
              <w:right w:val="single" w:color="auto" w:sz="6" w:space="0"/>
            </w:tcBorders>
            <w:vAlign w:val="center"/>
          </w:tcPr>
          <w:p w14:paraId="6E4F0C5F">
            <w:pPr>
              <w:spacing w:line="360" w:lineRule="auto"/>
              <w:jc w:val="center"/>
              <w:rPr>
                <w:rFonts w:ascii="宋体" w:hAnsi="宋体" w:cs="宋体"/>
                <w:szCs w:val="21"/>
                <w:highlight w:val="none"/>
              </w:rPr>
            </w:pPr>
          </w:p>
        </w:tc>
        <w:tc>
          <w:tcPr>
            <w:tcW w:w="1167" w:type="dxa"/>
            <w:tcBorders>
              <w:top w:val="single" w:color="auto" w:sz="6" w:space="0"/>
              <w:left w:val="single" w:color="auto" w:sz="6" w:space="0"/>
              <w:bottom w:val="single" w:color="auto" w:sz="6" w:space="0"/>
              <w:right w:val="single" w:color="auto" w:sz="6" w:space="0"/>
            </w:tcBorders>
            <w:vAlign w:val="center"/>
          </w:tcPr>
          <w:p w14:paraId="588C5F85">
            <w:pPr>
              <w:spacing w:line="360" w:lineRule="auto"/>
              <w:jc w:val="center"/>
              <w:rPr>
                <w:rFonts w:ascii="宋体" w:hAnsi="宋体" w:cs="宋体"/>
                <w:szCs w:val="21"/>
                <w:highlight w:val="none"/>
              </w:rPr>
            </w:pPr>
          </w:p>
        </w:tc>
        <w:tc>
          <w:tcPr>
            <w:tcW w:w="1509" w:type="dxa"/>
            <w:tcBorders>
              <w:top w:val="single" w:color="auto" w:sz="6" w:space="0"/>
              <w:left w:val="single" w:color="auto" w:sz="6" w:space="0"/>
              <w:bottom w:val="single" w:color="auto" w:sz="6" w:space="0"/>
              <w:right w:val="single" w:color="auto" w:sz="6" w:space="0"/>
            </w:tcBorders>
            <w:vAlign w:val="center"/>
          </w:tcPr>
          <w:p w14:paraId="611C6DA0">
            <w:pPr>
              <w:spacing w:line="360" w:lineRule="auto"/>
              <w:jc w:val="center"/>
              <w:rPr>
                <w:rFonts w:ascii="宋体" w:hAnsi="宋体" w:cs="宋体"/>
                <w:szCs w:val="21"/>
                <w:highlight w:val="none"/>
              </w:rPr>
            </w:pPr>
          </w:p>
        </w:tc>
        <w:tc>
          <w:tcPr>
            <w:tcW w:w="904" w:type="dxa"/>
            <w:tcBorders>
              <w:top w:val="single" w:color="auto" w:sz="6" w:space="0"/>
              <w:left w:val="single" w:color="auto" w:sz="6" w:space="0"/>
              <w:bottom w:val="single" w:color="auto" w:sz="6" w:space="0"/>
              <w:right w:val="single" w:color="auto" w:sz="6" w:space="0"/>
            </w:tcBorders>
            <w:vAlign w:val="center"/>
          </w:tcPr>
          <w:p w14:paraId="5B74F3A2">
            <w:pPr>
              <w:spacing w:line="360" w:lineRule="auto"/>
              <w:jc w:val="center"/>
              <w:rPr>
                <w:rFonts w:ascii="宋体" w:hAnsi="宋体" w:cs="宋体"/>
                <w:szCs w:val="21"/>
                <w:highlight w:val="none"/>
              </w:rPr>
            </w:pPr>
          </w:p>
        </w:tc>
        <w:tc>
          <w:tcPr>
            <w:tcW w:w="976" w:type="dxa"/>
            <w:tcBorders>
              <w:top w:val="single" w:color="auto" w:sz="6" w:space="0"/>
              <w:left w:val="single" w:color="auto" w:sz="6" w:space="0"/>
              <w:bottom w:val="single" w:color="auto" w:sz="6" w:space="0"/>
              <w:right w:val="single" w:color="auto" w:sz="6" w:space="0"/>
            </w:tcBorders>
            <w:vAlign w:val="center"/>
          </w:tcPr>
          <w:p w14:paraId="5B8601FF">
            <w:pPr>
              <w:spacing w:line="360" w:lineRule="auto"/>
              <w:jc w:val="center"/>
              <w:rPr>
                <w:rFonts w:ascii="宋体" w:hAnsi="宋体" w:cs="宋体"/>
                <w:szCs w:val="21"/>
                <w:highlight w:val="none"/>
              </w:rPr>
            </w:pPr>
          </w:p>
        </w:tc>
        <w:tc>
          <w:tcPr>
            <w:tcW w:w="836" w:type="dxa"/>
            <w:tcBorders>
              <w:top w:val="single" w:color="auto" w:sz="6" w:space="0"/>
              <w:left w:val="single" w:color="auto" w:sz="6" w:space="0"/>
              <w:bottom w:val="single" w:color="auto" w:sz="6" w:space="0"/>
              <w:right w:val="single" w:color="auto" w:sz="6" w:space="0"/>
            </w:tcBorders>
          </w:tcPr>
          <w:p w14:paraId="2D7D51F7">
            <w:pPr>
              <w:spacing w:line="360" w:lineRule="auto"/>
              <w:jc w:val="center"/>
              <w:rPr>
                <w:rFonts w:ascii="宋体" w:hAnsi="宋体" w:cs="宋体"/>
                <w:szCs w:val="21"/>
                <w:highlight w:val="none"/>
              </w:rPr>
            </w:pPr>
          </w:p>
        </w:tc>
        <w:tc>
          <w:tcPr>
            <w:tcW w:w="964" w:type="dxa"/>
            <w:tcBorders>
              <w:top w:val="single" w:color="auto" w:sz="6" w:space="0"/>
              <w:left w:val="single" w:color="auto" w:sz="6" w:space="0"/>
              <w:bottom w:val="single" w:color="auto" w:sz="6" w:space="0"/>
              <w:right w:val="single" w:color="auto" w:sz="12" w:space="0"/>
            </w:tcBorders>
            <w:vAlign w:val="center"/>
          </w:tcPr>
          <w:p w14:paraId="2035FEC2">
            <w:pPr>
              <w:spacing w:line="360" w:lineRule="auto"/>
              <w:jc w:val="center"/>
              <w:rPr>
                <w:rFonts w:ascii="宋体" w:hAnsi="宋体" w:cs="宋体"/>
                <w:szCs w:val="21"/>
                <w:highlight w:val="none"/>
              </w:rPr>
            </w:pPr>
          </w:p>
        </w:tc>
      </w:tr>
      <w:tr w14:paraId="1C7F8E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719" w:type="dxa"/>
            <w:tcBorders>
              <w:top w:val="single" w:color="auto" w:sz="6" w:space="0"/>
              <w:left w:val="single" w:color="auto" w:sz="12" w:space="0"/>
              <w:bottom w:val="single" w:color="auto" w:sz="6" w:space="0"/>
              <w:right w:val="single" w:color="auto" w:sz="6" w:space="0"/>
            </w:tcBorders>
            <w:vAlign w:val="center"/>
          </w:tcPr>
          <w:p w14:paraId="43BF3BC7">
            <w:pPr>
              <w:spacing w:line="360" w:lineRule="auto"/>
              <w:jc w:val="center"/>
              <w:rPr>
                <w:rFonts w:ascii="宋体" w:hAnsi="宋体" w:cs="宋体"/>
                <w:szCs w:val="21"/>
                <w:highlight w:val="none"/>
              </w:rPr>
            </w:pPr>
          </w:p>
        </w:tc>
        <w:tc>
          <w:tcPr>
            <w:tcW w:w="831" w:type="dxa"/>
            <w:tcBorders>
              <w:top w:val="single" w:color="auto" w:sz="6" w:space="0"/>
              <w:left w:val="single" w:color="auto" w:sz="6" w:space="0"/>
              <w:bottom w:val="single" w:color="auto" w:sz="6" w:space="0"/>
              <w:right w:val="single" w:color="auto" w:sz="6" w:space="0"/>
            </w:tcBorders>
            <w:vAlign w:val="center"/>
          </w:tcPr>
          <w:p w14:paraId="48693047">
            <w:pPr>
              <w:spacing w:line="360" w:lineRule="auto"/>
              <w:jc w:val="center"/>
              <w:rPr>
                <w:rFonts w:ascii="宋体" w:hAnsi="宋体" w:cs="宋体"/>
                <w:szCs w:val="21"/>
                <w:highlight w:val="none"/>
              </w:rPr>
            </w:pPr>
          </w:p>
        </w:tc>
        <w:tc>
          <w:tcPr>
            <w:tcW w:w="1167" w:type="dxa"/>
            <w:tcBorders>
              <w:top w:val="single" w:color="auto" w:sz="6" w:space="0"/>
              <w:left w:val="single" w:color="auto" w:sz="6" w:space="0"/>
              <w:bottom w:val="single" w:color="auto" w:sz="6" w:space="0"/>
              <w:right w:val="single" w:color="auto" w:sz="6" w:space="0"/>
            </w:tcBorders>
            <w:vAlign w:val="center"/>
          </w:tcPr>
          <w:p w14:paraId="26726BC7">
            <w:pPr>
              <w:spacing w:line="360" w:lineRule="auto"/>
              <w:jc w:val="center"/>
              <w:rPr>
                <w:rFonts w:ascii="宋体" w:hAnsi="宋体" w:cs="宋体"/>
                <w:szCs w:val="21"/>
                <w:highlight w:val="none"/>
              </w:rPr>
            </w:pPr>
          </w:p>
        </w:tc>
        <w:tc>
          <w:tcPr>
            <w:tcW w:w="1509" w:type="dxa"/>
            <w:tcBorders>
              <w:top w:val="single" w:color="auto" w:sz="6" w:space="0"/>
              <w:left w:val="single" w:color="auto" w:sz="6" w:space="0"/>
              <w:bottom w:val="single" w:color="auto" w:sz="6" w:space="0"/>
              <w:right w:val="single" w:color="auto" w:sz="6" w:space="0"/>
            </w:tcBorders>
            <w:vAlign w:val="center"/>
          </w:tcPr>
          <w:p w14:paraId="1861C4E6">
            <w:pPr>
              <w:spacing w:line="360" w:lineRule="auto"/>
              <w:jc w:val="center"/>
              <w:rPr>
                <w:rFonts w:ascii="宋体" w:hAnsi="宋体" w:cs="宋体"/>
                <w:szCs w:val="21"/>
                <w:highlight w:val="none"/>
              </w:rPr>
            </w:pPr>
          </w:p>
        </w:tc>
        <w:tc>
          <w:tcPr>
            <w:tcW w:w="904" w:type="dxa"/>
            <w:tcBorders>
              <w:top w:val="single" w:color="auto" w:sz="6" w:space="0"/>
              <w:left w:val="single" w:color="auto" w:sz="6" w:space="0"/>
              <w:bottom w:val="single" w:color="auto" w:sz="6" w:space="0"/>
              <w:right w:val="single" w:color="auto" w:sz="6" w:space="0"/>
            </w:tcBorders>
            <w:vAlign w:val="center"/>
          </w:tcPr>
          <w:p w14:paraId="62F19040">
            <w:pPr>
              <w:spacing w:line="360" w:lineRule="auto"/>
              <w:jc w:val="center"/>
              <w:rPr>
                <w:rFonts w:ascii="宋体" w:hAnsi="宋体" w:cs="宋体"/>
                <w:szCs w:val="21"/>
                <w:highlight w:val="none"/>
              </w:rPr>
            </w:pPr>
          </w:p>
        </w:tc>
        <w:tc>
          <w:tcPr>
            <w:tcW w:w="976" w:type="dxa"/>
            <w:tcBorders>
              <w:top w:val="single" w:color="auto" w:sz="6" w:space="0"/>
              <w:left w:val="single" w:color="auto" w:sz="6" w:space="0"/>
              <w:bottom w:val="single" w:color="auto" w:sz="6" w:space="0"/>
              <w:right w:val="single" w:color="auto" w:sz="6" w:space="0"/>
            </w:tcBorders>
            <w:vAlign w:val="center"/>
          </w:tcPr>
          <w:p w14:paraId="2494B9C2">
            <w:pPr>
              <w:spacing w:line="360" w:lineRule="auto"/>
              <w:jc w:val="center"/>
              <w:rPr>
                <w:rFonts w:ascii="宋体" w:hAnsi="宋体" w:cs="宋体"/>
                <w:szCs w:val="21"/>
                <w:highlight w:val="none"/>
              </w:rPr>
            </w:pPr>
          </w:p>
        </w:tc>
        <w:tc>
          <w:tcPr>
            <w:tcW w:w="836" w:type="dxa"/>
            <w:tcBorders>
              <w:top w:val="single" w:color="auto" w:sz="6" w:space="0"/>
              <w:left w:val="single" w:color="auto" w:sz="6" w:space="0"/>
              <w:bottom w:val="single" w:color="auto" w:sz="6" w:space="0"/>
              <w:right w:val="single" w:color="auto" w:sz="6" w:space="0"/>
            </w:tcBorders>
          </w:tcPr>
          <w:p w14:paraId="650B5A11">
            <w:pPr>
              <w:spacing w:line="360" w:lineRule="auto"/>
              <w:jc w:val="center"/>
              <w:rPr>
                <w:rFonts w:ascii="宋体" w:hAnsi="宋体" w:cs="宋体"/>
                <w:szCs w:val="21"/>
                <w:highlight w:val="none"/>
              </w:rPr>
            </w:pPr>
          </w:p>
        </w:tc>
        <w:tc>
          <w:tcPr>
            <w:tcW w:w="964" w:type="dxa"/>
            <w:tcBorders>
              <w:top w:val="single" w:color="auto" w:sz="6" w:space="0"/>
              <w:left w:val="single" w:color="auto" w:sz="6" w:space="0"/>
              <w:bottom w:val="single" w:color="auto" w:sz="6" w:space="0"/>
              <w:right w:val="single" w:color="auto" w:sz="12" w:space="0"/>
            </w:tcBorders>
            <w:vAlign w:val="center"/>
          </w:tcPr>
          <w:p w14:paraId="60EA4544">
            <w:pPr>
              <w:spacing w:line="360" w:lineRule="auto"/>
              <w:jc w:val="center"/>
              <w:rPr>
                <w:rFonts w:ascii="宋体" w:hAnsi="宋体" w:cs="宋体"/>
                <w:szCs w:val="21"/>
                <w:highlight w:val="none"/>
              </w:rPr>
            </w:pPr>
          </w:p>
        </w:tc>
      </w:tr>
      <w:tr w14:paraId="0EE708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719" w:type="dxa"/>
            <w:tcBorders>
              <w:top w:val="single" w:color="auto" w:sz="6" w:space="0"/>
              <w:left w:val="single" w:color="auto" w:sz="12" w:space="0"/>
              <w:bottom w:val="single" w:color="auto" w:sz="6" w:space="0"/>
              <w:right w:val="single" w:color="auto" w:sz="6" w:space="0"/>
            </w:tcBorders>
            <w:vAlign w:val="center"/>
          </w:tcPr>
          <w:p w14:paraId="04F85BC7">
            <w:pPr>
              <w:spacing w:line="360" w:lineRule="auto"/>
              <w:jc w:val="center"/>
              <w:rPr>
                <w:rFonts w:ascii="宋体" w:hAnsi="宋体" w:cs="宋体"/>
                <w:szCs w:val="21"/>
                <w:highlight w:val="none"/>
              </w:rPr>
            </w:pPr>
          </w:p>
        </w:tc>
        <w:tc>
          <w:tcPr>
            <w:tcW w:w="831" w:type="dxa"/>
            <w:tcBorders>
              <w:top w:val="single" w:color="auto" w:sz="6" w:space="0"/>
              <w:left w:val="single" w:color="auto" w:sz="6" w:space="0"/>
              <w:bottom w:val="single" w:color="auto" w:sz="6" w:space="0"/>
              <w:right w:val="single" w:color="auto" w:sz="6" w:space="0"/>
            </w:tcBorders>
            <w:vAlign w:val="center"/>
          </w:tcPr>
          <w:p w14:paraId="0189C487">
            <w:pPr>
              <w:spacing w:line="360" w:lineRule="auto"/>
              <w:jc w:val="center"/>
              <w:rPr>
                <w:rFonts w:ascii="宋体" w:hAnsi="宋体" w:cs="宋体"/>
                <w:szCs w:val="21"/>
                <w:highlight w:val="none"/>
              </w:rPr>
            </w:pPr>
          </w:p>
        </w:tc>
        <w:tc>
          <w:tcPr>
            <w:tcW w:w="1167" w:type="dxa"/>
            <w:tcBorders>
              <w:top w:val="single" w:color="auto" w:sz="6" w:space="0"/>
              <w:left w:val="single" w:color="auto" w:sz="6" w:space="0"/>
              <w:bottom w:val="single" w:color="auto" w:sz="6" w:space="0"/>
              <w:right w:val="single" w:color="auto" w:sz="6" w:space="0"/>
            </w:tcBorders>
            <w:vAlign w:val="center"/>
          </w:tcPr>
          <w:p w14:paraId="7CBB570C">
            <w:pPr>
              <w:spacing w:line="360" w:lineRule="auto"/>
              <w:jc w:val="center"/>
              <w:rPr>
                <w:rFonts w:ascii="宋体" w:hAnsi="宋体" w:cs="宋体"/>
                <w:szCs w:val="21"/>
                <w:highlight w:val="none"/>
              </w:rPr>
            </w:pPr>
          </w:p>
        </w:tc>
        <w:tc>
          <w:tcPr>
            <w:tcW w:w="1509" w:type="dxa"/>
            <w:tcBorders>
              <w:top w:val="single" w:color="auto" w:sz="6" w:space="0"/>
              <w:left w:val="single" w:color="auto" w:sz="6" w:space="0"/>
              <w:bottom w:val="single" w:color="auto" w:sz="6" w:space="0"/>
              <w:right w:val="single" w:color="auto" w:sz="6" w:space="0"/>
            </w:tcBorders>
            <w:vAlign w:val="center"/>
          </w:tcPr>
          <w:p w14:paraId="13FB6087">
            <w:pPr>
              <w:spacing w:line="360" w:lineRule="auto"/>
              <w:jc w:val="center"/>
              <w:rPr>
                <w:rFonts w:ascii="宋体" w:hAnsi="宋体" w:cs="宋体"/>
                <w:szCs w:val="21"/>
                <w:highlight w:val="none"/>
              </w:rPr>
            </w:pPr>
          </w:p>
        </w:tc>
        <w:tc>
          <w:tcPr>
            <w:tcW w:w="904" w:type="dxa"/>
            <w:tcBorders>
              <w:top w:val="single" w:color="auto" w:sz="6" w:space="0"/>
              <w:left w:val="single" w:color="auto" w:sz="6" w:space="0"/>
              <w:bottom w:val="single" w:color="auto" w:sz="6" w:space="0"/>
              <w:right w:val="single" w:color="auto" w:sz="6" w:space="0"/>
            </w:tcBorders>
            <w:vAlign w:val="center"/>
          </w:tcPr>
          <w:p w14:paraId="625D237E">
            <w:pPr>
              <w:spacing w:line="360" w:lineRule="auto"/>
              <w:jc w:val="center"/>
              <w:rPr>
                <w:rFonts w:ascii="宋体" w:hAnsi="宋体" w:cs="宋体"/>
                <w:szCs w:val="21"/>
                <w:highlight w:val="none"/>
              </w:rPr>
            </w:pPr>
          </w:p>
        </w:tc>
        <w:tc>
          <w:tcPr>
            <w:tcW w:w="976" w:type="dxa"/>
            <w:tcBorders>
              <w:top w:val="single" w:color="auto" w:sz="6" w:space="0"/>
              <w:left w:val="single" w:color="auto" w:sz="6" w:space="0"/>
              <w:bottom w:val="single" w:color="auto" w:sz="6" w:space="0"/>
              <w:right w:val="single" w:color="auto" w:sz="6" w:space="0"/>
            </w:tcBorders>
            <w:vAlign w:val="center"/>
          </w:tcPr>
          <w:p w14:paraId="0C20172E">
            <w:pPr>
              <w:spacing w:line="360" w:lineRule="auto"/>
              <w:jc w:val="center"/>
              <w:rPr>
                <w:rFonts w:ascii="宋体" w:hAnsi="宋体" w:cs="宋体"/>
                <w:szCs w:val="21"/>
                <w:highlight w:val="none"/>
              </w:rPr>
            </w:pPr>
          </w:p>
        </w:tc>
        <w:tc>
          <w:tcPr>
            <w:tcW w:w="836" w:type="dxa"/>
            <w:tcBorders>
              <w:top w:val="single" w:color="auto" w:sz="6" w:space="0"/>
              <w:left w:val="single" w:color="auto" w:sz="6" w:space="0"/>
              <w:bottom w:val="single" w:color="auto" w:sz="6" w:space="0"/>
              <w:right w:val="single" w:color="auto" w:sz="6" w:space="0"/>
            </w:tcBorders>
          </w:tcPr>
          <w:p w14:paraId="5A29C6EA">
            <w:pPr>
              <w:spacing w:line="360" w:lineRule="auto"/>
              <w:jc w:val="center"/>
              <w:rPr>
                <w:rFonts w:ascii="宋体" w:hAnsi="宋体" w:cs="宋体"/>
                <w:szCs w:val="21"/>
                <w:highlight w:val="none"/>
              </w:rPr>
            </w:pPr>
          </w:p>
        </w:tc>
        <w:tc>
          <w:tcPr>
            <w:tcW w:w="964" w:type="dxa"/>
            <w:tcBorders>
              <w:top w:val="single" w:color="auto" w:sz="6" w:space="0"/>
              <w:left w:val="single" w:color="auto" w:sz="6" w:space="0"/>
              <w:bottom w:val="single" w:color="auto" w:sz="6" w:space="0"/>
              <w:right w:val="single" w:color="auto" w:sz="12" w:space="0"/>
            </w:tcBorders>
            <w:vAlign w:val="center"/>
          </w:tcPr>
          <w:p w14:paraId="1A415ACD">
            <w:pPr>
              <w:spacing w:line="360" w:lineRule="auto"/>
              <w:jc w:val="center"/>
              <w:rPr>
                <w:rFonts w:ascii="宋体" w:hAnsi="宋体" w:cs="宋体"/>
                <w:szCs w:val="21"/>
                <w:highlight w:val="none"/>
              </w:rPr>
            </w:pPr>
          </w:p>
        </w:tc>
      </w:tr>
      <w:tr w14:paraId="50E18C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719" w:type="dxa"/>
            <w:tcBorders>
              <w:top w:val="single" w:color="auto" w:sz="6" w:space="0"/>
              <w:left w:val="single" w:color="auto" w:sz="12" w:space="0"/>
              <w:bottom w:val="single" w:color="auto" w:sz="6" w:space="0"/>
              <w:right w:val="single" w:color="auto" w:sz="6" w:space="0"/>
            </w:tcBorders>
            <w:vAlign w:val="center"/>
          </w:tcPr>
          <w:p w14:paraId="42DF37B0">
            <w:pPr>
              <w:spacing w:line="360" w:lineRule="auto"/>
              <w:jc w:val="center"/>
              <w:rPr>
                <w:rFonts w:ascii="宋体" w:hAnsi="宋体" w:cs="宋体"/>
                <w:szCs w:val="21"/>
                <w:highlight w:val="none"/>
              </w:rPr>
            </w:pPr>
          </w:p>
        </w:tc>
        <w:tc>
          <w:tcPr>
            <w:tcW w:w="831" w:type="dxa"/>
            <w:tcBorders>
              <w:top w:val="single" w:color="auto" w:sz="6" w:space="0"/>
              <w:left w:val="single" w:color="auto" w:sz="6" w:space="0"/>
              <w:bottom w:val="single" w:color="auto" w:sz="6" w:space="0"/>
              <w:right w:val="single" w:color="auto" w:sz="6" w:space="0"/>
            </w:tcBorders>
            <w:vAlign w:val="center"/>
          </w:tcPr>
          <w:p w14:paraId="2752BA85">
            <w:pPr>
              <w:spacing w:line="360" w:lineRule="auto"/>
              <w:jc w:val="center"/>
              <w:rPr>
                <w:rFonts w:ascii="宋体" w:hAnsi="宋体" w:cs="宋体"/>
                <w:szCs w:val="21"/>
                <w:highlight w:val="none"/>
              </w:rPr>
            </w:pPr>
          </w:p>
        </w:tc>
        <w:tc>
          <w:tcPr>
            <w:tcW w:w="1167" w:type="dxa"/>
            <w:tcBorders>
              <w:top w:val="single" w:color="auto" w:sz="6" w:space="0"/>
              <w:left w:val="single" w:color="auto" w:sz="6" w:space="0"/>
              <w:bottom w:val="single" w:color="auto" w:sz="6" w:space="0"/>
              <w:right w:val="single" w:color="auto" w:sz="6" w:space="0"/>
            </w:tcBorders>
            <w:vAlign w:val="center"/>
          </w:tcPr>
          <w:p w14:paraId="0F9B94EE">
            <w:pPr>
              <w:spacing w:line="360" w:lineRule="auto"/>
              <w:jc w:val="center"/>
              <w:rPr>
                <w:rFonts w:ascii="宋体" w:hAnsi="宋体" w:cs="宋体"/>
                <w:szCs w:val="21"/>
                <w:highlight w:val="none"/>
              </w:rPr>
            </w:pPr>
          </w:p>
        </w:tc>
        <w:tc>
          <w:tcPr>
            <w:tcW w:w="1509" w:type="dxa"/>
            <w:tcBorders>
              <w:top w:val="single" w:color="auto" w:sz="6" w:space="0"/>
              <w:left w:val="single" w:color="auto" w:sz="6" w:space="0"/>
              <w:bottom w:val="single" w:color="auto" w:sz="6" w:space="0"/>
              <w:right w:val="single" w:color="auto" w:sz="6" w:space="0"/>
            </w:tcBorders>
            <w:vAlign w:val="center"/>
          </w:tcPr>
          <w:p w14:paraId="2C42C75C">
            <w:pPr>
              <w:spacing w:line="360" w:lineRule="auto"/>
              <w:jc w:val="center"/>
              <w:rPr>
                <w:rFonts w:ascii="宋体" w:hAnsi="宋体" w:cs="宋体"/>
                <w:szCs w:val="21"/>
                <w:highlight w:val="none"/>
              </w:rPr>
            </w:pPr>
          </w:p>
        </w:tc>
        <w:tc>
          <w:tcPr>
            <w:tcW w:w="904" w:type="dxa"/>
            <w:tcBorders>
              <w:top w:val="single" w:color="auto" w:sz="6" w:space="0"/>
              <w:left w:val="single" w:color="auto" w:sz="6" w:space="0"/>
              <w:bottom w:val="single" w:color="auto" w:sz="6" w:space="0"/>
              <w:right w:val="single" w:color="auto" w:sz="6" w:space="0"/>
            </w:tcBorders>
            <w:vAlign w:val="center"/>
          </w:tcPr>
          <w:p w14:paraId="75AFC770">
            <w:pPr>
              <w:spacing w:line="360" w:lineRule="auto"/>
              <w:jc w:val="center"/>
              <w:rPr>
                <w:rFonts w:ascii="宋体" w:hAnsi="宋体" w:cs="宋体"/>
                <w:szCs w:val="21"/>
                <w:highlight w:val="none"/>
              </w:rPr>
            </w:pPr>
          </w:p>
        </w:tc>
        <w:tc>
          <w:tcPr>
            <w:tcW w:w="976" w:type="dxa"/>
            <w:tcBorders>
              <w:top w:val="single" w:color="auto" w:sz="6" w:space="0"/>
              <w:left w:val="single" w:color="auto" w:sz="6" w:space="0"/>
              <w:bottom w:val="single" w:color="auto" w:sz="6" w:space="0"/>
              <w:right w:val="single" w:color="auto" w:sz="6" w:space="0"/>
            </w:tcBorders>
            <w:vAlign w:val="center"/>
          </w:tcPr>
          <w:p w14:paraId="76A2C237">
            <w:pPr>
              <w:spacing w:line="360" w:lineRule="auto"/>
              <w:jc w:val="center"/>
              <w:rPr>
                <w:rFonts w:ascii="宋体" w:hAnsi="宋体" w:cs="宋体"/>
                <w:szCs w:val="21"/>
                <w:highlight w:val="none"/>
              </w:rPr>
            </w:pPr>
          </w:p>
        </w:tc>
        <w:tc>
          <w:tcPr>
            <w:tcW w:w="836" w:type="dxa"/>
            <w:tcBorders>
              <w:top w:val="single" w:color="auto" w:sz="6" w:space="0"/>
              <w:left w:val="single" w:color="auto" w:sz="6" w:space="0"/>
              <w:bottom w:val="single" w:color="auto" w:sz="6" w:space="0"/>
              <w:right w:val="single" w:color="auto" w:sz="6" w:space="0"/>
            </w:tcBorders>
          </w:tcPr>
          <w:p w14:paraId="6282FC4D">
            <w:pPr>
              <w:spacing w:line="360" w:lineRule="auto"/>
              <w:jc w:val="center"/>
              <w:rPr>
                <w:rFonts w:ascii="宋体" w:hAnsi="宋体" w:cs="宋体"/>
                <w:szCs w:val="21"/>
                <w:highlight w:val="none"/>
              </w:rPr>
            </w:pPr>
          </w:p>
        </w:tc>
        <w:tc>
          <w:tcPr>
            <w:tcW w:w="964" w:type="dxa"/>
            <w:tcBorders>
              <w:top w:val="single" w:color="auto" w:sz="6" w:space="0"/>
              <w:left w:val="single" w:color="auto" w:sz="6" w:space="0"/>
              <w:bottom w:val="single" w:color="auto" w:sz="6" w:space="0"/>
              <w:right w:val="single" w:color="auto" w:sz="12" w:space="0"/>
            </w:tcBorders>
            <w:vAlign w:val="center"/>
          </w:tcPr>
          <w:p w14:paraId="3302FC65">
            <w:pPr>
              <w:spacing w:line="360" w:lineRule="auto"/>
              <w:jc w:val="center"/>
              <w:rPr>
                <w:rFonts w:ascii="宋体" w:hAnsi="宋体" w:cs="宋体"/>
                <w:szCs w:val="21"/>
                <w:highlight w:val="none"/>
              </w:rPr>
            </w:pPr>
          </w:p>
        </w:tc>
      </w:tr>
      <w:tr w14:paraId="4938A1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719" w:type="dxa"/>
            <w:tcBorders>
              <w:top w:val="single" w:color="auto" w:sz="6" w:space="0"/>
              <w:left w:val="single" w:color="auto" w:sz="12" w:space="0"/>
              <w:bottom w:val="single" w:color="auto" w:sz="12" w:space="0"/>
              <w:right w:val="single" w:color="auto" w:sz="6" w:space="0"/>
            </w:tcBorders>
            <w:vAlign w:val="center"/>
          </w:tcPr>
          <w:p w14:paraId="5985B09A">
            <w:pPr>
              <w:spacing w:line="360" w:lineRule="auto"/>
              <w:jc w:val="center"/>
              <w:rPr>
                <w:rFonts w:ascii="宋体" w:hAnsi="宋体" w:cs="宋体"/>
                <w:szCs w:val="21"/>
                <w:highlight w:val="none"/>
              </w:rPr>
            </w:pPr>
          </w:p>
        </w:tc>
        <w:tc>
          <w:tcPr>
            <w:tcW w:w="831" w:type="dxa"/>
            <w:tcBorders>
              <w:top w:val="single" w:color="auto" w:sz="6" w:space="0"/>
              <w:left w:val="single" w:color="auto" w:sz="6" w:space="0"/>
              <w:bottom w:val="single" w:color="auto" w:sz="12" w:space="0"/>
              <w:right w:val="single" w:color="auto" w:sz="6" w:space="0"/>
            </w:tcBorders>
            <w:vAlign w:val="center"/>
          </w:tcPr>
          <w:p w14:paraId="36F89ED6">
            <w:pPr>
              <w:spacing w:line="360" w:lineRule="auto"/>
              <w:jc w:val="center"/>
              <w:rPr>
                <w:rFonts w:ascii="宋体" w:hAnsi="宋体" w:cs="宋体"/>
                <w:szCs w:val="21"/>
                <w:highlight w:val="none"/>
              </w:rPr>
            </w:pPr>
          </w:p>
        </w:tc>
        <w:tc>
          <w:tcPr>
            <w:tcW w:w="1167" w:type="dxa"/>
            <w:tcBorders>
              <w:top w:val="single" w:color="auto" w:sz="6" w:space="0"/>
              <w:left w:val="single" w:color="auto" w:sz="6" w:space="0"/>
              <w:bottom w:val="single" w:color="auto" w:sz="12" w:space="0"/>
              <w:right w:val="single" w:color="auto" w:sz="6" w:space="0"/>
            </w:tcBorders>
            <w:vAlign w:val="center"/>
          </w:tcPr>
          <w:p w14:paraId="30E3CB96">
            <w:pPr>
              <w:spacing w:line="360" w:lineRule="auto"/>
              <w:jc w:val="center"/>
              <w:rPr>
                <w:rFonts w:ascii="宋体" w:hAnsi="宋体" w:cs="宋体"/>
                <w:szCs w:val="21"/>
                <w:highlight w:val="none"/>
              </w:rPr>
            </w:pPr>
          </w:p>
        </w:tc>
        <w:tc>
          <w:tcPr>
            <w:tcW w:w="1509" w:type="dxa"/>
            <w:tcBorders>
              <w:top w:val="single" w:color="auto" w:sz="6" w:space="0"/>
              <w:left w:val="single" w:color="auto" w:sz="6" w:space="0"/>
              <w:bottom w:val="single" w:color="auto" w:sz="12" w:space="0"/>
              <w:right w:val="single" w:color="auto" w:sz="6" w:space="0"/>
            </w:tcBorders>
            <w:vAlign w:val="center"/>
          </w:tcPr>
          <w:p w14:paraId="122CB478">
            <w:pPr>
              <w:spacing w:line="360" w:lineRule="auto"/>
              <w:jc w:val="center"/>
              <w:rPr>
                <w:rFonts w:ascii="宋体" w:hAnsi="宋体" w:cs="宋体"/>
                <w:szCs w:val="21"/>
                <w:highlight w:val="none"/>
              </w:rPr>
            </w:pPr>
          </w:p>
        </w:tc>
        <w:tc>
          <w:tcPr>
            <w:tcW w:w="904" w:type="dxa"/>
            <w:tcBorders>
              <w:top w:val="single" w:color="auto" w:sz="6" w:space="0"/>
              <w:left w:val="single" w:color="auto" w:sz="6" w:space="0"/>
              <w:bottom w:val="single" w:color="auto" w:sz="12" w:space="0"/>
              <w:right w:val="single" w:color="auto" w:sz="6" w:space="0"/>
            </w:tcBorders>
            <w:vAlign w:val="center"/>
          </w:tcPr>
          <w:p w14:paraId="00E5B678">
            <w:pPr>
              <w:spacing w:line="360" w:lineRule="auto"/>
              <w:jc w:val="center"/>
              <w:rPr>
                <w:rFonts w:ascii="宋体" w:hAnsi="宋体" w:cs="宋体"/>
                <w:szCs w:val="21"/>
                <w:highlight w:val="none"/>
              </w:rPr>
            </w:pPr>
          </w:p>
        </w:tc>
        <w:tc>
          <w:tcPr>
            <w:tcW w:w="976" w:type="dxa"/>
            <w:tcBorders>
              <w:top w:val="single" w:color="auto" w:sz="6" w:space="0"/>
              <w:left w:val="single" w:color="auto" w:sz="6" w:space="0"/>
              <w:bottom w:val="single" w:color="auto" w:sz="12" w:space="0"/>
              <w:right w:val="single" w:color="auto" w:sz="6" w:space="0"/>
            </w:tcBorders>
            <w:vAlign w:val="center"/>
          </w:tcPr>
          <w:p w14:paraId="2F7D7D8F">
            <w:pPr>
              <w:spacing w:line="360" w:lineRule="auto"/>
              <w:jc w:val="center"/>
              <w:rPr>
                <w:rFonts w:ascii="宋体" w:hAnsi="宋体" w:cs="宋体"/>
                <w:szCs w:val="21"/>
                <w:highlight w:val="none"/>
              </w:rPr>
            </w:pPr>
          </w:p>
        </w:tc>
        <w:tc>
          <w:tcPr>
            <w:tcW w:w="836" w:type="dxa"/>
            <w:tcBorders>
              <w:top w:val="single" w:color="auto" w:sz="6" w:space="0"/>
              <w:left w:val="single" w:color="auto" w:sz="6" w:space="0"/>
              <w:bottom w:val="single" w:color="auto" w:sz="12" w:space="0"/>
              <w:right w:val="single" w:color="auto" w:sz="6" w:space="0"/>
            </w:tcBorders>
          </w:tcPr>
          <w:p w14:paraId="7F5CBF86">
            <w:pPr>
              <w:spacing w:line="360" w:lineRule="auto"/>
              <w:jc w:val="center"/>
              <w:rPr>
                <w:rFonts w:ascii="宋体" w:hAnsi="宋体" w:cs="宋体"/>
                <w:szCs w:val="21"/>
                <w:highlight w:val="none"/>
              </w:rPr>
            </w:pPr>
          </w:p>
        </w:tc>
        <w:tc>
          <w:tcPr>
            <w:tcW w:w="964" w:type="dxa"/>
            <w:tcBorders>
              <w:top w:val="single" w:color="auto" w:sz="6" w:space="0"/>
              <w:left w:val="single" w:color="auto" w:sz="6" w:space="0"/>
              <w:bottom w:val="single" w:color="auto" w:sz="12" w:space="0"/>
              <w:right w:val="single" w:color="auto" w:sz="12" w:space="0"/>
            </w:tcBorders>
            <w:vAlign w:val="center"/>
          </w:tcPr>
          <w:p w14:paraId="77F95D25">
            <w:pPr>
              <w:spacing w:line="360" w:lineRule="auto"/>
              <w:jc w:val="center"/>
              <w:rPr>
                <w:rFonts w:ascii="宋体" w:hAnsi="宋体" w:cs="宋体"/>
                <w:szCs w:val="21"/>
                <w:highlight w:val="none"/>
              </w:rPr>
            </w:pPr>
          </w:p>
        </w:tc>
      </w:tr>
    </w:tbl>
    <w:p w14:paraId="270E1206">
      <w:pPr>
        <w:tabs>
          <w:tab w:val="left" w:pos="0"/>
          <w:tab w:val="left" w:pos="720"/>
        </w:tabs>
        <w:spacing w:line="360" w:lineRule="auto"/>
        <w:ind w:firstLine="735" w:firstLineChars="350"/>
        <w:rPr>
          <w:rFonts w:ascii="宋体" w:hAnsi="宋体" w:cs="宋体"/>
          <w:szCs w:val="21"/>
          <w:highlight w:val="none"/>
          <w:lang w:bidi="ar"/>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r>
        <w:rPr>
          <w:rFonts w:hint="eastAsia" w:ascii="宋体" w:hAnsi="宋体" w:cs="宋体"/>
          <w:szCs w:val="21"/>
          <w:highlight w:val="none"/>
          <w:lang w:bidi="ar"/>
        </w:rPr>
        <w:t>制表人：    （盖供货公司章）                       联系电话：</w:t>
      </w:r>
    </w:p>
    <w:bookmarkEnd w:id="42"/>
    <w:bookmarkEnd w:id="43"/>
    <w:bookmarkEnd w:id="44"/>
    <w:bookmarkEnd w:id="45"/>
    <w:p w14:paraId="564F8C7B">
      <w:pPr>
        <w:tabs>
          <w:tab w:val="left" w:pos="0"/>
          <w:tab w:val="left" w:pos="720"/>
        </w:tabs>
        <w:spacing w:line="360" w:lineRule="auto"/>
        <w:ind w:firstLine="735" w:firstLineChars="350"/>
        <w:rPr>
          <w:rFonts w:ascii="宋体" w:hAnsi="宋体" w:cs="宋体"/>
          <w:szCs w:val="21"/>
          <w:highlight w:val="none"/>
        </w:rPr>
        <w:sectPr>
          <w:footerReference r:id="rId7" w:type="default"/>
          <w:type w:val="continuous"/>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bookmarkStart w:id="58" w:name="_Toc420948022"/>
      <w:bookmarkStart w:id="59" w:name="_Toc433113178"/>
    </w:p>
    <w:p w14:paraId="6407654F">
      <w:pPr>
        <w:pStyle w:val="2"/>
        <w:rPr>
          <w:highlight w:val="none"/>
        </w:rPr>
      </w:pPr>
      <w:bookmarkStart w:id="60" w:name="_Toc2675"/>
      <w:r>
        <w:rPr>
          <w:rFonts w:hint="eastAsia"/>
          <w:highlight w:val="none"/>
        </w:rPr>
        <w:t>第四章  采购需求</w:t>
      </w:r>
      <w:bookmarkEnd w:id="60"/>
    </w:p>
    <w:bookmarkEnd w:id="58"/>
    <w:bookmarkEnd w:id="59"/>
    <w:p w14:paraId="5E505544">
      <w:pPr>
        <w:adjustRightInd w:val="0"/>
        <w:snapToGrid w:val="0"/>
        <w:spacing w:line="400" w:lineRule="exact"/>
        <w:rPr>
          <w:rFonts w:hint="eastAsia" w:eastAsia="宋体"/>
          <w:b/>
          <w:bCs/>
          <w:color w:val="000000" w:themeColor="text1"/>
          <w:sz w:val="36"/>
          <w:szCs w:val="40"/>
          <w:highlight w:val="none"/>
          <w:lang w:val="en-US" w:eastAsia="zh-CN"/>
          <w14:textFill>
            <w14:solidFill>
              <w14:schemeClr w14:val="tx1"/>
            </w14:solidFill>
          </w14:textFill>
        </w:rPr>
      </w:pPr>
      <w:r>
        <w:rPr>
          <w:rFonts w:hint="eastAsia" w:ascii="宋体" w:hAnsi="宋体"/>
          <w:bCs/>
          <w:szCs w:val="21"/>
          <w:highlight w:val="none"/>
        </w:rPr>
        <w:t>标项1：</w:t>
      </w:r>
    </w:p>
    <w:p w14:paraId="4AB007F4">
      <w:pPr>
        <w:numPr>
          <w:ilvl w:val="0"/>
          <w:numId w:val="4"/>
        </w:numPr>
        <w:bidi w:val="0"/>
        <w:jc w:val="center"/>
        <w:rPr>
          <w:rFonts w:hint="eastAsia"/>
          <w:highlight w:val="none"/>
        </w:rPr>
      </w:pPr>
      <w:r>
        <w:rPr>
          <w:highlight w:val="none"/>
        </w:rPr>
        <w:t>采购内容</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2159"/>
        <w:gridCol w:w="4030"/>
        <w:gridCol w:w="3885"/>
        <w:gridCol w:w="3231"/>
      </w:tblGrid>
      <w:tr w14:paraId="5D54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02" w:type="pct"/>
            <w:shd w:val="clear" w:color="auto" w:fill="auto"/>
            <w:vAlign w:val="center"/>
          </w:tcPr>
          <w:p w14:paraId="2A7B487C">
            <w:pPr>
              <w:widowControl/>
              <w:jc w:val="center"/>
              <w:rPr>
                <w:rFonts w:hint="eastAsia" w:ascii="宋体" w:hAnsi="宋体" w:cs="宋体"/>
                <w:b/>
                <w:bCs/>
                <w:color w:val="000000" w:themeColor="text1"/>
                <w:kern w:val="0"/>
                <w:szCs w:val="24"/>
                <w:highlight w:val="none"/>
                <w14:textFill>
                  <w14:solidFill>
                    <w14:schemeClr w14:val="tx1"/>
                  </w14:solidFill>
                </w14:textFill>
              </w:rPr>
            </w:pPr>
            <w:r>
              <w:rPr>
                <w:rFonts w:hint="eastAsia" w:ascii="宋体" w:hAnsi="宋体" w:cs="宋体"/>
                <w:b/>
                <w:bCs/>
                <w:color w:val="000000" w:themeColor="text1"/>
                <w:kern w:val="0"/>
                <w:szCs w:val="24"/>
                <w:highlight w:val="none"/>
                <w14:textFill>
                  <w14:solidFill>
                    <w14:schemeClr w14:val="tx1"/>
                  </w14:solidFill>
                </w14:textFill>
              </w:rPr>
              <w:t>序号</w:t>
            </w:r>
          </w:p>
        </w:tc>
        <w:tc>
          <w:tcPr>
            <w:tcW w:w="762" w:type="pct"/>
            <w:shd w:val="clear" w:color="auto" w:fill="auto"/>
            <w:vAlign w:val="center"/>
          </w:tcPr>
          <w:p w14:paraId="446C2EA0">
            <w:pPr>
              <w:widowControl/>
              <w:jc w:val="center"/>
              <w:rPr>
                <w:rFonts w:hint="eastAsia" w:ascii="宋体" w:hAnsi="宋体" w:cs="宋体"/>
                <w:b/>
                <w:bCs/>
                <w:color w:val="000000" w:themeColor="text1"/>
                <w:kern w:val="0"/>
                <w:szCs w:val="24"/>
                <w:highlight w:val="none"/>
                <w14:textFill>
                  <w14:solidFill>
                    <w14:schemeClr w14:val="tx1"/>
                  </w14:solidFill>
                </w14:textFill>
              </w:rPr>
            </w:pPr>
            <w:r>
              <w:rPr>
                <w:rFonts w:hint="eastAsia" w:ascii="宋体" w:hAnsi="宋体" w:cs="宋体"/>
                <w:b/>
                <w:bCs/>
                <w:color w:val="000000" w:themeColor="text1"/>
                <w:kern w:val="0"/>
                <w:szCs w:val="24"/>
                <w:highlight w:val="none"/>
                <w14:textFill>
                  <w14:solidFill>
                    <w14:schemeClr w14:val="tx1"/>
                  </w14:solidFill>
                </w14:textFill>
              </w:rPr>
              <w:t>名称</w:t>
            </w:r>
          </w:p>
        </w:tc>
        <w:tc>
          <w:tcPr>
            <w:tcW w:w="1422" w:type="pct"/>
            <w:shd w:val="clear" w:color="auto" w:fill="auto"/>
            <w:vAlign w:val="center"/>
          </w:tcPr>
          <w:p w14:paraId="1927C34D">
            <w:pPr>
              <w:widowControl/>
              <w:jc w:val="center"/>
              <w:rPr>
                <w:rFonts w:hint="eastAsia" w:ascii="宋体" w:hAnsi="宋体" w:cs="宋体"/>
                <w:b/>
                <w:bCs/>
                <w:color w:val="000000" w:themeColor="text1"/>
                <w:kern w:val="0"/>
                <w:szCs w:val="24"/>
                <w:highlight w:val="none"/>
                <w14:textFill>
                  <w14:solidFill>
                    <w14:schemeClr w14:val="tx1"/>
                  </w14:solidFill>
                </w14:textFill>
              </w:rPr>
            </w:pPr>
            <w:r>
              <w:rPr>
                <w:rFonts w:hint="eastAsia" w:ascii="宋体" w:hAnsi="宋体" w:cs="宋体"/>
                <w:b/>
                <w:bCs/>
                <w:color w:val="000000" w:themeColor="text1"/>
                <w:kern w:val="0"/>
                <w:szCs w:val="24"/>
                <w:highlight w:val="none"/>
                <w14:textFill>
                  <w14:solidFill>
                    <w14:schemeClr w14:val="tx1"/>
                  </w14:solidFill>
                </w14:textFill>
              </w:rPr>
              <w:t>功能模块</w:t>
            </w:r>
          </w:p>
        </w:tc>
        <w:tc>
          <w:tcPr>
            <w:tcW w:w="1371" w:type="pct"/>
            <w:shd w:val="clear" w:color="auto" w:fill="auto"/>
            <w:vAlign w:val="center"/>
          </w:tcPr>
          <w:p w14:paraId="39858E06">
            <w:pPr>
              <w:widowControl/>
              <w:jc w:val="center"/>
              <w:rPr>
                <w:rFonts w:hint="eastAsia" w:ascii="宋体" w:hAnsi="宋体" w:cs="宋体"/>
                <w:b/>
                <w:bCs/>
                <w:color w:val="000000" w:themeColor="text1"/>
                <w:kern w:val="0"/>
                <w:szCs w:val="24"/>
                <w:highlight w:val="none"/>
                <w14:textFill>
                  <w14:solidFill>
                    <w14:schemeClr w14:val="tx1"/>
                  </w14:solidFill>
                </w14:textFill>
              </w:rPr>
            </w:pPr>
            <w:r>
              <w:rPr>
                <w:rFonts w:hint="eastAsia" w:ascii="宋体" w:hAnsi="宋体" w:cs="宋体"/>
                <w:b/>
                <w:bCs/>
                <w:color w:val="000000" w:themeColor="text1"/>
                <w:kern w:val="0"/>
                <w:szCs w:val="24"/>
                <w:highlight w:val="none"/>
                <w14:textFill>
                  <w14:solidFill>
                    <w14:schemeClr w14:val="tx1"/>
                  </w14:solidFill>
                </w14:textFill>
              </w:rPr>
              <w:t>单位</w:t>
            </w:r>
          </w:p>
        </w:tc>
        <w:tc>
          <w:tcPr>
            <w:tcW w:w="1140" w:type="pct"/>
            <w:shd w:val="clear" w:color="auto" w:fill="auto"/>
            <w:vAlign w:val="center"/>
          </w:tcPr>
          <w:p w14:paraId="717639FE">
            <w:pPr>
              <w:widowControl/>
              <w:jc w:val="center"/>
              <w:rPr>
                <w:rFonts w:hint="eastAsia" w:ascii="宋体" w:hAnsi="宋体" w:cs="宋体"/>
                <w:b/>
                <w:bCs/>
                <w:color w:val="000000" w:themeColor="text1"/>
                <w:kern w:val="0"/>
                <w:szCs w:val="24"/>
                <w:highlight w:val="none"/>
                <w14:textFill>
                  <w14:solidFill>
                    <w14:schemeClr w14:val="tx1"/>
                  </w14:solidFill>
                </w14:textFill>
              </w:rPr>
            </w:pPr>
            <w:r>
              <w:rPr>
                <w:rFonts w:hint="eastAsia" w:ascii="宋体" w:hAnsi="宋体" w:cs="宋体"/>
                <w:b/>
                <w:bCs/>
                <w:color w:val="000000" w:themeColor="text1"/>
                <w:kern w:val="0"/>
                <w:szCs w:val="24"/>
                <w:highlight w:val="none"/>
                <w14:textFill>
                  <w14:solidFill>
                    <w14:schemeClr w14:val="tx1"/>
                  </w14:solidFill>
                </w14:textFill>
              </w:rPr>
              <w:t>数量</w:t>
            </w:r>
          </w:p>
        </w:tc>
      </w:tr>
      <w:tr w14:paraId="4012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02" w:type="pct"/>
            <w:vMerge w:val="restart"/>
            <w:shd w:val="clear" w:color="auto" w:fill="auto"/>
            <w:vAlign w:val="center"/>
          </w:tcPr>
          <w:p w14:paraId="09525670">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w:t>
            </w:r>
          </w:p>
        </w:tc>
        <w:tc>
          <w:tcPr>
            <w:tcW w:w="762" w:type="pct"/>
            <w:vMerge w:val="restart"/>
            <w:shd w:val="clear" w:color="auto" w:fill="auto"/>
            <w:vAlign w:val="center"/>
          </w:tcPr>
          <w:p w14:paraId="71CED53C">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大数据精准教学系统</w:t>
            </w:r>
          </w:p>
          <w:p w14:paraId="45F2B491">
            <w:pPr>
              <w:widowControl/>
              <w:jc w:val="center"/>
              <w:rPr>
                <w:rFonts w:hint="eastAsia" w:ascii="宋体" w:hAnsi="宋体" w:eastAsia="宋体" w:cs="宋体"/>
                <w:color w:val="000000" w:themeColor="text1"/>
                <w:kern w:val="0"/>
                <w:szCs w:val="24"/>
                <w:highlight w:val="none"/>
                <w:lang w:eastAsia="zh-CN"/>
                <w14:textFill>
                  <w14:solidFill>
                    <w14:schemeClr w14:val="tx1"/>
                  </w14:solidFill>
                </w14:textFill>
              </w:rPr>
            </w:pPr>
            <w:r>
              <w:rPr>
                <w:rFonts w:hint="eastAsia" w:ascii="宋体" w:hAnsi="宋体" w:cs="宋体"/>
                <w:color w:val="000000" w:themeColor="text1"/>
                <w:kern w:val="0"/>
                <w:szCs w:val="24"/>
                <w:highlight w:val="none"/>
                <w:lang w:eastAsia="zh-CN"/>
                <w14:textFill>
                  <w14:solidFill>
                    <w14:schemeClr w14:val="tx1"/>
                  </w14:solidFill>
                </w14:textFill>
              </w:rPr>
              <w:t>（</w:t>
            </w:r>
            <w:r>
              <w:rPr>
                <w:rFonts w:hint="eastAsia" w:ascii="宋体" w:hAnsi="宋体" w:cs="宋体"/>
                <w:color w:val="000000" w:themeColor="text1"/>
                <w:kern w:val="0"/>
                <w:szCs w:val="24"/>
                <w:highlight w:val="none"/>
                <w:lang w:val="en-US" w:eastAsia="zh-CN"/>
                <w14:textFill>
                  <w14:solidFill>
                    <w14:schemeClr w14:val="tx1"/>
                  </w14:solidFill>
                </w14:textFill>
              </w:rPr>
              <w:t>核心产品</w:t>
            </w:r>
            <w:r>
              <w:rPr>
                <w:rFonts w:hint="eastAsia" w:ascii="宋体" w:hAnsi="宋体" w:cs="宋体"/>
                <w:color w:val="000000" w:themeColor="text1"/>
                <w:kern w:val="0"/>
                <w:szCs w:val="24"/>
                <w:highlight w:val="none"/>
                <w:lang w:eastAsia="zh-CN"/>
                <w14:textFill>
                  <w14:solidFill>
                    <w14:schemeClr w14:val="tx1"/>
                  </w14:solidFill>
                </w14:textFill>
              </w:rPr>
              <w:t>）</w:t>
            </w:r>
          </w:p>
        </w:tc>
        <w:tc>
          <w:tcPr>
            <w:tcW w:w="1422" w:type="pct"/>
            <w:shd w:val="clear" w:color="auto" w:fill="auto"/>
            <w:vAlign w:val="center"/>
          </w:tcPr>
          <w:p w14:paraId="19F2C46E">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精准题库</w:t>
            </w:r>
          </w:p>
        </w:tc>
        <w:tc>
          <w:tcPr>
            <w:tcW w:w="1371" w:type="pct"/>
            <w:shd w:val="clear" w:color="auto" w:fill="auto"/>
            <w:vAlign w:val="center"/>
          </w:tcPr>
          <w:p w14:paraId="4F6F4AC8">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w:t>
            </w:r>
          </w:p>
        </w:tc>
        <w:tc>
          <w:tcPr>
            <w:tcW w:w="1140" w:type="pct"/>
            <w:shd w:val="clear" w:color="auto" w:fill="auto"/>
            <w:vAlign w:val="center"/>
          </w:tcPr>
          <w:p w14:paraId="503EBEF4">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套</w:t>
            </w:r>
          </w:p>
        </w:tc>
      </w:tr>
      <w:tr w14:paraId="3888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02" w:type="pct"/>
            <w:vMerge w:val="continue"/>
            <w:vAlign w:val="center"/>
          </w:tcPr>
          <w:p w14:paraId="66C2F5F6">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762" w:type="pct"/>
            <w:vMerge w:val="continue"/>
            <w:vAlign w:val="center"/>
          </w:tcPr>
          <w:p w14:paraId="7862D920">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1422" w:type="pct"/>
            <w:shd w:val="clear" w:color="auto" w:fill="auto"/>
            <w:vAlign w:val="center"/>
          </w:tcPr>
          <w:p w14:paraId="0A1209A5">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精选题库</w:t>
            </w:r>
          </w:p>
        </w:tc>
        <w:tc>
          <w:tcPr>
            <w:tcW w:w="1371" w:type="pct"/>
            <w:shd w:val="clear" w:color="auto" w:fill="auto"/>
            <w:vAlign w:val="center"/>
          </w:tcPr>
          <w:p w14:paraId="4D1EA8E1">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w:t>
            </w:r>
          </w:p>
        </w:tc>
        <w:tc>
          <w:tcPr>
            <w:tcW w:w="1140" w:type="pct"/>
            <w:shd w:val="clear" w:color="auto" w:fill="auto"/>
            <w:vAlign w:val="center"/>
          </w:tcPr>
          <w:p w14:paraId="0E137C35">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套</w:t>
            </w:r>
          </w:p>
        </w:tc>
      </w:tr>
      <w:tr w14:paraId="4CC10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02" w:type="pct"/>
            <w:vMerge w:val="continue"/>
            <w:vAlign w:val="center"/>
          </w:tcPr>
          <w:p w14:paraId="45589845">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762" w:type="pct"/>
            <w:vMerge w:val="continue"/>
            <w:vAlign w:val="center"/>
          </w:tcPr>
          <w:p w14:paraId="3FA35650">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1422" w:type="pct"/>
            <w:shd w:val="clear" w:color="auto" w:fill="auto"/>
            <w:vAlign w:val="center"/>
          </w:tcPr>
          <w:p w14:paraId="654A1460">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大数据采集</w:t>
            </w:r>
          </w:p>
        </w:tc>
        <w:tc>
          <w:tcPr>
            <w:tcW w:w="1371" w:type="pct"/>
            <w:shd w:val="clear" w:color="auto" w:fill="auto"/>
            <w:vAlign w:val="center"/>
          </w:tcPr>
          <w:p w14:paraId="602FF44E">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w:t>
            </w:r>
          </w:p>
        </w:tc>
        <w:tc>
          <w:tcPr>
            <w:tcW w:w="1140" w:type="pct"/>
            <w:shd w:val="clear" w:color="auto" w:fill="auto"/>
            <w:vAlign w:val="center"/>
          </w:tcPr>
          <w:p w14:paraId="7900B0EE">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套</w:t>
            </w:r>
          </w:p>
        </w:tc>
      </w:tr>
      <w:tr w14:paraId="09FE7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02" w:type="pct"/>
            <w:vMerge w:val="continue"/>
            <w:vAlign w:val="center"/>
          </w:tcPr>
          <w:p w14:paraId="2644A296">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762" w:type="pct"/>
            <w:vMerge w:val="continue"/>
            <w:vAlign w:val="center"/>
          </w:tcPr>
          <w:p w14:paraId="2B5714AA">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1422" w:type="pct"/>
            <w:shd w:val="clear" w:color="auto" w:fill="auto"/>
            <w:vAlign w:val="center"/>
          </w:tcPr>
          <w:p w14:paraId="5F46C090">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基础数据分析</w:t>
            </w:r>
          </w:p>
        </w:tc>
        <w:tc>
          <w:tcPr>
            <w:tcW w:w="1371" w:type="pct"/>
            <w:shd w:val="clear" w:color="auto" w:fill="auto"/>
            <w:vAlign w:val="center"/>
          </w:tcPr>
          <w:p w14:paraId="2822B33A">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w:t>
            </w:r>
          </w:p>
        </w:tc>
        <w:tc>
          <w:tcPr>
            <w:tcW w:w="1140" w:type="pct"/>
            <w:shd w:val="clear" w:color="auto" w:fill="auto"/>
            <w:vAlign w:val="center"/>
          </w:tcPr>
          <w:p w14:paraId="7A487B34">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套</w:t>
            </w:r>
          </w:p>
        </w:tc>
      </w:tr>
      <w:tr w14:paraId="5CC3C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02" w:type="pct"/>
            <w:vMerge w:val="continue"/>
            <w:vAlign w:val="center"/>
          </w:tcPr>
          <w:p w14:paraId="07C98C16">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762" w:type="pct"/>
            <w:vMerge w:val="continue"/>
            <w:vAlign w:val="center"/>
          </w:tcPr>
          <w:p w14:paraId="7193B977">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1422" w:type="pct"/>
            <w:shd w:val="clear" w:color="auto" w:fill="auto"/>
            <w:vAlign w:val="center"/>
          </w:tcPr>
          <w:p w14:paraId="77EDBC90">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精准教学</w:t>
            </w:r>
          </w:p>
        </w:tc>
        <w:tc>
          <w:tcPr>
            <w:tcW w:w="1371" w:type="pct"/>
            <w:shd w:val="clear" w:color="auto" w:fill="auto"/>
            <w:vAlign w:val="center"/>
          </w:tcPr>
          <w:p w14:paraId="5EED842A">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w:t>
            </w:r>
          </w:p>
        </w:tc>
        <w:tc>
          <w:tcPr>
            <w:tcW w:w="1140" w:type="pct"/>
            <w:shd w:val="clear" w:color="auto" w:fill="auto"/>
            <w:vAlign w:val="center"/>
          </w:tcPr>
          <w:p w14:paraId="18538F81">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套</w:t>
            </w:r>
          </w:p>
        </w:tc>
      </w:tr>
      <w:tr w14:paraId="778AB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02" w:type="pct"/>
            <w:vMerge w:val="continue"/>
            <w:vAlign w:val="center"/>
          </w:tcPr>
          <w:p w14:paraId="38EFFA04">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762" w:type="pct"/>
            <w:vMerge w:val="continue"/>
            <w:vAlign w:val="center"/>
          </w:tcPr>
          <w:p w14:paraId="5604334F">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1422" w:type="pct"/>
            <w:shd w:val="clear" w:color="auto" w:fill="auto"/>
            <w:vAlign w:val="center"/>
          </w:tcPr>
          <w:p w14:paraId="7C0FF2D6">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教学管理</w:t>
            </w:r>
          </w:p>
        </w:tc>
        <w:tc>
          <w:tcPr>
            <w:tcW w:w="1371" w:type="pct"/>
            <w:shd w:val="clear" w:color="auto" w:fill="auto"/>
            <w:vAlign w:val="center"/>
          </w:tcPr>
          <w:p w14:paraId="2F1F6EC2">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w:t>
            </w:r>
          </w:p>
        </w:tc>
        <w:tc>
          <w:tcPr>
            <w:tcW w:w="1140" w:type="pct"/>
            <w:shd w:val="clear" w:color="auto" w:fill="auto"/>
            <w:vAlign w:val="center"/>
          </w:tcPr>
          <w:p w14:paraId="0FD52B39">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套</w:t>
            </w:r>
          </w:p>
        </w:tc>
      </w:tr>
      <w:tr w14:paraId="4D5A7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02" w:type="pct"/>
            <w:vMerge w:val="continue"/>
            <w:vAlign w:val="center"/>
          </w:tcPr>
          <w:p w14:paraId="68D60191">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762" w:type="pct"/>
            <w:vMerge w:val="continue"/>
            <w:vAlign w:val="center"/>
          </w:tcPr>
          <w:p w14:paraId="305D1578">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1422" w:type="pct"/>
            <w:shd w:val="clear" w:color="auto" w:fill="auto"/>
            <w:vAlign w:val="center"/>
          </w:tcPr>
          <w:p w14:paraId="575B78F6">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基础信息管理</w:t>
            </w:r>
          </w:p>
        </w:tc>
        <w:tc>
          <w:tcPr>
            <w:tcW w:w="1371" w:type="pct"/>
            <w:shd w:val="clear" w:color="auto" w:fill="auto"/>
            <w:vAlign w:val="center"/>
          </w:tcPr>
          <w:p w14:paraId="58834397">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w:t>
            </w:r>
          </w:p>
        </w:tc>
        <w:tc>
          <w:tcPr>
            <w:tcW w:w="1140" w:type="pct"/>
            <w:shd w:val="clear" w:color="auto" w:fill="auto"/>
            <w:vAlign w:val="center"/>
          </w:tcPr>
          <w:p w14:paraId="4AF6BAB9">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套</w:t>
            </w:r>
          </w:p>
        </w:tc>
      </w:tr>
      <w:tr w14:paraId="0FD7D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02" w:type="pct"/>
            <w:vMerge w:val="continue"/>
            <w:vAlign w:val="center"/>
          </w:tcPr>
          <w:p w14:paraId="7832D2D1">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762" w:type="pct"/>
            <w:vMerge w:val="continue"/>
            <w:vAlign w:val="center"/>
          </w:tcPr>
          <w:p w14:paraId="1A826C18">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1422" w:type="pct"/>
            <w:shd w:val="clear" w:color="auto" w:fill="auto"/>
            <w:vAlign w:val="center"/>
          </w:tcPr>
          <w:p w14:paraId="4E64E7FC">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智能练习</w:t>
            </w:r>
          </w:p>
        </w:tc>
        <w:tc>
          <w:tcPr>
            <w:tcW w:w="1371" w:type="pct"/>
            <w:shd w:val="clear" w:color="auto" w:fill="auto"/>
            <w:vAlign w:val="center"/>
          </w:tcPr>
          <w:p w14:paraId="499595E6">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w:t>
            </w:r>
          </w:p>
        </w:tc>
        <w:tc>
          <w:tcPr>
            <w:tcW w:w="1140" w:type="pct"/>
            <w:shd w:val="clear" w:color="auto" w:fill="auto"/>
            <w:vAlign w:val="center"/>
          </w:tcPr>
          <w:p w14:paraId="1527EAE2">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套</w:t>
            </w:r>
          </w:p>
        </w:tc>
      </w:tr>
      <w:tr w14:paraId="3ECF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02" w:type="pct"/>
            <w:vMerge w:val="continue"/>
            <w:vAlign w:val="center"/>
          </w:tcPr>
          <w:p w14:paraId="0B22AEEC">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762" w:type="pct"/>
            <w:vMerge w:val="continue"/>
            <w:vAlign w:val="center"/>
          </w:tcPr>
          <w:p w14:paraId="4118A906">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1422" w:type="pct"/>
            <w:shd w:val="clear" w:color="auto" w:fill="auto"/>
            <w:vAlign w:val="center"/>
          </w:tcPr>
          <w:p w14:paraId="6EABDED8">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智能批改</w:t>
            </w:r>
          </w:p>
        </w:tc>
        <w:tc>
          <w:tcPr>
            <w:tcW w:w="1371" w:type="pct"/>
            <w:shd w:val="clear" w:color="auto" w:fill="auto"/>
            <w:vAlign w:val="center"/>
          </w:tcPr>
          <w:p w14:paraId="7333A9BF">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w:t>
            </w:r>
          </w:p>
        </w:tc>
        <w:tc>
          <w:tcPr>
            <w:tcW w:w="1140" w:type="pct"/>
            <w:shd w:val="clear" w:color="auto" w:fill="auto"/>
            <w:vAlign w:val="center"/>
          </w:tcPr>
          <w:p w14:paraId="4E7E77EF">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套</w:t>
            </w:r>
          </w:p>
        </w:tc>
      </w:tr>
      <w:tr w14:paraId="3E1BA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02" w:type="pct"/>
            <w:vMerge w:val="continue"/>
            <w:vAlign w:val="center"/>
          </w:tcPr>
          <w:p w14:paraId="1161D986">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762" w:type="pct"/>
            <w:vMerge w:val="continue"/>
            <w:vAlign w:val="center"/>
          </w:tcPr>
          <w:p w14:paraId="6B62222D">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1422" w:type="pct"/>
            <w:shd w:val="clear" w:color="auto" w:fill="auto"/>
            <w:vAlign w:val="center"/>
          </w:tcPr>
          <w:p w14:paraId="4C9C9051">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A3阅卷仪</w:t>
            </w:r>
          </w:p>
        </w:tc>
        <w:tc>
          <w:tcPr>
            <w:tcW w:w="1371" w:type="pct"/>
            <w:shd w:val="clear" w:color="auto" w:fill="auto"/>
            <w:vAlign w:val="center"/>
          </w:tcPr>
          <w:p w14:paraId="06E224E2">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w:t>
            </w:r>
          </w:p>
        </w:tc>
        <w:tc>
          <w:tcPr>
            <w:tcW w:w="1140" w:type="pct"/>
            <w:shd w:val="clear" w:color="auto" w:fill="auto"/>
            <w:vAlign w:val="center"/>
          </w:tcPr>
          <w:p w14:paraId="3E0A2F74">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台</w:t>
            </w:r>
          </w:p>
        </w:tc>
      </w:tr>
      <w:tr w14:paraId="149D7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02" w:type="pct"/>
            <w:vMerge w:val="restart"/>
            <w:shd w:val="clear" w:color="auto" w:fill="auto"/>
            <w:vAlign w:val="center"/>
          </w:tcPr>
          <w:p w14:paraId="769CFE48">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w:t>
            </w:r>
          </w:p>
        </w:tc>
        <w:tc>
          <w:tcPr>
            <w:tcW w:w="762" w:type="pct"/>
            <w:vMerge w:val="restart"/>
            <w:shd w:val="clear" w:color="auto" w:fill="auto"/>
            <w:vAlign w:val="center"/>
          </w:tcPr>
          <w:p w14:paraId="1912A151">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AI英语听说课堂</w:t>
            </w:r>
          </w:p>
        </w:tc>
        <w:tc>
          <w:tcPr>
            <w:tcW w:w="1422" w:type="pct"/>
            <w:shd w:val="clear" w:color="auto" w:fill="auto"/>
            <w:vAlign w:val="center"/>
          </w:tcPr>
          <w:p w14:paraId="7B1AEA59">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AI听说课堂软件</w:t>
            </w:r>
          </w:p>
        </w:tc>
        <w:tc>
          <w:tcPr>
            <w:tcW w:w="1371" w:type="pct"/>
            <w:shd w:val="clear" w:color="auto" w:fill="auto"/>
            <w:vAlign w:val="center"/>
          </w:tcPr>
          <w:p w14:paraId="0748224E">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4</w:t>
            </w:r>
          </w:p>
        </w:tc>
        <w:tc>
          <w:tcPr>
            <w:tcW w:w="1140" w:type="pct"/>
            <w:shd w:val="clear" w:color="auto" w:fill="auto"/>
            <w:vAlign w:val="center"/>
          </w:tcPr>
          <w:p w14:paraId="21E0C840">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套</w:t>
            </w:r>
          </w:p>
        </w:tc>
      </w:tr>
      <w:tr w14:paraId="000AF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02" w:type="pct"/>
            <w:vMerge w:val="continue"/>
            <w:vAlign w:val="center"/>
          </w:tcPr>
          <w:p w14:paraId="4148C34F">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762" w:type="pct"/>
            <w:vMerge w:val="continue"/>
            <w:vAlign w:val="center"/>
          </w:tcPr>
          <w:p w14:paraId="1E55E378">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1422" w:type="pct"/>
            <w:shd w:val="clear" w:color="auto" w:fill="auto"/>
            <w:vAlign w:val="center"/>
          </w:tcPr>
          <w:p w14:paraId="69FCEC56">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教师智能演示器</w:t>
            </w:r>
          </w:p>
        </w:tc>
        <w:tc>
          <w:tcPr>
            <w:tcW w:w="1371" w:type="pct"/>
            <w:shd w:val="clear" w:color="auto" w:fill="auto"/>
            <w:vAlign w:val="center"/>
          </w:tcPr>
          <w:p w14:paraId="4A92C2D3">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4</w:t>
            </w:r>
          </w:p>
        </w:tc>
        <w:tc>
          <w:tcPr>
            <w:tcW w:w="1140" w:type="pct"/>
            <w:shd w:val="clear" w:color="auto" w:fill="auto"/>
            <w:vAlign w:val="center"/>
          </w:tcPr>
          <w:p w14:paraId="51C7875F">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台</w:t>
            </w:r>
          </w:p>
        </w:tc>
      </w:tr>
      <w:tr w14:paraId="04FC6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02" w:type="pct"/>
            <w:vMerge w:val="continue"/>
            <w:vAlign w:val="center"/>
          </w:tcPr>
          <w:p w14:paraId="4E2EEA79">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762" w:type="pct"/>
            <w:vMerge w:val="continue"/>
            <w:vAlign w:val="center"/>
          </w:tcPr>
          <w:p w14:paraId="3C4784BF">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1422" w:type="pct"/>
            <w:shd w:val="clear" w:color="auto" w:fill="auto"/>
            <w:vAlign w:val="center"/>
          </w:tcPr>
          <w:p w14:paraId="2C2B25C1">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语音答题器</w:t>
            </w:r>
          </w:p>
        </w:tc>
        <w:tc>
          <w:tcPr>
            <w:tcW w:w="1371" w:type="pct"/>
            <w:shd w:val="clear" w:color="auto" w:fill="auto"/>
            <w:vAlign w:val="center"/>
          </w:tcPr>
          <w:p w14:paraId="11FCC2E9">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240</w:t>
            </w:r>
          </w:p>
        </w:tc>
        <w:tc>
          <w:tcPr>
            <w:tcW w:w="1140" w:type="pct"/>
            <w:shd w:val="clear" w:color="auto" w:fill="auto"/>
            <w:vAlign w:val="center"/>
          </w:tcPr>
          <w:p w14:paraId="0B29FE79">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台</w:t>
            </w:r>
          </w:p>
        </w:tc>
      </w:tr>
      <w:tr w14:paraId="610D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02" w:type="pct"/>
            <w:vMerge w:val="continue"/>
            <w:vAlign w:val="center"/>
          </w:tcPr>
          <w:p w14:paraId="5C97CFB7">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762" w:type="pct"/>
            <w:vMerge w:val="continue"/>
            <w:vAlign w:val="center"/>
          </w:tcPr>
          <w:p w14:paraId="3BF33588">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1422" w:type="pct"/>
            <w:shd w:val="clear" w:color="auto" w:fill="auto"/>
            <w:vAlign w:val="center"/>
          </w:tcPr>
          <w:p w14:paraId="0080902F">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语音接收器</w:t>
            </w:r>
          </w:p>
        </w:tc>
        <w:tc>
          <w:tcPr>
            <w:tcW w:w="1371" w:type="pct"/>
            <w:shd w:val="clear" w:color="auto" w:fill="auto"/>
            <w:vAlign w:val="center"/>
          </w:tcPr>
          <w:p w14:paraId="64BF93EF">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4</w:t>
            </w:r>
          </w:p>
        </w:tc>
        <w:tc>
          <w:tcPr>
            <w:tcW w:w="1140" w:type="pct"/>
            <w:shd w:val="clear" w:color="auto" w:fill="auto"/>
            <w:vAlign w:val="center"/>
          </w:tcPr>
          <w:p w14:paraId="73C3004B">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台</w:t>
            </w:r>
          </w:p>
        </w:tc>
      </w:tr>
      <w:tr w14:paraId="0388C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02" w:type="pct"/>
            <w:vMerge w:val="continue"/>
            <w:vAlign w:val="center"/>
          </w:tcPr>
          <w:p w14:paraId="06CBD271">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762" w:type="pct"/>
            <w:vMerge w:val="continue"/>
            <w:vAlign w:val="center"/>
          </w:tcPr>
          <w:p w14:paraId="17DB8E88">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1422" w:type="pct"/>
            <w:shd w:val="clear" w:color="auto" w:fill="auto"/>
            <w:vAlign w:val="center"/>
          </w:tcPr>
          <w:p w14:paraId="6CB56D33">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充电仓</w:t>
            </w:r>
          </w:p>
        </w:tc>
        <w:tc>
          <w:tcPr>
            <w:tcW w:w="1371" w:type="pct"/>
            <w:shd w:val="clear" w:color="auto" w:fill="auto"/>
            <w:vAlign w:val="center"/>
          </w:tcPr>
          <w:p w14:paraId="2DB2E16A">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8</w:t>
            </w:r>
          </w:p>
        </w:tc>
        <w:tc>
          <w:tcPr>
            <w:tcW w:w="1140" w:type="pct"/>
            <w:shd w:val="clear" w:color="auto" w:fill="auto"/>
            <w:vAlign w:val="center"/>
          </w:tcPr>
          <w:p w14:paraId="11DBFB01">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台</w:t>
            </w:r>
          </w:p>
        </w:tc>
      </w:tr>
      <w:tr w14:paraId="7FFC4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02" w:type="pct"/>
            <w:vMerge w:val="continue"/>
            <w:vAlign w:val="center"/>
          </w:tcPr>
          <w:p w14:paraId="0FBB7B31">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762" w:type="pct"/>
            <w:vMerge w:val="continue"/>
            <w:vAlign w:val="center"/>
          </w:tcPr>
          <w:p w14:paraId="2BCD0065">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1422" w:type="pct"/>
            <w:shd w:val="clear" w:color="auto" w:fill="auto"/>
            <w:vAlign w:val="center"/>
          </w:tcPr>
          <w:p w14:paraId="641C345E">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便携包</w:t>
            </w:r>
          </w:p>
        </w:tc>
        <w:tc>
          <w:tcPr>
            <w:tcW w:w="1371" w:type="pct"/>
            <w:shd w:val="clear" w:color="auto" w:fill="auto"/>
            <w:vAlign w:val="center"/>
          </w:tcPr>
          <w:p w14:paraId="0124AA85">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8</w:t>
            </w:r>
          </w:p>
        </w:tc>
        <w:tc>
          <w:tcPr>
            <w:tcW w:w="1140" w:type="pct"/>
            <w:shd w:val="clear" w:color="auto" w:fill="auto"/>
            <w:vAlign w:val="center"/>
          </w:tcPr>
          <w:p w14:paraId="748049B5">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个</w:t>
            </w:r>
          </w:p>
        </w:tc>
      </w:tr>
      <w:tr w14:paraId="477DD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02" w:type="pct"/>
            <w:vMerge w:val="restart"/>
            <w:shd w:val="clear" w:color="auto" w:fill="auto"/>
            <w:vAlign w:val="center"/>
          </w:tcPr>
          <w:p w14:paraId="55E9F633">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w:t>
            </w:r>
          </w:p>
        </w:tc>
        <w:tc>
          <w:tcPr>
            <w:tcW w:w="762" w:type="pct"/>
            <w:vMerge w:val="restart"/>
            <w:shd w:val="clear" w:color="auto" w:fill="auto"/>
            <w:vAlign w:val="center"/>
          </w:tcPr>
          <w:p w14:paraId="1DB166D7">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数字阅览室</w:t>
            </w:r>
          </w:p>
        </w:tc>
        <w:tc>
          <w:tcPr>
            <w:tcW w:w="1422" w:type="pct"/>
            <w:shd w:val="clear" w:color="auto" w:fill="auto"/>
            <w:vAlign w:val="center"/>
          </w:tcPr>
          <w:p w14:paraId="010C0EE3">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数字阅读平台</w:t>
            </w:r>
          </w:p>
        </w:tc>
        <w:tc>
          <w:tcPr>
            <w:tcW w:w="1371" w:type="pct"/>
            <w:shd w:val="clear" w:color="000000" w:fill="FFFFFF"/>
            <w:vAlign w:val="center"/>
          </w:tcPr>
          <w:p w14:paraId="427E9F87">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w:t>
            </w:r>
          </w:p>
        </w:tc>
        <w:tc>
          <w:tcPr>
            <w:tcW w:w="1140" w:type="pct"/>
            <w:shd w:val="clear" w:color="auto" w:fill="auto"/>
            <w:vAlign w:val="center"/>
          </w:tcPr>
          <w:p w14:paraId="0037C1B7">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套</w:t>
            </w:r>
          </w:p>
        </w:tc>
      </w:tr>
      <w:tr w14:paraId="7FB9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02" w:type="pct"/>
            <w:vMerge w:val="continue"/>
            <w:vAlign w:val="center"/>
          </w:tcPr>
          <w:p w14:paraId="31DA46C3">
            <w:pPr>
              <w:widowControl/>
              <w:jc w:val="center"/>
              <w:rPr>
                <w:rFonts w:hint="eastAsia" w:ascii="宋体" w:hAnsi="宋体" w:cs="宋体"/>
                <w:color w:val="000000" w:themeColor="text1"/>
                <w:kern w:val="0"/>
                <w:szCs w:val="24"/>
                <w:highlight w:val="none"/>
                <w14:textFill>
                  <w14:solidFill>
                    <w14:schemeClr w14:val="tx1"/>
                  </w14:solidFill>
                </w14:textFill>
              </w:rPr>
            </w:pPr>
          </w:p>
        </w:tc>
        <w:tc>
          <w:tcPr>
            <w:tcW w:w="762" w:type="pct"/>
            <w:vMerge w:val="continue"/>
            <w:vAlign w:val="center"/>
          </w:tcPr>
          <w:p w14:paraId="7EA3E805">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1422" w:type="pct"/>
            <w:shd w:val="clear" w:color="auto" w:fill="auto"/>
            <w:vAlign w:val="center"/>
          </w:tcPr>
          <w:p w14:paraId="14A0A75E">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数字阅读资源</w:t>
            </w:r>
          </w:p>
        </w:tc>
        <w:tc>
          <w:tcPr>
            <w:tcW w:w="1371" w:type="pct"/>
            <w:shd w:val="clear" w:color="auto" w:fill="auto"/>
            <w:vAlign w:val="center"/>
          </w:tcPr>
          <w:p w14:paraId="068816EA">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w:t>
            </w:r>
          </w:p>
        </w:tc>
        <w:tc>
          <w:tcPr>
            <w:tcW w:w="1140" w:type="pct"/>
            <w:shd w:val="clear" w:color="auto" w:fill="auto"/>
            <w:vAlign w:val="center"/>
          </w:tcPr>
          <w:p w14:paraId="4EA5D897">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套</w:t>
            </w:r>
          </w:p>
        </w:tc>
      </w:tr>
      <w:tr w14:paraId="38F7A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02" w:type="pct"/>
            <w:vMerge w:val="continue"/>
            <w:vAlign w:val="center"/>
          </w:tcPr>
          <w:p w14:paraId="5643BB33">
            <w:pPr>
              <w:widowControl/>
              <w:jc w:val="center"/>
              <w:rPr>
                <w:rFonts w:hint="eastAsia" w:ascii="宋体" w:hAnsi="宋体" w:cs="宋体"/>
                <w:color w:val="000000" w:themeColor="text1"/>
                <w:kern w:val="0"/>
                <w:szCs w:val="24"/>
                <w:highlight w:val="none"/>
                <w14:textFill>
                  <w14:solidFill>
                    <w14:schemeClr w14:val="tx1"/>
                  </w14:solidFill>
                </w14:textFill>
              </w:rPr>
            </w:pPr>
          </w:p>
        </w:tc>
        <w:tc>
          <w:tcPr>
            <w:tcW w:w="762" w:type="pct"/>
            <w:vMerge w:val="continue"/>
            <w:vAlign w:val="center"/>
          </w:tcPr>
          <w:p w14:paraId="7A7A7819">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1422" w:type="pct"/>
            <w:shd w:val="clear" w:color="auto" w:fill="auto"/>
            <w:vAlign w:val="center"/>
          </w:tcPr>
          <w:p w14:paraId="4550031C">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学生数字阅读终端</w:t>
            </w:r>
          </w:p>
        </w:tc>
        <w:tc>
          <w:tcPr>
            <w:tcW w:w="1371" w:type="pct"/>
            <w:shd w:val="clear" w:color="auto" w:fill="auto"/>
            <w:vAlign w:val="center"/>
          </w:tcPr>
          <w:p w14:paraId="44FCF921">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55</w:t>
            </w:r>
          </w:p>
        </w:tc>
        <w:tc>
          <w:tcPr>
            <w:tcW w:w="1140" w:type="pct"/>
            <w:shd w:val="clear" w:color="auto" w:fill="auto"/>
            <w:vAlign w:val="center"/>
          </w:tcPr>
          <w:p w14:paraId="7ADDAF5C">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台</w:t>
            </w:r>
          </w:p>
        </w:tc>
      </w:tr>
      <w:tr w14:paraId="3E2E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02" w:type="pct"/>
            <w:vMerge w:val="continue"/>
            <w:vAlign w:val="center"/>
          </w:tcPr>
          <w:p w14:paraId="3F9CC6C0">
            <w:pPr>
              <w:widowControl/>
              <w:jc w:val="center"/>
              <w:rPr>
                <w:rFonts w:hint="eastAsia" w:ascii="宋体" w:hAnsi="宋体" w:cs="宋体"/>
                <w:color w:val="000000" w:themeColor="text1"/>
                <w:kern w:val="0"/>
                <w:szCs w:val="24"/>
                <w:highlight w:val="none"/>
                <w14:textFill>
                  <w14:solidFill>
                    <w14:schemeClr w14:val="tx1"/>
                  </w14:solidFill>
                </w14:textFill>
              </w:rPr>
            </w:pPr>
          </w:p>
        </w:tc>
        <w:tc>
          <w:tcPr>
            <w:tcW w:w="762" w:type="pct"/>
            <w:vMerge w:val="continue"/>
            <w:vAlign w:val="center"/>
          </w:tcPr>
          <w:p w14:paraId="4F96FA77">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1422" w:type="pct"/>
            <w:shd w:val="clear" w:color="auto" w:fill="auto"/>
            <w:vAlign w:val="center"/>
          </w:tcPr>
          <w:p w14:paraId="0EA23D39">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教师应用终端</w:t>
            </w:r>
          </w:p>
        </w:tc>
        <w:tc>
          <w:tcPr>
            <w:tcW w:w="1371" w:type="pct"/>
            <w:shd w:val="clear" w:color="auto" w:fill="auto"/>
            <w:vAlign w:val="center"/>
          </w:tcPr>
          <w:p w14:paraId="25EBF758">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w:t>
            </w:r>
          </w:p>
        </w:tc>
        <w:tc>
          <w:tcPr>
            <w:tcW w:w="1140" w:type="pct"/>
            <w:shd w:val="clear" w:color="auto" w:fill="auto"/>
            <w:vAlign w:val="center"/>
          </w:tcPr>
          <w:p w14:paraId="1C966229">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台</w:t>
            </w:r>
          </w:p>
        </w:tc>
      </w:tr>
      <w:tr w14:paraId="6C66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02" w:type="pct"/>
            <w:vMerge w:val="continue"/>
            <w:vAlign w:val="center"/>
          </w:tcPr>
          <w:p w14:paraId="220E5FE6">
            <w:pPr>
              <w:widowControl/>
              <w:jc w:val="center"/>
              <w:rPr>
                <w:rFonts w:hint="eastAsia" w:ascii="宋体" w:hAnsi="宋体" w:cs="宋体"/>
                <w:color w:val="000000" w:themeColor="text1"/>
                <w:kern w:val="0"/>
                <w:szCs w:val="24"/>
                <w:highlight w:val="none"/>
                <w14:textFill>
                  <w14:solidFill>
                    <w14:schemeClr w14:val="tx1"/>
                  </w14:solidFill>
                </w14:textFill>
              </w:rPr>
            </w:pPr>
          </w:p>
        </w:tc>
        <w:tc>
          <w:tcPr>
            <w:tcW w:w="762" w:type="pct"/>
            <w:vMerge w:val="continue"/>
            <w:vAlign w:val="center"/>
          </w:tcPr>
          <w:p w14:paraId="56147A01">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1422" w:type="pct"/>
            <w:shd w:val="clear" w:color="auto" w:fill="auto"/>
            <w:vAlign w:val="center"/>
          </w:tcPr>
          <w:p w14:paraId="2E6837D9">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电磁笔</w:t>
            </w:r>
          </w:p>
        </w:tc>
        <w:tc>
          <w:tcPr>
            <w:tcW w:w="1371" w:type="pct"/>
            <w:shd w:val="clear" w:color="auto" w:fill="auto"/>
            <w:vAlign w:val="center"/>
          </w:tcPr>
          <w:p w14:paraId="2B665745">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5</w:t>
            </w:r>
          </w:p>
        </w:tc>
        <w:tc>
          <w:tcPr>
            <w:tcW w:w="1140" w:type="pct"/>
            <w:shd w:val="clear" w:color="auto" w:fill="auto"/>
            <w:vAlign w:val="center"/>
          </w:tcPr>
          <w:p w14:paraId="1A79747F">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支</w:t>
            </w:r>
          </w:p>
        </w:tc>
      </w:tr>
      <w:tr w14:paraId="2E875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02" w:type="pct"/>
            <w:vMerge w:val="continue"/>
            <w:vAlign w:val="center"/>
          </w:tcPr>
          <w:p w14:paraId="2FCEAD59">
            <w:pPr>
              <w:widowControl/>
              <w:jc w:val="center"/>
              <w:rPr>
                <w:rFonts w:hint="eastAsia" w:ascii="宋体" w:hAnsi="宋体" w:cs="宋体"/>
                <w:color w:val="000000" w:themeColor="text1"/>
                <w:kern w:val="0"/>
                <w:szCs w:val="24"/>
                <w:highlight w:val="none"/>
                <w14:textFill>
                  <w14:solidFill>
                    <w14:schemeClr w14:val="tx1"/>
                  </w14:solidFill>
                </w14:textFill>
              </w:rPr>
            </w:pPr>
          </w:p>
        </w:tc>
        <w:tc>
          <w:tcPr>
            <w:tcW w:w="762" w:type="pct"/>
            <w:vMerge w:val="continue"/>
            <w:vAlign w:val="center"/>
          </w:tcPr>
          <w:p w14:paraId="072DCC8F">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1422" w:type="pct"/>
            <w:shd w:val="clear" w:color="auto" w:fill="auto"/>
            <w:vAlign w:val="center"/>
          </w:tcPr>
          <w:p w14:paraId="4EE1941E">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备用笔芯</w:t>
            </w:r>
          </w:p>
        </w:tc>
        <w:tc>
          <w:tcPr>
            <w:tcW w:w="1371" w:type="pct"/>
            <w:shd w:val="clear" w:color="auto" w:fill="auto"/>
            <w:vAlign w:val="center"/>
          </w:tcPr>
          <w:p w14:paraId="05310825">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55</w:t>
            </w:r>
          </w:p>
        </w:tc>
        <w:tc>
          <w:tcPr>
            <w:tcW w:w="1140" w:type="pct"/>
            <w:shd w:val="clear" w:color="auto" w:fill="auto"/>
            <w:vAlign w:val="center"/>
          </w:tcPr>
          <w:p w14:paraId="5E16E8BB">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盒</w:t>
            </w:r>
          </w:p>
        </w:tc>
      </w:tr>
      <w:tr w14:paraId="0977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02" w:type="pct"/>
            <w:vMerge w:val="continue"/>
            <w:vAlign w:val="center"/>
          </w:tcPr>
          <w:p w14:paraId="348B5105">
            <w:pPr>
              <w:widowControl/>
              <w:jc w:val="center"/>
              <w:rPr>
                <w:rFonts w:hint="eastAsia" w:ascii="宋体" w:hAnsi="宋体" w:cs="宋体"/>
                <w:color w:val="000000" w:themeColor="text1"/>
                <w:kern w:val="0"/>
                <w:szCs w:val="24"/>
                <w:highlight w:val="none"/>
                <w14:textFill>
                  <w14:solidFill>
                    <w14:schemeClr w14:val="tx1"/>
                  </w14:solidFill>
                </w14:textFill>
              </w:rPr>
            </w:pPr>
          </w:p>
        </w:tc>
        <w:tc>
          <w:tcPr>
            <w:tcW w:w="762" w:type="pct"/>
            <w:vMerge w:val="continue"/>
            <w:vAlign w:val="center"/>
          </w:tcPr>
          <w:p w14:paraId="45A8A495">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1422" w:type="pct"/>
            <w:shd w:val="clear" w:color="auto" w:fill="auto"/>
            <w:vAlign w:val="center"/>
          </w:tcPr>
          <w:p w14:paraId="77E002EE">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充电柜</w:t>
            </w:r>
          </w:p>
        </w:tc>
        <w:tc>
          <w:tcPr>
            <w:tcW w:w="1371" w:type="pct"/>
            <w:shd w:val="clear" w:color="auto" w:fill="auto"/>
            <w:vAlign w:val="center"/>
          </w:tcPr>
          <w:p w14:paraId="307127A7">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w:t>
            </w:r>
          </w:p>
        </w:tc>
        <w:tc>
          <w:tcPr>
            <w:tcW w:w="1140" w:type="pct"/>
            <w:shd w:val="clear" w:color="auto" w:fill="auto"/>
            <w:vAlign w:val="center"/>
          </w:tcPr>
          <w:p w14:paraId="1EDEB220">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台</w:t>
            </w:r>
          </w:p>
        </w:tc>
      </w:tr>
      <w:tr w14:paraId="6EE61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02" w:type="pct"/>
            <w:vMerge w:val="continue"/>
            <w:vAlign w:val="center"/>
          </w:tcPr>
          <w:p w14:paraId="1E6775ED">
            <w:pPr>
              <w:widowControl/>
              <w:jc w:val="center"/>
              <w:rPr>
                <w:rFonts w:hint="eastAsia" w:ascii="宋体" w:hAnsi="宋体" w:cs="宋体"/>
                <w:color w:val="000000" w:themeColor="text1"/>
                <w:kern w:val="0"/>
                <w:szCs w:val="24"/>
                <w:highlight w:val="none"/>
                <w14:textFill>
                  <w14:solidFill>
                    <w14:schemeClr w14:val="tx1"/>
                  </w14:solidFill>
                </w14:textFill>
              </w:rPr>
            </w:pPr>
          </w:p>
        </w:tc>
        <w:tc>
          <w:tcPr>
            <w:tcW w:w="762" w:type="pct"/>
            <w:vMerge w:val="continue"/>
            <w:vAlign w:val="center"/>
          </w:tcPr>
          <w:p w14:paraId="0A5122C6">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1422" w:type="pct"/>
            <w:shd w:val="clear" w:color="auto" w:fill="auto"/>
            <w:vAlign w:val="center"/>
          </w:tcPr>
          <w:p w14:paraId="4F93F3E0">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高并发路由器</w:t>
            </w:r>
          </w:p>
        </w:tc>
        <w:tc>
          <w:tcPr>
            <w:tcW w:w="1371" w:type="pct"/>
            <w:shd w:val="clear" w:color="auto" w:fill="auto"/>
            <w:vAlign w:val="center"/>
          </w:tcPr>
          <w:p w14:paraId="5F95D3CA">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w:t>
            </w:r>
          </w:p>
        </w:tc>
        <w:tc>
          <w:tcPr>
            <w:tcW w:w="1140" w:type="pct"/>
            <w:shd w:val="clear" w:color="auto" w:fill="auto"/>
            <w:vAlign w:val="center"/>
          </w:tcPr>
          <w:p w14:paraId="3E593336">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台</w:t>
            </w:r>
          </w:p>
        </w:tc>
      </w:tr>
      <w:tr w14:paraId="1B976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02" w:type="pct"/>
            <w:vMerge w:val="continue"/>
            <w:vAlign w:val="center"/>
          </w:tcPr>
          <w:p w14:paraId="29A8E554">
            <w:pPr>
              <w:widowControl/>
              <w:jc w:val="center"/>
              <w:rPr>
                <w:rFonts w:hint="eastAsia" w:ascii="宋体" w:hAnsi="宋体" w:cs="宋体"/>
                <w:color w:val="000000" w:themeColor="text1"/>
                <w:kern w:val="0"/>
                <w:szCs w:val="24"/>
                <w:highlight w:val="none"/>
                <w14:textFill>
                  <w14:solidFill>
                    <w14:schemeClr w14:val="tx1"/>
                  </w14:solidFill>
                </w14:textFill>
              </w:rPr>
            </w:pPr>
          </w:p>
        </w:tc>
        <w:tc>
          <w:tcPr>
            <w:tcW w:w="762" w:type="pct"/>
            <w:vMerge w:val="continue"/>
            <w:vAlign w:val="center"/>
          </w:tcPr>
          <w:p w14:paraId="2B61071E">
            <w:pPr>
              <w:widowControl/>
              <w:jc w:val="left"/>
              <w:rPr>
                <w:rFonts w:hint="eastAsia" w:ascii="宋体" w:hAnsi="宋体" w:cs="宋体"/>
                <w:color w:val="000000" w:themeColor="text1"/>
                <w:kern w:val="0"/>
                <w:szCs w:val="24"/>
                <w:highlight w:val="none"/>
                <w14:textFill>
                  <w14:solidFill>
                    <w14:schemeClr w14:val="tx1"/>
                  </w14:solidFill>
                </w14:textFill>
              </w:rPr>
            </w:pPr>
          </w:p>
        </w:tc>
        <w:tc>
          <w:tcPr>
            <w:tcW w:w="1422" w:type="pct"/>
            <w:shd w:val="clear" w:color="000000" w:fill="FFFFFF"/>
            <w:vAlign w:val="center"/>
          </w:tcPr>
          <w:p w14:paraId="00373067">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支架</w:t>
            </w:r>
          </w:p>
        </w:tc>
        <w:tc>
          <w:tcPr>
            <w:tcW w:w="1371" w:type="pct"/>
            <w:shd w:val="clear" w:color="auto" w:fill="auto"/>
            <w:vAlign w:val="center"/>
          </w:tcPr>
          <w:p w14:paraId="4FE39261">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55</w:t>
            </w:r>
          </w:p>
        </w:tc>
        <w:tc>
          <w:tcPr>
            <w:tcW w:w="1140" w:type="pct"/>
            <w:shd w:val="clear" w:color="000000" w:fill="FFFFFF"/>
            <w:vAlign w:val="center"/>
          </w:tcPr>
          <w:p w14:paraId="38D02113">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个</w:t>
            </w:r>
          </w:p>
        </w:tc>
      </w:tr>
      <w:tr w14:paraId="2E012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02" w:type="pct"/>
            <w:vMerge w:val="restart"/>
            <w:vAlign w:val="center"/>
          </w:tcPr>
          <w:p w14:paraId="1A8CA25E">
            <w:pPr>
              <w:widowControl/>
              <w:ind w:firstLine="0" w:firstLineChars="0"/>
              <w:jc w:val="center"/>
              <w:rPr>
                <w:rFonts w:hint="eastAsia" w:ascii="宋体" w:hAnsi="宋体" w:eastAsia="宋体" w:cs="宋体"/>
                <w:color w:val="000000" w:themeColor="text1"/>
                <w:kern w:val="0"/>
                <w:szCs w:val="24"/>
                <w:highlight w:val="none"/>
                <w:lang w:val="en-US" w:eastAsia="zh-CN"/>
                <w14:textFill>
                  <w14:solidFill>
                    <w14:schemeClr w14:val="tx1"/>
                  </w14:solidFill>
                </w14:textFill>
              </w:rPr>
            </w:pPr>
            <w:r>
              <w:rPr>
                <w:rFonts w:hint="eastAsia" w:ascii="宋体" w:hAnsi="宋体" w:cs="宋体"/>
                <w:color w:val="000000" w:themeColor="text1"/>
                <w:kern w:val="0"/>
                <w:szCs w:val="24"/>
                <w:highlight w:val="none"/>
                <w:lang w:val="en-US" w:eastAsia="zh-CN"/>
                <w14:textFill>
                  <w14:solidFill>
                    <w14:schemeClr w14:val="tx1"/>
                  </w14:solidFill>
                </w14:textFill>
              </w:rPr>
              <w:t>4</w:t>
            </w:r>
          </w:p>
        </w:tc>
        <w:tc>
          <w:tcPr>
            <w:tcW w:w="762" w:type="pct"/>
            <w:vMerge w:val="restart"/>
            <w:vAlign w:val="center"/>
          </w:tcPr>
          <w:p w14:paraId="6139C065">
            <w:pPr>
              <w:widowControl/>
              <w:jc w:val="center"/>
              <w:rPr>
                <w:rFonts w:hint="default" w:ascii="宋体" w:hAnsi="宋体" w:eastAsia="宋体" w:cs="宋体"/>
                <w:color w:val="000000" w:themeColor="text1"/>
                <w:kern w:val="0"/>
                <w:szCs w:val="24"/>
                <w:highlight w:val="none"/>
                <w:lang w:val="en-US" w:eastAsia="zh-CN"/>
                <w14:textFill>
                  <w14:solidFill>
                    <w14:schemeClr w14:val="tx1"/>
                  </w14:solidFill>
                </w14:textFill>
              </w:rPr>
            </w:pPr>
            <w:r>
              <w:rPr>
                <w:rFonts w:hint="eastAsia" w:ascii="宋体" w:hAnsi="宋体" w:cs="宋体"/>
                <w:color w:val="000000" w:themeColor="text1"/>
                <w:kern w:val="0"/>
                <w:szCs w:val="24"/>
                <w:highlight w:val="none"/>
                <w:lang w:val="en-US" w:eastAsia="zh-CN"/>
                <w14:textFill>
                  <w14:solidFill>
                    <w14:schemeClr w14:val="tx1"/>
                  </w14:solidFill>
                </w14:textFill>
              </w:rPr>
              <w:t>文印室设备</w:t>
            </w:r>
          </w:p>
        </w:tc>
        <w:tc>
          <w:tcPr>
            <w:tcW w:w="1422" w:type="pct"/>
            <w:shd w:val="clear" w:color="000000" w:fill="FFFFFF"/>
            <w:vAlign w:val="center"/>
          </w:tcPr>
          <w:p w14:paraId="6EA15C65">
            <w:pPr>
              <w:widowControl/>
              <w:jc w:val="center"/>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速印机</w:t>
            </w:r>
          </w:p>
        </w:tc>
        <w:tc>
          <w:tcPr>
            <w:tcW w:w="1371" w:type="pct"/>
            <w:shd w:val="clear" w:color="auto" w:fill="auto"/>
            <w:vAlign w:val="center"/>
          </w:tcPr>
          <w:p w14:paraId="4F4B6ADD">
            <w:pPr>
              <w:widowControl/>
              <w:jc w:val="center"/>
              <w:rPr>
                <w:rFonts w:hint="eastAsia" w:ascii="宋体" w:hAnsi="宋体" w:eastAsia="宋体" w:cs="宋体"/>
                <w:color w:val="000000" w:themeColor="text1"/>
                <w:kern w:val="0"/>
                <w:szCs w:val="24"/>
                <w:highlight w:val="none"/>
                <w:lang w:val="en-US" w:eastAsia="zh-CN"/>
                <w14:textFill>
                  <w14:solidFill>
                    <w14:schemeClr w14:val="tx1"/>
                  </w14:solidFill>
                </w14:textFill>
              </w:rPr>
            </w:pPr>
            <w:r>
              <w:rPr>
                <w:rFonts w:hint="eastAsia" w:ascii="宋体" w:hAnsi="宋体" w:cs="宋体"/>
                <w:color w:val="000000" w:themeColor="text1"/>
                <w:kern w:val="0"/>
                <w:szCs w:val="24"/>
                <w:highlight w:val="none"/>
                <w:lang w:val="en-US" w:eastAsia="zh-CN"/>
                <w14:textFill>
                  <w14:solidFill>
                    <w14:schemeClr w14:val="tx1"/>
                  </w14:solidFill>
                </w14:textFill>
              </w:rPr>
              <w:t>2</w:t>
            </w:r>
          </w:p>
        </w:tc>
        <w:tc>
          <w:tcPr>
            <w:tcW w:w="1140" w:type="pct"/>
            <w:shd w:val="clear" w:color="000000" w:fill="FFFFFF"/>
            <w:vAlign w:val="center"/>
          </w:tcPr>
          <w:p w14:paraId="38CA2F07">
            <w:pPr>
              <w:widowControl/>
              <w:jc w:val="center"/>
              <w:rPr>
                <w:rFonts w:hint="eastAsia" w:ascii="宋体" w:hAnsi="宋体" w:eastAsia="宋体" w:cs="宋体"/>
                <w:color w:val="000000" w:themeColor="text1"/>
                <w:kern w:val="0"/>
                <w:szCs w:val="24"/>
                <w:highlight w:val="none"/>
                <w:lang w:val="en-US" w:eastAsia="zh-CN"/>
                <w14:textFill>
                  <w14:solidFill>
                    <w14:schemeClr w14:val="tx1"/>
                  </w14:solidFill>
                </w14:textFill>
              </w:rPr>
            </w:pPr>
            <w:r>
              <w:rPr>
                <w:rFonts w:hint="eastAsia" w:ascii="宋体" w:hAnsi="宋体" w:cs="宋体"/>
                <w:color w:val="000000" w:themeColor="text1"/>
                <w:kern w:val="0"/>
                <w:szCs w:val="24"/>
                <w:highlight w:val="none"/>
                <w:lang w:val="en-US" w:eastAsia="zh-CN"/>
                <w14:textFill>
                  <w14:solidFill>
                    <w14:schemeClr w14:val="tx1"/>
                  </w14:solidFill>
                </w14:textFill>
              </w:rPr>
              <w:t>台</w:t>
            </w:r>
          </w:p>
        </w:tc>
      </w:tr>
      <w:tr w14:paraId="25AB5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02" w:type="pct"/>
            <w:vMerge w:val="continue"/>
            <w:vAlign w:val="center"/>
          </w:tcPr>
          <w:p w14:paraId="14D80BC1">
            <w:pPr>
              <w:widowControl/>
              <w:ind w:firstLine="0" w:firstLineChars="0"/>
              <w:jc w:val="center"/>
              <w:rPr>
                <w:rFonts w:hint="eastAsia" w:ascii="宋体" w:hAnsi="宋体" w:cs="宋体"/>
                <w:color w:val="000000" w:themeColor="text1"/>
                <w:kern w:val="0"/>
                <w:szCs w:val="24"/>
                <w:highlight w:val="none"/>
                <w:lang w:val="en-US" w:eastAsia="zh-CN"/>
                <w14:textFill>
                  <w14:solidFill>
                    <w14:schemeClr w14:val="tx1"/>
                  </w14:solidFill>
                </w14:textFill>
              </w:rPr>
            </w:pPr>
          </w:p>
        </w:tc>
        <w:tc>
          <w:tcPr>
            <w:tcW w:w="762" w:type="pct"/>
            <w:vMerge w:val="continue"/>
            <w:vAlign w:val="center"/>
          </w:tcPr>
          <w:p w14:paraId="3D98170B">
            <w:pPr>
              <w:widowControl/>
              <w:jc w:val="center"/>
              <w:rPr>
                <w:rFonts w:hint="eastAsia" w:ascii="宋体" w:hAnsi="宋体" w:cs="宋体"/>
                <w:color w:val="000000" w:themeColor="text1"/>
                <w:kern w:val="0"/>
                <w:szCs w:val="24"/>
                <w:highlight w:val="none"/>
                <w:lang w:val="en-US" w:eastAsia="zh-CN"/>
                <w14:textFill>
                  <w14:solidFill>
                    <w14:schemeClr w14:val="tx1"/>
                  </w14:solidFill>
                </w14:textFill>
              </w:rPr>
            </w:pPr>
          </w:p>
        </w:tc>
        <w:tc>
          <w:tcPr>
            <w:tcW w:w="1422" w:type="pct"/>
            <w:shd w:val="clear" w:color="000000" w:fill="FFFFFF"/>
            <w:vAlign w:val="center"/>
          </w:tcPr>
          <w:p w14:paraId="0CE67D20">
            <w:pPr>
              <w:widowControl/>
              <w:jc w:val="center"/>
              <w:rPr>
                <w:rFonts w:hint="default" w:ascii="宋体" w:hAnsi="宋体" w:eastAsia="宋体" w:cs="宋体"/>
                <w:color w:val="000000" w:themeColor="text1"/>
                <w:kern w:val="0"/>
                <w:szCs w:val="24"/>
                <w:highlight w:val="none"/>
                <w:lang w:val="en-US" w:eastAsia="zh-CN"/>
                <w14:textFill>
                  <w14:solidFill>
                    <w14:schemeClr w14:val="tx1"/>
                  </w14:solidFill>
                </w14:textFill>
              </w:rPr>
            </w:pPr>
            <w:r>
              <w:rPr>
                <w:rFonts w:hint="eastAsia" w:ascii="宋体" w:hAnsi="宋体" w:cs="宋体"/>
                <w:color w:val="000000" w:themeColor="text1"/>
                <w:kern w:val="0"/>
                <w:szCs w:val="24"/>
                <w:highlight w:val="none"/>
                <w:lang w:val="en-US" w:eastAsia="zh-CN"/>
                <w14:textFill>
                  <w14:solidFill>
                    <w14:schemeClr w14:val="tx1"/>
                  </w14:solidFill>
                </w14:textFill>
              </w:rPr>
              <w:t>黑白复印机</w:t>
            </w:r>
          </w:p>
        </w:tc>
        <w:tc>
          <w:tcPr>
            <w:tcW w:w="1371" w:type="pct"/>
            <w:shd w:val="clear" w:color="auto" w:fill="auto"/>
            <w:vAlign w:val="center"/>
          </w:tcPr>
          <w:p w14:paraId="51BB8ACE">
            <w:pPr>
              <w:widowControl/>
              <w:jc w:val="center"/>
              <w:rPr>
                <w:rFonts w:hint="eastAsia" w:ascii="宋体" w:hAnsi="宋体" w:eastAsia="宋体" w:cs="宋体"/>
                <w:color w:val="000000" w:themeColor="text1"/>
                <w:kern w:val="0"/>
                <w:szCs w:val="24"/>
                <w:highlight w:val="none"/>
                <w:lang w:val="en-US" w:eastAsia="zh-CN"/>
                <w14:textFill>
                  <w14:solidFill>
                    <w14:schemeClr w14:val="tx1"/>
                  </w14:solidFill>
                </w14:textFill>
              </w:rPr>
            </w:pPr>
            <w:r>
              <w:rPr>
                <w:rFonts w:hint="eastAsia" w:ascii="宋体" w:hAnsi="宋体" w:cs="宋体"/>
                <w:color w:val="000000" w:themeColor="text1"/>
                <w:kern w:val="0"/>
                <w:szCs w:val="24"/>
                <w:highlight w:val="none"/>
                <w:lang w:val="en-US" w:eastAsia="zh-CN"/>
                <w14:textFill>
                  <w14:solidFill>
                    <w14:schemeClr w14:val="tx1"/>
                  </w14:solidFill>
                </w14:textFill>
              </w:rPr>
              <w:t>3</w:t>
            </w:r>
          </w:p>
        </w:tc>
        <w:tc>
          <w:tcPr>
            <w:tcW w:w="1140" w:type="pct"/>
            <w:shd w:val="clear" w:color="000000" w:fill="FFFFFF"/>
            <w:vAlign w:val="center"/>
          </w:tcPr>
          <w:p w14:paraId="22C862FA">
            <w:pPr>
              <w:widowControl/>
              <w:jc w:val="center"/>
              <w:rPr>
                <w:rFonts w:hint="eastAsia" w:ascii="宋体" w:hAnsi="宋体" w:eastAsia="宋体" w:cs="宋体"/>
                <w:color w:val="000000" w:themeColor="text1"/>
                <w:kern w:val="0"/>
                <w:szCs w:val="24"/>
                <w:highlight w:val="none"/>
                <w:lang w:val="en-US" w:eastAsia="zh-CN"/>
                <w14:textFill>
                  <w14:solidFill>
                    <w14:schemeClr w14:val="tx1"/>
                  </w14:solidFill>
                </w14:textFill>
              </w:rPr>
            </w:pPr>
            <w:r>
              <w:rPr>
                <w:rFonts w:hint="eastAsia" w:ascii="宋体" w:hAnsi="宋体" w:cs="宋体"/>
                <w:color w:val="000000" w:themeColor="text1"/>
                <w:kern w:val="0"/>
                <w:szCs w:val="24"/>
                <w:highlight w:val="none"/>
                <w:lang w:val="en-US" w:eastAsia="zh-CN"/>
                <w14:textFill>
                  <w14:solidFill>
                    <w14:schemeClr w14:val="tx1"/>
                  </w14:solidFill>
                </w14:textFill>
              </w:rPr>
              <w:t>台</w:t>
            </w:r>
          </w:p>
        </w:tc>
      </w:tr>
      <w:tr w14:paraId="611DC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02" w:type="pct"/>
            <w:vMerge w:val="continue"/>
            <w:vAlign w:val="center"/>
          </w:tcPr>
          <w:p w14:paraId="183170B9">
            <w:pPr>
              <w:widowControl/>
              <w:ind w:firstLine="0" w:firstLineChars="0"/>
              <w:jc w:val="center"/>
              <w:rPr>
                <w:rFonts w:hint="eastAsia" w:ascii="宋体" w:hAnsi="宋体" w:cs="宋体"/>
                <w:color w:val="000000" w:themeColor="text1"/>
                <w:kern w:val="0"/>
                <w:szCs w:val="24"/>
                <w:highlight w:val="none"/>
                <w:lang w:val="en-US" w:eastAsia="zh-CN"/>
                <w14:textFill>
                  <w14:solidFill>
                    <w14:schemeClr w14:val="tx1"/>
                  </w14:solidFill>
                </w14:textFill>
              </w:rPr>
            </w:pPr>
          </w:p>
        </w:tc>
        <w:tc>
          <w:tcPr>
            <w:tcW w:w="762" w:type="pct"/>
            <w:vMerge w:val="continue"/>
            <w:vAlign w:val="center"/>
          </w:tcPr>
          <w:p w14:paraId="4CA45D01">
            <w:pPr>
              <w:widowControl/>
              <w:jc w:val="center"/>
              <w:rPr>
                <w:rFonts w:hint="eastAsia" w:ascii="宋体" w:hAnsi="宋体" w:cs="宋体"/>
                <w:color w:val="000000" w:themeColor="text1"/>
                <w:kern w:val="0"/>
                <w:szCs w:val="24"/>
                <w:highlight w:val="none"/>
                <w:lang w:val="en-US" w:eastAsia="zh-CN"/>
                <w14:textFill>
                  <w14:solidFill>
                    <w14:schemeClr w14:val="tx1"/>
                  </w14:solidFill>
                </w14:textFill>
              </w:rPr>
            </w:pPr>
          </w:p>
        </w:tc>
        <w:tc>
          <w:tcPr>
            <w:tcW w:w="1422" w:type="pct"/>
            <w:shd w:val="clear" w:color="000000" w:fill="FFFFFF"/>
            <w:vAlign w:val="center"/>
          </w:tcPr>
          <w:p w14:paraId="6FE8F319">
            <w:pPr>
              <w:widowControl/>
              <w:jc w:val="center"/>
              <w:rPr>
                <w:rFonts w:hint="default" w:ascii="宋体" w:hAnsi="宋体" w:eastAsia="宋体" w:cs="宋体"/>
                <w:color w:val="000000" w:themeColor="text1"/>
                <w:kern w:val="0"/>
                <w:szCs w:val="24"/>
                <w:highlight w:val="none"/>
                <w:lang w:val="en-US" w:eastAsia="zh-CN"/>
                <w14:textFill>
                  <w14:solidFill>
                    <w14:schemeClr w14:val="tx1"/>
                  </w14:solidFill>
                </w14:textFill>
              </w:rPr>
            </w:pPr>
            <w:r>
              <w:rPr>
                <w:rFonts w:hint="eastAsia" w:ascii="宋体" w:hAnsi="宋体" w:cs="宋体"/>
                <w:color w:val="000000" w:themeColor="text1"/>
                <w:kern w:val="0"/>
                <w:szCs w:val="24"/>
                <w:highlight w:val="none"/>
                <w:lang w:val="en-US" w:eastAsia="zh-CN"/>
                <w14:textFill>
                  <w14:solidFill>
                    <w14:schemeClr w14:val="tx1"/>
                  </w14:solidFill>
                </w14:textFill>
              </w:rPr>
              <w:t>彩色复印机</w:t>
            </w:r>
          </w:p>
        </w:tc>
        <w:tc>
          <w:tcPr>
            <w:tcW w:w="1371" w:type="pct"/>
            <w:shd w:val="clear" w:color="auto" w:fill="auto"/>
            <w:vAlign w:val="center"/>
          </w:tcPr>
          <w:p w14:paraId="77FAF252">
            <w:pPr>
              <w:widowControl/>
              <w:jc w:val="center"/>
              <w:rPr>
                <w:rFonts w:hint="eastAsia" w:ascii="宋体" w:hAnsi="宋体" w:eastAsia="宋体" w:cs="宋体"/>
                <w:color w:val="000000" w:themeColor="text1"/>
                <w:kern w:val="0"/>
                <w:szCs w:val="24"/>
                <w:highlight w:val="none"/>
                <w:lang w:val="en-US" w:eastAsia="zh-CN"/>
                <w14:textFill>
                  <w14:solidFill>
                    <w14:schemeClr w14:val="tx1"/>
                  </w14:solidFill>
                </w14:textFill>
              </w:rPr>
            </w:pPr>
            <w:r>
              <w:rPr>
                <w:rFonts w:hint="eastAsia" w:ascii="宋体" w:hAnsi="宋体" w:cs="宋体"/>
                <w:color w:val="000000" w:themeColor="text1"/>
                <w:kern w:val="0"/>
                <w:szCs w:val="24"/>
                <w:highlight w:val="none"/>
                <w:lang w:val="en-US" w:eastAsia="zh-CN"/>
                <w14:textFill>
                  <w14:solidFill>
                    <w14:schemeClr w14:val="tx1"/>
                  </w14:solidFill>
                </w14:textFill>
              </w:rPr>
              <w:t>1</w:t>
            </w:r>
          </w:p>
        </w:tc>
        <w:tc>
          <w:tcPr>
            <w:tcW w:w="1140" w:type="pct"/>
            <w:shd w:val="clear" w:color="000000" w:fill="FFFFFF"/>
            <w:vAlign w:val="center"/>
          </w:tcPr>
          <w:p w14:paraId="494CC3D9">
            <w:pPr>
              <w:widowControl/>
              <w:jc w:val="center"/>
              <w:rPr>
                <w:rFonts w:hint="eastAsia" w:ascii="宋体" w:hAnsi="宋体" w:eastAsia="宋体" w:cs="宋体"/>
                <w:color w:val="000000" w:themeColor="text1"/>
                <w:kern w:val="0"/>
                <w:szCs w:val="24"/>
                <w:highlight w:val="none"/>
                <w:lang w:val="en-US" w:eastAsia="zh-CN"/>
                <w14:textFill>
                  <w14:solidFill>
                    <w14:schemeClr w14:val="tx1"/>
                  </w14:solidFill>
                </w14:textFill>
              </w:rPr>
            </w:pPr>
            <w:r>
              <w:rPr>
                <w:rFonts w:hint="eastAsia" w:ascii="宋体" w:hAnsi="宋体" w:cs="宋体"/>
                <w:color w:val="000000" w:themeColor="text1"/>
                <w:kern w:val="0"/>
                <w:szCs w:val="24"/>
                <w:highlight w:val="none"/>
                <w:lang w:val="en-US" w:eastAsia="zh-CN"/>
                <w14:textFill>
                  <w14:solidFill>
                    <w14:schemeClr w14:val="tx1"/>
                  </w14:solidFill>
                </w14:textFill>
              </w:rPr>
              <w:t>台</w:t>
            </w:r>
          </w:p>
        </w:tc>
      </w:tr>
      <w:tr w14:paraId="51DBA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02" w:type="pct"/>
            <w:vMerge w:val="continue"/>
            <w:vAlign w:val="center"/>
          </w:tcPr>
          <w:p w14:paraId="0E607BFC">
            <w:pPr>
              <w:widowControl/>
              <w:ind w:firstLine="0" w:firstLineChars="0"/>
              <w:jc w:val="center"/>
              <w:rPr>
                <w:rFonts w:hint="eastAsia" w:ascii="宋体" w:hAnsi="宋体" w:cs="宋体"/>
                <w:color w:val="000000" w:themeColor="text1"/>
                <w:kern w:val="0"/>
                <w:szCs w:val="24"/>
                <w:highlight w:val="none"/>
                <w:lang w:val="en-US" w:eastAsia="zh-CN"/>
                <w14:textFill>
                  <w14:solidFill>
                    <w14:schemeClr w14:val="tx1"/>
                  </w14:solidFill>
                </w14:textFill>
              </w:rPr>
            </w:pPr>
          </w:p>
        </w:tc>
        <w:tc>
          <w:tcPr>
            <w:tcW w:w="762" w:type="pct"/>
            <w:vMerge w:val="continue"/>
            <w:vAlign w:val="center"/>
          </w:tcPr>
          <w:p w14:paraId="1EB7B477">
            <w:pPr>
              <w:widowControl/>
              <w:jc w:val="center"/>
              <w:rPr>
                <w:rFonts w:hint="eastAsia" w:ascii="宋体" w:hAnsi="宋体" w:cs="宋体"/>
                <w:color w:val="000000" w:themeColor="text1"/>
                <w:kern w:val="0"/>
                <w:szCs w:val="24"/>
                <w:highlight w:val="none"/>
                <w:lang w:val="en-US" w:eastAsia="zh-CN"/>
                <w14:textFill>
                  <w14:solidFill>
                    <w14:schemeClr w14:val="tx1"/>
                  </w14:solidFill>
                </w14:textFill>
              </w:rPr>
            </w:pPr>
          </w:p>
        </w:tc>
        <w:tc>
          <w:tcPr>
            <w:tcW w:w="1422" w:type="pct"/>
            <w:shd w:val="clear" w:color="000000" w:fill="FFFFFF"/>
            <w:vAlign w:val="center"/>
          </w:tcPr>
          <w:p w14:paraId="1AF2E3D9">
            <w:pPr>
              <w:widowControl/>
              <w:jc w:val="center"/>
              <w:rPr>
                <w:rFonts w:hint="default" w:ascii="宋体" w:hAnsi="宋体" w:eastAsia="宋体" w:cs="宋体"/>
                <w:color w:val="000000" w:themeColor="text1"/>
                <w:kern w:val="0"/>
                <w:szCs w:val="24"/>
                <w:highlight w:val="none"/>
                <w:lang w:val="en-US" w:eastAsia="zh-CN"/>
                <w14:textFill>
                  <w14:solidFill>
                    <w14:schemeClr w14:val="tx1"/>
                  </w14:solidFill>
                </w14:textFill>
              </w:rPr>
            </w:pPr>
            <w:r>
              <w:rPr>
                <w:rFonts w:hint="eastAsia" w:ascii="宋体" w:hAnsi="宋体" w:cs="宋体"/>
                <w:color w:val="000000" w:themeColor="text1"/>
                <w:kern w:val="0"/>
                <w:szCs w:val="24"/>
                <w:highlight w:val="none"/>
                <w:lang w:val="en-US" w:eastAsia="zh-CN"/>
                <w14:textFill>
                  <w14:solidFill>
                    <w14:schemeClr w14:val="tx1"/>
                  </w14:solidFill>
                </w14:textFill>
              </w:rPr>
              <w:t>基础配件</w:t>
            </w:r>
          </w:p>
        </w:tc>
        <w:tc>
          <w:tcPr>
            <w:tcW w:w="1371" w:type="pct"/>
            <w:shd w:val="clear" w:color="auto" w:fill="auto"/>
            <w:vAlign w:val="center"/>
          </w:tcPr>
          <w:p w14:paraId="74EAEE5F">
            <w:pPr>
              <w:widowControl/>
              <w:jc w:val="center"/>
              <w:rPr>
                <w:rFonts w:hint="default" w:ascii="宋体" w:hAnsi="宋体" w:eastAsia="宋体" w:cs="宋体"/>
                <w:color w:val="000000" w:themeColor="text1"/>
                <w:kern w:val="0"/>
                <w:szCs w:val="24"/>
                <w:highlight w:val="none"/>
                <w:lang w:val="en-US" w:eastAsia="zh-CN"/>
                <w14:textFill>
                  <w14:solidFill>
                    <w14:schemeClr w14:val="tx1"/>
                  </w14:solidFill>
                </w14:textFill>
              </w:rPr>
            </w:pPr>
            <w:r>
              <w:rPr>
                <w:rFonts w:hint="eastAsia" w:ascii="宋体" w:hAnsi="宋体" w:cs="宋体"/>
                <w:color w:val="000000" w:themeColor="text1"/>
                <w:kern w:val="0"/>
                <w:szCs w:val="24"/>
                <w:highlight w:val="none"/>
                <w:lang w:val="en-US" w:eastAsia="zh-CN"/>
                <w14:textFill>
                  <w14:solidFill>
                    <w14:schemeClr w14:val="tx1"/>
                  </w14:solidFill>
                </w14:textFill>
              </w:rPr>
              <w:t>1</w:t>
            </w:r>
          </w:p>
        </w:tc>
        <w:tc>
          <w:tcPr>
            <w:tcW w:w="1140" w:type="pct"/>
            <w:shd w:val="clear" w:color="000000" w:fill="FFFFFF"/>
            <w:vAlign w:val="center"/>
          </w:tcPr>
          <w:p w14:paraId="5A617C7F">
            <w:pPr>
              <w:widowControl/>
              <w:jc w:val="center"/>
              <w:rPr>
                <w:rFonts w:hint="eastAsia" w:ascii="宋体" w:hAnsi="宋体" w:eastAsia="宋体" w:cs="宋体"/>
                <w:color w:val="000000" w:themeColor="text1"/>
                <w:kern w:val="0"/>
                <w:szCs w:val="24"/>
                <w:highlight w:val="none"/>
                <w:lang w:val="en-US" w:eastAsia="zh-CN"/>
                <w14:textFill>
                  <w14:solidFill>
                    <w14:schemeClr w14:val="tx1"/>
                  </w14:solidFill>
                </w14:textFill>
              </w:rPr>
            </w:pPr>
            <w:r>
              <w:rPr>
                <w:rFonts w:hint="eastAsia" w:ascii="宋体" w:hAnsi="宋体" w:cs="宋体"/>
                <w:color w:val="000000" w:themeColor="text1"/>
                <w:kern w:val="0"/>
                <w:szCs w:val="24"/>
                <w:highlight w:val="none"/>
                <w:lang w:val="en-US" w:eastAsia="zh-CN"/>
                <w14:textFill>
                  <w14:solidFill>
                    <w14:schemeClr w14:val="tx1"/>
                  </w14:solidFill>
                </w14:textFill>
              </w:rPr>
              <w:t>套</w:t>
            </w:r>
          </w:p>
        </w:tc>
      </w:tr>
    </w:tbl>
    <w:p w14:paraId="0DDA817B">
      <w:pPr>
        <w:numPr>
          <w:ilvl w:val="0"/>
          <w:numId w:val="4"/>
        </w:numPr>
        <w:bidi w:val="0"/>
        <w:jc w:val="center"/>
        <w:rPr>
          <w:rFonts w:hint="eastAsia"/>
          <w:highlight w:val="none"/>
        </w:rPr>
      </w:pPr>
      <w:r>
        <w:rPr>
          <w:rFonts w:hint="eastAsia"/>
          <w:highlight w:val="none"/>
        </w:rPr>
        <w:t>技术参数</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930"/>
        <w:gridCol w:w="936"/>
        <w:gridCol w:w="1033"/>
        <w:gridCol w:w="11285"/>
      </w:tblGrid>
      <w:tr w14:paraId="3635D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328" w:type="pct"/>
            <w:shd w:val="clear" w:color="auto" w:fill="auto"/>
            <w:tcMar>
              <w:top w:w="60" w:type="dxa"/>
              <w:left w:w="120" w:type="dxa"/>
              <w:bottom w:w="30" w:type="dxa"/>
              <w:right w:w="120" w:type="dxa"/>
            </w:tcMar>
            <w:vAlign w:val="center"/>
          </w:tcPr>
          <w:p w14:paraId="3192E914">
            <w:pPr>
              <w:spacing w:line="360" w:lineRule="auto"/>
              <w:jc w:val="center"/>
              <w:rPr>
                <w:rFonts w:hint="eastAsia" w:ascii="宋体" w:hAnsi="宋体" w:cstheme="minorEastAsia"/>
                <w:b/>
                <w:color w:val="000000" w:themeColor="text1"/>
                <w:szCs w:val="24"/>
                <w:highlight w:val="none"/>
                <w14:textFill>
                  <w14:solidFill>
                    <w14:schemeClr w14:val="tx1"/>
                  </w14:solidFill>
                </w14:textFill>
              </w:rPr>
            </w:pPr>
            <w:bookmarkStart w:id="61" w:name="_Hlk201924909"/>
            <w:r>
              <w:rPr>
                <w:rFonts w:hint="eastAsia" w:ascii="宋体" w:hAnsi="宋体" w:cstheme="minorEastAsia"/>
                <w:b/>
                <w:color w:val="000000" w:themeColor="text1"/>
                <w:szCs w:val="24"/>
                <w:highlight w:val="none"/>
                <w14:textFill>
                  <w14:solidFill>
                    <w14:schemeClr w14:val="tx1"/>
                  </w14:solidFill>
                </w14:textFill>
              </w:rPr>
              <w:t>序号</w:t>
            </w:r>
          </w:p>
        </w:tc>
        <w:tc>
          <w:tcPr>
            <w:tcW w:w="330" w:type="pct"/>
            <w:shd w:val="clear" w:color="auto" w:fill="auto"/>
            <w:vAlign w:val="center"/>
          </w:tcPr>
          <w:p w14:paraId="66A3CA6B">
            <w:pPr>
              <w:spacing w:line="360" w:lineRule="auto"/>
              <w:jc w:val="center"/>
              <w:rPr>
                <w:rFonts w:hint="eastAsia" w:ascii="宋体" w:hAnsi="宋体" w:cstheme="minorEastAsia"/>
                <w:b/>
                <w:color w:val="000000" w:themeColor="text1"/>
                <w:szCs w:val="24"/>
                <w:highlight w:val="none"/>
                <w14:textFill>
                  <w14:solidFill>
                    <w14:schemeClr w14:val="tx1"/>
                  </w14:solidFill>
                </w14:textFill>
              </w:rPr>
            </w:pPr>
            <w:r>
              <w:rPr>
                <w:rFonts w:hint="eastAsia" w:ascii="宋体" w:hAnsi="宋体" w:cstheme="minorEastAsia"/>
                <w:b/>
                <w:color w:val="000000" w:themeColor="text1"/>
                <w:szCs w:val="24"/>
                <w:highlight w:val="none"/>
                <w14:textFill>
                  <w14:solidFill>
                    <w14:schemeClr w14:val="tx1"/>
                  </w14:solidFill>
                </w14:textFill>
              </w:rPr>
              <w:t>名称</w:t>
            </w:r>
          </w:p>
        </w:tc>
        <w:tc>
          <w:tcPr>
            <w:tcW w:w="364" w:type="pct"/>
            <w:shd w:val="clear" w:color="auto" w:fill="auto"/>
            <w:vAlign w:val="center"/>
          </w:tcPr>
          <w:p w14:paraId="40D1B337">
            <w:pPr>
              <w:spacing w:line="360" w:lineRule="auto"/>
              <w:jc w:val="center"/>
              <w:rPr>
                <w:rFonts w:hint="eastAsia" w:ascii="宋体" w:hAnsi="宋体" w:cstheme="minorEastAsia"/>
                <w:b/>
                <w:color w:val="000000" w:themeColor="text1"/>
                <w:szCs w:val="24"/>
                <w:highlight w:val="none"/>
                <w14:textFill>
                  <w14:solidFill>
                    <w14:schemeClr w14:val="tx1"/>
                  </w14:solidFill>
                </w14:textFill>
              </w:rPr>
            </w:pPr>
            <w:r>
              <w:rPr>
                <w:rFonts w:hint="eastAsia" w:ascii="宋体" w:hAnsi="宋体" w:cstheme="minorEastAsia"/>
                <w:b/>
                <w:color w:val="000000" w:themeColor="text1"/>
                <w:szCs w:val="24"/>
                <w:highlight w:val="none"/>
                <w14:textFill>
                  <w14:solidFill>
                    <w14:schemeClr w14:val="tx1"/>
                  </w14:solidFill>
                </w14:textFill>
              </w:rPr>
              <w:t>功能模块</w:t>
            </w:r>
          </w:p>
        </w:tc>
        <w:tc>
          <w:tcPr>
            <w:tcW w:w="3978" w:type="pct"/>
            <w:shd w:val="clear" w:color="auto" w:fill="auto"/>
            <w:tcMar>
              <w:top w:w="60" w:type="dxa"/>
              <w:left w:w="120" w:type="dxa"/>
              <w:bottom w:w="30" w:type="dxa"/>
              <w:right w:w="120" w:type="dxa"/>
            </w:tcMar>
            <w:vAlign w:val="center"/>
          </w:tcPr>
          <w:p w14:paraId="63136425">
            <w:pPr>
              <w:spacing w:line="360" w:lineRule="auto"/>
              <w:jc w:val="center"/>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b/>
                <w:color w:val="000000" w:themeColor="text1"/>
                <w:szCs w:val="24"/>
                <w:highlight w:val="none"/>
                <w14:textFill>
                  <w14:solidFill>
                    <w14:schemeClr w14:val="tx1"/>
                  </w14:solidFill>
                </w14:textFill>
              </w:rPr>
              <w:t>技术要求</w:t>
            </w:r>
          </w:p>
        </w:tc>
      </w:tr>
      <w:tr w14:paraId="30B3E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328" w:type="pct"/>
            <w:vMerge w:val="restart"/>
            <w:shd w:val="clear" w:color="auto" w:fill="auto"/>
            <w:tcMar>
              <w:top w:w="60" w:type="dxa"/>
              <w:left w:w="120" w:type="dxa"/>
              <w:bottom w:w="30" w:type="dxa"/>
              <w:right w:w="120" w:type="dxa"/>
            </w:tcMar>
            <w:vAlign w:val="center"/>
          </w:tcPr>
          <w:p w14:paraId="250247E8">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theme="minorEastAsia"/>
                <w:bCs/>
                <w:color w:val="000000" w:themeColor="text1"/>
                <w:szCs w:val="24"/>
                <w:highlight w:val="none"/>
                <w14:textFill>
                  <w14:solidFill>
                    <w14:schemeClr w14:val="tx1"/>
                  </w14:solidFill>
                </w14:textFill>
              </w:rPr>
              <w:t>1</w:t>
            </w:r>
          </w:p>
        </w:tc>
        <w:tc>
          <w:tcPr>
            <w:tcW w:w="330" w:type="pct"/>
            <w:vMerge w:val="restart"/>
            <w:shd w:val="clear" w:color="auto" w:fill="auto"/>
            <w:vAlign w:val="center"/>
          </w:tcPr>
          <w:p w14:paraId="25DC0779">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theme="minorEastAsia"/>
                <w:bCs/>
                <w:color w:val="000000" w:themeColor="text1"/>
                <w:szCs w:val="24"/>
                <w:highlight w:val="none"/>
                <w14:textFill>
                  <w14:solidFill>
                    <w14:schemeClr w14:val="tx1"/>
                  </w14:solidFill>
                </w14:textFill>
              </w:rPr>
              <w:t>大数据精准教学系统</w:t>
            </w:r>
            <w:r>
              <w:rPr>
                <w:rFonts w:hint="eastAsia" w:ascii="宋体" w:hAnsi="宋体" w:cs="宋体"/>
                <w:b/>
                <w:bCs/>
                <w:color w:val="000000" w:themeColor="text1"/>
                <w:kern w:val="0"/>
                <w:szCs w:val="24"/>
                <w:highlight w:val="none"/>
                <w:lang w:eastAsia="zh-CN"/>
                <w14:textFill>
                  <w14:solidFill>
                    <w14:schemeClr w14:val="tx1"/>
                  </w14:solidFill>
                </w14:textFill>
              </w:rPr>
              <w:t>（</w:t>
            </w:r>
            <w:r>
              <w:rPr>
                <w:rFonts w:hint="eastAsia" w:ascii="宋体" w:hAnsi="宋体" w:cs="宋体"/>
                <w:b/>
                <w:bCs/>
                <w:color w:val="000000" w:themeColor="text1"/>
                <w:kern w:val="0"/>
                <w:szCs w:val="24"/>
                <w:highlight w:val="none"/>
                <w:lang w:val="en-US" w:eastAsia="zh-CN"/>
                <w14:textFill>
                  <w14:solidFill>
                    <w14:schemeClr w14:val="tx1"/>
                  </w14:solidFill>
                </w14:textFill>
              </w:rPr>
              <w:t>核心产品</w:t>
            </w:r>
            <w:r>
              <w:rPr>
                <w:rFonts w:hint="eastAsia" w:ascii="宋体" w:hAnsi="宋体" w:cs="宋体"/>
                <w:b/>
                <w:bCs/>
                <w:color w:val="000000" w:themeColor="text1"/>
                <w:kern w:val="0"/>
                <w:szCs w:val="24"/>
                <w:highlight w:val="none"/>
                <w:lang w:eastAsia="zh-CN"/>
                <w14:textFill>
                  <w14:solidFill>
                    <w14:schemeClr w14:val="tx1"/>
                  </w14:solidFill>
                </w14:textFill>
              </w:rPr>
              <w:t>）</w:t>
            </w:r>
          </w:p>
        </w:tc>
        <w:tc>
          <w:tcPr>
            <w:tcW w:w="364" w:type="pct"/>
            <w:shd w:val="clear" w:color="auto" w:fill="auto"/>
            <w:tcMar>
              <w:top w:w="60" w:type="dxa"/>
              <w:left w:w="120" w:type="dxa"/>
              <w:bottom w:w="30" w:type="dxa"/>
              <w:right w:w="120" w:type="dxa"/>
            </w:tcMar>
            <w:vAlign w:val="center"/>
          </w:tcPr>
          <w:p w14:paraId="57228888">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theme="minorEastAsia"/>
                <w:bCs/>
                <w:color w:val="000000" w:themeColor="text1"/>
                <w:szCs w:val="24"/>
                <w:highlight w:val="none"/>
                <w14:textFill>
                  <w14:solidFill>
                    <w14:schemeClr w14:val="tx1"/>
                  </w14:solidFill>
                </w14:textFill>
              </w:rPr>
              <w:t>精准题库</w:t>
            </w:r>
          </w:p>
        </w:tc>
        <w:tc>
          <w:tcPr>
            <w:tcW w:w="3978" w:type="pct"/>
            <w:shd w:val="clear" w:color="auto" w:fill="auto"/>
            <w:tcMar>
              <w:top w:w="60" w:type="dxa"/>
              <w:left w:w="120" w:type="dxa"/>
              <w:bottom w:w="30" w:type="dxa"/>
              <w:right w:w="120" w:type="dxa"/>
            </w:tcMar>
            <w:vAlign w:val="center"/>
          </w:tcPr>
          <w:p w14:paraId="3A5B885A">
            <w:pPr>
              <w:numPr>
                <w:ilvl w:val="0"/>
                <w:numId w:val="5"/>
              </w:num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需提供不少于1000万道试题资源，覆盖高中语文、数学、英语、物理、化学、生物、政治、历史、地理、信息技术、通用技术、思想政治学科；初中语文、数学、英语、物理、化学、生物、政治、历史、地理、道德与法治、历史与社会、科学、信息技术学科；试题提供组卷次数、作答人数、平均得分率、解析、考情信息，支持教师对试题进行纠错与收藏；</w:t>
            </w:r>
          </w:p>
          <w:p w14:paraId="525907FF">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宋体"/>
                <w:color w:val="000000" w:themeColor="text1"/>
                <w:kern w:val="0"/>
                <w:szCs w:val="24"/>
                <w:highlight w:val="none"/>
                <w:lang w:eastAsia="zh-CN"/>
                <w14:textFill>
                  <w14:solidFill>
                    <w14:schemeClr w14:val="tx1"/>
                  </w14:solidFill>
                </w14:textFill>
              </w:rPr>
              <w:t>★</w:t>
            </w:r>
            <w:r>
              <w:rPr>
                <w:rFonts w:hint="eastAsia" w:ascii="宋体" w:hAnsi="宋体" w:cstheme="minorEastAsia"/>
                <w:color w:val="000000" w:themeColor="text1"/>
                <w:szCs w:val="24"/>
                <w:highlight w:val="none"/>
                <w14:textFill>
                  <w14:solidFill>
                    <w14:schemeClr w14:val="tx1"/>
                  </w14:solidFill>
                </w14:textFill>
              </w:rPr>
              <w:t>2、题库需包含通用资源库、校本资源库、教师个人资源库。支持教师上传Word试卷或在线新建试题，初高中数学、物理、化学、生物、历史学科系统自动标注试题知识点，全学科支持教师自主标注知识点、</w:t>
            </w:r>
            <w:r>
              <w:rPr>
                <w:rFonts w:hint="eastAsia" w:ascii="宋体" w:hAnsi="宋体" w:cstheme="minorEastAsia"/>
                <w:bCs/>
                <w:color w:val="000000" w:themeColor="text1"/>
                <w:szCs w:val="24"/>
                <w:highlight w:val="none"/>
                <w14:textFill>
                  <w14:solidFill>
                    <w14:schemeClr w14:val="tx1"/>
                  </w14:solidFill>
                </w14:textFill>
              </w:rPr>
              <w:t>答案、解析、难度，支持教师对自己的试卷及试题进行共</w:t>
            </w:r>
            <w:r>
              <w:rPr>
                <w:rFonts w:hint="eastAsia" w:ascii="宋体" w:hAnsi="宋体" w:cstheme="minorEastAsia"/>
                <w:color w:val="000000" w:themeColor="text1"/>
                <w:szCs w:val="24"/>
                <w:highlight w:val="none"/>
                <w14:textFill>
                  <w14:solidFill>
                    <w14:schemeClr w14:val="tx1"/>
                  </w14:solidFill>
                </w14:textFill>
              </w:rPr>
              <w:t>享；</w:t>
            </w:r>
          </w:p>
          <w:p w14:paraId="74CF4CDB">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3、需支持学校建立本校个性化试题试卷分类；支持教师自定义试卷或试题分类；</w:t>
            </w:r>
          </w:p>
          <w:p w14:paraId="76725181">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4、需支持选择教材、同步章节，系统自动呈现章节下涵盖知识点、试题，支持按题型、难度、所属试卷类型筛选试题进行组卷；</w:t>
            </w:r>
          </w:p>
          <w:p w14:paraId="5C43D729">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5、需支持知识点单选、多选两种知识点组卷方式，知识点多选支持选择知识点交集、知识点并集；支持按年级、题型、难度、所属试卷类型维度筛选试题进行组卷；</w:t>
            </w:r>
          </w:p>
          <w:p w14:paraId="5A563EB2">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6、需支持按试卷适用年级、年份、试卷名称筛选试卷；支持按知识点、章节维度筛选试题进行组卷；</w:t>
            </w:r>
          </w:p>
          <w:p w14:paraId="776BB3AB">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7、需支持按时间、得分率范围筛选班级共性错题和班级薄弱点，系统自动推荐相关训练题组卷，进行错题再练和薄弱点专项训练；</w:t>
            </w:r>
          </w:p>
          <w:p w14:paraId="4B7669E8">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8、需支持初高中数学、物理、化学、生物、历史学科从题库中任意选择一张试卷作为模板，沿用原卷的知识点、题型、分数、难度结构维度重新匹配试题，模拟生成一份新试卷；需支持所有试题重新匹配、教师选定部分试题不更换2种方式；组卷完成后，支持教师查看原题及原卷，进行相关度对比；提供组卷后试卷分析，包括总体分布分析、知识点分析；</w:t>
            </w:r>
          </w:p>
          <w:p w14:paraId="22166004">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 xml:space="preserve">9、需支持初高中数学、物理、化学学科提供细目表组卷方式，支持设置试卷名称、试卷要求、试卷题型题量，支持设置知识点、难度、分值维度的细目表明细，系统自动生成细目表组卷试卷； </w:t>
            </w:r>
          </w:p>
          <w:p w14:paraId="22226E3A">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10、需支持高中数学、物理学科进行APP移动端选题，支持按章节、知识点、高考总复习、试卷等各维度选题组卷，支持对用户个人组卷进行试题汇编、换题、排序、下载、考试。</w:t>
            </w:r>
          </w:p>
        </w:tc>
      </w:tr>
      <w:tr w14:paraId="6DB52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328" w:type="pct"/>
            <w:vMerge w:val="continue"/>
            <w:shd w:val="clear" w:color="auto" w:fill="auto"/>
            <w:tcMar>
              <w:top w:w="60" w:type="dxa"/>
              <w:left w:w="120" w:type="dxa"/>
              <w:bottom w:w="30" w:type="dxa"/>
              <w:right w:w="120" w:type="dxa"/>
            </w:tcMar>
            <w:vAlign w:val="center"/>
          </w:tcPr>
          <w:p w14:paraId="0E76ED80">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30" w:type="pct"/>
            <w:vMerge w:val="continue"/>
            <w:shd w:val="clear" w:color="auto" w:fill="auto"/>
            <w:vAlign w:val="center"/>
          </w:tcPr>
          <w:p w14:paraId="79FD8F43">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64" w:type="pct"/>
            <w:shd w:val="clear" w:color="auto" w:fill="auto"/>
            <w:tcMar>
              <w:top w:w="60" w:type="dxa"/>
              <w:left w:w="120" w:type="dxa"/>
              <w:bottom w:w="30" w:type="dxa"/>
              <w:right w:w="120" w:type="dxa"/>
            </w:tcMar>
            <w:vAlign w:val="center"/>
          </w:tcPr>
          <w:p w14:paraId="4DA9D542">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theme="minorEastAsia"/>
                <w:bCs/>
                <w:color w:val="000000" w:themeColor="text1"/>
                <w:szCs w:val="24"/>
                <w:highlight w:val="none"/>
                <w14:textFill>
                  <w14:solidFill>
                    <w14:schemeClr w14:val="tx1"/>
                  </w14:solidFill>
                </w14:textFill>
              </w:rPr>
              <w:t>精选题库</w:t>
            </w:r>
          </w:p>
        </w:tc>
        <w:tc>
          <w:tcPr>
            <w:tcW w:w="3978" w:type="pct"/>
            <w:shd w:val="clear" w:color="auto" w:fill="auto"/>
            <w:tcMar>
              <w:top w:w="60" w:type="dxa"/>
              <w:left w:w="120" w:type="dxa"/>
              <w:bottom w:w="30" w:type="dxa"/>
              <w:right w:w="120" w:type="dxa"/>
            </w:tcMar>
            <w:vAlign w:val="center"/>
          </w:tcPr>
          <w:p w14:paraId="648B2EAC">
            <w:pPr>
              <w:spacing w:line="360" w:lineRule="auto"/>
              <w:rPr>
                <w:rFonts w:hint="eastAsia" w:ascii="宋体" w:hAnsi="宋体" w:cstheme="minorEastAsia"/>
                <w:b/>
                <w:bCs/>
                <w:color w:val="000000" w:themeColor="text1"/>
                <w:szCs w:val="24"/>
                <w:highlight w:val="none"/>
                <w14:textFill>
                  <w14:solidFill>
                    <w14:schemeClr w14:val="tx1"/>
                  </w14:solidFill>
                </w14:textFill>
              </w:rPr>
            </w:pPr>
            <w:r>
              <w:rPr>
                <w:rFonts w:hint="eastAsia" w:ascii="宋体" w:hAnsi="宋体" w:cstheme="minorEastAsia"/>
                <w:b/>
                <w:bCs/>
                <w:color w:val="000000" w:themeColor="text1"/>
                <w:szCs w:val="24"/>
                <w:highlight w:val="none"/>
                <w14:textFill>
                  <w14:solidFill>
                    <w14:schemeClr w14:val="tx1"/>
                  </w14:solidFill>
                </w14:textFill>
              </w:rPr>
              <w:t>一、精选题库</w:t>
            </w:r>
          </w:p>
          <w:p w14:paraId="6943A6A1">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1、支持教师上传Word试卷或在线新建试题，高中语文、数学、英语、物理、化学、生物、政治、历史、地理9大学科手动标注新高考素养标签和新高考知识点，支持教师共享试卷及试题；</w:t>
            </w:r>
          </w:p>
          <w:p w14:paraId="15C9145F">
            <w:pPr>
              <w:spacing w:line="360" w:lineRule="auto"/>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2、需支持提供高频区域错题：支持按年级、区域、时间维度（年份/月份）、得分率等维度筛选区域高频错题，错题支持按知识点体系汇聚展示，</w:t>
            </w:r>
            <w:r>
              <w:rPr>
                <w:rFonts w:hint="eastAsia" w:ascii="宋体" w:hAnsi="宋体" w:cstheme="minorEastAsia"/>
                <w:bCs/>
                <w:color w:val="000000" w:themeColor="text1"/>
                <w:szCs w:val="24"/>
                <w:highlight w:val="none"/>
                <w14:textFill>
                  <w14:solidFill>
                    <w14:schemeClr w14:val="tx1"/>
                  </w14:solidFill>
                </w14:textFill>
              </w:rPr>
              <w:t>支持更细维度知识点、得分率区间、题型、难度、考试类型维度筛选区域共性错题，支持以Word文档格式导出错题；</w:t>
            </w:r>
          </w:p>
          <w:p w14:paraId="0D0C9114">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3、需支持按试卷适用年级、年份、试卷名称筛选新高考精加工的试卷；支持按知识点、章节维度筛选试题进行组卷；</w:t>
            </w:r>
          </w:p>
          <w:p w14:paraId="415E01AD">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4、需支持选择教材、同步章节，系统自动呈现章节下涵盖新课标知识点、试题，支持按题型、难度、所属试卷类型筛选试题进行组卷；</w:t>
            </w:r>
          </w:p>
          <w:p w14:paraId="71CC7870">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5、需支持初高中数学、物理、化学学科提供多卷智能组合组卷方式，支持设置试卷要求查找试卷、挑选试卷，试卷试题按题型、知识点、</w:t>
            </w:r>
            <w:r>
              <w:rPr>
                <w:rFonts w:hint="eastAsia" w:ascii="宋体" w:hAnsi="宋体" w:cstheme="minorEastAsia"/>
                <w:bCs/>
                <w:color w:val="000000" w:themeColor="text1"/>
                <w:szCs w:val="24"/>
                <w:highlight w:val="none"/>
                <w14:textFill>
                  <w14:solidFill>
                    <w14:schemeClr w14:val="tx1"/>
                  </w14:solidFill>
                </w14:textFill>
              </w:rPr>
              <w:t>难度</w:t>
            </w:r>
            <w:r>
              <w:rPr>
                <w:rFonts w:hint="eastAsia" w:ascii="宋体" w:hAnsi="宋体" w:cstheme="minorEastAsia"/>
                <w:color w:val="000000" w:themeColor="text1"/>
                <w:szCs w:val="24"/>
                <w:highlight w:val="none"/>
                <w14:textFill>
                  <w14:solidFill>
                    <w14:schemeClr w14:val="tx1"/>
                  </w14:solidFill>
                </w14:textFill>
              </w:rPr>
              <w:t>维度，归类汇总。</w:t>
            </w:r>
          </w:p>
          <w:p w14:paraId="76A7DCE4">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二、</w:t>
            </w:r>
            <w:r>
              <w:rPr>
                <w:rFonts w:hint="eastAsia" w:ascii="宋体" w:hAnsi="宋体" w:cstheme="minorEastAsia"/>
                <w:b/>
                <w:bCs/>
                <w:color w:val="000000" w:themeColor="text1"/>
                <w:szCs w:val="24"/>
                <w:highlight w:val="none"/>
                <w14:textFill>
                  <w14:solidFill>
                    <w14:schemeClr w14:val="tx1"/>
                  </w14:solidFill>
                </w14:textFill>
              </w:rPr>
              <w:t>高中资源</w:t>
            </w:r>
          </w:p>
          <w:p w14:paraId="5BCD7309">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1、知识体系：需匹配最新的教材知识体系；</w:t>
            </w:r>
          </w:p>
          <w:p w14:paraId="6BDD4BBF">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2、试题标签：需适配高考改革试题多维标签，包括核心素养、情境、题类、思想方法、解题方法标签体系；</w:t>
            </w:r>
          </w:p>
          <w:p w14:paraId="2F5FAE1E">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3、需支持高中语文、数学、英语、物理、化学、生物、历史、思想政治按核心素养维度维度筛选试题；</w:t>
            </w:r>
          </w:p>
          <w:p w14:paraId="3FAC5E50">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4、需支持高中数学、物理学科进行APP移动端选题，支持按章节、知识点、高考总复习、试卷等各维度选题组卷，支持对用户个人组卷进行试题汇编、换题、排序、下载、考试；</w:t>
            </w:r>
          </w:p>
          <w:p w14:paraId="0B0D8868">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5、名师原创资源：需含有名校名师精品原创试题、试卷、专题类资源。</w:t>
            </w:r>
          </w:p>
          <w:p w14:paraId="355908D8">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三、</w:t>
            </w:r>
            <w:r>
              <w:rPr>
                <w:rFonts w:hint="eastAsia" w:ascii="宋体" w:hAnsi="宋体" w:cstheme="minorEastAsia"/>
                <w:b/>
                <w:bCs/>
                <w:color w:val="000000" w:themeColor="text1"/>
                <w:szCs w:val="24"/>
                <w:highlight w:val="none"/>
                <w14:textFill>
                  <w14:solidFill>
                    <w14:schemeClr w14:val="tx1"/>
                  </w14:solidFill>
                </w14:textFill>
              </w:rPr>
              <w:t>初中资源</w:t>
            </w:r>
          </w:p>
          <w:p w14:paraId="0C7DEF90">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1、知识体系：需匹配最新的新教材知识体系；</w:t>
            </w:r>
          </w:p>
          <w:p w14:paraId="6EF9C271">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2、试题标签：需适配中考改革试题多维标签，包括核心素养、情境、题类、思想方法、解题方法标签体系。</w:t>
            </w:r>
          </w:p>
        </w:tc>
      </w:tr>
      <w:tr w14:paraId="2DC7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328" w:type="pct"/>
            <w:vMerge w:val="continue"/>
            <w:shd w:val="clear" w:color="auto" w:fill="auto"/>
            <w:tcMar>
              <w:top w:w="60" w:type="dxa"/>
              <w:left w:w="120" w:type="dxa"/>
              <w:bottom w:w="30" w:type="dxa"/>
              <w:right w:w="120" w:type="dxa"/>
            </w:tcMar>
            <w:vAlign w:val="center"/>
          </w:tcPr>
          <w:p w14:paraId="4406A1EA">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30" w:type="pct"/>
            <w:vMerge w:val="continue"/>
            <w:shd w:val="clear" w:color="auto" w:fill="auto"/>
            <w:vAlign w:val="center"/>
          </w:tcPr>
          <w:p w14:paraId="036ABFA1">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64" w:type="pct"/>
            <w:shd w:val="clear" w:color="auto" w:fill="auto"/>
            <w:tcMar>
              <w:top w:w="60" w:type="dxa"/>
              <w:left w:w="120" w:type="dxa"/>
              <w:bottom w:w="30" w:type="dxa"/>
              <w:right w:w="120" w:type="dxa"/>
            </w:tcMar>
            <w:vAlign w:val="center"/>
          </w:tcPr>
          <w:p w14:paraId="2FEE1561">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theme="minorEastAsia"/>
                <w:bCs/>
                <w:color w:val="000000" w:themeColor="text1"/>
                <w:szCs w:val="24"/>
                <w:highlight w:val="none"/>
                <w14:textFill>
                  <w14:solidFill>
                    <w14:schemeClr w14:val="tx1"/>
                  </w14:solidFill>
                </w14:textFill>
              </w:rPr>
              <w:t>大数据采集</w:t>
            </w:r>
          </w:p>
        </w:tc>
        <w:tc>
          <w:tcPr>
            <w:tcW w:w="3978" w:type="pct"/>
            <w:shd w:val="clear" w:color="auto" w:fill="auto"/>
            <w:tcMar>
              <w:top w:w="60" w:type="dxa"/>
              <w:left w:w="120" w:type="dxa"/>
              <w:bottom w:w="30" w:type="dxa"/>
              <w:right w:w="120" w:type="dxa"/>
            </w:tcMar>
            <w:vAlign w:val="center"/>
          </w:tcPr>
          <w:p w14:paraId="684B4F3F">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ascii="宋体" w:hAnsi="宋体" w:cstheme="minorEastAsia"/>
                <w:color w:val="000000" w:themeColor="text1"/>
                <w:szCs w:val="24"/>
                <w:highlight w:val="none"/>
                <w14:textFill>
                  <w14:solidFill>
                    <w14:schemeClr w14:val="tx1"/>
                  </w14:solidFill>
                </w14:textFill>
              </w:rPr>
              <w:t>一、</w:t>
            </w:r>
            <w:r>
              <w:rPr>
                <w:rFonts w:hint="eastAsia" w:ascii="宋体" w:hAnsi="宋体" w:cstheme="minorEastAsia"/>
                <w:b/>
                <w:color w:val="000000" w:themeColor="text1"/>
                <w:szCs w:val="24"/>
                <w:highlight w:val="none"/>
                <w14:textFill>
                  <w14:solidFill>
                    <w14:schemeClr w14:val="tx1"/>
                  </w14:solidFill>
                </w14:textFill>
              </w:rPr>
              <w:t>网阅数据采集</w:t>
            </w:r>
          </w:p>
          <w:p w14:paraId="77206C9E">
            <w:pPr>
              <w:numPr>
                <w:ilvl w:val="1"/>
                <w:numId w:val="0"/>
              </w:num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ascii="宋体" w:hAnsi="宋体" w:cs="宋体"/>
                <w:color w:val="000000" w:themeColor="text1"/>
                <w:szCs w:val="24"/>
                <w:highlight w:val="none"/>
                <w14:textFill>
                  <w14:solidFill>
                    <w14:schemeClr w14:val="tx1"/>
                  </w14:solidFill>
                </w14:textFill>
              </w:rPr>
              <w:t>（一）</w:t>
            </w:r>
            <w:r>
              <w:rPr>
                <w:rFonts w:hint="eastAsia" w:ascii="宋体" w:hAnsi="宋体" w:cstheme="minorEastAsia"/>
                <w:b/>
                <w:color w:val="000000" w:themeColor="text1"/>
                <w:szCs w:val="24"/>
                <w:highlight w:val="none"/>
                <w14:textFill>
                  <w14:solidFill>
                    <w14:schemeClr w14:val="tx1"/>
                  </w14:solidFill>
                </w14:textFill>
              </w:rPr>
              <w:t>考试管理</w:t>
            </w:r>
          </w:p>
          <w:p w14:paraId="0FD6CF92">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1、需支持学校周考、月考、期中、期末考试采集；支持考试试卷上传和教师自主进行资源标注；</w:t>
            </w:r>
          </w:p>
          <w:p w14:paraId="2B92751C">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2、需支持根据考场数、学生数进行智能排考场，并对应学生相应的准考证号，可导出Excel表格；</w:t>
            </w:r>
          </w:p>
          <w:p w14:paraId="424D27B2">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3、需支持批量生成学生条形码；</w:t>
            </w:r>
          </w:p>
          <w:p w14:paraId="03398F8F">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4、使用自定义考号进行非补录考试，需支持在创建考试时进行自定义考号的校验，批量导出未设置自定义考号的学生；</w:t>
            </w:r>
          </w:p>
          <w:p w14:paraId="2A808D3A">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 xml:space="preserve">5、需支持学校控制发布成绩：支持按照角色、科目、部分老师选择屏蔽或发布成绩； </w:t>
            </w:r>
          </w:p>
          <w:p w14:paraId="1C7936CE">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6、需支持考试成绩快速灵活补录，支持小题分补录；支持正常扫描试卷的考试，补录其中部分学生成绩，无需重新扫描试卷；</w:t>
            </w:r>
          </w:p>
          <w:p w14:paraId="4E11CAAD">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7、需支持自定义多选题得分规则；</w:t>
            </w:r>
          </w:p>
          <w:p w14:paraId="16EEF9D0">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8、需支持多种阅卷任务分配方式，（1）按照任务总量平均分配；（2）自定义教师阅卷任务量；（3）固定教师阅卷任务量；支持阅卷过程中灵活调整老师任务量；</w:t>
            </w:r>
          </w:p>
          <w:p w14:paraId="1A0BA171">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9、需支持批量设置阅卷老师、仲裁老师、题组长、科组长；支持导入其他考试或学科的阅卷设置；支持创建临时账号参与阅卷；支持快速将选中的阅卷老师分配给所有题；支持设置打分规则和时间间隔限制；</w:t>
            </w:r>
          </w:p>
          <w:p w14:paraId="5F4D4A56">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10、需支持管理员批量设置客观题答案和分值；支持管理员设置步骤分；设置按照切图块进行分开打分；支持管理员对编辑切图后的小题设置批量阅卷；支持管理员给定分值进行打分限制；</w:t>
            </w:r>
          </w:p>
          <w:p w14:paraId="2646ED80">
            <w:pPr>
              <w:tabs>
                <w:tab w:val="left" w:pos="0"/>
              </w:tabs>
              <w:spacing w:line="360" w:lineRule="auto"/>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11、支持对试题设置单评、双评、按比例双评、三评；</w:t>
            </w:r>
            <w:r>
              <w:rPr>
                <w:rFonts w:hint="eastAsia" w:ascii="宋体" w:hAnsi="宋体" w:cstheme="minorEastAsia"/>
                <w:bCs/>
                <w:color w:val="000000" w:themeColor="text1"/>
                <w:szCs w:val="24"/>
                <w:highlight w:val="none"/>
                <w14:textFill>
                  <w14:solidFill>
                    <w14:schemeClr w14:val="tx1"/>
                  </w14:solidFill>
                </w14:textFill>
              </w:rPr>
              <w:t>支持自定义仲裁分差值；</w:t>
            </w:r>
          </w:p>
          <w:p w14:paraId="0D8F715D">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12、需支持集中、分散或集中与分散相结合的方式进行网上阅卷。</w:t>
            </w:r>
          </w:p>
          <w:p w14:paraId="36CDCEBF">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（二）</w:t>
            </w:r>
            <w:r>
              <w:rPr>
                <w:rFonts w:hint="eastAsia" w:ascii="宋体" w:hAnsi="宋体" w:cstheme="minorEastAsia"/>
                <w:b/>
                <w:bCs/>
                <w:color w:val="000000" w:themeColor="text1"/>
                <w:szCs w:val="24"/>
                <w:highlight w:val="none"/>
                <w14:textFill>
                  <w14:solidFill>
                    <w14:schemeClr w14:val="tx1"/>
                  </w14:solidFill>
                </w14:textFill>
              </w:rPr>
              <w:t>答题卡制作</w:t>
            </w:r>
          </w:p>
          <w:p w14:paraId="66288123">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1、需支持新建空白答题卡、题库制卡、三方制卡、导入Word试卷制卡；</w:t>
            </w:r>
          </w:p>
          <w:p w14:paraId="7448A786">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2、需支持答题卡的编辑、下载、删除、废弃和复用；支持自定义答题卡模板，支持答题卡模版二次修改；</w:t>
            </w:r>
          </w:p>
          <w:p w14:paraId="1FCBF38F">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3、需支持答题卡版式按照1栏、2栏和3栏自由排版布局；</w:t>
            </w:r>
          </w:p>
          <w:p w14:paraId="3E93D710">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4、需支持填涂式考号、4~14位自定义考号、条形码格式的考号版式；支持填涂考号和贴条形码区域并存；</w:t>
            </w:r>
          </w:p>
          <w:p w14:paraId="39F7C650">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5、需支持设置单选题、判断题、多选题、填空题、解答题、选做题、主客观混合题、语文作文、英语作文、不定项选择题题型；</w:t>
            </w:r>
          </w:p>
          <w:p w14:paraId="1075FF5D">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6、需支持客观题选项的横排和竖排布局，支持每列设置不同的题数排版布局；支持将混合题中的客观题作答并入顶部客观题填涂区；支持客观题至多26个选项的设置；支持题卡合一三方卡按选项框选题号和自动识别题号；</w:t>
            </w:r>
          </w:p>
          <w:p w14:paraId="3F70BF76">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7、需支持AB卷标记的试卷类型答题卡制作；</w:t>
            </w:r>
          </w:p>
          <w:p w14:paraId="673B4187">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8、需支持设置多张答题卡的双面打印、单面打印模式；</w:t>
            </w:r>
          </w:p>
          <w:p w14:paraId="4F172ED0">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9、需支持教师分享自己制作的答题卡给学校管理员；</w:t>
            </w:r>
          </w:p>
          <w:p w14:paraId="430399CB">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10、需支持使用60克及以上纸张印制的市场通用规格的答题卡，印刷答题卡版面支持A3、A4、8K、16K、B4、B5纸张尺寸规格。</w:t>
            </w:r>
          </w:p>
          <w:p w14:paraId="1020E0F8">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b/>
                <w:bCs/>
                <w:color w:val="000000" w:themeColor="text1"/>
                <w:szCs w:val="24"/>
                <w:highlight w:val="none"/>
                <w14:textFill>
                  <w14:solidFill>
                    <w14:schemeClr w14:val="tx1"/>
                  </w14:solidFill>
                </w14:textFill>
              </w:rPr>
              <w:t>（三）答题卡扫描识别</w:t>
            </w:r>
          </w:p>
          <w:p w14:paraId="20D9A44B">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1、需支持分批扫描、先扫描后阅卷、边扫描边阅卷，支持扫描仪群组联网协同工作，支持实时监控扫描量及阅卷量；</w:t>
            </w:r>
          </w:p>
          <w:p w14:paraId="43E895F2">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2、需支持答题卡扫描与准考证号填涂、条形码、客观题、主观题、缺考标记、AB卷及选做题识别同步完成；</w:t>
            </w:r>
          </w:p>
          <w:p w14:paraId="300096BC">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 xml:space="preserve">3、需支持扫错学科自动检测与提示；支持折角自动检测与提示； </w:t>
            </w:r>
          </w:p>
          <w:p w14:paraId="1B36D63F">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4、需支持直接选定班级或导入指定名单进行扫描识别；支持同一场考试每一个学科设置有不同的参加考试的学生名单；</w:t>
            </w:r>
          </w:p>
          <w:p w14:paraId="761D7797">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5、需支持正反颠倒、上下颠倒及多张答题卡序号混乱情形的扫描识别及结果；</w:t>
            </w:r>
          </w:p>
          <w:p w14:paraId="190CEF4E">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6、需支持答题卡扫描时针对学生填涂的考号、客观题、选做题、AB卷信息存在错填、误填、漏填的信息具有自动检测、提示功能；</w:t>
            </w:r>
          </w:p>
          <w:p w14:paraId="50374E42">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7、异常处理需支持边扫描边处理、分批次处理、扫描完统一处理；支持识别异常的批量处理，支持识别异常多人远程同时协助处理；</w:t>
            </w:r>
          </w:p>
          <w:p w14:paraId="33592095">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8、需支持语文断句题最多26个选项的自动识别；</w:t>
            </w:r>
          </w:p>
          <w:p w14:paraId="7882FD5E">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9、在处理扫描异常时，需支持设置多个答题卡识别模板。</w:t>
            </w:r>
          </w:p>
          <w:p w14:paraId="3933A490">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b/>
                <w:bCs/>
                <w:color w:val="000000" w:themeColor="text1"/>
                <w:szCs w:val="24"/>
                <w:highlight w:val="none"/>
                <w14:textFill>
                  <w14:solidFill>
                    <w14:schemeClr w14:val="tx1"/>
                  </w14:solidFill>
                </w14:textFill>
              </w:rPr>
              <w:t>（四）在线阅卷</w:t>
            </w:r>
          </w:p>
          <w:p w14:paraId="0179FE85">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1、需支持云端阅卷，教师阅卷过程中可标记优秀卷、典型错误卷；支持使用鼠标点击打分板给分、键盘输入给分；需</w:t>
            </w:r>
            <w:r>
              <w:rPr>
                <w:rFonts w:hint="eastAsia" w:ascii="宋体" w:hAnsi="宋体" w:cstheme="minorEastAsia"/>
                <w:bCs/>
                <w:color w:val="000000" w:themeColor="text1"/>
                <w:szCs w:val="24"/>
                <w:highlight w:val="none"/>
                <w14:textFill>
                  <w14:solidFill>
                    <w14:schemeClr w14:val="tx1"/>
                  </w14:solidFill>
                </w14:textFill>
              </w:rPr>
              <w:t>支持打勾划圈、写评语操作并能够保留阅卷痕迹；支持阅卷老师设置</w:t>
            </w:r>
            <w:r>
              <w:rPr>
                <w:rFonts w:hint="eastAsia" w:ascii="宋体" w:hAnsi="宋体" w:cstheme="minorEastAsia"/>
                <w:color w:val="000000" w:themeColor="text1"/>
                <w:szCs w:val="24"/>
                <w:highlight w:val="none"/>
                <w14:textFill>
                  <w14:solidFill>
                    <w14:schemeClr w14:val="tx1"/>
                  </w14:solidFill>
                </w14:textFill>
              </w:rPr>
              <w:t>评分步长；支持老师在改卷时，将疑难的试卷提交成问题卷；</w:t>
            </w:r>
          </w:p>
          <w:p w14:paraId="7C8FDF0F">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2、需支持按班级进行阅卷；</w:t>
            </w:r>
          </w:p>
          <w:p w14:paraId="666290A6">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3、需支持在阅卷过程中，将学生试卷保存到本地；</w:t>
            </w:r>
          </w:p>
          <w:p w14:paraId="6B912B46">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4、阅卷过程中，需支持调整阅卷页面背景色；</w:t>
            </w:r>
          </w:p>
          <w:p w14:paraId="4554C907">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5、需支持移动端阅卷，手写批注并保留阅卷痕迹；阅卷支持打分板、打分栏自由切换；支持阅卷时自由选择是否自动提交；针对多项填空题，支持全部满分或全部零分。支持点击打分；支持设置步长和常用打分项；支持自由选择作文题展示方式；支持滑动回评；支持阅卷老师查看打分曲线；</w:t>
            </w:r>
          </w:p>
          <w:p w14:paraId="7F81E98F">
            <w:pPr>
              <w:tabs>
                <w:tab w:val="left" w:pos="0"/>
              </w:tabs>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 xml:space="preserve">6、需支持管理员、科组长角色对阅卷的总体进度、各题进度、个人进度及阅卷质量的实时监控：（1）支持管理员对阅卷老师进行阅卷进度及质量的监控，随机抽查和打回试卷给老师重阅；支持导出评卷员给分明细；（2）支持科组长对本学科的阅卷进度、阅卷质量进行监控，支持处理问题卷； </w:t>
            </w:r>
          </w:p>
          <w:p w14:paraId="53141B74">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7、需支持管理员、科组长考试过程中对客观题进行成绩核查，包括查看客观题得分分布、0分学生的识别结果；</w:t>
            </w:r>
          </w:p>
          <w:p w14:paraId="30663797">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8、阅卷过程中，需支持管理员、科组长角色对主观题进行核查，包括按学生、按班级查看得分明细，修改打分结果；</w:t>
            </w:r>
          </w:p>
          <w:p w14:paraId="0E114C8D">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9、需支持题组长对单题进行阅卷进度和阅卷质量监控，并支持对该题的评阅试卷进行抽样和打回；</w:t>
            </w:r>
          </w:p>
          <w:p w14:paraId="1706FC65">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10、需支持提前统计客观题得分数据，包括最高分、最低分、平均分和得分分布；</w:t>
            </w:r>
          </w:p>
          <w:p w14:paraId="61AE3063">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11、需支持增加巡考员角色，支持为巡考员设置巡考学科；支持巡考员对阅卷进度、阅卷质量进行监管；</w:t>
            </w:r>
          </w:p>
          <w:p w14:paraId="0DEE7E45">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12、需支持科组长通过移动端查看阅卷进度、客观题得分分布和老师阅卷质量；支持在移动端处理问题卷；</w:t>
            </w:r>
          </w:p>
          <w:p w14:paraId="2772BE3B">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13、需支持成绩批量检查及监控：支持按学生或按成绩区间批量查找对应学生、修改学生的成绩，并可以直接在网页上修改后提交，重新生成评价分析报告；支持将作弊学生分数清零，对学生成绩设置为零分；支持通过导入表格的方式来批量修改学生的分数；</w:t>
            </w:r>
          </w:p>
          <w:p w14:paraId="48D8F024">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14、日常周测中，需支持老师阅卷页面显示班级学生姓名；</w:t>
            </w:r>
          </w:p>
          <w:p w14:paraId="2615DA7F">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15、需支持在仲裁过程中，按步骤分产生仲裁。</w:t>
            </w:r>
          </w:p>
          <w:p w14:paraId="5EE14FC8">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b/>
                <w:color w:val="000000" w:themeColor="text1"/>
                <w:szCs w:val="24"/>
                <w:highlight w:val="none"/>
                <w14:textFill>
                  <w14:solidFill>
                    <w14:schemeClr w14:val="tx1"/>
                  </w14:solidFill>
                </w14:textFill>
              </w:rPr>
              <w:t>二、</w:t>
            </w:r>
            <w:r>
              <w:rPr>
                <w:rFonts w:hint="eastAsia" w:ascii="宋体" w:hAnsi="宋体" w:cstheme="minorEastAsia"/>
                <w:b/>
                <w:bCs/>
                <w:color w:val="000000" w:themeColor="text1"/>
                <w:szCs w:val="24"/>
                <w:highlight w:val="none"/>
                <w14:textFill>
                  <w14:solidFill>
                    <w14:schemeClr w14:val="tx1"/>
                  </w14:solidFill>
                </w14:textFill>
              </w:rPr>
              <w:t>手阅数据采集</w:t>
            </w:r>
          </w:p>
          <w:p w14:paraId="3DF899A5">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1、需支持从系统题库中按选择题目，系统自动生成答题卡；支持教师使用web端浏览器在线制作编辑答题卡；</w:t>
            </w:r>
          </w:p>
          <w:p w14:paraId="2257F927">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2、初高中语文、数学、英语、物理、化学、生物、政治、历史、</w:t>
            </w:r>
            <w:r>
              <w:rPr>
                <w:rFonts w:hint="eastAsia" w:ascii="宋体" w:hAnsi="宋体" w:cstheme="minorEastAsia"/>
                <w:bCs/>
                <w:color w:val="000000" w:themeColor="text1"/>
                <w:szCs w:val="24"/>
                <w:highlight w:val="none"/>
                <w14:textFill>
                  <w14:solidFill>
                    <w14:schemeClr w14:val="tx1"/>
                  </w14:solidFill>
                </w14:textFill>
              </w:rPr>
              <w:t>地理、科学、历史与社会、</w:t>
            </w:r>
            <w:r>
              <w:rPr>
                <w:rFonts w:hint="eastAsia" w:ascii="宋体" w:hAnsi="宋体" w:cstheme="minorEastAsia"/>
                <w:color w:val="000000" w:themeColor="text1"/>
                <w:szCs w:val="24"/>
                <w:highlight w:val="none"/>
                <w14:textFill>
                  <w14:solidFill>
                    <w14:schemeClr w14:val="tx1"/>
                  </w14:solidFill>
                </w14:textFill>
              </w:rPr>
              <w:t>信息技术、通用技术学科，需支持导入Word试卷，系统自动切题；支持根据切题结构自动生成答题卡；</w:t>
            </w:r>
          </w:p>
          <w:p w14:paraId="3D47185D">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3、初高中数学、物理、化学、生物学科，需支持导入Word自动预测知识点；支持针对试题的答案、解析、知识点进行编辑；支持批量设置知识点；</w:t>
            </w:r>
          </w:p>
          <w:p w14:paraId="7CD927C3">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4、需支持生成带题干试卷和答题卡合二为一、无题干显示的纯答题卡、部分带题干的答题卡三种形式的答题卡；</w:t>
            </w:r>
          </w:p>
          <w:p w14:paraId="20E35610">
            <w:pPr>
              <w:spacing w:line="360" w:lineRule="auto"/>
              <w:rPr>
                <w:rFonts w:hint="eastAsia" w:ascii="宋体" w:hAnsi="宋体" w:cstheme="minorEastAsia"/>
                <w:b/>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5、需支持通过准考证号、短学号、自定义考号（学校自定义4~14位考号）、填涂考号，以及条形码、手写考号多种识别方式识别答题卡上的学生信息；支持填涂考号和贴条形码区域并存，且支持在一场考试里，两种方式并用；</w:t>
            </w:r>
            <w:r>
              <w:rPr>
                <w:rFonts w:hint="eastAsia" w:ascii="宋体" w:hAnsi="宋体" w:cstheme="minorEastAsia"/>
                <w:b/>
                <w:color w:val="000000" w:themeColor="text1"/>
                <w:szCs w:val="24"/>
                <w:highlight w:val="none"/>
                <w14:textFill>
                  <w14:solidFill>
                    <w14:schemeClr w14:val="tx1"/>
                  </w14:solidFill>
                </w14:textFill>
              </w:rPr>
              <w:t xml:space="preserve"> </w:t>
            </w:r>
          </w:p>
          <w:p w14:paraId="1E1AE1EB">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6、答题卡排版需支持单选题、多选题、判断题、填空题、解答题、选做题多种题型；填空题支持一题多空的批阅；解答题支持分步骤批阅；支持将混合题中的客观题作答区域并入顶部客观题填涂区、客观题至多26个选项、顶部考试信息区域更紧凑的排版方式；</w:t>
            </w:r>
          </w:p>
          <w:p w14:paraId="17E1F8D4">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7、需支持学生纸上作答，教师纸上批改，客观题由系统自动评分，主观题打分支持打分条、勾叉、手写分数三种模式评分，主观题答题卡教师批阅留痕；</w:t>
            </w:r>
          </w:p>
          <w:p w14:paraId="54549F23">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8、需支持仅红笔批改痕迹的识别和任意笔批改痕迹识别两种方式；</w:t>
            </w:r>
          </w:p>
          <w:p w14:paraId="0BF14EDC">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9、需支持解答题加分制和减分制两种统分方式；</w:t>
            </w:r>
          </w:p>
          <w:p w14:paraId="51E43C2F">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10、需支持卡卷合一的答题卡客观题题干和选项填涂区域左右结构布局；</w:t>
            </w:r>
          </w:p>
          <w:p w14:paraId="36332C67">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11、需支持纯作答的答题卡、卡卷合一的答题卡填空题作答区即批改区，不限定在指定框内进行批改；</w:t>
            </w:r>
          </w:p>
          <w:p w14:paraId="279B2011">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12、教师无需提前创建考试，系统需支持学生答题卡即扫即创建扫描记录，作业扫描结束后即可查看分析报告；支持自动覆盖上一次扫描记录；支持按不同用户查看扫描记录；</w:t>
            </w:r>
          </w:p>
          <w:p w14:paraId="10A4E161">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13、需支持无需提前创建统一考试的前提下，不同班级布置同一份练习，由不同教师账号进行扫描，系统自动生成一份校级报告；</w:t>
            </w:r>
          </w:p>
          <w:p w14:paraId="0E9D9323">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14、需支持在同一场考试场景下，部分学科使用先扫描后阅卷方式和其他学科使用先阅卷后扫描方式的自由组合，并能够生成考试的总体评价分析报告。</w:t>
            </w:r>
          </w:p>
        </w:tc>
      </w:tr>
      <w:tr w14:paraId="77FC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328" w:type="pct"/>
            <w:vMerge w:val="continue"/>
            <w:shd w:val="clear" w:color="auto" w:fill="auto"/>
            <w:tcMar>
              <w:top w:w="60" w:type="dxa"/>
              <w:left w:w="120" w:type="dxa"/>
              <w:bottom w:w="30" w:type="dxa"/>
              <w:right w:w="120" w:type="dxa"/>
            </w:tcMar>
            <w:vAlign w:val="center"/>
          </w:tcPr>
          <w:p w14:paraId="102E7EEA">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30" w:type="pct"/>
            <w:vMerge w:val="continue"/>
            <w:shd w:val="clear" w:color="auto" w:fill="auto"/>
            <w:vAlign w:val="center"/>
          </w:tcPr>
          <w:p w14:paraId="2A6BA89F">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64" w:type="pct"/>
            <w:shd w:val="clear" w:color="auto" w:fill="auto"/>
            <w:tcMar>
              <w:top w:w="60" w:type="dxa"/>
              <w:left w:w="120" w:type="dxa"/>
              <w:bottom w:w="30" w:type="dxa"/>
              <w:right w:w="120" w:type="dxa"/>
            </w:tcMar>
            <w:vAlign w:val="center"/>
          </w:tcPr>
          <w:p w14:paraId="52B522F1">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theme="minorEastAsia"/>
                <w:bCs/>
                <w:color w:val="000000" w:themeColor="text1"/>
                <w:szCs w:val="24"/>
                <w:highlight w:val="none"/>
                <w14:textFill>
                  <w14:solidFill>
                    <w14:schemeClr w14:val="tx1"/>
                  </w14:solidFill>
                </w14:textFill>
              </w:rPr>
              <w:t>基础数据分析</w:t>
            </w:r>
          </w:p>
        </w:tc>
        <w:tc>
          <w:tcPr>
            <w:tcW w:w="3978" w:type="pct"/>
            <w:shd w:val="clear" w:color="auto" w:fill="auto"/>
            <w:tcMar>
              <w:top w:w="60" w:type="dxa"/>
              <w:left w:w="120" w:type="dxa"/>
              <w:bottom w:w="30" w:type="dxa"/>
              <w:right w:w="120" w:type="dxa"/>
            </w:tcMar>
            <w:vAlign w:val="center"/>
          </w:tcPr>
          <w:p w14:paraId="319F725F">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一、</w:t>
            </w:r>
            <w:r>
              <w:rPr>
                <w:rFonts w:hint="eastAsia" w:ascii="宋体" w:hAnsi="宋体" w:cstheme="minorEastAsia"/>
                <w:b/>
                <w:bCs/>
                <w:color w:val="000000" w:themeColor="text1"/>
                <w:szCs w:val="24"/>
                <w:highlight w:val="none"/>
                <w14:textFill>
                  <w14:solidFill>
                    <w14:schemeClr w14:val="tx1"/>
                  </w14:solidFill>
                </w14:textFill>
              </w:rPr>
              <w:t>报告管理</w:t>
            </w:r>
          </w:p>
          <w:p w14:paraId="4F81379D">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1、需支持单次考试结束后，用户可根据需要生成至少20份分析报告；</w:t>
            </w:r>
          </w:p>
          <w:p w14:paraId="3113E2F7">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3、需支持根据学校诉求自主选择报告是否向校内校长、副校长、年级主任、学科组长、备课组长、班主任、副班主任、老师角色发布；</w:t>
            </w:r>
          </w:p>
          <w:p w14:paraId="3F5CBB46">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3、需支持新高考模式下的行政班与教学班双重评价分析；行政班支持查看行政班维度的单科报告，教学班支持查看教学班维度的单科报告；</w:t>
            </w:r>
          </w:p>
          <w:p w14:paraId="31BFB553">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4、需支持设置试卷分卷，支持设置分卷名称及试题所属分卷并进行分卷分析；</w:t>
            </w:r>
          </w:p>
          <w:p w14:paraId="16F2100D">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5、需支持设置试题题型和试题标签，支持同时设置不低于8个试题标签，并支持进行试题题型和试题标签分析；</w:t>
            </w:r>
          </w:p>
          <w:p w14:paraId="78DF7D8A">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6、需支持按照行政班或教学班、学生标签、学生选科组合、学科组灵活选择统计分析的学生范围，并支持用户组合单个或多个班级标签类型进行对比分析；</w:t>
            </w:r>
          </w:p>
          <w:p w14:paraId="77519508">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7、需支持选定学科分析，并支持对多个学科设置不同的权重后进行组合分析；</w:t>
            </w:r>
          </w:p>
          <w:p w14:paraId="69A0BD7A">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8、需支持卷面分、等级、等级赋分、标准分（T分数）、学科成绩比较高低五种学生成绩计分方式；支持学校根据实际诉求自主选择总分计分科目、自主设置各学科在总分中所占权重；</w:t>
            </w:r>
          </w:p>
          <w:p w14:paraId="0E78844A">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9、需支持优秀率、合格率、良好率、低分率、学业等级、成绩分段、进线分、临界生、优秀生学困生、T分数指标参数自定义设置。</w:t>
            </w:r>
          </w:p>
          <w:p w14:paraId="76BA02F1">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b/>
                <w:bCs/>
                <w:color w:val="000000" w:themeColor="text1"/>
                <w:szCs w:val="24"/>
                <w:highlight w:val="none"/>
                <w14:textFill>
                  <w14:solidFill>
                    <w14:schemeClr w14:val="tx1"/>
                  </w14:solidFill>
                </w14:textFill>
              </w:rPr>
              <w:t>二、联考报告</w:t>
            </w:r>
          </w:p>
          <w:p w14:paraId="6ADEA641">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1、需支持查看联考报告，指标包括学科成绩对比、学校成绩对比、学业等级分布、成绩分段对比、进线分析、优秀生学困生对比分析。需提供报告解读。</w:t>
            </w:r>
          </w:p>
          <w:p w14:paraId="612AD85D">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2、需支持查看联考单科分析，指标包括学校成绩对比、学业等级分布、成绩分段对比、进线分析、优秀生学困生对比分析；支持提供报告解读；</w:t>
            </w:r>
          </w:p>
          <w:p w14:paraId="197CD5CD">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3、需提供联考试卷分析，指标包括试卷概览（整卷难度、信度、区分度）、分卷分析、大题分析、试题分组分析、小题分析、知识点分析、作答详情；</w:t>
            </w:r>
          </w:p>
          <w:p w14:paraId="09A9B8AE">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4、联考分析报告需支持Word、Excel形式导出；支持试卷分析、学生成绩、小题得分、题组分析的Excel格式导出和试题解析的Word格式导出。</w:t>
            </w:r>
          </w:p>
          <w:p w14:paraId="05ABD406">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b/>
                <w:bCs/>
                <w:color w:val="000000" w:themeColor="text1"/>
                <w:szCs w:val="24"/>
                <w:highlight w:val="none"/>
                <w14:textFill>
                  <w14:solidFill>
                    <w14:schemeClr w14:val="tx1"/>
                  </w14:solidFill>
                </w14:textFill>
              </w:rPr>
              <w:t>三、校级报告</w:t>
            </w:r>
          </w:p>
          <w:p w14:paraId="35D92F44">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1、需支持新高考区域分析诉求，生成物理、历史方向报告或选科报告。</w:t>
            </w:r>
          </w:p>
          <w:p w14:paraId="471EE1BF">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2、需支持查看校级多学科报告，指标包括学科成绩对比、班级成绩对比、学业等级分布、成绩分段对比、进线分析、临界生对比、优秀学困生对比、优劣势学科对比；</w:t>
            </w:r>
          </w:p>
          <w:p w14:paraId="6E74E32E">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3、需支持查看校级单学科报告，指标包括班级成绩对比、学业等级分布、成绩分段对比、进线分析、临界生对比、优秀生学困生对比；</w:t>
            </w:r>
          </w:p>
          <w:p w14:paraId="0044A376">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4、需支持查看试卷分析，指标包括试卷整体难度、试题难度比例、信度、区分度、大题分析、小题分析、知识点分析、核心素养分析、作答详情；支持选择添加班级进行对比分析；支持分析数据Excel格式一键导出；支持上传和查看试卷；</w:t>
            </w:r>
          </w:p>
          <w:p w14:paraId="5D017E87">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5、需提供全部和各班学生成绩，指标包括校次、班次及进退步情况、各学科分数；支持各班级和全部学生的学生成绩表、单科成绩汇总、学生小题明细表、题组得分情况统计数据Excel格式导出；</w:t>
            </w:r>
          </w:p>
          <w:p w14:paraId="0C15D731">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6、需支持导出Word版校级学情分析报告。</w:t>
            </w:r>
          </w:p>
          <w:p w14:paraId="595B36FC">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b/>
                <w:bCs/>
                <w:color w:val="000000" w:themeColor="text1"/>
                <w:szCs w:val="24"/>
                <w:highlight w:val="none"/>
                <w14:textFill>
                  <w14:solidFill>
                    <w14:schemeClr w14:val="tx1"/>
                  </w14:solidFill>
                </w14:textFill>
              </w:rPr>
              <w:t>四、班级报告</w:t>
            </w:r>
          </w:p>
          <w:p w14:paraId="5C341FA1">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1、需支持班主任查看班级多学科报告，指标包括学科成绩对比、平均分对比、学业等级分布、成绩分段对比、优劣势学科对比；</w:t>
            </w:r>
          </w:p>
          <w:p w14:paraId="09F94969">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2、需支持授课教师查看授课学科的班级单学科报告，指标包括学情概览、平均分对比、学业等级分布、需关注学生、高频错题；</w:t>
            </w:r>
          </w:p>
          <w:p w14:paraId="4A604BC7">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3、需支持查看班级学生成绩单，支持查看学生单科作答原卷、成绩整体报告和试题解析；支持班级全科和单科成绩表Excel格式一键导出；</w:t>
            </w:r>
          </w:p>
          <w:p w14:paraId="7274427C">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4、需支持授课教师查看班级试卷分析，指标包括试卷整体难度、试题难度比例、信度、区分度、分卷分析、试题分组分析、大题分析、小题分析、知识点分析、作答详情；支持以表格、雷达图两种形式呈现；支持各指标分析数据以Excel格式一键导出；</w:t>
            </w:r>
          </w:p>
          <w:p w14:paraId="65FAA809">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5、初高中的数学、物理、化学、生物学科需支持基于试题原题的相似题资源自动推送；</w:t>
            </w:r>
          </w:p>
          <w:p w14:paraId="3F084C4F">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6、需支持网页端的试卷讲评工具：讲解顺序支持按照题号、得分率、题型得分率、知识点进行排序；教师可自由选择需讲解的试题，试题以较大字号展示给学生；支持拓展资源自动同步至讲评模式下，并可自定义调整资源拓展的讲解顺序；支持随时调取主观题典型错误解答和优秀解答，支持多生多题对比讲解；支持web讲评画笔工具。支持备注、查看学生订正统计；</w:t>
            </w:r>
          </w:p>
          <w:p w14:paraId="342529FF">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7、需支持查看试题答题统计，包括试题的班级均分和得分率、年级均分和得分率、客观题选项数据统计和主观题得分数据统计柱状图，并支持查看对应学生名单；支持查看优秀解答和典型错误的典型卷；支持典型试卷图片导出；</w:t>
            </w:r>
          </w:p>
          <w:p w14:paraId="3128CD98">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8、需支持移动端的试卷讲评工具：按照题号顺序或学生作答情况对试题进行讲解排序，支持单题学生作答情况分段统计、错题名单及学生原卷调取、典型试卷调取。</w:t>
            </w:r>
          </w:p>
          <w:p w14:paraId="272CAB5F">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b/>
                <w:bCs/>
                <w:color w:val="000000" w:themeColor="text1"/>
                <w:szCs w:val="24"/>
                <w:highlight w:val="none"/>
                <w14:textFill>
                  <w14:solidFill>
                    <w14:schemeClr w14:val="tx1"/>
                  </w14:solidFill>
                </w14:textFill>
              </w:rPr>
              <w:t>五、学生报告</w:t>
            </w:r>
          </w:p>
          <w:p w14:paraId="3DF7AB38">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1、需支持学生查看全科的学情报告，包含成绩等级、历次成绩变化、各学科发挥水平及学科诊断的情况；</w:t>
            </w:r>
          </w:p>
          <w:p w14:paraId="24F28A52">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2、需支持查看单科的学情报告，包含成绩等级、历次成绩变化情况、作答原卷；</w:t>
            </w:r>
          </w:p>
          <w:p w14:paraId="27ABB310">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3、需支持查看单次考试所涉及的知识点、各知识点权重及学生掌握程度；</w:t>
            </w:r>
          </w:p>
          <w:p w14:paraId="402B0E2A">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4、需支持查看单科考试的错题情况及错题解析，提供学生错题题号、题干、学生答案、正确答案、知识点以及班级平均正确率信息。</w:t>
            </w:r>
          </w:p>
        </w:tc>
      </w:tr>
      <w:tr w14:paraId="5E2D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328" w:type="pct"/>
            <w:vMerge w:val="continue"/>
            <w:shd w:val="clear" w:color="auto" w:fill="auto"/>
            <w:tcMar>
              <w:top w:w="60" w:type="dxa"/>
              <w:left w:w="120" w:type="dxa"/>
              <w:bottom w:w="30" w:type="dxa"/>
              <w:right w:w="120" w:type="dxa"/>
            </w:tcMar>
            <w:vAlign w:val="center"/>
          </w:tcPr>
          <w:p w14:paraId="00B6AAAD">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30" w:type="pct"/>
            <w:vMerge w:val="continue"/>
            <w:shd w:val="clear" w:color="auto" w:fill="auto"/>
            <w:vAlign w:val="center"/>
          </w:tcPr>
          <w:p w14:paraId="5F630A12">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64" w:type="pct"/>
            <w:shd w:val="clear" w:color="auto" w:fill="auto"/>
            <w:tcMar>
              <w:top w:w="60" w:type="dxa"/>
              <w:left w:w="120" w:type="dxa"/>
              <w:bottom w:w="30" w:type="dxa"/>
              <w:right w:w="120" w:type="dxa"/>
            </w:tcMar>
            <w:vAlign w:val="center"/>
          </w:tcPr>
          <w:p w14:paraId="7D5C7668">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theme="minorEastAsia"/>
                <w:bCs/>
                <w:color w:val="000000" w:themeColor="text1"/>
                <w:szCs w:val="24"/>
                <w:highlight w:val="none"/>
                <w14:textFill>
                  <w14:solidFill>
                    <w14:schemeClr w14:val="tx1"/>
                  </w14:solidFill>
                </w14:textFill>
              </w:rPr>
              <w:t>精准教学</w:t>
            </w:r>
          </w:p>
        </w:tc>
        <w:tc>
          <w:tcPr>
            <w:tcW w:w="3978" w:type="pct"/>
            <w:shd w:val="clear" w:color="auto" w:fill="auto"/>
            <w:tcMar>
              <w:top w:w="60" w:type="dxa"/>
              <w:left w:w="120" w:type="dxa"/>
              <w:bottom w:w="30" w:type="dxa"/>
              <w:right w:w="120" w:type="dxa"/>
            </w:tcMar>
            <w:vAlign w:val="center"/>
          </w:tcPr>
          <w:p w14:paraId="4B52906B">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b/>
                <w:bCs/>
                <w:color w:val="000000" w:themeColor="text1"/>
                <w:szCs w:val="24"/>
                <w:highlight w:val="none"/>
                <w14:textFill>
                  <w14:solidFill>
                    <w14:schemeClr w14:val="tx1"/>
                  </w14:solidFill>
                </w14:textFill>
              </w:rPr>
              <w:t>一、学科学情</w:t>
            </w:r>
          </w:p>
          <w:p w14:paraId="6B6E7AE3">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w:t>
            </w:r>
            <w:r>
              <w:rPr>
                <w:rFonts w:hint="eastAsia" w:ascii="宋体" w:hAnsi="宋体" w:cstheme="minorEastAsia"/>
                <w:color w:val="000000" w:themeColor="text1"/>
                <w:szCs w:val="24"/>
                <w:highlight w:val="none"/>
                <w14:textFill>
                  <w14:solidFill>
                    <w14:schemeClr w14:val="tx1"/>
                  </w14:solidFill>
                </w14:textFill>
              </w:rPr>
              <w:t>1、需支持查看年级薄弱知识点，按时间和章节两个维度查看薄弱知识点及对应的年级掌握率、区域掌握率、年级未掌握班级数、年级和区域考频；支持筛选近一周、近一月、近两月、近半年、本学年内年级薄弱点详情；</w:t>
            </w:r>
            <w:r>
              <w:rPr>
                <w:rFonts w:hint="eastAsia" w:ascii="宋体" w:hAnsi="宋体" w:cs="Calibri"/>
                <w:color w:val="000000" w:themeColor="text1"/>
                <w:kern w:val="0"/>
                <w:szCs w:val="24"/>
                <w:highlight w:val="none"/>
                <w14:textFill>
                  <w14:solidFill>
                    <w14:schemeClr w14:val="tx1"/>
                  </w14:solidFill>
                </w14:textFill>
              </w:rPr>
              <w:t>（响应文件需提供此功能界面截图）</w:t>
            </w:r>
          </w:p>
          <w:p w14:paraId="322270DA">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2、需支持查看班级薄弱知识点，按时间和章节两个维度查看薄弱知识点及薄弱知识点对应的班级掌握率、年级掌握率、区域掌握率、班级未掌握人数，本班、年级和区域考频；</w:t>
            </w:r>
            <w:r>
              <w:rPr>
                <w:rFonts w:hint="eastAsia" w:ascii="宋体" w:hAnsi="宋体" w:cstheme="minorEastAsia"/>
                <w:bCs/>
                <w:color w:val="000000" w:themeColor="text1"/>
                <w:szCs w:val="24"/>
                <w:highlight w:val="none"/>
                <w14:textFill>
                  <w14:solidFill>
                    <w14:schemeClr w14:val="tx1"/>
                  </w14:solidFill>
                </w14:textFill>
              </w:rPr>
              <w:t>支持筛选近一周、近一月、近两月、近半年、本学前内班级薄弱点情况；</w:t>
            </w:r>
          </w:p>
          <w:p w14:paraId="1964DE39">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3、需支持查看班级共性错题，查看班级错题数、平均得分率，支持筛选考试、得分率、题型维度筛选班级共性错题；</w:t>
            </w:r>
          </w:p>
          <w:p w14:paraId="113927DF">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4、需支持班级和年级薄弱知识点Excel格式导出；支持班级和年级共性错题Word格式导出；</w:t>
            </w:r>
          </w:p>
          <w:p w14:paraId="13C23F5E">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5、需支持根据班级薄弱知识点进行薄弱项训练，支持手动选题和智能组题两种形式；智能组题形式支持教师选择薄弱知识点系统自动推荐试题进行训练，手动选题形式支持选择薄弱知识点对应的试题进行薄弱项训练；</w:t>
            </w:r>
          </w:p>
          <w:p w14:paraId="43235AFD">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w:t>
            </w:r>
            <w:r>
              <w:rPr>
                <w:rFonts w:hint="eastAsia" w:ascii="宋体" w:hAnsi="宋体" w:cstheme="minorEastAsia"/>
                <w:color w:val="000000" w:themeColor="text1"/>
                <w:szCs w:val="24"/>
                <w:highlight w:val="none"/>
                <w14:textFill>
                  <w14:solidFill>
                    <w14:schemeClr w14:val="tx1"/>
                  </w14:solidFill>
                </w14:textFill>
              </w:rPr>
              <w:t>6、需支持根据班级错题进行错题强化训练，其中初高中数学、物理、化学学科根据班级错题提供错题拓展资源，支持智能组题和自选错题两种形式；其中智能选题需支持按照错题得分率范围筛选错题，提供错题重做和错题拓展（初高中数理化学科）两种练习方式，支持教师自定义试题题量；自选错题需支持教师自主添加班级共性错题，提供错题重做、错题拓展（初高中数理化学科）以及错题重做+拓展（初高中数理化学科）的三种练习方式；</w:t>
            </w:r>
            <w:r>
              <w:rPr>
                <w:rFonts w:hint="eastAsia" w:ascii="宋体" w:hAnsi="宋体" w:cs="Calibri"/>
                <w:color w:val="000000" w:themeColor="text1"/>
                <w:kern w:val="0"/>
                <w:szCs w:val="24"/>
                <w:highlight w:val="none"/>
                <w14:textFill>
                  <w14:solidFill>
                    <w14:schemeClr w14:val="tx1"/>
                  </w14:solidFill>
                </w14:textFill>
              </w:rPr>
              <w:t>（响应文件需提供此功能界面截图）</w:t>
            </w:r>
          </w:p>
          <w:p w14:paraId="40DFC909">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7、需提供薄弱知识点详情，覆盖近五年高考考频、年级得分率、年级考察题数、班级得分率、学生得分率、知识点关联错题、高考真题。</w:t>
            </w:r>
          </w:p>
          <w:p w14:paraId="1A4F6AAB">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b/>
                <w:bCs/>
                <w:color w:val="000000" w:themeColor="text1"/>
                <w:szCs w:val="24"/>
                <w:highlight w:val="none"/>
                <w14:textFill>
                  <w14:solidFill>
                    <w14:schemeClr w14:val="tx1"/>
                  </w14:solidFill>
                </w14:textFill>
              </w:rPr>
              <w:t>二、学生学情</w:t>
            </w:r>
          </w:p>
          <w:p w14:paraId="5A3C3E9D">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1、需支持查看每个学生的学业档案；支持系统自动甄别临界生、波动生、下降生、进步生、稳定生并进行标记；</w:t>
            </w:r>
          </w:p>
          <w:p w14:paraId="43AE2C13">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2、需提供每个学生的知识点掌握情况，支持多学生多知识点间对比，支持以Excel格式导出；</w:t>
            </w:r>
          </w:p>
          <w:p w14:paraId="13473052">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 xml:space="preserve">3、需支持自动收录每个学生的单科学业成绩，覆盖成绩趋势图、知识点掌握情况；需支持自动收录学生错题，支持以Word格式导出； </w:t>
            </w:r>
          </w:p>
          <w:p w14:paraId="1798A45F">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4、需提供全科学生学情分析，包括学业整体水平、成绩趋势图、学科均衡度分析；</w:t>
            </w:r>
          </w:p>
          <w:p w14:paraId="7CDC5BAF">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5、需支持单个学生历次测验成绩、班级历次测验成绩、班级知识点历年掌握率以Excel形式导出；</w:t>
            </w:r>
          </w:p>
          <w:p w14:paraId="61961C7A">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6、需支持按单个学生筛选时间范围的历次测验成绩、班级历次测验成绩、个人知识点掌握率、班级知识点掌握率以Excel形式导出。</w:t>
            </w:r>
          </w:p>
          <w:p w14:paraId="5F5487C1">
            <w:pPr>
              <w:numPr>
                <w:ilvl w:val="0"/>
                <w:numId w:val="6"/>
              </w:num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b/>
                <w:bCs/>
                <w:color w:val="000000" w:themeColor="text1"/>
                <w:szCs w:val="24"/>
                <w:highlight w:val="none"/>
                <w14:textFill>
                  <w14:solidFill>
                    <w14:schemeClr w14:val="tx1"/>
                  </w14:solidFill>
                </w14:textFill>
              </w:rPr>
              <w:t>上届学情</w:t>
            </w:r>
          </w:p>
          <w:p w14:paraId="2F29505D">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需支持授课教师对应教材章节查看上届学生学情，包括上届学生薄弱知识点情况，及对应知识点关联错题，支持上届学情以PPT、Word两种格式导出；针对高三年级，提供上届学生薄弱知识点与本届学生薄弱知识点，同时提供本届学生各知识点历史学年掌握率；</w:t>
            </w:r>
          </w:p>
          <w:p w14:paraId="0AB187BA">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宋体"/>
                <w:color w:val="000000" w:themeColor="text1"/>
                <w:kern w:val="0"/>
                <w:szCs w:val="24"/>
                <w:highlight w:val="none"/>
                <w:lang w:eastAsia="zh-CN"/>
                <w14:textFill>
                  <w14:solidFill>
                    <w14:schemeClr w14:val="tx1"/>
                  </w14:solidFill>
                </w14:textFill>
              </w:rPr>
              <w:t>★</w:t>
            </w:r>
            <w:r>
              <w:rPr>
                <w:rFonts w:hint="eastAsia" w:ascii="宋体" w:hAnsi="宋体" w:cstheme="minorEastAsia"/>
                <w:color w:val="000000" w:themeColor="text1"/>
                <w:szCs w:val="24"/>
                <w:highlight w:val="none"/>
                <w14:textFill>
                  <w14:solidFill>
                    <w14:schemeClr w14:val="tx1"/>
                  </w14:solidFill>
                </w14:textFill>
              </w:rPr>
              <w:t>2、需支持根据上届薄弱知识点关联错题进行错题强化训练，其中初高中数学、物理、化学学科根据班级错题提供错题拓展资源，支持智能组题和自选错题两种形式；其中智能组题需支持按照得分率范围筛选错题，提供错题重做和错题拓展（初高中数理化学科）两种练习方式，支持教师自定义试题题量；自选错题需支持教师自主添加班级共性错题，提供错题重做、错题拓展（初高中数理化学科）以及错题重做+错题拓展（初高中数理化学科）的三种练习方式。</w:t>
            </w:r>
          </w:p>
          <w:p w14:paraId="7FEDF752">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b/>
                <w:bCs/>
                <w:color w:val="000000" w:themeColor="text1"/>
                <w:szCs w:val="24"/>
                <w:highlight w:val="none"/>
                <w14:textFill>
                  <w14:solidFill>
                    <w14:schemeClr w14:val="tx1"/>
                  </w14:solidFill>
                </w14:textFill>
              </w:rPr>
              <w:t>四、学业分析</w:t>
            </w:r>
          </w:p>
          <w:p w14:paraId="1049B5DC">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1、需提供学业成绩发展趋势，支持从考试类型、考试列表、标准分、得分率、优秀率、及格率、科目指标维度筛选查看，</w:t>
            </w:r>
            <w:r>
              <w:rPr>
                <w:rFonts w:hint="eastAsia" w:ascii="宋体" w:hAnsi="宋体" w:cstheme="minorEastAsia"/>
                <w:bCs/>
                <w:color w:val="000000" w:themeColor="text1"/>
                <w:szCs w:val="24"/>
                <w:highlight w:val="none"/>
                <w14:textFill>
                  <w14:solidFill>
                    <w14:schemeClr w14:val="tx1"/>
                  </w14:solidFill>
                </w14:textFill>
              </w:rPr>
              <w:t>支持校级管理者筛选相应班级进行对比分析；</w:t>
            </w:r>
            <w:r>
              <w:rPr>
                <w:rFonts w:hint="eastAsia" w:ascii="宋体" w:hAnsi="宋体" w:cstheme="minorEastAsia"/>
                <w:color w:val="000000" w:themeColor="text1"/>
                <w:szCs w:val="24"/>
                <w:highlight w:val="none"/>
                <w14:textFill>
                  <w14:solidFill>
                    <w14:schemeClr w14:val="tx1"/>
                  </w14:solidFill>
                </w14:textFill>
              </w:rPr>
              <w:t>支持筛选本学年、历年的学业成绩发展趋势；</w:t>
            </w:r>
          </w:p>
          <w:p w14:paraId="733B7378">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2、需提供本学年学科均衡性分析，支持以雷达图形式展示本学年学科均衡发展情况，提供对应班级的优势学科、劣势学科情况；</w:t>
            </w:r>
          </w:p>
          <w:p w14:paraId="1B8D78D4">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3、需提供各学科学业分层对比分析，从优秀、良好、合格、待合格维度对各班级学生分析。</w:t>
            </w:r>
          </w:p>
        </w:tc>
      </w:tr>
      <w:tr w14:paraId="7072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328" w:type="pct"/>
            <w:vMerge w:val="continue"/>
            <w:shd w:val="clear" w:color="auto" w:fill="auto"/>
            <w:tcMar>
              <w:top w:w="60" w:type="dxa"/>
              <w:left w:w="120" w:type="dxa"/>
              <w:bottom w:w="30" w:type="dxa"/>
              <w:right w:w="120" w:type="dxa"/>
            </w:tcMar>
            <w:vAlign w:val="center"/>
          </w:tcPr>
          <w:p w14:paraId="0D397E76">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30" w:type="pct"/>
            <w:vMerge w:val="continue"/>
            <w:shd w:val="clear" w:color="auto" w:fill="auto"/>
            <w:vAlign w:val="center"/>
          </w:tcPr>
          <w:p w14:paraId="7427B08D">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64" w:type="pct"/>
            <w:shd w:val="clear" w:color="auto" w:fill="auto"/>
            <w:tcMar>
              <w:top w:w="60" w:type="dxa"/>
              <w:left w:w="120" w:type="dxa"/>
              <w:bottom w:w="30" w:type="dxa"/>
              <w:right w:w="120" w:type="dxa"/>
            </w:tcMar>
            <w:vAlign w:val="center"/>
          </w:tcPr>
          <w:p w14:paraId="06312978">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theme="minorEastAsia"/>
                <w:bCs/>
                <w:color w:val="000000" w:themeColor="text1"/>
                <w:szCs w:val="24"/>
                <w:highlight w:val="none"/>
                <w14:textFill>
                  <w14:solidFill>
                    <w14:schemeClr w14:val="tx1"/>
                  </w14:solidFill>
                </w14:textFill>
              </w:rPr>
              <w:t>教学管理</w:t>
            </w:r>
          </w:p>
        </w:tc>
        <w:tc>
          <w:tcPr>
            <w:tcW w:w="3978" w:type="pct"/>
            <w:shd w:val="clear" w:color="auto" w:fill="auto"/>
            <w:tcMar>
              <w:top w:w="60" w:type="dxa"/>
              <w:left w:w="120" w:type="dxa"/>
              <w:bottom w:w="30" w:type="dxa"/>
              <w:right w:w="120" w:type="dxa"/>
            </w:tcMar>
            <w:vAlign w:val="center"/>
          </w:tcPr>
          <w:p w14:paraId="7ACAA7D0">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b/>
                <w:bCs/>
                <w:color w:val="000000" w:themeColor="text1"/>
                <w:szCs w:val="24"/>
                <w:highlight w:val="none"/>
                <w14:textFill>
                  <w14:solidFill>
                    <w14:schemeClr w14:val="tx1"/>
                  </w14:solidFill>
                </w14:textFill>
              </w:rPr>
              <w:t>一、教学监管</w:t>
            </w:r>
          </w:p>
          <w:p w14:paraId="2278161E">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 需支持从测验、练习、资源维度，动态跟踪班级、年级、学校的教学活动应用情况，以数据和可视化图表的形式直观呈现教学活动情况；</w:t>
            </w:r>
          </w:p>
          <w:p w14:paraId="5FABB9BB">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2、需支持筛选时间、年级、学科的应用数据并生成数据统计报告；支持测验、练习和校本资源数据均以Excel格式导出；</w:t>
            </w:r>
          </w:p>
          <w:p w14:paraId="000DC3A8">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3、需支持统计每位教师教学活动情况，统计范围涵盖教师的姓名、练习、组卷、分享试卷情况，支持综合评价贡献程度较高的五位教师。</w:t>
            </w:r>
          </w:p>
          <w:p w14:paraId="1FD543E7">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b/>
                <w:bCs/>
                <w:color w:val="000000" w:themeColor="text1"/>
                <w:szCs w:val="24"/>
                <w:highlight w:val="none"/>
                <w14:textFill>
                  <w14:solidFill>
                    <w14:schemeClr w14:val="tx1"/>
                  </w14:solidFill>
                </w14:textFill>
              </w:rPr>
              <w:t>二、教师增量评价</w:t>
            </w:r>
          </w:p>
          <w:p w14:paraId="0C704477">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1、需支持创建教师增量分析报告；支持按照年级、班级、学科、统计时间段、考试类型多个维度选择两场考试进行对比；支持设置报告名称；</w:t>
            </w:r>
          </w:p>
          <w:p w14:paraId="35ADEB09">
            <w:pPr>
              <w:spacing w:line="360" w:lineRule="auto"/>
              <w:rPr>
                <w:rFonts w:hint="eastAsia" w:ascii="宋体" w:hAnsi="宋体" w:cstheme="minorEastAsia"/>
                <w:color w:val="000000" w:themeColor="text1"/>
                <w:szCs w:val="24"/>
                <w:highlight w:val="none"/>
                <w14:textFill>
                  <w14:solidFill>
                    <w14:schemeClr w14:val="tx1"/>
                  </w14:solidFill>
                </w14:textFill>
              </w:rPr>
            </w:pPr>
            <w:bookmarkStart w:id="62" w:name="OLE_LINK5"/>
            <w:r>
              <w:rPr>
                <w:rFonts w:hint="eastAsia" w:ascii="宋体" w:hAnsi="宋体" w:cs="宋体"/>
                <w:color w:val="000000" w:themeColor="text1"/>
                <w:kern w:val="0"/>
                <w:szCs w:val="24"/>
                <w:highlight w:val="none"/>
                <w:lang w:eastAsia="zh-CN"/>
                <w14:textFill>
                  <w14:solidFill>
                    <w14:schemeClr w14:val="tx1"/>
                  </w14:solidFill>
                </w14:textFill>
              </w:rPr>
              <w:t>★</w:t>
            </w:r>
            <w:r>
              <w:rPr>
                <w:rFonts w:hint="eastAsia" w:ascii="宋体" w:hAnsi="宋体" w:cstheme="minorEastAsia"/>
                <w:color w:val="000000" w:themeColor="text1"/>
                <w:szCs w:val="24"/>
                <w:highlight w:val="none"/>
                <w14:textFill>
                  <w14:solidFill>
                    <w14:schemeClr w14:val="tx1"/>
                  </w14:solidFill>
                </w14:textFill>
              </w:rPr>
              <w:t>2、需支持设置学业进步、两极均衡、层级变化、优等生培养、后进生脱困五个维度权重比例；支持按照分数划分成绩层级；</w:t>
            </w:r>
            <w:r>
              <w:rPr>
                <w:rFonts w:hint="eastAsia" w:ascii="宋体" w:hAnsi="宋体" w:cstheme="minorEastAsia"/>
                <w:bCs/>
                <w:color w:val="000000" w:themeColor="text1"/>
                <w:szCs w:val="24"/>
                <w:highlight w:val="none"/>
                <w14:textFill>
                  <w14:solidFill>
                    <w14:schemeClr w14:val="tx1"/>
                  </w14:solidFill>
                </w14:textFill>
              </w:rPr>
              <w:t>设置顶层和底层范围；</w:t>
            </w:r>
            <w:r>
              <w:rPr>
                <w:rFonts w:hint="eastAsia" w:ascii="宋体" w:hAnsi="宋体" w:cstheme="minorEastAsia"/>
                <w:color w:val="000000" w:themeColor="text1"/>
                <w:szCs w:val="24"/>
                <w:highlight w:val="none"/>
                <w14:textFill>
                  <w14:solidFill>
                    <w14:schemeClr w14:val="tx1"/>
                  </w14:solidFill>
                </w14:textFill>
              </w:rPr>
              <w:t>支持优等生、后进生设置；</w:t>
            </w:r>
          </w:p>
          <w:bookmarkEnd w:id="62"/>
          <w:p w14:paraId="53AAA949">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3、需支持查看班级教师表现总评，以横形柱状图呈现；支持查看每个班级教师的个人总评得分、排名情况，支持查看教师的优势、劣势表现；</w:t>
            </w:r>
          </w:p>
          <w:p w14:paraId="7643D694">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4、需支持查看教师个人总评详情，包括评价总分、排名、优势、劣势，支持对比全体平均，查看教师个人雷达图；</w:t>
            </w:r>
          </w:p>
          <w:p w14:paraId="14C1177D">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5、需支持选择教师对比，查看选择教师的总分、排名，以及各维度对比情况，支持查看教师对比雷达图；</w:t>
            </w:r>
          </w:p>
          <w:p w14:paraId="083A1BAB">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6、需支持查看学业进步分析，支持对比起止点考试，查看各班级标准分增量情况，并支持以不同颜色表示进退步情况；</w:t>
            </w:r>
          </w:p>
          <w:p w14:paraId="0C827413">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7、需支持查看两极均衡分析，支持对比起止点考试，查看各班级标准差增量情况，并支持以不同颜色表示变化情况；</w:t>
            </w:r>
          </w:p>
          <w:p w14:paraId="306BB7A6">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8、需支持查看层级变化分析，支持对比起止点考试，查看各班级顶层占比增量情况和底层占比增量情况，并支持图示化呈现；</w:t>
            </w:r>
          </w:p>
          <w:p w14:paraId="342A122F">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9、需支持查看优等生培养分析，支持对比起止点考试，查看各班级优等生占比增量情况；并支持以不同颜色表示变化情况；</w:t>
            </w:r>
          </w:p>
          <w:p w14:paraId="3E1C4BBE">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10、需支持查看后进生脱困分析，支持对比起止点考试，查看各班级后进生占比增量情况，并支持以不同颜色表示变化情况。</w:t>
            </w:r>
          </w:p>
        </w:tc>
      </w:tr>
      <w:tr w14:paraId="0E76B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328" w:type="pct"/>
            <w:vMerge w:val="continue"/>
            <w:shd w:val="clear" w:color="auto" w:fill="auto"/>
            <w:tcMar>
              <w:top w:w="60" w:type="dxa"/>
              <w:left w:w="120" w:type="dxa"/>
              <w:bottom w:w="30" w:type="dxa"/>
              <w:right w:w="120" w:type="dxa"/>
            </w:tcMar>
            <w:vAlign w:val="center"/>
          </w:tcPr>
          <w:p w14:paraId="7C5F1F93">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30" w:type="pct"/>
            <w:vMerge w:val="continue"/>
            <w:shd w:val="clear" w:color="auto" w:fill="auto"/>
            <w:vAlign w:val="center"/>
          </w:tcPr>
          <w:p w14:paraId="7F83929F">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64" w:type="pct"/>
            <w:shd w:val="clear" w:color="auto" w:fill="auto"/>
            <w:tcMar>
              <w:top w:w="60" w:type="dxa"/>
              <w:left w:w="120" w:type="dxa"/>
              <w:bottom w:w="30" w:type="dxa"/>
              <w:right w:w="120" w:type="dxa"/>
            </w:tcMar>
            <w:vAlign w:val="center"/>
          </w:tcPr>
          <w:p w14:paraId="1D297B8B">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theme="minorEastAsia"/>
                <w:bCs/>
                <w:color w:val="000000" w:themeColor="text1"/>
                <w:szCs w:val="24"/>
                <w:highlight w:val="none"/>
                <w14:textFill>
                  <w14:solidFill>
                    <w14:schemeClr w14:val="tx1"/>
                  </w14:solidFill>
                </w14:textFill>
              </w:rPr>
              <w:t>基础信息管理</w:t>
            </w:r>
          </w:p>
        </w:tc>
        <w:tc>
          <w:tcPr>
            <w:tcW w:w="3978" w:type="pct"/>
            <w:shd w:val="clear" w:color="auto" w:fill="auto"/>
            <w:tcMar>
              <w:top w:w="60" w:type="dxa"/>
              <w:left w:w="120" w:type="dxa"/>
              <w:bottom w:w="30" w:type="dxa"/>
              <w:right w:w="120" w:type="dxa"/>
            </w:tcMar>
            <w:vAlign w:val="center"/>
          </w:tcPr>
          <w:p w14:paraId="30981B5A">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一、</w:t>
            </w:r>
            <w:r>
              <w:rPr>
                <w:rFonts w:hint="eastAsia" w:ascii="宋体" w:hAnsi="宋体" w:cstheme="minorEastAsia"/>
                <w:b/>
                <w:bCs/>
                <w:color w:val="000000" w:themeColor="text1"/>
                <w:szCs w:val="24"/>
                <w:highlight w:val="none"/>
                <w14:textFill>
                  <w14:solidFill>
                    <w14:schemeClr w14:val="tx1"/>
                  </w14:solidFill>
                </w14:textFill>
              </w:rPr>
              <w:t>用户信息管理</w:t>
            </w:r>
          </w:p>
          <w:p w14:paraId="555FABDB">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1、需支持对学生、家长、教师信息的便捷管理：支持学生、教师信息的快速录入，录入的信息包括学生姓名、自定义考号、所属班级、教师姓名，系统自动生成账号；</w:t>
            </w:r>
          </w:p>
          <w:p w14:paraId="441AE430">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2、需支持学生、教师信息的批量修改，修改的信息包括学生的个人信息、在校信息、教师的个人信息、工作信息；支持学生、教师信息以Excel格式批量导出；</w:t>
            </w:r>
          </w:p>
          <w:p w14:paraId="4784F953">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3、需支持恢复删除，可以从回收站内恢复删除的学生、教师信息；支持批量管理家长账号，可批量绑定或解绑家长与学生之间的账号关系。</w:t>
            </w:r>
          </w:p>
          <w:p w14:paraId="790BC798">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4、需支持绑定手机号，实现教师、校长、教研员等关键角色的实名认证，确保针对学情数据下载等高风险操作，系统支持手机验证码认证；</w:t>
            </w:r>
          </w:p>
          <w:p w14:paraId="002474B4">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5、需支持弱密码管控，针对弱密码用户，系统可自动提醒用户及时更换符合安全等级要求的密码；且支持对高风险账号的后台冻结和解冻；</w:t>
            </w:r>
          </w:p>
          <w:p w14:paraId="46499ABC">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6、需支持微博、微信、QQ等三方账号和系统的绑定，绑定后可以通过扫码登录的方式实现系统登录。</w:t>
            </w:r>
          </w:p>
          <w:p w14:paraId="1623AE31">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b/>
                <w:bCs/>
                <w:color w:val="000000" w:themeColor="text1"/>
                <w:szCs w:val="24"/>
                <w:highlight w:val="none"/>
                <w14:textFill>
                  <w14:solidFill>
                    <w14:schemeClr w14:val="tx1"/>
                  </w14:solidFill>
                </w14:textFill>
              </w:rPr>
              <w:t>二、班级信息管理</w:t>
            </w:r>
          </w:p>
          <w:p w14:paraId="69D714E8">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1、需支持对班级信息的增删改：支持新增和删除班级、支持修改班级名称、班级校区；</w:t>
            </w:r>
          </w:p>
          <w:p w14:paraId="4B7CEE00">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2、需支持批量管理班级信息：支持班级批量导入与自定义命名；支持转班及升年级，同时可批量导入转班说明和下载学生名单；</w:t>
            </w:r>
          </w:p>
          <w:p w14:paraId="777315A6">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3、需支持异动学生的信息管理：包括转班、跳级、留级、转出、休学、退学、出国、复读场景的异动学生管理；</w:t>
            </w:r>
          </w:p>
          <w:p w14:paraId="756E959F">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4、需支持授课关系录入与修改。</w:t>
            </w:r>
          </w:p>
          <w:p w14:paraId="05DF429F">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b/>
                <w:bCs/>
                <w:color w:val="000000" w:themeColor="text1"/>
                <w:szCs w:val="24"/>
                <w:highlight w:val="none"/>
                <w14:textFill>
                  <w14:solidFill>
                    <w14:schemeClr w14:val="tx1"/>
                  </w14:solidFill>
                </w14:textFill>
              </w:rPr>
              <w:t>三、角色权限管理</w:t>
            </w:r>
          </w:p>
          <w:p w14:paraId="577D0485">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需支持设置多种角色：支持设置学校管理员、考试管理员、子管理员、校长、年级主任、学科组长、班主任、学科教师、学生用户角色。</w:t>
            </w:r>
          </w:p>
          <w:p w14:paraId="7A86A660">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b/>
                <w:bCs/>
                <w:color w:val="000000" w:themeColor="text1"/>
                <w:szCs w:val="24"/>
                <w:highlight w:val="none"/>
                <w14:textFill>
                  <w14:solidFill>
                    <w14:schemeClr w14:val="tx1"/>
                  </w14:solidFill>
                </w14:textFill>
              </w:rPr>
              <w:t>四、分层走班（新高考班级管理）</w:t>
            </w:r>
          </w:p>
          <w:p w14:paraId="33912D51">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1、需支持新高考班级管理：支持录入学校的走班教学信息表并进行新高考教学走班配置；</w:t>
            </w:r>
          </w:p>
          <w:p w14:paraId="57BBDF09">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2、需支持自定义分层走班配置：支持自定义班级名称、分层层次、走班学科的配置方式。</w:t>
            </w:r>
          </w:p>
        </w:tc>
      </w:tr>
      <w:tr w14:paraId="58CBB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328" w:type="pct"/>
            <w:vMerge w:val="continue"/>
            <w:shd w:val="clear" w:color="auto" w:fill="auto"/>
            <w:tcMar>
              <w:top w:w="60" w:type="dxa"/>
              <w:left w:w="120" w:type="dxa"/>
              <w:bottom w:w="30" w:type="dxa"/>
              <w:right w:w="120" w:type="dxa"/>
            </w:tcMar>
            <w:vAlign w:val="center"/>
          </w:tcPr>
          <w:p w14:paraId="53B6F007">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30" w:type="pct"/>
            <w:vMerge w:val="continue"/>
            <w:shd w:val="clear" w:color="auto" w:fill="auto"/>
            <w:vAlign w:val="center"/>
          </w:tcPr>
          <w:p w14:paraId="3CF1238C">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64" w:type="pct"/>
            <w:shd w:val="clear" w:color="auto" w:fill="auto"/>
            <w:tcMar>
              <w:top w:w="60" w:type="dxa"/>
              <w:left w:w="120" w:type="dxa"/>
              <w:bottom w:w="30" w:type="dxa"/>
              <w:right w:w="120" w:type="dxa"/>
            </w:tcMar>
            <w:vAlign w:val="center"/>
          </w:tcPr>
          <w:p w14:paraId="4DD3CE1A">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theme="minorEastAsia"/>
                <w:bCs/>
                <w:color w:val="000000" w:themeColor="text1"/>
                <w:szCs w:val="24"/>
                <w:highlight w:val="none"/>
                <w14:textFill>
                  <w14:solidFill>
                    <w14:schemeClr w14:val="tx1"/>
                  </w14:solidFill>
                </w14:textFill>
              </w:rPr>
              <w:t>智能练习</w:t>
            </w:r>
          </w:p>
        </w:tc>
        <w:tc>
          <w:tcPr>
            <w:tcW w:w="3978" w:type="pct"/>
            <w:shd w:val="clear" w:color="auto" w:fill="auto"/>
            <w:tcMar>
              <w:top w:w="60" w:type="dxa"/>
              <w:left w:w="120" w:type="dxa"/>
              <w:bottom w:w="30" w:type="dxa"/>
              <w:right w:w="120" w:type="dxa"/>
            </w:tcMar>
            <w:vAlign w:val="center"/>
          </w:tcPr>
          <w:p w14:paraId="5CB2965A">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一、</w:t>
            </w:r>
            <w:r>
              <w:rPr>
                <w:rFonts w:hint="eastAsia" w:ascii="宋体" w:hAnsi="宋体" w:cstheme="minorEastAsia"/>
                <w:b/>
                <w:bCs/>
                <w:color w:val="000000" w:themeColor="text1"/>
                <w:szCs w:val="24"/>
                <w:highlight w:val="none"/>
                <w14:textFill>
                  <w14:solidFill>
                    <w14:schemeClr w14:val="tx1"/>
                  </w14:solidFill>
                </w14:textFill>
              </w:rPr>
              <w:t>同步课时练</w:t>
            </w:r>
          </w:p>
          <w:p w14:paraId="5130A628">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需支持教师使用Web端或移动端通过题库选题完成布置练习、批改练习的功能，web端支持教师以Word格式下载已布置的练习原题；需支持学生通过移动端完成并提交练习、查阅批改详情；支持作答数据、批改数据云端同步；</w:t>
            </w:r>
          </w:p>
          <w:p w14:paraId="5A43834F">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2、需支持学生接收教师发布的基于教材章节发布的课前预习和课后练习。</w:t>
            </w:r>
          </w:p>
          <w:p w14:paraId="4265BA30">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b/>
                <w:bCs/>
                <w:color w:val="000000" w:themeColor="text1"/>
                <w:szCs w:val="24"/>
                <w:highlight w:val="none"/>
                <w14:textFill>
                  <w14:solidFill>
                    <w14:schemeClr w14:val="tx1"/>
                  </w14:solidFill>
                </w14:textFill>
              </w:rPr>
              <w:t>二、自由出题</w:t>
            </w:r>
          </w:p>
          <w:p w14:paraId="4C92D733">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1、需支持教师通过上传图片、Word、PPT、PDF、Excel文件的形式自由发布练习任务，支持添加微课学习资料。学生通过客户端上传练习作答记录后，可以查看答案附件进行自批自改；</w:t>
            </w:r>
          </w:p>
          <w:p w14:paraId="3AF9B346">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2、需支持教师在线编辑答题卡，答题卡支持题型包括选择题、填空题、判断题、简答题。</w:t>
            </w:r>
          </w:p>
          <w:p w14:paraId="23E529AD">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b/>
                <w:bCs/>
                <w:color w:val="000000" w:themeColor="text1"/>
                <w:szCs w:val="24"/>
                <w:highlight w:val="none"/>
                <w14:textFill>
                  <w14:solidFill>
                    <w14:schemeClr w14:val="tx1"/>
                  </w14:solidFill>
                </w14:textFill>
              </w:rPr>
              <w:t>三、英语智作文</w:t>
            </w:r>
          </w:p>
          <w:p w14:paraId="75168EC7">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1、需支持教师通过话题、书面表达形式、来源筛选作文题目，一键布置英语作文练习；需支持学生线下纸笔作答拍照上传，系统自动批改并智能打分，自动分析作文中的优点和不足，及时反馈结果并进行标注。</w:t>
            </w:r>
          </w:p>
          <w:p w14:paraId="49EB3B6C">
            <w:pPr>
              <w:spacing w:line="360" w:lineRule="auto"/>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2、需支持系统自动生成智能批改报告，包括学生个人报告和班级典型错误报告。个人报告需包含得分、智能点评结果、作文内容、批改详情。</w:t>
            </w:r>
            <w:r>
              <w:rPr>
                <w:rFonts w:hint="eastAsia" w:ascii="宋体" w:hAnsi="宋体" w:cstheme="minorEastAsia"/>
                <w:bCs/>
                <w:color w:val="000000" w:themeColor="text1"/>
                <w:szCs w:val="24"/>
                <w:highlight w:val="none"/>
                <w14:textFill>
                  <w14:solidFill>
                    <w14:schemeClr w14:val="tx1"/>
                  </w14:solidFill>
                </w14:textFill>
              </w:rPr>
              <w:t>学生根据报告反馈，可重新订正作文并再次提交批改。</w:t>
            </w:r>
          </w:p>
          <w:p w14:paraId="64B3FDB5">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b/>
                <w:bCs/>
                <w:color w:val="000000" w:themeColor="text1"/>
                <w:szCs w:val="24"/>
                <w:highlight w:val="none"/>
                <w14:textFill>
                  <w14:solidFill>
                    <w14:schemeClr w14:val="tx1"/>
                  </w14:solidFill>
                </w14:textFill>
              </w:rPr>
              <w:t>四、英语听说专练</w:t>
            </w:r>
          </w:p>
          <w:p w14:paraId="50B6C342">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1、需支持教师根据教材章节布置英语单词和英语课文听说练习，其中单词练习涵盖单词跟读、听音选词、拼写、中译英、英译中五种练习形式；课文涵盖课文朗读、情景对话两种形式；</w:t>
            </w:r>
          </w:p>
          <w:p w14:paraId="4A1BAE6C">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2、需支持系统自动对学生的语音进行打分评价，并输出关于准确度、流畅度、完整度的评价分析。</w:t>
            </w:r>
          </w:p>
          <w:p w14:paraId="53E4DE6F">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b/>
                <w:bCs/>
                <w:color w:val="000000" w:themeColor="text1"/>
                <w:szCs w:val="24"/>
                <w:highlight w:val="none"/>
                <w14:textFill>
                  <w14:solidFill>
                    <w14:schemeClr w14:val="tx1"/>
                  </w14:solidFill>
                </w14:textFill>
              </w:rPr>
              <w:t>五、中文朗读作业</w:t>
            </w:r>
          </w:p>
          <w:p w14:paraId="539689C1">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需支持教师布置中文朗读作业，支持自定义输入字词、文章内容进行评测。需支持系统自动对学生提交的语音进行评测，字词将从合格、不合格、优秀、良好方面进行评价分析，文章将从完整度、流畅度、准确度进行评价分析。需支持查看学生朗读录音。</w:t>
            </w:r>
          </w:p>
          <w:p w14:paraId="524E69CD">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b/>
                <w:bCs/>
                <w:color w:val="000000" w:themeColor="text1"/>
                <w:szCs w:val="24"/>
                <w:highlight w:val="none"/>
                <w14:textFill>
                  <w14:solidFill>
                    <w14:schemeClr w14:val="tx1"/>
                  </w14:solidFill>
                </w14:textFill>
              </w:rPr>
              <w:t>六、打卡任务</w:t>
            </w:r>
          </w:p>
          <w:p w14:paraId="53955C4D">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1、需支持教师通过上传文字、图片及文档的形式灵活布置练习内容并上传答案，学生作答结束即可获得答案并自行批改。</w:t>
            </w:r>
          </w:p>
        </w:tc>
      </w:tr>
      <w:tr w14:paraId="2F755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328" w:type="pct"/>
            <w:vMerge w:val="continue"/>
            <w:shd w:val="clear" w:color="auto" w:fill="auto"/>
            <w:tcMar>
              <w:top w:w="60" w:type="dxa"/>
              <w:left w:w="120" w:type="dxa"/>
              <w:bottom w:w="30" w:type="dxa"/>
              <w:right w:w="120" w:type="dxa"/>
            </w:tcMar>
            <w:vAlign w:val="center"/>
          </w:tcPr>
          <w:p w14:paraId="1393A1EA">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30" w:type="pct"/>
            <w:vMerge w:val="continue"/>
            <w:shd w:val="clear" w:color="auto" w:fill="auto"/>
            <w:vAlign w:val="center"/>
          </w:tcPr>
          <w:p w14:paraId="2E887069">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64" w:type="pct"/>
            <w:shd w:val="clear" w:color="auto" w:fill="auto"/>
            <w:tcMar>
              <w:top w:w="60" w:type="dxa"/>
              <w:left w:w="120" w:type="dxa"/>
              <w:bottom w:w="30" w:type="dxa"/>
              <w:right w:w="120" w:type="dxa"/>
            </w:tcMar>
            <w:vAlign w:val="center"/>
          </w:tcPr>
          <w:p w14:paraId="4F774A12">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theme="minorEastAsia"/>
                <w:bCs/>
                <w:color w:val="000000" w:themeColor="text1"/>
                <w:szCs w:val="24"/>
                <w:highlight w:val="none"/>
                <w14:textFill>
                  <w14:solidFill>
                    <w14:schemeClr w14:val="tx1"/>
                  </w14:solidFill>
                </w14:textFill>
              </w:rPr>
              <w:t>智能批改</w:t>
            </w:r>
          </w:p>
        </w:tc>
        <w:tc>
          <w:tcPr>
            <w:tcW w:w="3978" w:type="pct"/>
            <w:shd w:val="clear" w:color="auto" w:fill="auto"/>
            <w:tcMar>
              <w:top w:w="60" w:type="dxa"/>
              <w:left w:w="120" w:type="dxa"/>
              <w:bottom w:w="30" w:type="dxa"/>
              <w:right w:w="120" w:type="dxa"/>
            </w:tcMar>
            <w:vAlign w:val="center"/>
          </w:tcPr>
          <w:p w14:paraId="1620959E">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1、需支持英语填空题自动评分；支持英语填空题人机双评功能，由</w:t>
            </w:r>
            <w:r>
              <w:rPr>
                <w:rFonts w:hint="eastAsia" w:ascii="宋体" w:hAnsi="宋体" w:cstheme="minorEastAsia"/>
                <w:bCs/>
                <w:color w:val="000000" w:themeColor="text1"/>
                <w:szCs w:val="24"/>
                <w:highlight w:val="none"/>
                <w14:textFill>
                  <w14:solidFill>
                    <w14:schemeClr w14:val="tx1"/>
                  </w14:solidFill>
                </w14:textFill>
              </w:rPr>
              <w:t>阅卷老师完成其中一评，由AI完成另一评；</w:t>
            </w:r>
          </w:p>
          <w:p w14:paraId="0B5169C8">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2、需支持英语短文改错题自动评分；</w:t>
            </w:r>
          </w:p>
          <w:p w14:paraId="057EDA6A">
            <w:pPr>
              <w:spacing w:line="360" w:lineRule="auto"/>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★3、需支持英语作文自动评分及英语作文人机双评，可导出英语作文人机对比报告；（需提供英语作文自动评分技术在正式英语考试中实际应用的证明材料）</w:t>
            </w:r>
          </w:p>
          <w:p w14:paraId="40F1C4DF">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4、需提供班级整体的英语作文智能批改报告，包括英语作文的成绩分布情况，诊断作文中书写不规范、短语错误、动词错误、名词错误、词性错误常见错误类型，统计分析学生犯错频次并显示学生具体的错误信息，并可导出班级作文批改分析报告；系统提供学生个人智能批改报告，覆盖作文分数、作文批改详情指标；</w:t>
            </w:r>
            <w:bookmarkStart w:id="63" w:name="OLE_LINK1"/>
            <w:r>
              <w:rPr>
                <w:rFonts w:hint="eastAsia" w:ascii="宋体" w:hAnsi="宋体" w:cs="Calibri"/>
                <w:color w:val="000000" w:themeColor="text1"/>
                <w:kern w:val="0"/>
                <w:szCs w:val="24"/>
                <w:highlight w:val="none"/>
                <w14:textFill>
                  <w14:solidFill>
                    <w14:schemeClr w14:val="tx1"/>
                  </w14:solidFill>
                </w14:textFill>
              </w:rPr>
              <w:t>（响应文件需提供此功能界面截图）</w:t>
            </w:r>
            <w:bookmarkEnd w:id="63"/>
          </w:p>
          <w:p w14:paraId="47725840">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5、需支持数学填空题自动评分；支持数学填空题人机双评功能，由</w:t>
            </w:r>
            <w:r>
              <w:rPr>
                <w:rFonts w:hint="eastAsia" w:ascii="宋体" w:hAnsi="宋体" w:cstheme="minorEastAsia"/>
                <w:bCs/>
                <w:color w:val="000000" w:themeColor="text1"/>
                <w:szCs w:val="24"/>
                <w:highlight w:val="none"/>
                <w14:textFill>
                  <w14:solidFill>
                    <w14:schemeClr w14:val="tx1"/>
                  </w14:solidFill>
                </w14:textFill>
              </w:rPr>
              <w:t>阅卷老师完成其中一评，由AI完成另一评；</w:t>
            </w:r>
          </w:p>
          <w:p w14:paraId="3453EDF6">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6、需支持数学解答题（主观题）的自动评分；</w:t>
            </w:r>
          </w:p>
          <w:p w14:paraId="054EA8D8">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7、需支持语文填空题（古诗词默写）的自动评分；</w:t>
            </w:r>
          </w:p>
          <w:p w14:paraId="44BC099D">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9、针对语文填空题、英语填空题、数学填空题、英语作文、数学主观题需支持人机协同批改模式，可按照管理员设置将某一分值以下的试卷推送给老师进行二次复核批改。</w:t>
            </w:r>
          </w:p>
        </w:tc>
      </w:tr>
      <w:tr w14:paraId="2CA61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328" w:type="pct"/>
            <w:vMerge w:val="continue"/>
            <w:shd w:val="clear" w:color="auto" w:fill="auto"/>
            <w:tcMar>
              <w:top w:w="60" w:type="dxa"/>
              <w:left w:w="120" w:type="dxa"/>
              <w:bottom w:w="30" w:type="dxa"/>
              <w:right w:w="120" w:type="dxa"/>
            </w:tcMar>
            <w:vAlign w:val="center"/>
          </w:tcPr>
          <w:p w14:paraId="2BBFD554">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30" w:type="pct"/>
            <w:vMerge w:val="continue"/>
            <w:shd w:val="clear" w:color="auto" w:fill="auto"/>
            <w:vAlign w:val="center"/>
          </w:tcPr>
          <w:p w14:paraId="23075A07">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64" w:type="pct"/>
            <w:shd w:val="clear" w:color="auto" w:fill="auto"/>
            <w:tcMar>
              <w:top w:w="60" w:type="dxa"/>
              <w:left w:w="120" w:type="dxa"/>
              <w:bottom w:w="30" w:type="dxa"/>
              <w:right w:w="120" w:type="dxa"/>
            </w:tcMar>
            <w:vAlign w:val="center"/>
          </w:tcPr>
          <w:p w14:paraId="102C8A5C">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theme="minorEastAsia"/>
                <w:bCs/>
                <w:color w:val="000000" w:themeColor="text1"/>
                <w:szCs w:val="24"/>
                <w:highlight w:val="none"/>
                <w14:textFill>
                  <w14:solidFill>
                    <w14:schemeClr w14:val="tx1"/>
                  </w14:solidFill>
                </w14:textFill>
              </w:rPr>
              <w:t>A3阅卷仪</w:t>
            </w:r>
          </w:p>
        </w:tc>
        <w:tc>
          <w:tcPr>
            <w:tcW w:w="3978" w:type="pct"/>
            <w:shd w:val="clear" w:color="auto" w:fill="auto"/>
            <w:tcMar>
              <w:top w:w="60" w:type="dxa"/>
              <w:left w:w="120" w:type="dxa"/>
              <w:bottom w:w="30" w:type="dxa"/>
              <w:right w:w="120" w:type="dxa"/>
            </w:tcMar>
            <w:vAlign w:val="center"/>
          </w:tcPr>
          <w:p w14:paraId="203E5244">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1.扫描技术:CIS(CMOS) ;灰度输出位深为 256 级（8 位）；彩色采集位深为 24 位 (8 x 3)；彩色输出位深为 24 位 (8 x 3)</w:t>
            </w:r>
          </w:p>
          <w:p w14:paraId="76B1B34F">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2.光源:LED</w:t>
            </w:r>
          </w:p>
          <w:p w14:paraId="729A5BF8">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3.扫描类型:U型通道；支持自动进纸扫描</w:t>
            </w:r>
          </w:p>
          <w:p w14:paraId="338C7A72">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4.接口:USB2.0或以上</w:t>
            </w:r>
          </w:p>
          <w:p w14:paraId="0985D068">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5.扫描速度:150 dpi 和 200dpi，黑白、灰度和彩色模式下都可达到每分钟80页/160个影像</w:t>
            </w:r>
          </w:p>
          <w:p w14:paraId="65C892C0">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6.光学分辨率:600 dpi</w:t>
            </w:r>
          </w:p>
          <w:p w14:paraId="660B12F2">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7.分辨率输出:支持100 / 150 / 200 / 300 / 400 / 600dpi的图像输出</w:t>
            </w:r>
          </w:p>
          <w:p w14:paraId="21B430B6">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8.纸张尺寸检测:支持自动纸张尺寸检测</w:t>
            </w:r>
          </w:p>
          <w:p w14:paraId="39325CC2">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9.文档感应:超声波多进纸检测；智能文档保护</w:t>
            </w:r>
          </w:p>
          <w:p w14:paraId="6630B104">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10.ADF容量:≥200张 70g/m2纸张</w:t>
            </w:r>
          </w:p>
          <w:p w14:paraId="48DDEC42">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11.输出文件格式:支持彩色/黑白/灰度情况的单面和双面出图，输出文件格式为PDF、BMP、JPEG、TIFF、PNG等常用图像格式</w:t>
            </w:r>
          </w:p>
          <w:p w14:paraId="5E6DD585">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theme="minorEastAsia"/>
                <w:color w:val="000000" w:themeColor="text1"/>
                <w:szCs w:val="24"/>
                <w:highlight w:val="none"/>
                <w14:textFill>
                  <w14:solidFill>
                    <w14:schemeClr w14:val="tx1"/>
                  </w14:solidFill>
                </w14:textFill>
              </w:rPr>
              <w:t>12.驱动程序:支持TWAIN驱动</w:t>
            </w:r>
          </w:p>
        </w:tc>
      </w:tr>
      <w:tr w14:paraId="0818D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328" w:type="pct"/>
            <w:vMerge w:val="restart"/>
            <w:shd w:val="clear" w:color="auto" w:fill="auto"/>
            <w:tcMar>
              <w:top w:w="60" w:type="dxa"/>
              <w:left w:w="120" w:type="dxa"/>
              <w:bottom w:w="30" w:type="dxa"/>
              <w:right w:w="120" w:type="dxa"/>
            </w:tcMar>
            <w:vAlign w:val="center"/>
          </w:tcPr>
          <w:p w14:paraId="7DADDDC6">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宋体"/>
                <w:bCs/>
                <w:color w:val="000000" w:themeColor="text1"/>
                <w:kern w:val="0"/>
                <w:szCs w:val="24"/>
                <w:highlight w:val="none"/>
                <w14:textFill>
                  <w14:solidFill>
                    <w14:schemeClr w14:val="tx1"/>
                  </w14:solidFill>
                </w14:textFill>
              </w:rPr>
              <w:t>2</w:t>
            </w:r>
          </w:p>
        </w:tc>
        <w:tc>
          <w:tcPr>
            <w:tcW w:w="330" w:type="pct"/>
            <w:vMerge w:val="restart"/>
            <w:shd w:val="clear" w:color="auto" w:fill="auto"/>
            <w:vAlign w:val="center"/>
          </w:tcPr>
          <w:p w14:paraId="3CCF5BEE">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宋体"/>
                <w:bCs/>
                <w:color w:val="000000" w:themeColor="text1"/>
                <w:kern w:val="0"/>
                <w:szCs w:val="24"/>
                <w:highlight w:val="none"/>
                <w14:textFill>
                  <w14:solidFill>
                    <w14:schemeClr w14:val="tx1"/>
                  </w14:solidFill>
                </w14:textFill>
              </w:rPr>
              <w:t>AI英语听说课堂</w:t>
            </w:r>
          </w:p>
        </w:tc>
        <w:tc>
          <w:tcPr>
            <w:tcW w:w="364" w:type="pct"/>
            <w:shd w:val="clear" w:color="auto" w:fill="auto"/>
            <w:tcMar>
              <w:top w:w="60" w:type="dxa"/>
              <w:left w:w="120" w:type="dxa"/>
              <w:bottom w:w="30" w:type="dxa"/>
              <w:right w:w="120" w:type="dxa"/>
            </w:tcMar>
            <w:vAlign w:val="center"/>
          </w:tcPr>
          <w:p w14:paraId="1793777D">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宋体"/>
                <w:bCs/>
                <w:color w:val="000000" w:themeColor="text1"/>
                <w:kern w:val="0"/>
                <w:szCs w:val="24"/>
                <w:highlight w:val="none"/>
                <w14:textFill>
                  <w14:solidFill>
                    <w14:schemeClr w14:val="tx1"/>
                  </w14:solidFill>
                </w14:textFill>
              </w:rPr>
              <w:t>AI听说课堂软件</w:t>
            </w:r>
          </w:p>
        </w:tc>
        <w:tc>
          <w:tcPr>
            <w:tcW w:w="3978" w:type="pct"/>
            <w:shd w:val="clear" w:color="auto" w:fill="auto"/>
            <w:tcMar>
              <w:top w:w="60" w:type="dxa"/>
              <w:left w:w="120" w:type="dxa"/>
              <w:bottom w:w="30" w:type="dxa"/>
              <w:right w:w="120" w:type="dxa"/>
            </w:tcMar>
            <w:vAlign w:val="center"/>
          </w:tcPr>
          <w:p w14:paraId="77DE0F23">
            <w:pPr>
              <w:widowControl/>
              <w:spacing w:line="360" w:lineRule="auto"/>
              <w:rPr>
                <w:rFonts w:hint="eastAsia" w:ascii="宋体" w:hAnsi="宋体" w:cs="宋体"/>
                <w:bCs/>
                <w:color w:val="000000" w:themeColor="text1"/>
                <w:kern w:val="0"/>
                <w:szCs w:val="24"/>
                <w:highlight w:val="none"/>
                <w14:textFill>
                  <w14:solidFill>
                    <w14:schemeClr w14:val="tx1"/>
                  </w14:solidFill>
                </w14:textFill>
              </w:rPr>
            </w:pPr>
            <w:r>
              <w:rPr>
                <w:rFonts w:hint="eastAsia" w:ascii="宋体" w:hAnsi="宋体" w:cs="宋体"/>
                <w:bCs/>
                <w:color w:val="000000" w:themeColor="text1"/>
                <w:kern w:val="0"/>
                <w:szCs w:val="24"/>
                <w:highlight w:val="none"/>
                <w14:textFill>
                  <w14:solidFill>
                    <w14:schemeClr w14:val="tx1"/>
                  </w14:solidFill>
                </w14:textFill>
              </w:rPr>
              <w:t>课前备课</w:t>
            </w:r>
          </w:p>
          <w:p w14:paraId="6E3F5924">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1、需支持教师通过云平台或者教学软件端进行备课。</w:t>
            </w:r>
          </w:p>
          <w:p w14:paraId="5E57606B">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★2、需支持教师浏览电子化教材、熟悉课本内容及内置互动资源，并根据教学需要将多种教学资源添加到电子化教材中。</w:t>
            </w:r>
            <w:r>
              <w:rPr>
                <w:rFonts w:hint="eastAsia" w:ascii="宋体" w:hAnsi="宋体" w:cs="Calibri"/>
                <w:color w:val="000000" w:themeColor="text1"/>
                <w:kern w:val="0"/>
                <w:szCs w:val="24"/>
                <w:highlight w:val="none"/>
                <w14:textFill>
                  <w14:solidFill>
                    <w14:schemeClr w14:val="tx1"/>
                  </w14:solidFill>
                </w14:textFill>
              </w:rPr>
              <w:t>（响应文件需提供此功能界面截图）</w:t>
            </w:r>
          </w:p>
          <w:p w14:paraId="78CD473D">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3、需支持教师根据教学活动开展需要，自由选择不同类型的教学或练习资源，组成授课资源包。</w:t>
            </w:r>
          </w:p>
          <w:p w14:paraId="0A19DBA3">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4、需支持教师对个人授课资源包进行管理，包括自主命名、搜索、调整资源展示排序、再次编辑，再次编辑包含添加资源、删除资源等。</w:t>
            </w:r>
          </w:p>
          <w:p w14:paraId="26F49415">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5、需支持教师共享自主创建的授课资源包，可分享给学校其他教师使用。</w:t>
            </w:r>
          </w:p>
          <w:p w14:paraId="1025958C">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6、需支持教师自主上传课件、文本、音视频教学资源，以建立个性化备课资源库。</w:t>
            </w:r>
          </w:p>
          <w:p w14:paraId="0F7E5642">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7、需为教师提供英语听力、口语、笔试教学资源制题工具，用于完成试题音频的自动合成以及朗读题（朗读单词、朗读句子、朗读短文、朗读对话）、客观题（选择、判断）的自主制作，形成教师个人的互动练习试题库，自制的资源可在课上教学时通过教学软件进行讲解与练习，同时也可以进行校内共享，共建校本资源库。</w:t>
            </w:r>
            <w:r>
              <w:rPr>
                <w:rFonts w:hint="eastAsia" w:ascii="宋体" w:hAnsi="宋体" w:cs="Calibri"/>
                <w:color w:val="000000" w:themeColor="text1"/>
                <w:kern w:val="0"/>
                <w:szCs w:val="24"/>
                <w:highlight w:val="none"/>
                <w14:textFill>
                  <w14:solidFill>
                    <w14:schemeClr w14:val="tx1"/>
                  </w14:solidFill>
                </w14:textFill>
              </w:rPr>
              <w:t>（响应文件需提供此功能界面截图）</w:t>
            </w:r>
          </w:p>
          <w:p w14:paraId="66D3B999">
            <w:pPr>
              <w:widowControl/>
              <w:spacing w:line="360" w:lineRule="auto"/>
              <w:rPr>
                <w:rFonts w:hint="eastAsia" w:ascii="宋体" w:hAnsi="宋体" w:cs="宋体"/>
                <w:bCs/>
                <w:color w:val="000000" w:themeColor="text1"/>
                <w:kern w:val="0"/>
                <w:szCs w:val="24"/>
                <w:highlight w:val="none"/>
                <w14:textFill>
                  <w14:solidFill>
                    <w14:schemeClr w14:val="tx1"/>
                  </w14:solidFill>
                </w14:textFill>
              </w:rPr>
            </w:pPr>
            <w:r>
              <w:rPr>
                <w:rFonts w:hint="eastAsia" w:ascii="宋体" w:hAnsi="宋体" w:cs="宋体"/>
                <w:bCs/>
                <w:color w:val="000000" w:themeColor="text1"/>
                <w:kern w:val="0"/>
                <w:szCs w:val="24"/>
                <w:highlight w:val="none"/>
                <w14:textFill>
                  <w14:solidFill>
                    <w14:schemeClr w14:val="tx1"/>
                  </w14:solidFill>
                </w14:textFill>
              </w:rPr>
              <w:t>课堂教学</w:t>
            </w:r>
          </w:p>
          <w:p w14:paraId="1F485196">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1、需支持多版本电子化教材资源，能够通过教室大屏或投影设备呈现教材内容、播放课文音频，可手动控制教学音频的播放进度，对重点内容反复播放或暂停播放。</w:t>
            </w:r>
          </w:p>
          <w:p w14:paraId="20586D93">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2、需支持自动记录教师课本教学进度，快速打开要讲解的教学单元内容。</w:t>
            </w:r>
          </w:p>
          <w:p w14:paraId="18EF9E94">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3、需支持教师随时选取单元配套的教学资源库，或打开课前备课准备的授课资源包，在课上展示讲解、播放等。</w:t>
            </w:r>
          </w:p>
          <w:p w14:paraId="1F411E9D">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4、需为老师提供同步教材单元教学课件、视频素材，支持教师课前预览选用、下载修改、课上播放。</w:t>
            </w:r>
          </w:p>
          <w:p w14:paraId="3A46E3F7">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5、针对教师对课文中听力部分做重点讲解的需要，系统需支持反复播放听力音频、随意调节播放进度、快速定位播放每小题相关音频，查看听力原文和答案、能够一键凸显各小题答案相关听力原文内容以及一键凸显各小题干扰项。</w:t>
            </w:r>
            <w:r>
              <w:rPr>
                <w:rFonts w:hint="eastAsia" w:ascii="宋体" w:hAnsi="宋体" w:cs="Calibri"/>
                <w:color w:val="000000" w:themeColor="text1"/>
                <w:kern w:val="0"/>
                <w:szCs w:val="24"/>
                <w:highlight w:val="none"/>
                <w14:textFill>
                  <w14:solidFill>
                    <w14:schemeClr w14:val="tx1"/>
                  </w14:solidFill>
                </w14:textFill>
              </w:rPr>
              <w:t>（响应文件需提供此功能界面截图）</w:t>
            </w:r>
          </w:p>
          <w:p w14:paraId="396CD910">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6、为了方便学科教师对课文的语篇进行细致讲解，系统需支持文篇（短文或对话）即点即读、逐句讲解、标准音带读功能。</w:t>
            </w:r>
          </w:p>
          <w:p w14:paraId="1141861F">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lang w:eastAsia="zh-CN"/>
                <w14:textFill>
                  <w14:solidFill>
                    <w14:schemeClr w14:val="tx1"/>
                  </w14:solidFill>
                </w14:textFill>
              </w:rPr>
              <w:t>★</w:t>
            </w:r>
            <w:r>
              <w:rPr>
                <w:rFonts w:hint="eastAsia" w:ascii="宋体" w:hAnsi="宋体" w:cs="宋体"/>
                <w:color w:val="000000" w:themeColor="text1"/>
                <w:kern w:val="0"/>
                <w:szCs w:val="24"/>
                <w:highlight w:val="none"/>
                <w14:textFill>
                  <w14:solidFill>
                    <w14:schemeClr w14:val="tx1"/>
                  </w14:solidFill>
                </w14:textFill>
              </w:rPr>
              <w:t>7、针对单词教学环节，需支持教师快速选取课本同步词汇、备考专题词汇、班级高频失分词等进行教学，支持结合单词、音标、释义、例句内容进行词汇讲解，支持进行单词标准音自动带读、听写、中英识意互选、单词PK游戏等功能。</w:t>
            </w:r>
          </w:p>
          <w:p w14:paraId="4218A68C">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8、需支持教师在讲解课文或听说练习题时，一键查看重点单词的教学卡片，给学生讲解每个单词的英式和美式音标、发音、释义、中英文例句。</w:t>
            </w:r>
          </w:p>
          <w:p w14:paraId="70281D35">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9、针对情景类、表述类口语题型，需支持教师一键调取多种优秀作答参考给学生做针对性讲解。</w:t>
            </w:r>
          </w:p>
          <w:p w14:paraId="26A74D06">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10、需支持音标教学功能，包括每个音标的发音讲解视频、常见发音组合、发音朗读练习题，辅助英语基础语音教学。</w:t>
            </w:r>
          </w:p>
          <w:p w14:paraId="63697757">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11、需支持教师选取与课标、单元主题配套且符合授课年级难度的教学资源，包括基础词汇、句型听读，语篇的精听、精读，听力或口语的理解应用，开展主题听说教学。</w:t>
            </w:r>
          </w:p>
          <w:p w14:paraId="09F4C711">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★12、需支持教师选取符合授课年级难度的趣味配音资源开展教学，支持整段或逐句播放视频；支持发起配音活动，让学生参与进行配音，并且能够合成学生配音作品、进行学生配音作品播放展示。</w:t>
            </w:r>
            <w:r>
              <w:rPr>
                <w:rFonts w:hint="eastAsia" w:ascii="宋体" w:hAnsi="宋体" w:cs="Calibri"/>
                <w:color w:val="000000" w:themeColor="text1"/>
                <w:kern w:val="0"/>
                <w:szCs w:val="24"/>
                <w:highlight w:val="none"/>
                <w14:textFill>
                  <w14:solidFill>
                    <w14:schemeClr w14:val="tx1"/>
                  </w14:solidFill>
                </w14:textFill>
              </w:rPr>
              <w:t>（响应文件需提供此功能界面截图）</w:t>
            </w:r>
          </w:p>
          <w:p w14:paraId="727F20D3">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13、需支持教师选取与本地区中高考听说考试题型一致的练习题，开展听说备考专项教学，支持按照年级、题型来选择练习题。</w:t>
            </w:r>
          </w:p>
          <w:p w14:paraId="243438E3">
            <w:pPr>
              <w:widowControl/>
              <w:spacing w:line="360" w:lineRule="auto"/>
              <w:rPr>
                <w:rFonts w:hint="eastAsia" w:ascii="宋体" w:hAnsi="宋体" w:cs="宋体"/>
                <w:color w:val="000000" w:themeColor="text1"/>
                <w:kern w:val="0"/>
                <w:szCs w:val="24"/>
                <w:highlight w:val="none"/>
                <w14:textFill>
                  <w14:solidFill>
                    <w14:schemeClr w14:val="tx1"/>
                  </w14:solidFill>
                </w14:textFill>
              </w:rPr>
            </w:pPr>
            <w:bookmarkStart w:id="64" w:name="OLE_LINK6"/>
            <w:r>
              <w:rPr>
                <w:rFonts w:hint="eastAsia" w:ascii="宋体" w:hAnsi="宋体" w:cs="宋体"/>
                <w:color w:val="000000" w:themeColor="text1"/>
                <w:kern w:val="0"/>
                <w:szCs w:val="24"/>
                <w:highlight w:val="none"/>
                <w14:textFill>
                  <w14:solidFill>
                    <w14:schemeClr w14:val="tx1"/>
                  </w14:solidFill>
                </w14:textFill>
              </w:rPr>
              <w:t>14、需提供针对本地区听说考试的考试解析，帮助了解考试形式、考察方向，以及相关注意事项，并能够进行全真模拟，包含以下内容：</w:t>
            </w:r>
          </w:p>
          <w:p w14:paraId="5C56D600">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考纲解读：需提供地区考试大纲以及相关解析，帮助了解考试范围、考查重点、试卷结构等；</w:t>
            </w:r>
          </w:p>
          <w:p w14:paraId="398DC6AB">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题型说明：针对考试的每个题型，需提供相关题型样例、标准考试流程、评分标准等；</w:t>
            </w:r>
          </w:p>
          <w:p w14:paraId="1E9A5378">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答题指导：需提供机考作答的注意事项和相关答题技巧，避免因不了解机考特点而失分；</w:t>
            </w:r>
          </w:p>
          <w:p w14:paraId="4D7321BC">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全真模拟：支持进行考试流程模拟体验，流程与正式考试一致，支持单题或单步体验，随时停止、回退。</w:t>
            </w:r>
          </w:p>
          <w:bookmarkEnd w:id="64"/>
          <w:p w14:paraId="00B565AC">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15、需支持教师使用多种互动工具，包括指定选人、随机选人、小组PK等形式。</w:t>
            </w:r>
          </w:p>
          <w:p w14:paraId="40E8F397">
            <w:pPr>
              <w:widowControl/>
              <w:spacing w:line="360" w:lineRule="auto"/>
              <w:rPr>
                <w:rFonts w:hint="eastAsia" w:ascii="宋体" w:hAnsi="宋体" w:cs="宋体"/>
                <w:bCs/>
                <w:color w:val="000000" w:themeColor="text1"/>
                <w:kern w:val="0"/>
                <w:szCs w:val="24"/>
                <w:highlight w:val="none"/>
                <w14:textFill>
                  <w14:solidFill>
                    <w14:schemeClr w14:val="tx1"/>
                  </w14:solidFill>
                </w14:textFill>
              </w:rPr>
            </w:pPr>
            <w:r>
              <w:rPr>
                <w:rFonts w:hint="eastAsia" w:ascii="宋体" w:hAnsi="宋体" w:cs="宋体"/>
                <w:bCs/>
                <w:color w:val="000000" w:themeColor="text1"/>
                <w:kern w:val="0"/>
                <w:szCs w:val="24"/>
                <w:highlight w:val="none"/>
                <w14:textFill>
                  <w14:solidFill>
                    <w14:schemeClr w14:val="tx1"/>
                  </w14:solidFill>
                </w14:textFill>
              </w:rPr>
              <w:t>课堂互动与练习</w:t>
            </w:r>
          </w:p>
          <w:p w14:paraId="39438572">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1、需支持学生通过语音输入姓名或者按键输入学生编号来绑定语音答题器，方便进行课堂互动练习。</w:t>
            </w:r>
          </w:p>
          <w:p w14:paraId="370359A0">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lang w:eastAsia="zh-CN"/>
                <w14:textFill>
                  <w14:solidFill>
                    <w14:schemeClr w14:val="tx1"/>
                  </w14:solidFill>
                </w14:textFill>
              </w:rPr>
              <w:t>★</w:t>
            </w:r>
            <w:r>
              <w:rPr>
                <w:rFonts w:hint="eastAsia" w:ascii="宋体" w:hAnsi="宋体" w:cs="宋体"/>
                <w:color w:val="000000" w:themeColor="text1"/>
                <w:kern w:val="0"/>
                <w:szCs w:val="24"/>
                <w:highlight w:val="none"/>
                <w14:textFill>
                  <w14:solidFill>
                    <w14:schemeClr w14:val="tx1"/>
                  </w14:solidFill>
                </w14:textFill>
              </w:rPr>
              <w:t>2、需支持配合学生语音答题器，在课上一键发起互动练习。支持全班下发，所有学生均可参与练习；支持随机模式，由系统随机抽选学生进行作答；支持抢答模式，学生通过语音答题器进行抢答；支持直接选人作答；支持小组间PK练习等。</w:t>
            </w:r>
          </w:p>
          <w:p w14:paraId="3CFCDE5E">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3、需支持查看班级学生名单，将学生分为不同小组，并在互动后给学生或小组增加积分奖励</w:t>
            </w:r>
          </w:p>
          <w:p w14:paraId="02FC2D65">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4、需支持抽选单个学生在教学软件上进行练习，系统实时进行练习评测、反馈学生练习情况</w:t>
            </w:r>
          </w:p>
          <w:p w14:paraId="463B528A">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5、需支持客观题作答，能够实时反馈每个学生作答得分情况。</w:t>
            </w:r>
          </w:p>
          <w:p w14:paraId="3F741543">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6、针对朗读类资源，需支持实时评测，以总分、流畅度、完整度、准确度、自然度综合反馈学生水平，并且会标记出学生每个单词发音的优、良、低分、漏读等情况，同时针对发音较差的单词打开单词卡片，可进行实时朗读评测，帮助针对性纠错提升。</w:t>
            </w:r>
          </w:p>
          <w:p w14:paraId="569E7C50">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7、针对单词资源，需支持多种练习形式，包括准音自动带读、听写、中英识意互选、单词PK游戏、朗读、背诵、识意选择；针对朗读句子、对话、短文资源，需支持朗读、背诵不少于2种练习方式，背诵时支持随机、句首、自定义提示词，以不同难度等级检测学生掌握情况。</w:t>
            </w:r>
          </w:p>
          <w:p w14:paraId="0952B0C8">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8、针对情景类、表述类口语题型，需支持实时评测、反馈练习水平，并且提供优秀作答示范进行参考学习。</w:t>
            </w:r>
          </w:p>
          <w:p w14:paraId="694D9B7A">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9、班级集体练习过程中，需支持教师监管学生练习过程，可实时查看所有学生的答题提交状态。</w:t>
            </w:r>
          </w:p>
          <w:p w14:paraId="6D15DF7A">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10、需支持自动结束和手动结束两种练习进度把控方式，到达设定时限后自动结束练习，同时支持教师随时手动结束互动练习，结束后立即回收学生答题数据并实时生成学生个人报告和班级整体分析报告，供老师进行练习讲评。</w:t>
            </w:r>
          </w:p>
          <w:p w14:paraId="377F4F22">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11、课堂练习结束后，需支持教师查看班级整体分析报告，需包括成绩分析统计、试题讲评与学生作答分析。</w:t>
            </w:r>
          </w:p>
          <w:p w14:paraId="44B307C6">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12、需支持教师查看学生个人分析报告，包括总分、每题得分及作答分析。</w:t>
            </w:r>
          </w:p>
          <w:p w14:paraId="5580589D">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13、需支持老师自制试题发起全班练习，包括朗读单词、朗读句子、朗读短文，并支持实时评测给出分数；</w:t>
            </w:r>
          </w:p>
          <w:p w14:paraId="247E3D5B">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支持利用单选题、判断题、投票工具，收集全班学生作答数据，辅助教学；</w:t>
            </w:r>
          </w:p>
          <w:p w14:paraId="3CAD1F09">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支持表述题/分组讨论工具，收集全班学生语音，语音支持转文本，系统支持自动评价分析和老师手动评分，系统自动评价分析需从内容主题、语言语法等维度对小组讨论进行分析，并给出个性化优化建议。</w:t>
            </w:r>
          </w:p>
          <w:p w14:paraId="69ED5616">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14、需提供计时器工具，支持设置正计时、倒计时，方便教师开展限时课堂互动。</w:t>
            </w:r>
          </w:p>
          <w:p w14:paraId="576F763B">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15、需支持教师设置各题型的音频播放速度、屏幕字号缩放比例、成绩以等级或分数显示、客观题是否立即公布答案。</w:t>
            </w:r>
          </w:p>
          <w:p w14:paraId="46D0E9D5">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16、需提供地区听说考试试卷和相关模拟考试试卷，流程与正式考试一致，支持单题或单步体验，随时停止、回退，全班下发练习。</w:t>
            </w:r>
          </w:p>
          <w:p w14:paraId="16920957">
            <w:pPr>
              <w:widowControl/>
              <w:spacing w:line="360" w:lineRule="auto"/>
              <w:rPr>
                <w:rFonts w:hint="eastAsia" w:ascii="宋体" w:hAnsi="宋体" w:cs="宋体"/>
                <w:bCs/>
                <w:color w:val="000000" w:themeColor="text1"/>
                <w:kern w:val="0"/>
                <w:szCs w:val="24"/>
                <w:highlight w:val="none"/>
                <w14:textFill>
                  <w14:solidFill>
                    <w14:schemeClr w14:val="tx1"/>
                  </w14:solidFill>
                </w14:textFill>
              </w:rPr>
            </w:pPr>
            <w:r>
              <w:rPr>
                <w:rFonts w:hint="eastAsia" w:ascii="宋体" w:hAnsi="宋体" w:cs="宋体"/>
                <w:bCs/>
                <w:color w:val="000000" w:themeColor="text1"/>
                <w:kern w:val="0"/>
                <w:szCs w:val="24"/>
                <w:highlight w:val="none"/>
                <w14:textFill>
                  <w14:solidFill>
                    <w14:schemeClr w14:val="tx1"/>
                  </w14:solidFill>
                </w14:textFill>
              </w:rPr>
              <w:t>报告讲评</w:t>
            </w:r>
          </w:p>
          <w:p w14:paraId="3366215A">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1、需支持查看课堂完成的各类互动报告，包括全班下发、小组PK、抢答、随机、选人、单机PK、单机练习，针对班级整体分析报告、学生个人分析报告进行讲评。</w:t>
            </w:r>
          </w:p>
          <w:p w14:paraId="27899EA1">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2、班级报告讲评</w:t>
            </w:r>
          </w:p>
          <w:p w14:paraId="7267D451">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（1）成绩分析统计：</w:t>
            </w:r>
          </w:p>
          <w:p w14:paraId="069FB7FD">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可查看班级整体练习情况，包括完成人数、优秀率、低分率、最高分最低分、平均分；以及每个分数段的人数占比、对应的学生名单和成绩；可查看每题的班级平均得分率，快速定位得分率低的试题，重点讲评；</w:t>
            </w:r>
          </w:p>
          <w:p w14:paraId="11E24A1C">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（2）试题讲评：</w:t>
            </w:r>
          </w:p>
          <w:p w14:paraId="206319A3">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a.针对朗读题，展示准确度、流畅度、完整度、自然度的班级评分，并标记班级高频失分词和低分句，并支持高频失分词和低分句子及时再次下发巩固练习；支持回听每位学生的作答录音；支持将学生整段短文录音切分句子音频，分段播放。</w:t>
            </w:r>
          </w:p>
          <w:p w14:paraId="5E1154A2">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b.针对听力题，展示每个小题的正确、错误人数以及对应学生名单，可播放听力原音并任意调节播放进度，可快速定位到小题相关音频进行针对性播放，能够展示并讲解参考答案、听力原文，能够一键凸显各小题答案相关听力原文内容以及一键凸显各小题干扰项内容。</w:t>
            </w:r>
          </w:p>
          <w:p w14:paraId="6409B585">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c.针对问答题、半开放表述题，可回放优秀学生录音，结合参考答案讲解；支持学生语音转文本展示；支持学生问答题信息要点命中分析；支持表述类长音频逐句切分，提高学生案例讲评效率。</w:t>
            </w:r>
          </w:p>
          <w:p w14:paraId="7ED7CE18">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（3）学生作答分析：可查看每道题的学生成绩，按照得分从高到低进行排序，教师可查看学生的个人分析报告，并且对优秀学生进行点赞表扬。</w:t>
            </w:r>
          </w:p>
          <w:p w14:paraId="629D4B3C">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3、需支持自动收录班级练习的共性错题，教师可按照收录次数、练习时间来筛选查看错题，讲评错题分析报告，并再次下发给学生做巩固练习。</w:t>
            </w:r>
          </w:p>
          <w:p w14:paraId="4D2F05CF">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4、需支持每日课堂练习分析报告，汇总每日班级学生练习次数、参与率、得分率、题型数据，指出需关注的学生，辅助老师日常教学总结分析。</w:t>
            </w:r>
          </w:p>
          <w:p w14:paraId="5EC65521">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bCs/>
                <w:color w:val="000000" w:themeColor="text1"/>
                <w:kern w:val="0"/>
                <w:szCs w:val="24"/>
                <w:highlight w:val="none"/>
                <w14:textFill>
                  <w14:solidFill>
                    <w14:schemeClr w14:val="tx1"/>
                  </w14:solidFill>
                </w14:textFill>
              </w:rPr>
              <w:t>学情分析</w:t>
            </w:r>
          </w:p>
          <w:p w14:paraId="3A7CFC8E">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一、学校综合学情</w:t>
            </w:r>
          </w:p>
          <w:p w14:paraId="07B00D36">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1、需支持自动汇总学校开展听说教学的数据，按学年、学期、年级生成学校综合教情，支持学校查看下属每一年级、班级的报告，包括课堂练习次数、参与率、得分率指标；</w:t>
            </w:r>
          </w:p>
          <w:p w14:paraId="0276D61E">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2、需支持查看学校每月开展听说练习情况，并支持与区域平均得分率做比较，形成整体变化轨迹。</w:t>
            </w:r>
          </w:p>
          <w:p w14:paraId="33F1AEBE">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3、需支持查看学校各年级听力、口语细分维度（朗读发音、问答、表述）阶段性练习情况与每月得分率变化，支持与区域平均得分率对比，了解学生听说能力水平与变化。</w:t>
            </w:r>
          </w:p>
          <w:p w14:paraId="053C7C67">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4、需支持学校查看日常教学练习中各个题型的平均得分情况，并与区域平均得分做比较，支持按题型、得分率排序。系统根据练习情况和练习得分情况指出优势与薄弱题型；</w:t>
            </w:r>
          </w:p>
          <w:p w14:paraId="6491114F">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二、班级综合学情</w:t>
            </w:r>
          </w:p>
          <w:p w14:paraId="2A99DEE5">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1、需支持自动汇总班级开展听说教学的数据，按学年、学期生成班级综合学情，支持班级教师查看授课班级开展教学后的整体教学分析报告，包括课堂练习的次数、参与率、得分率；</w:t>
            </w:r>
          </w:p>
          <w:p w14:paraId="65ABD9BC">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2、需支持统计班级每月开展听说教学的整体变化轨迹，包括课堂练习次数变化、参与率和得分率变化，并可与学校对应年级的平均情况做比较。</w:t>
            </w:r>
          </w:p>
          <w:p w14:paraId="67A7168F">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3、需汇总班级每个学生练习次数与得分率数据，支持按练习次数或得分率排序，根据学生实际练习次数、参与率、得分率提出表现优异或重点关注的学生，指导下一步教学。</w:t>
            </w:r>
          </w:p>
          <w:p w14:paraId="30A1CD49">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4、需支持展示班级听力、口语细分维度（朗读发音、问答、表述）阶段性练习情况与每月得分率变化，支持与学校对应年级平均得分率对比，了解学生听说能力水平与变化。</w:t>
            </w:r>
          </w:p>
          <w:p w14:paraId="7A555894">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5、需支持展示班级各个题型的平均得分率，标记优势题型和劣势题型，并且可与年级的平均水平进行对比；</w:t>
            </w:r>
          </w:p>
          <w:p w14:paraId="7547A311">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三、个人综合学情</w:t>
            </w:r>
          </w:p>
          <w:p w14:paraId="535BC25B">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1、需支持自动汇总与统计学生日常练习的数据，按学年、学期生成个人综合学情，支持教师查看授课班级中的学生、学生查看个人日常听说练习后的综合表现评价，并分析口语、听力与听说的能力等级；</w:t>
            </w:r>
          </w:p>
          <w:p w14:paraId="467B50AC">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2、需支持依据学生参与的所有练习，汇集分析学生整体的学情情况，包括整体练习参与率、平均得分率，以及每月的参与变化轨迹；</w:t>
            </w:r>
          </w:p>
          <w:p w14:paraId="52300042">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3、需支持根据学生日常练习情况，统计分析学生个人题型的掌握情况，分析优势题型、薄弱题型，以及与全体平均水平的对比。</w:t>
            </w:r>
          </w:p>
          <w:p w14:paraId="2214FBA1">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四、教师历次教学记录</w:t>
            </w:r>
          </w:p>
          <w:p w14:paraId="55F2863F">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1、需支持记录教师每次发起的练习，教师可查看相应记录的练习报告；</w:t>
            </w:r>
          </w:p>
          <w:p w14:paraId="044503D5">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2、需支持按班级、学年、练习类型进行报告筛选。</w:t>
            </w:r>
          </w:p>
          <w:p w14:paraId="5683D8BA">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五、学生历史练习记录</w:t>
            </w:r>
          </w:p>
          <w:p w14:paraId="49B716B9">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1、需支持学生查看个人参加听说练习的记录与每次练习答题分析报告；</w:t>
            </w:r>
          </w:p>
          <w:p w14:paraId="60890E3C">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2、需支持按学年、练习类型进行报告筛选。</w:t>
            </w:r>
          </w:p>
          <w:p w14:paraId="29CC0ED0">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bCs/>
                <w:color w:val="000000" w:themeColor="text1"/>
                <w:kern w:val="0"/>
                <w:szCs w:val="24"/>
                <w:highlight w:val="none"/>
                <w14:textFill>
                  <w14:solidFill>
                    <w14:schemeClr w14:val="tx1"/>
                  </w14:solidFill>
                </w14:textFill>
              </w:rPr>
              <w:t>英语教学资源</w:t>
            </w:r>
          </w:p>
          <w:p w14:paraId="79B8E4E7">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1、需提供与对应学段主流教材版本相匹配的的电子课本，并配有对应音频，即点即读，辅助教师在备课及授课环节进行使用。</w:t>
            </w:r>
          </w:p>
          <w:p w14:paraId="290D9820">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2、需提供与对应学段主流教材版本对应的单元检测活动，包括听、说、读各种语言能力检测活动。</w:t>
            </w:r>
          </w:p>
          <w:p w14:paraId="0AA1BB82">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需提供与单元内容与主题同步的巩固练习题，须包含20+不同的练习类型，含朗读（单词、句子、对话、短文）、听力（听后选择、听后判断、听后排序、听后配对、听后填空）、问答（听后回答、看图回答、情景回答、情景提问、交际应答、角色扮演）、表述（听后复述、听后记录并转述、信息转述及询问、口头翻译、要点表述、看图说话、话题简述），将可理解性输入与可理解性输出有机结合。</w:t>
            </w:r>
          </w:p>
          <w:p w14:paraId="0CAF6591">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4、需提供试题的主题、难度等属性标签，帮助教师在练习后精准把握学生学科技能的掌握情况，便于教师在后期的教学中针对学生的重点薄弱项进行讲解。</w:t>
            </w:r>
          </w:p>
          <w:p w14:paraId="3D2C334D">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5、需提供基础语音学习内容，包括48个音标教学视频、发音方法与练习题，帮助学生强化语音知识学习，学会运用音标习得单词发音。</w:t>
            </w:r>
          </w:p>
          <w:p w14:paraId="5565E3D5">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6、需提供以课标三大主题群为依据的主题系列资源，不少于60个主题、240个话题，以不同语篇和活动类型为依托，帮助学生积累相关主题的词汇，表达和信息，实现以主题为维度的输入和输出能力的强化。</w:t>
            </w:r>
          </w:p>
          <w:p w14:paraId="34177263">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7、需提供匹配不同年级的趣味视频配音资源，包括与教材主题同步、童话故事、动画世界、影视天堂、记录片场、科学技术、名人演讲、英语启蒙、快乐儿歌类别，语言地道，内容生动鲜活，激发学生的英语学习兴趣和动机。</w:t>
            </w:r>
          </w:p>
          <w:p w14:paraId="2101332C">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8、需提供匹配本地听说考试题型的分年级专项练习题，需覆盖全部考试题型，并提供明确难度分层，帮助师生熟悉考试题型，高效备考。</w:t>
            </w:r>
          </w:p>
          <w:p w14:paraId="3800F42C">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bCs/>
                <w:color w:val="000000" w:themeColor="text1"/>
                <w:kern w:val="0"/>
                <w:szCs w:val="24"/>
                <w:highlight w:val="none"/>
                <w14:textFill>
                  <w14:solidFill>
                    <w14:schemeClr w14:val="tx1"/>
                  </w14:solidFill>
                </w14:textFill>
              </w:rPr>
              <w:t>智能评测技术能力</w:t>
            </w:r>
          </w:p>
          <w:p w14:paraId="20D9AEDC">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1、需支持对朗读（词、句、短文）、问答、半开放表述口语题型的实时评分；</w:t>
            </w:r>
          </w:p>
          <w:p w14:paraId="21CB2A54">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2、需支持异常答题内容、与听说训练无关的答题内容、环境干扰噪音数据的预警识别，含乱说中文、唱歌、咳嗽、敲击物品等；</w:t>
            </w:r>
          </w:p>
          <w:p w14:paraId="5939B906">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需支持朗读类题型（词、句、短文）智能评测，智能评测需提供自然度、流畅度、完整度、准确度4个维度分以及总分；需支持标记朗读评分优、良、低分、漏读的单词（或使用其他能显示朗读学业水平的标记）；</w:t>
            </w:r>
          </w:p>
          <w:p w14:paraId="2B843D3E">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4、需支持问答题智能评测，智能评测需提供学生的失分原因反馈，包括关键词的学生作答准确率，帮助学生针对性改进；</w:t>
            </w:r>
          </w:p>
          <w:p w14:paraId="5B38C3E2">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5、需支持单词背诵评测，智能评测需支持按字母拼读单词的评分。</w:t>
            </w:r>
          </w:p>
          <w:p w14:paraId="0D481130">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6、需支持分组讨论自由对话智能评测与自动评价分析，评价分析需从内容主题、语言语法等维度对小组讨论进行分析，并给出个性化优化建议。</w:t>
            </w:r>
          </w:p>
        </w:tc>
      </w:tr>
      <w:tr w14:paraId="310E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328" w:type="pct"/>
            <w:vMerge w:val="continue"/>
            <w:shd w:val="clear" w:color="auto" w:fill="auto"/>
            <w:tcMar>
              <w:top w:w="60" w:type="dxa"/>
              <w:left w:w="120" w:type="dxa"/>
              <w:bottom w:w="30" w:type="dxa"/>
              <w:right w:w="120" w:type="dxa"/>
            </w:tcMar>
            <w:vAlign w:val="center"/>
          </w:tcPr>
          <w:p w14:paraId="75F5CD42">
            <w:pPr>
              <w:spacing w:line="360" w:lineRule="auto"/>
              <w:jc w:val="center"/>
              <w:rPr>
                <w:rFonts w:hint="eastAsia" w:ascii="宋体" w:hAnsi="宋体"/>
                <w:bCs/>
                <w:color w:val="000000" w:themeColor="text1"/>
                <w:szCs w:val="24"/>
                <w:highlight w:val="none"/>
                <w14:textFill>
                  <w14:solidFill>
                    <w14:schemeClr w14:val="tx1"/>
                  </w14:solidFill>
                </w14:textFill>
              </w:rPr>
            </w:pPr>
          </w:p>
        </w:tc>
        <w:tc>
          <w:tcPr>
            <w:tcW w:w="330" w:type="pct"/>
            <w:vMerge w:val="continue"/>
            <w:shd w:val="clear" w:color="auto" w:fill="auto"/>
            <w:vAlign w:val="center"/>
          </w:tcPr>
          <w:p w14:paraId="2C22E38E">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64" w:type="pct"/>
            <w:shd w:val="clear" w:color="auto" w:fill="auto"/>
            <w:tcMar>
              <w:top w:w="60" w:type="dxa"/>
              <w:left w:w="120" w:type="dxa"/>
              <w:bottom w:w="30" w:type="dxa"/>
              <w:right w:w="120" w:type="dxa"/>
            </w:tcMar>
            <w:vAlign w:val="center"/>
          </w:tcPr>
          <w:p w14:paraId="72FB1932">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宋体"/>
                <w:bCs/>
                <w:color w:val="000000" w:themeColor="text1"/>
                <w:kern w:val="0"/>
                <w:szCs w:val="24"/>
                <w:highlight w:val="none"/>
                <w14:textFill>
                  <w14:solidFill>
                    <w14:schemeClr w14:val="tx1"/>
                  </w14:solidFill>
                </w14:textFill>
              </w:rPr>
              <w:t>教师智能演示器</w:t>
            </w:r>
          </w:p>
        </w:tc>
        <w:tc>
          <w:tcPr>
            <w:tcW w:w="3978" w:type="pct"/>
            <w:shd w:val="clear" w:color="auto" w:fill="auto"/>
            <w:tcMar>
              <w:top w:w="60" w:type="dxa"/>
              <w:left w:w="120" w:type="dxa"/>
              <w:bottom w:w="30" w:type="dxa"/>
              <w:right w:w="120" w:type="dxa"/>
            </w:tcMar>
            <w:vAlign w:val="center"/>
          </w:tcPr>
          <w:p w14:paraId="63CB928C">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1、需提供录音按钮：易用设计录音按钮，按压时激活录音状态。</w:t>
            </w:r>
          </w:p>
          <w:p w14:paraId="0C5F60A8">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2、需提供飞鼠功能：具备激光与飞鼠定位功能，支持打开与关闭激光灯，支持远程进行鼠标移动与点击操作。</w:t>
            </w:r>
          </w:p>
          <w:p w14:paraId="7E56C49C">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3、麦克风：双麦克风阵列，≥3米有效拾音距离。</w:t>
            </w:r>
          </w:p>
          <w:p w14:paraId="67A860A8">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4、传感器：三轴陀螺仪，三轴加速度。</w:t>
            </w:r>
          </w:p>
          <w:p w14:paraId="0217D5A7">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5、无线通讯：射频通信。</w:t>
            </w:r>
          </w:p>
          <w:p w14:paraId="6B0BC145">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6、电池：≥500mAh锂聚合物电池。</w:t>
            </w:r>
          </w:p>
          <w:p w14:paraId="771B00A6">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7、充电时间：标准充电≤6小时，快速充电≤3小时</w:t>
            </w:r>
          </w:p>
          <w:p w14:paraId="18FB676F">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8、传输距离：≥15米</w:t>
            </w:r>
          </w:p>
          <w:p w14:paraId="04595F42">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9、操作系统支持：Win7以上版本</w:t>
            </w:r>
          </w:p>
          <w:p w14:paraId="6D384615">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10、需提供智能演示设备与教师账号进行绑定，插入绑定后的智能演示设备可免密直接登录教学软件。</w:t>
            </w:r>
          </w:p>
          <w:p w14:paraId="27986688">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11、需支持教学软件自启动功能，已安装教学软件时，语音翻页笔连接后自动启动教学软件。</w:t>
            </w:r>
          </w:p>
          <w:p w14:paraId="6008818A">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12、需支持录音功能，可与教学软件互通，实时评测。</w:t>
            </w:r>
          </w:p>
          <w:p w14:paraId="2E2C4D35">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13、需提供上下切题，切换资源；同时可用于PPT翻页的功能。</w:t>
            </w:r>
          </w:p>
        </w:tc>
      </w:tr>
      <w:tr w14:paraId="79BF9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328" w:type="pct"/>
            <w:vMerge w:val="continue"/>
            <w:shd w:val="clear" w:color="auto" w:fill="auto"/>
            <w:tcMar>
              <w:top w:w="60" w:type="dxa"/>
              <w:left w:w="120" w:type="dxa"/>
              <w:bottom w:w="30" w:type="dxa"/>
              <w:right w:w="120" w:type="dxa"/>
            </w:tcMar>
            <w:vAlign w:val="center"/>
          </w:tcPr>
          <w:p w14:paraId="31F6BC61">
            <w:pPr>
              <w:spacing w:line="360" w:lineRule="auto"/>
              <w:jc w:val="center"/>
              <w:rPr>
                <w:rFonts w:hint="eastAsia" w:ascii="宋体" w:hAnsi="宋体"/>
                <w:bCs/>
                <w:color w:val="000000" w:themeColor="text1"/>
                <w:szCs w:val="24"/>
                <w:highlight w:val="none"/>
                <w14:textFill>
                  <w14:solidFill>
                    <w14:schemeClr w14:val="tx1"/>
                  </w14:solidFill>
                </w14:textFill>
              </w:rPr>
            </w:pPr>
          </w:p>
        </w:tc>
        <w:tc>
          <w:tcPr>
            <w:tcW w:w="330" w:type="pct"/>
            <w:vMerge w:val="continue"/>
            <w:shd w:val="clear" w:color="auto" w:fill="auto"/>
            <w:vAlign w:val="center"/>
          </w:tcPr>
          <w:p w14:paraId="7D6A45D3">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64" w:type="pct"/>
            <w:shd w:val="clear" w:color="auto" w:fill="auto"/>
            <w:tcMar>
              <w:top w:w="60" w:type="dxa"/>
              <w:left w:w="120" w:type="dxa"/>
              <w:bottom w:w="30" w:type="dxa"/>
              <w:right w:w="120" w:type="dxa"/>
            </w:tcMar>
            <w:vAlign w:val="center"/>
          </w:tcPr>
          <w:p w14:paraId="6AD9FCE5">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宋体"/>
                <w:bCs/>
                <w:color w:val="000000" w:themeColor="text1"/>
                <w:kern w:val="0"/>
                <w:szCs w:val="24"/>
                <w:highlight w:val="none"/>
                <w14:textFill>
                  <w14:solidFill>
                    <w14:schemeClr w14:val="tx1"/>
                  </w14:solidFill>
                </w14:textFill>
              </w:rPr>
              <w:t>语音答题器</w:t>
            </w:r>
          </w:p>
        </w:tc>
        <w:tc>
          <w:tcPr>
            <w:tcW w:w="3978" w:type="pct"/>
            <w:shd w:val="clear" w:color="auto" w:fill="auto"/>
            <w:tcMar>
              <w:top w:w="60" w:type="dxa"/>
              <w:left w:w="120" w:type="dxa"/>
              <w:bottom w:w="30" w:type="dxa"/>
              <w:right w:w="120" w:type="dxa"/>
            </w:tcMar>
            <w:vAlign w:val="center"/>
          </w:tcPr>
          <w:p w14:paraId="6249E7D5">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1、应采用无线射频通信技术，在无遮挡情况下通信距离不低于12米，支持互动答题及语音答题，应具备优异的信号抗干扰能力；</w:t>
            </w:r>
          </w:p>
          <w:p w14:paraId="10369C7A">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2、应内置可读写NFC模块，支持与接收器非接触刷卡配对；</w:t>
            </w:r>
          </w:p>
          <w:p w14:paraId="71C16B6B">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3、显示屏分辨率≥128*64。可个性化显示学生姓名、题目序号、作答内容、信号状态、电池电量、得分奖励等信息；持屏幕自动锁定休眠，按任意键唤醒；</w:t>
            </w:r>
          </w:p>
          <w:p w14:paraId="0D7DA0C1">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4、应具有语音快捷键，具有数字键0-9、字母A-J、√、×、光标左右移动、取消与确认功能键；</w:t>
            </w:r>
          </w:p>
          <w:p w14:paraId="03E8A000">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5、按键操作反馈清晰，坚固耐用，按键寿命≥50万次；</w:t>
            </w:r>
          </w:p>
          <w:p w14:paraId="42DDEC36">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6、应支持选择、判断、语音题，支持多小题同时作答、修改和一键提交；</w:t>
            </w:r>
          </w:p>
          <w:p w14:paraId="6EA977F5">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7、应内置不少于2个麦克风，灵敏度≥-45dB，信噪比≥60dB；</w:t>
            </w:r>
          </w:p>
          <w:p w14:paraId="45968F54">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8、应支持语音数据高效、可靠传输，数据包传输耗时，及重传延迟均为毫秒级，数据交互成功率不低于99%；</w:t>
            </w:r>
          </w:p>
          <w:p w14:paraId="35230609">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9、应支持语音数据实时传输，支持无时长语音采集；</w:t>
            </w:r>
          </w:p>
          <w:p w14:paraId="2F6ACC8D">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10、应内置震动器，可用于震动提醒，并支持震动；</w:t>
            </w:r>
          </w:p>
          <w:p w14:paraId="0DDD9E23">
            <w:pPr>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11、应内置多色LED指示灯，支持充电状态、答题状态指示，支持按指示灯颜色分组；</w:t>
            </w:r>
          </w:p>
          <w:p w14:paraId="3B9C20B7">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12、应内置可充电锂电池，电池容量≥1200mAh，从无电至完全充满电不超过4.5小时，支持续航≥30小时、连续语音采集≥12小时；</w:t>
            </w:r>
          </w:p>
          <w:p w14:paraId="52E006AF">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13、采用触点充电方式，使用便捷，内置汝磁强力磁体，确保充电接触良好；</w:t>
            </w:r>
          </w:p>
          <w:p w14:paraId="566892B2">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14、外壳具有一体设计的挂绳孔，便于固定、防止跌落，延长答题器使用寿命；</w:t>
            </w:r>
          </w:p>
          <w:p w14:paraId="723AAA85">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15、需支持课上参与老师发起的互动练习，可以进行客观题的选择、口语题录音，并实时反馈学生个人作答正误情况与得分。</w:t>
            </w:r>
          </w:p>
          <w:p w14:paraId="4B74D39F">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16、需支持客观题单题和多题作答，多题作答支持答案修改；口语题多次作答，时限内可反复提交。</w:t>
            </w:r>
          </w:p>
          <w:p w14:paraId="23CE69B8">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17、需支持不同班级复用，灵活绑定与解绑。</w:t>
            </w:r>
          </w:p>
        </w:tc>
      </w:tr>
      <w:tr w14:paraId="15862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328" w:type="pct"/>
            <w:vMerge w:val="continue"/>
            <w:shd w:val="clear" w:color="auto" w:fill="auto"/>
            <w:tcMar>
              <w:top w:w="60" w:type="dxa"/>
              <w:left w:w="120" w:type="dxa"/>
              <w:bottom w:w="30" w:type="dxa"/>
              <w:right w:w="120" w:type="dxa"/>
            </w:tcMar>
            <w:vAlign w:val="center"/>
          </w:tcPr>
          <w:p w14:paraId="7AE5931C">
            <w:pPr>
              <w:spacing w:line="360" w:lineRule="auto"/>
              <w:jc w:val="center"/>
              <w:rPr>
                <w:rFonts w:hint="eastAsia" w:ascii="宋体" w:hAnsi="宋体"/>
                <w:bCs/>
                <w:color w:val="000000" w:themeColor="text1"/>
                <w:szCs w:val="24"/>
                <w:highlight w:val="none"/>
                <w14:textFill>
                  <w14:solidFill>
                    <w14:schemeClr w14:val="tx1"/>
                  </w14:solidFill>
                </w14:textFill>
              </w:rPr>
            </w:pPr>
          </w:p>
        </w:tc>
        <w:tc>
          <w:tcPr>
            <w:tcW w:w="330" w:type="pct"/>
            <w:vMerge w:val="continue"/>
            <w:shd w:val="clear" w:color="auto" w:fill="auto"/>
            <w:vAlign w:val="center"/>
          </w:tcPr>
          <w:p w14:paraId="40F3877D">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64" w:type="pct"/>
            <w:shd w:val="clear" w:color="auto" w:fill="auto"/>
            <w:tcMar>
              <w:top w:w="60" w:type="dxa"/>
              <w:left w:w="120" w:type="dxa"/>
              <w:bottom w:w="30" w:type="dxa"/>
              <w:right w:w="120" w:type="dxa"/>
            </w:tcMar>
            <w:vAlign w:val="center"/>
          </w:tcPr>
          <w:p w14:paraId="11535FA0">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宋体"/>
                <w:bCs/>
                <w:color w:val="000000" w:themeColor="text1"/>
                <w:kern w:val="0"/>
                <w:szCs w:val="24"/>
                <w:highlight w:val="none"/>
                <w14:textFill>
                  <w14:solidFill>
                    <w14:schemeClr w14:val="tx1"/>
                  </w14:solidFill>
                </w14:textFill>
              </w:rPr>
              <w:t>语音接收器</w:t>
            </w:r>
          </w:p>
        </w:tc>
        <w:tc>
          <w:tcPr>
            <w:tcW w:w="3978" w:type="pct"/>
            <w:shd w:val="clear" w:color="auto" w:fill="auto"/>
            <w:tcMar>
              <w:top w:w="60" w:type="dxa"/>
              <w:left w:w="120" w:type="dxa"/>
              <w:bottom w:w="30" w:type="dxa"/>
              <w:right w:w="120" w:type="dxa"/>
            </w:tcMar>
            <w:vAlign w:val="center"/>
          </w:tcPr>
          <w:p w14:paraId="29DF4A0E">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1、应采用无线射频通信频段，在无遮挡情况下信号覆盖范围半径≥12米，可同时进行双向数据收发，具备超强抗干扰能力；</w:t>
            </w:r>
          </w:p>
          <w:p w14:paraId="04E28E04">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2、应内置可读写NFC模块，与答题器实现非接触刷卡配对；</w:t>
            </w:r>
          </w:p>
          <w:p w14:paraId="63CBE514">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3、需使用高速USB接口，即插即用，无需安装驱动，需支持Windows7及以上版本；支持 USB 连接电脑进行升级软件、软件版本查询；</w:t>
            </w:r>
          </w:p>
          <w:p w14:paraId="03C6C234">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4、单接收器工作时应支持USB供电，USB接口同时具备供电与数据功能，无需额外供电；</w:t>
            </w:r>
          </w:p>
          <w:p w14:paraId="41716256">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5、单接收器模式下应支持不低于70路并发；</w:t>
            </w:r>
          </w:p>
          <w:p w14:paraId="416E762C">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6、应具有多个LED指示灯，可分别独立显示：电源、系统、数据传输状态等；</w:t>
            </w:r>
          </w:p>
          <w:p w14:paraId="733C3FC6">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7、应支持壁挂、桌面支架等多种固定方式。</w:t>
            </w:r>
          </w:p>
        </w:tc>
      </w:tr>
      <w:tr w14:paraId="1586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328" w:type="pct"/>
            <w:vMerge w:val="continue"/>
            <w:shd w:val="clear" w:color="auto" w:fill="auto"/>
            <w:tcMar>
              <w:top w:w="60" w:type="dxa"/>
              <w:left w:w="120" w:type="dxa"/>
              <w:bottom w:w="30" w:type="dxa"/>
              <w:right w:w="120" w:type="dxa"/>
            </w:tcMar>
            <w:vAlign w:val="center"/>
          </w:tcPr>
          <w:p w14:paraId="5E403F9D">
            <w:pPr>
              <w:spacing w:line="360" w:lineRule="auto"/>
              <w:jc w:val="center"/>
              <w:rPr>
                <w:rFonts w:hint="eastAsia" w:ascii="宋体" w:hAnsi="宋体"/>
                <w:bCs/>
                <w:color w:val="000000" w:themeColor="text1"/>
                <w:szCs w:val="24"/>
                <w:highlight w:val="none"/>
                <w14:textFill>
                  <w14:solidFill>
                    <w14:schemeClr w14:val="tx1"/>
                  </w14:solidFill>
                </w14:textFill>
              </w:rPr>
            </w:pPr>
          </w:p>
        </w:tc>
        <w:tc>
          <w:tcPr>
            <w:tcW w:w="330" w:type="pct"/>
            <w:vMerge w:val="continue"/>
            <w:shd w:val="clear" w:color="auto" w:fill="auto"/>
            <w:vAlign w:val="center"/>
          </w:tcPr>
          <w:p w14:paraId="10B79227">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64" w:type="pct"/>
            <w:shd w:val="clear" w:color="auto" w:fill="auto"/>
            <w:tcMar>
              <w:top w:w="60" w:type="dxa"/>
              <w:left w:w="120" w:type="dxa"/>
              <w:bottom w:w="30" w:type="dxa"/>
              <w:right w:w="120" w:type="dxa"/>
            </w:tcMar>
            <w:vAlign w:val="center"/>
          </w:tcPr>
          <w:p w14:paraId="006526E6">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宋体"/>
                <w:bCs/>
                <w:color w:val="000000" w:themeColor="text1"/>
                <w:kern w:val="0"/>
                <w:szCs w:val="24"/>
                <w:highlight w:val="none"/>
                <w14:textFill>
                  <w14:solidFill>
                    <w14:schemeClr w14:val="tx1"/>
                  </w14:solidFill>
                </w14:textFill>
              </w:rPr>
              <w:t>充电仓</w:t>
            </w:r>
          </w:p>
        </w:tc>
        <w:tc>
          <w:tcPr>
            <w:tcW w:w="3978" w:type="pct"/>
            <w:shd w:val="clear" w:color="auto" w:fill="auto"/>
            <w:tcMar>
              <w:top w:w="60" w:type="dxa"/>
              <w:left w:w="120" w:type="dxa"/>
              <w:bottom w:w="30" w:type="dxa"/>
              <w:right w:w="120" w:type="dxa"/>
            </w:tcMar>
            <w:vAlign w:val="center"/>
          </w:tcPr>
          <w:p w14:paraId="2A04E772">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1、充电器外壳应采用环保ABS+PC阻燃材料，阻燃等级为V0；</w:t>
            </w:r>
          </w:p>
          <w:p w14:paraId="38C8BCD3">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2、应采用220V交流供电，整机功耗≤100W；</w:t>
            </w:r>
          </w:p>
          <w:p w14:paraId="2EB29E46">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3、需支持≥30只答题器同时充电，电池充满耗时≤4.5小时；</w:t>
            </w:r>
          </w:p>
          <w:p w14:paraId="3E7D4F30">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4、需具有智能充电控制，具备过压、过流、过热保护电路，保障长期使用安全；</w:t>
            </w:r>
          </w:p>
          <w:p w14:paraId="211DB35D">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5、需具备工作状态指示灯，可显示充电座通电状态；</w:t>
            </w:r>
          </w:p>
          <w:p w14:paraId="5713594A">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6、设备充电槽需配有磁吸块，保证答题器充电接触良好。</w:t>
            </w:r>
          </w:p>
        </w:tc>
      </w:tr>
      <w:tr w14:paraId="41BD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328" w:type="pct"/>
            <w:vMerge w:val="continue"/>
            <w:shd w:val="clear" w:color="auto" w:fill="auto"/>
            <w:tcMar>
              <w:top w:w="60" w:type="dxa"/>
              <w:left w:w="120" w:type="dxa"/>
              <w:bottom w:w="30" w:type="dxa"/>
              <w:right w:w="120" w:type="dxa"/>
            </w:tcMar>
            <w:vAlign w:val="center"/>
          </w:tcPr>
          <w:p w14:paraId="7FF049C2">
            <w:pPr>
              <w:spacing w:line="360" w:lineRule="auto"/>
              <w:jc w:val="center"/>
              <w:rPr>
                <w:rFonts w:hint="eastAsia" w:ascii="宋体" w:hAnsi="宋体"/>
                <w:bCs/>
                <w:color w:val="000000" w:themeColor="text1"/>
                <w:szCs w:val="24"/>
                <w:highlight w:val="none"/>
                <w14:textFill>
                  <w14:solidFill>
                    <w14:schemeClr w14:val="tx1"/>
                  </w14:solidFill>
                </w14:textFill>
              </w:rPr>
            </w:pPr>
          </w:p>
        </w:tc>
        <w:tc>
          <w:tcPr>
            <w:tcW w:w="330" w:type="pct"/>
            <w:vMerge w:val="continue"/>
            <w:shd w:val="clear" w:color="auto" w:fill="auto"/>
            <w:vAlign w:val="center"/>
          </w:tcPr>
          <w:p w14:paraId="56643D1D">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64" w:type="pct"/>
            <w:shd w:val="clear" w:color="auto" w:fill="auto"/>
            <w:tcMar>
              <w:top w:w="60" w:type="dxa"/>
              <w:left w:w="120" w:type="dxa"/>
              <w:bottom w:w="30" w:type="dxa"/>
              <w:right w:w="120" w:type="dxa"/>
            </w:tcMar>
            <w:vAlign w:val="center"/>
          </w:tcPr>
          <w:p w14:paraId="6275631F">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宋体"/>
                <w:bCs/>
                <w:color w:val="000000" w:themeColor="text1"/>
                <w:kern w:val="0"/>
                <w:szCs w:val="24"/>
                <w:highlight w:val="none"/>
                <w14:textFill>
                  <w14:solidFill>
                    <w14:schemeClr w14:val="tx1"/>
                  </w14:solidFill>
                </w14:textFill>
              </w:rPr>
              <w:t>便携包</w:t>
            </w:r>
          </w:p>
        </w:tc>
        <w:tc>
          <w:tcPr>
            <w:tcW w:w="3978" w:type="pct"/>
            <w:shd w:val="clear" w:color="auto" w:fill="auto"/>
            <w:tcMar>
              <w:top w:w="60" w:type="dxa"/>
              <w:left w:w="120" w:type="dxa"/>
              <w:bottom w:w="30" w:type="dxa"/>
              <w:right w:w="120" w:type="dxa"/>
            </w:tcMar>
            <w:vAlign w:val="center"/>
          </w:tcPr>
          <w:p w14:paraId="01C6829A">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1、应采用轻量化设计，体积小，重量轻，方便老师单手携带，便于不同班级复用；</w:t>
            </w:r>
          </w:p>
          <w:p w14:paraId="71AF12B8">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2、应采用半网兜设计，可同时容纳≥30台答题器和1台接收器；</w:t>
            </w:r>
          </w:p>
          <w:p w14:paraId="76A25F0D">
            <w:pPr>
              <w:widowControl/>
              <w:spacing w:line="360" w:lineRule="auto"/>
              <w:rPr>
                <w:rFonts w:hint="eastAsia" w:ascii="宋体" w:hAnsi="宋体" w:cs="宋体"/>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3、应采用防水、抗污面料，便于清洁；</w:t>
            </w:r>
          </w:p>
          <w:p w14:paraId="4D7429BE">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4、需内置防震泡棉，有效保护答题器，延长使用寿命。</w:t>
            </w:r>
          </w:p>
        </w:tc>
      </w:tr>
      <w:tr w14:paraId="4E62B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328" w:type="pct"/>
            <w:vMerge w:val="restart"/>
            <w:shd w:val="clear" w:color="auto" w:fill="auto"/>
            <w:tcMar>
              <w:top w:w="60" w:type="dxa"/>
              <w:left w:w="120" w:type="dxa"/>
              <w:bottom w:w="30" w:type="dxa"/>
              <w:right w:w="120" w:type="dxa"/>
            </w:tcMar>
            <w:vAlign w:val="center"/>
          </w:tcPr>
          <w:p w14:paraId="20CABCA0">
            <w:pPr>
              <w:spacing w:line="360" w:lineRule="auto"/>
              <w:jc w:val="center"/>
              <w:rPr>
                <w:rFonts w:hint="eastAsia" w:ascii="宋体" w:hAnsi="宋体"/>
                <w:bCs/>
                <w:color w:val="000000" w:themeColor="text1"/>
                <w:szCs w:val="24"/>
                <w:highlight w:val="none"/>
                <w14:textFill>
                  <w14:solidFill>
                    <w14:schemeClr w14:val="tx1"/>
                  </w14:solidFill>
                </w14:textFill>
              </w:rPr>
            </w:pPr>
            <w:r>
              <w:rPr>
                <w:rFonts w:hint="eastAsia" w:ascii="宋体" w:hAnsi="宋体"/>
                <w:bCs/>
                <w:color w:val="000000" w:themeColor="text1"/>
                <w:szCs w:val="24"/>
                <w:highlight w:val="none"/>
                <w14:textFill>
                  <w14:solidFill>
                    <w14:schemeClr w14:val="tx1"/>
                  </w14:solidFill>
                </w14:textFill>
              </w:rPr>
              <w:t>3</w:t>
            </w:r>
          </w:p>
        </w:tc>
        <w:tc>
          <w:tcPr>
            <w:tcW w:w="330" w:type="pct"/>
            <w:vMerge w:val="restart"/>
            <w:shd w:val="clear" w:color="auto" w:fill="auto"/>
            <w:vAlign w:val="center"/>
          </w:tcPr>
          <w:p w14:paraId="448E556D">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theme="minorEastAsia"/>
                <w:bCs/>
                <w:color w:val="000000" w:themeColor="text1"/>
                <w:szCs w:val="24"/>
                <w:highlight w:val="none"/>
                <w14:textFill>
                  <w14:solidFill>
                    <w14:schemeClr w14:val="tx1"/>
                  </w14:solidFill>
                </w14:textFill>
              </w:rPr>
              <w:t>数字阅览室</w:t>
            </w:r>
          </w:p>
        </w:tc>
        <w:tc>
          <w:tcPr>
            <w:tcW w:w="364" w:type="pct"/>
            <w:shd w:val="clear" w:color="auto" w:fill="auto"/>
            <w:tcMar>
              <w:top w:w="60" w:type="dxa"/>
              <w:left w:w="120" w:type="dxa"/>
              <w:bottom w:w="30" w:type="dxa"/>
              <w:right w:w="120" w:type="dxa"/>
            </w:tcMar>
            <w:vAlign w:val="center"/>
          </w:tcPr>
          <w:p w14:paraId="0C16CC4D">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数字阅读平台</w:t>
            </w:r>
          </w:p>
        </w:tc>
        <w:tc>
          <w:tcPr>
            <w:tcW w:w="3978" w:type="pct"/>
            <w:shd w:val="clear" w:color="auto" w:fill="auto"/>
            <w:tcMar>
              <w:top w:w="60" w:type="dxa"/>
              <w:left w:w="120" w:type="dxa"/>
              <w:bottom w:w="30" w:type="dxa"/>
              <w:right w:w="120" w:type="dxa"/>
            </w:tcMar>
            <w:vAlign w:val="center"/>
          </w:tcPr>
          <w:p w14:paraId="26F8221C">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一、书城</w:t>
            </w:r>
          </w:p>
          <w:p w14:paraId="720B5C05">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1、需面向学生用户进行书籍推荐，推荐内容需包括教材推荐必读、教育部推荐、热门书籍排行；</w:t>
            </w:r>
          </w:p>
          <w:p w14:paraId="1D9DB5BB">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ascii="宋体" w:hAnsi="宋体" w:cs="Calibri"/>
                <w:color w:val="000000" w:themeColor="text1"/>
                <w:kern w:val="0"/>
                <w:szCs w:val="24"/>
                <w:highlight w:val="none"/>
                <w14:textFill>
                  <w14:solidFill>
                    <w14:schemeClr w14:val="tx1"/>
                  </w14:solidFill>
                </w14:textFill>
              </w:rPr>
              <w:t>2</w:t>
            </w:r>
            <w:r>
              <w:rPr>
                <w:rFonts w:hint="eastAsia" w:ascii="宋体" w:hAnsi="宋体" w:cs="Calibri"/>
                <w:color w:val="000000" w:themeColor="text1"/>
                <w:kern w:val="0"/>
                <w:szCs w:val="24"/>
                <w:highlight w:val="none"/>
                <w14:textFill>
                  <w14:solidFill>
                    <w14:schemeClr w14:val="tx1"/>
                  </w14:solidFill>
                </w14:textFill>
              </w:rPr>
              <w:t>、需根据常见书籍类型对书城书籍进行分类；</w:t>
            </w:r>
          </w:p>
          <w:p w14:paraId="794F7BD5">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3、需支持输入书名进行书籍搜索，方便用户查找书籍；</w:t>
            </w:r>
          </w:p>
          <w:p w14:paraId="4369ABB1">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ascii="宋体" w:hAnsi="宋体" w:cs="Calibri"/>
                <w:color w:val="000000" w:themeColor="text1"/>
                <w:kern w:val="0"/>
                <w:szCs w:val="24"/>
                <w:highlight w:val="none"/>
                <w14:textFill>
                  <w14:solidFill>
                    <w14:schemeClr w14:val="tx1"/>
                  </w14:solidFill>
                </w14:textFill>
              </w:rPr>
              <w:t>4</w:t>
            </w:r>
            <w:r>
              <w:rPr>
                <w:rFonts w:hint="eastAsia" w:ascii="宋体" w:hAnsi="宋体" w:cs="Calibri"/>
                <w:color w:val="000000" w:themeColor="text1"/>
                <w:kern w:val="0"/>
                <w:szCs w:val="24"/>
                <w:highlight w:val="none"/>
                <w14:textFill>
                  <w14:solidFill>
                    <w14:schemeClr w14:val="tx1"/>
                  </w14:solidFill>
                </w14:textFill>
              </w:rPr>
              <w:t>、需支持在线进行书籍阅读；</w:t>
            </w:r>
          </w:p>
          <w:p w14:paraId="1D1C5489">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ascii="宋体" w:hAnsi="宋体" w:cs="Calibri"/>
                <w:color w:val="000000" w:themeColor="text1"/>
                <w:kern w:val="0"/>
                <w:szCs w:val="24"/>
                <w:highlight w:val="none"/>
                <w14:textFill>
                  <w14:solidFill>
                    <w14:schemeClr w14:val="tx1"/>
                  </w14:solidFill>
                </w14:textFill>
              </w:rPr>
              <w:t>5</w:t>
            </w:r>
            <w:r>
              <w:rPr>
                <w:rFonts w:hint="eastAsia" w:ascii="宋体" w:hAnsi="宋体" w:cs="Calibri"/>
                <w:color w:val="000000" w:themeColor="text1"/>
                <w:kern w:val="0"/>
                <w:szCs w:val="24"/>
                <w:highlight w:val="none"/>
                <w14:textFill>
                  <w14:solidFill>
                    <w14:schemeClr w14:val="tx1"/>
                  </w14:solidFill>
                </w14:textFill>
              </w:rPr>
              <w:t>、需支持在线发布、查看书籍评论；</w:t>
            </w:r>
          </w:p>
          <w:p w14:paraId="26AF541F">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ascii="宋体" w:hAnsi="宋体" w:cs="Calibri"/>
                <w:color w:val="000000" w:themeColor="text1"/>
                <w:kern w:val="0"/>
                <w:szCs w:val="24"/>
                <w:highlight w:val="none"/>
                <w14:textFill>
                  <w14:solidFill>
                    <w14:schemeClr w14:val="tx1"/>
                  </w14:solidFill>
                </w14:textFill>
              </w:rPr>
              <w:t>6</w:t>
            </w:r>
            <w:r>
              <w:rPr>
                <w:rFonts w:hint="eastAsia" w:ascii="宋体" w:hAnsi="宋体" w:cs="Calibri"/>
                <w:color w:val="000000" w:themeColor="text1"/>
                <w:kern w:val="0"/>
                <w:szCs w:val="24"/>
                <w:highlight w:val="none"/>
                <w14:textFill>
                  <w14:solidFill>
                    <w14:schemeClr w14:val="tx1"/>
                  </w14:solidFill>
                </w14:textFill>
              </w:rPr>
              <w:t>、需支持学校和区域主管部门发布线上阅读资源，并支持校园内用户进行在线阅读。</w:t>
            </w:r>
          </w:p>
          <w:p w14:paraId="6065EA63">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ascii="宋体" w:hAnsi="宋体" w:cs="Calibri"/>
                <w:color w:val="000000" w:themeColor="text1"/>
                <w:kern w:val="0"/>
                <w:szCs w:val="24"/>
                <w:highlight w:val="none"/>
                <w14:textFill>
                  <w14:solidFill>
                    <w14:schemeClr w14:val="tx1"/>
                  </w14:solidFill>
                </w14:textFill>
              </w:rPr>
              <w:t>二、视频课程</w:t>
            </w:r>
          </w:p>
          <w:p w14:paraId="55ECB3C6">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1、</w:t>
            </w:r>
            <w:r>
              <w:rPr>
                <w:rFonts w:ascii="宋体" w:hAnsi="宋体" w:cs="Calibri"/>
                <w:color w:val="000000" w:themeColor="text1"/>
                <w:kern w:val="0"/>
                <w:szCs w:val="24"/>
                <w:highlight w:val="none"/>
                <w14:textFill>
                  <w14:solidFill>
                    <w14:schemeClr w14:val="tx1"/>
                  </w14:solidFill>
                </w14:textFill>
              </w:rPr>
              <w:t>需支持在线观看课程视频</w:t>
            </w:r>
            <w:r>
              <w:rPr>
                <w:rFonts w:hint="eastAsia" w:ascii="宋体" w:hAnsi="宋体" w:cs="Calibri"/>
                <w:color w:val="000000" w:themeColor="text1"/>
                <w:kern w:val="0"/>
                <w:szCs w:val="24"/>
                <w:highlight w:val="none"/>
                <w14:textFill>
                  <w14:solidFill>
                    <w14:schemeClr w14:val="tx1"/>
                  </w14:solidFill>
                </w14:textFill>
              </w:rPr>
              <w:t>；</w:t>
            </w:r>
            <w:r>
              <w:rPr>
                <w:rFonts w:ascii="宋体" w:hAnsi="宋体" w:cs="Calibri"/>
                <w:color w:val="000000" w:themeColor="text1"/>
                <w:kern w:val="0"/>
                <w:szCs w:val="24"/>
                <w:highlight w:val="none"/>
                <w14:textFill>
                  <w14:solidFill>
                    <w14:schemeClr w14:val="tx1"/>
                  </w14:solidFill>
                </w14:textFill>
              </w:rPr>
              <w:t xml:space="preserve"> </w:t>
            </w:r>
          </w:p>
          <w:p w14:paraId="1F6C486A">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ascii="宋体" w:hAnsi="宋体" w:cs="Calibri"/>
                <w:color w:val="000000" w:themeColor="text1"/>
                <w:kern w:val="0"/>
                <w:szCs w:val="24"/>
                <w:highlight w:val="none"/>
                <w14:textFill>
                  <w14:solidFill>
                    <w14:schemeClr w14:val="tx1"/>
                  </w14:solidFill>
                </w14:textFill>
              </w:rPr>
              <w:t>2、</w:t>
            </w:r>
            <w:r>
              <w:rPr>
                <w:rFonts w:hint="eastAsia" w:ascii="宋体" w:hAnsi="宋体" w:cs="Calibri"/>
                <w:color w:val="000000" w:themeColor="text1"/>
                <w:kern w:val="0"/>
                <w:szCs w:val="24"/>
                <w:highlight w:val="none"/>
                <w14:textFill>
                  <w14:solidFill>
                    <w14:schemeClr w14:val="tx1"/>
                  </w14:solidFill>
                </w14:textFill>
              </w:rPr>
              <w:t>需支持根据分类对课程进行筛选；</w:t>
            </w:r>
          </w:p>
          <w:p w14:paraId="4707CFB0">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3、需支持对视频课程进行关键字搜索。</w:t>
            </w:r>
          </w:p>
          <w:p w14:paraId="4ECB27E9">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三、整本书阅读教学</w:t>
            </w:r>
          </w:p>
          <w:p w14:paraId="6B7212C5">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1、需支持面向中学</w:t>
            </w:r>
            <w:r>
              <w:rPr>
                <w:rFonts w:ascii="宋体" w:hAnsi="宋体" w:cs="Calibri"/>
                <w:color w:val="000000" w:themeColor="text1"/>
                <w:kern w:val="0"/>
                <w:szCs w:val="24"/>
                <w:highlight w:val="none"/>
                <w14:textFill>
                  <w14:solidFill>
                    <w14:schemeClr w14:val="tx1"/>
                  </w14:solidFill>
                </w14:textFill>
              </w:rPr>
              <w:t>学生提供整本书阅读教学路径规划及配套的课程资源；</w:t>
            </w:r>
          </w:p>
          <w:p w14:paraId="47F33722">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2、需提供与整本书阅读教学课程具体环节相关的阅读任务；</w:t>
            </w:r>
          </w:p>
          <w:p w14:paraId="434481A4">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3、需提供辅助整本书阅读教学相关的拓展性资源；</w:t>
            </w:r>
          </w:p>
          <w:p w14:paraId="3C0CA5F0">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4、整本书阅读教学过程中，需支持班级师生通过平台开展教学互动，包括学生课堂任务作答情况的实时收集，以及学生个人终端页面的实时投屏展示；</w:t>
            </w:r>
          </w:p>
          <w:p w14:paraId="62F1736E">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w:t>
            </w:r>
            <w:r>
              <w:rPr>
                <w:rFonts w:hint="eastAsia" w:ascii="宋体" w:hAnsi="宋体" w:cs="Calibri"/>
                <w:color w:val="000000" w:themeColor="text1"/>
                <w:kern w:val="0"/>
                <w:szCs w:val="24"/>
                <w:highlight w:val="none"/>
                <w14:textFill>
                  <w14:solidFill>
                    <w14:schemeClr w14:val="tx1"/>
                  </w14:solidFill>
                </w14:textFill>
              </w:rPr>
              <w:t>5、需支持与人工智能或认知大模型等技术融合，提供人机智能对话窗口，实时回答师生在课堂中提出的各类开放性问题。（响应文件需提供此功能界面截图）</w:t>
            </w:r>
          </w:p>
          <w:p w14:paraId="769E9E8D">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四、主题活动</w:t>
            </w:r>
          </w:p>
          <w:p w14:paraId="6AD580CE">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1、需支持通过平台面向教师或学生创建并发布线上阅读活动；</w:t>
            </w:r>
            <w:r>
              <w:rPr>
                <w:rFonts w:ascii="宋体" w:hAnsi="宋体" w:cs="Calibri"/>
                <w:color w:val="000000" w:themeColor="text1"/>
                <w:kern w:val="0"/>
                <w:szCs w:val="24"/>
                <w:highlight w:val="none"/>
                <w14:textFill>
                  <w14:solidFill>
                    <w14:schemeClr w14:val="tx1"/>
                  </w14:solidFill>
                </w14:textFill>
              </w:rPr>
              <w:t xml:space="preserve"> </w:t>
            </w:r>
          </w:p>
          <w:p w14:paraId="4381F0FB">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ascii="宋体" w:hAnsi="宋体" w:cs="Calibri"/>
                <w:color w:val="000000" w:themeColor="text1"/>
                <w:kern w:val="0"/>
                <w:szCs w:val="24"/>
                <w:highlight w:val="none"/>
                <w14:textFill>
                  <w14:solidFill>
                    <w14:schemeClr w14:val="tx1"/>
                  </w14:solidFill>
                </w14:textFill>
              </w:rPr>
              <w:t>2、</w:t>
            </w:r>
            <w:r>
              <w:rPr>
                <w:rFonts w:hint="eastAsia" w:ascii="宋体" w:hAnsi="宋体" w:cs="Calibri"/>
                <w:color w:val="000000" w:themeColor="text1"/>
                <w:kern w:val="0"/>
                <w:szCs w:val="24"/>
                <w:highlight w:val="none"/>
                <w14:textFill>
                  <w14:solidFill>
                    <w14:schemeClr w14:val="tx1"/>
                  </w14:solidFill>
                </w14:textFill>
              </w:rPr>
              <w:t>需支持将未发布的活动暂存在草稿箱，需支持对草稿箱中的活动进行编辑、发布或删除；</w:t>
            </w:r>
          </w:p>
          <w:p w14:paraId="4D0C1A37">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3、创建活动时需支持对往期活动进行一键复制；</w:t>
            </w:r>
          </w:p>
          <w:p w14:paraId="036742A4">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4、需支持查看所在区域和学校发布的阅读活动，需支持按照活动状态、是否参与进行筛选；</w:t>
            </w:r>
          </w:p>
          <w:p w14:paraId="14354432">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ascii="宋体" w:hAnsi="宋体" w:cs="Calibri"/>
                <w:color w:val="000000" w:themeColor="text1"/>
                <w:kern w:val="0"/>
                <w:szCs w:val="24"/>
                <w:highlight w:val="none"/>
                <w14:textFill>
                  <w14:solidFill>
                    <w14:schemeClr w14:val="tx1"/>
                  </w14:solidFill>
                </w14:textFill>
              </w:rPr>
              <w:t>5、</w:t>
            </w:r>
            <w:r>
              <w:rPr>
                <w:rFonts w:hint="eastAsia" w:ascii="宋体" w:hAnsi="宋体" w:cs="Calibri"/>
                <w:color w:val="000000" w:themeColor="text1"/>
                <w:kern w:val="0"/>
                <w:szCs w:val="24"/>
                <w:highlight w:val="none"/>
                <w14:textFill>
                  <w14:solidFill>
                    <w14:schemeClr w14:val="tx1"/>
                  </w14:solidFill>
                </w14:textFill>
              </w:rPr>
              <w:t>需支持教师查看阅读活动详情，包括活动基本信息、活动书单、参与人员、阅读任务、作答记录、共读空间，支持教师对学生提交的个人作品进行公开分享；</w:t>
            </w:r>
          </w:p>
          <w:p w14:paraId="38756EBB">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ascii="宋体" w:hAnsi="宋体" w:cs="Calibri"/>
                <w:color w:val="000000" w:themeColor="text1"/>
                <w:kern w:val="0"/>
                <w:szCs w:val="24"/>
                <w:highlight w:val="none"/>
                <w14:textFill>
                  <w14:solidFill>
                    <w14:schemeClr w14:val="tx1"/>
                  </w14:solidFill>
                </w14:textFill>
              </w:rPr>
              <w:t>6、</w:t>
            </w:r>
            <w:r>
              <w:rPr>
                <w:rFonts w:hint="eastAsia" w:ascii="宋体" w:hAnsi="宋体" w:cs="Calibri"/>
                <w:color w:val="000000" w:themeColor="text1"/>
                <w:kern w:val="0"/>
                <w:szCs w:val="24"/>
                <w:highlight w:val="none"/>
                <w14:textFill>
                  <w14:solidFill>
                    <w14:schemeClr w14:val="tx1"/>
                  </w14:solidFill>
                </w14:textFill>
              </w:rPr>
              <w:t>需支持学生在线参与活动，包括阅读活动书籍、进行阅读任务作答、查看作答记录。</w:t>
            </w:r>
          </w:p>
          <w:p w14:paraId="091BC9A8">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ascii="宋体" w:hAnsi="宋体" w:cs="Calibri"/>
                <w:color w:val="000000" w:themeColor="text1"/>
                <w:kern w:val="0"/>
                <w:szCs w:val="24"/>
                <w:highlight w:val="none"/>
                <w14:textFill>
                  <w14:solidFill>
                    <w14:schemeClr w14:val="tx1"/>
                  </w14:solidFill>
                </w14:textFill>
              </w:rPr>
              <w:t>五、数据中心</w:t>
            </w:r>
          </w:p>
          <w:p w14:paraId="4C3FE58F">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1、需支持查看全校学生累计积分、累积阅读时长、累积读完书本数、累计阅读字数；需支持查看上述数据本月及上月变化趋势对比并支持通过热力图方式查看每日数据累积量；需支持查看上述数据在当前学年/当月时间范围内累积数排名前十的学生；</w:t>
            </w:r>
          </w:p>
          <w:p w14:paraId="09A7E640">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2、需支持按年级查看全校学生的积分/阅读时长/读完书本数/阅读字数在不同区间范围的分布情况；需支持按班级查看全年级学生的积分/阅读时长/读完书本数/阅读字数在不同区间范围的分布情况；需支持查看班级内学生的积分/阅读时长/读完书本数/阅读字数在不同区间范围的分布情况；</w:t>
            </w:r>
          </w:p>
          <w:p w14:paraId="5398436A">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3、需支持查看全校教师参与活动的累积及平均数据统计；需支持查看学校/年级/班级维度学生参与活动的累积及平均数据统计；</w:t>
            </w:r>
          </w:p>
          <w:p w14:paraId="6CAFF934">
            <w:pPr>
              <w:spacing w:line="360" w:lineRule="auto"/>
              <w:rPr>
                <w:rFonts w:hint="eastAsia" w:ascii="宋体" w:hAnsi="宋体" w:eastAsia="宋体" w:cs="Calibri"/>
                <w:color w:val="000000" w:themeColor="text1"/>
                <w:kern w:val="0"/>
                <w:szCs w:val="24"/>
                <w:highlight w:val="none"/>
                <w:lang w:eastAsia="zh-CN"/>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4、需支持按分类查看校内书籍资源阅读分布情况，并支持查看校内阅读次数排名不少于前十的书籍名称及排行；</w:t>
            </w:r>
          </w:p>
          <w:p w14:paraId="67FC22AF">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5、需支持按分类查看校内音视频课程观看/收听分布情况，并支持查看校内观看/收听次数排名不少于前十的音视频课程名称及排行；</w:t>
            </w:r>
          </w:p>
          <w:p w14:paraId="12D21D9E">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6、需支持查看全校各班级内学生积分、阅读时长、读完书本数、阅读字数排名情况；</w:t>
            </w:r>
          </w:p>
          <w:p w14:paraId="36A38CF1">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7、需支持查看全校任一学生的详细阅读数据，包括其主要阅读数据（积分/阅读时长/读完书本数/阅读字数）及活动数据（参与活动数/点赞数/答题数/发布动态数）、阅读偏好、重要阅读数据与全校平均数据的对比情况；</w:t>
            </w:r>
          </w:p>
          <w:p w14:paraId="0E4B87E1">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8、需支持针对校内任一学生生成阅读报告并导出为本地文件；</w:t>
            </w:r>
          </w:p>
          <w:p w14:paraId="00BB4FC3">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9、需支持通过数据大屏对统计数据进行可视化动态图表展现。</w:t>
            </w:r>
            <w:r>
              <w:rPr>
                <w:rFonts w:ascii="宋体" w:hAnsi="宋体" w:cs="Calibri"/>
                <w:color w:val="000000" w:themeColor="text1"/>
                <w:kern w:val="0"/>
                <w:szCs w:val="24"/>
                <w:highlight w:val="none"/>
                <w14:textFill>
                  <w14:solidFill>
                    <w14:schemeClr w14:val="tx1"/>
                  </w14:solidFill>
                </w14:textFill>
              </w:rPr>
              <w:t>六、校园风采</w:t>
            </w:r>
          </w:p>
          <w:p w14:paraId="48C317FF">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1、需支持查看学校通过平台自建上传的优秀作品、应用照片等素材；</w:t>
            </w:r>
          </w:p>
          <w:p w14:paraId="578A5E3C">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2、需支持根据阅读数据按月度自动生成学生、班级的荣誉榜单。</w:t>
            </w:r>
          </w:p>
          <w:p w14:paraId="7C654DB5">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七、</w:t>
            </w:r>
            <w:r>
              <w:rPr>
                <w:rFonts w:ascii="宋体" w:hAnsi="宋体" w:cs="Calibri"/>
                <w:color w:val="000000" w:themeColor="text1"/>
                <w:kern w:val="0"/>
                <w:szCs w:val="24"/>
                <w:highlight w:val="none"/>
                <w14:textFill>
                  <w14:solidFill>
                    <w14:schemeClr w14:val="tx1"/>
                  </w14:solidFill>
                </w14:textFill>
              </w:rPr>
              <w:t>班级空间</w:t>
            </w:r>
          </w:p>
          <w:p w14:paraId="33045AC4">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ascii="宋体" w:hAnsi="宋体" w:cs="Calibri"/>
                <w:color w:val="000000" w:themeColor="text1"/>
                <w:kern w:val="0"/>
                <w:szCs w:val="24"/>
                <w:highlight w:val="none"/>
                <w14:textFill>
                  <w14:solidFill>
                    <w14:schemeClr w14:val="tx1"/>
                  </w14:solidFill>
                </w14:textFill>
              </w:rPr>
              <w:t>1</w:t>
            </w:r>
            <w:r>
              <w:rPr>
                <w:rFonts w:hint="eastAsia" w:ascii="宋体" w:hAnsi="宋体" w:cs="Calibri"/>
                <w:color w:val="000000" w:themeColor="text1"/>
                <w:kern w:val="0"/>
                <w:szCs w:val="24"/>
                <w:highlight w:val="none"/>
                <w14:textFill>
                  <w14:solidFill>
                    <w14:schemeClr w14:val="tx1"/>
                  </w14:solidFill>
                </w14:textFill>
              </w:rPr>
              <w:t>、需支持班级任教教师面向本班级发布班级公告、编辑班级书单，查看班级成员、查看班级阅读数据统计及排行；</w:t>
            </w:r>
          </w:p>
          <w:p w14:paraId="63C0E455">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ascii="宋体" w:hAnsi="宋体" w:cs="Calibri"/>
                <w:color w:val="000000" w:themeColor="text1"/>
                <w:kern w:val="0"/>
                <w:szCs w:val="24"/>
                <w:highlight w:val="none"/>
                <w14:textFill>
                  <w14:solidFill>
                    <w14:schemeClr w14:val="tx1"/>
                  </w14:solidFill>
                </w14:textFill>
              </w:rPr>
              <w:t>2</w:t>
            </w:r>
            <w:r>
              <w:rPr>
                <w:rFonts w:hint="eastAsia" w:ascii="宋体" w:hAnsi="宋体" w:cs="Calibri"/>
                <w:color w:val="000000" w:themeColor="text1"/>
                <w:kern w:val="0"/>
                <w:szCs w:val="24"/>
                <w:highlight w:val="none"/>
                <w14:textFill>
                  <w14:solidFill>
                    <w14:schemeClr w14:val="tx1"/>
                  </w14:solidFill>
                </w14:textFill>
              </w:rPr>
              <w:t>、需支持班级任教教师对学生提交的内容进行审核与公开分享，并支持对已公开的内容进行点赞、评论及删除；</w:t>
            </w:r>
          </w:p>
          <w:p w14:paraId="0996C13E">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ascii="宋体" w:hAnsi="宋体" w:cs="Calibri"/>
                <w:color w:val="000000" w:themeColor="text1"/>
                <w:kern w:val="0"/>
                <w:szCs w:val="24"/>
                <w:highlight w:val="none"/>
                <w14:textFill>
                  <w14:solidFill>
                    <w14:schemeClr w14:val="tx1"/>
                  </w14:solidFill>
                </w14:textFill>
              </w:rPr>
              <w:t>3</w:t>
            </w:r>
            <w:r>
              <w:rPr>
                <w:rFonts w:hint="eastAsia" w:ascii="宋体" w:hAnsi="宋体" w:cs="Calibri"/>
                <w:color w:val="000000" w:themeColor="text1"/>
                <w:kern w:val="0"/>
                <w:szCs w:val="24"/>
                <w:highlight w:val="none"/>
                <w14:textFill>
                  <w14:solidFill>
                    <w14:schemeClr w14:val="tx1"/>
                  </w14:solidFill>
                </w14:textFill>
              </w:rPr>
              <w:t>、需支持学校班级内学生查看所在班级的班级公告、班级书单、班级空间分享、班级成员、班级阅读数据统计及排行；</w:t>
            </w:r>
          </w:p>
          <w:p w14:paraId="74CB99FC">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ascii="宋体" w:hAnsi="宋体" w:cs="Calibri"/>
                <w:color w:val="000000" w:themeColor="text1"/>
                <w:kern w:val="0"/>
                <w:szCs w:val="24"/>
                <w:highlight w:val="none"/>
                <w14:textFill>
                  <w14:solidFill>
                    <w14:schemeClr w14:val="tx1"/>
                  </w14:solidFill>
                </w14:textFill>
              </w:rPr>
              <w:t>4</w:t>
            </w:r>
            <w:r>
              <w:rPr>
                <w:rFonts w:hint="eastAsia" w:ascii="宋体" w:hAnsi="宋体" w:cs="Calibri"/>
                <w:color w:val="000000" w:themeColor="text1"/>
                <w:kern w:val="0"/>
                <w:szCs w:val="24"/>
                <w:highlight w:val="none"/>
                <w14:textFill>
                  <w14:solidFill>
                    <w14:schemeClr w14:val="tx1"/>
                  </w14:solidFill>
                </w14:textFill>
              </w:rPr>
              <w:t>、需支持学生对班级空间分享内容进行点赞，并删除个人发布至班级空间的分享内容。</w:t>
            </w:r>
          </w:p>
          <w:p w14:paraId="5DEC00B5">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八、个人空间</w:t>
            </w:r>
          </w:p>
          <w:p w14:paraId="5B64D2CD">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1、需支持用户进入个人空间查看和修改个人信息；</w:t>
            </w:r>
          </w:p>
          <w:p w14:paraId="46EF2A52">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2、需支持用户查看个人书籍阅读记录；</w:t>
            </w:r>
          </w:p>
          <w:p w14:paraId="17619522">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3、需支持用户查看个人发布的各类动态，包括活动作品、班级空间分享；</w:t>
            </w:r>
          </w:p>
          <w:p w14:paraId="3D416AC9">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4、需支持用户查看个人阅读及参与活动的数据统计；</w:t>
            </w:r>
          </w:p>
          <w:p w14:paraId="4174E5C9">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ascii="宋体" w:hAnsi="宋体" w:cs="Calibri"/>
                <w:color w:val="000000" w:themeColor="text1"/>
                <w:kern w:val="0"/>
                <w:szCs w:val="24"/>
                <w:highlight w:val="none"/>
                <w14:textFill>
                  <w14:solidFill>
                    <w14:schemeClr w14:val="tx1"/>
                  </w14:solidFill>
                </w14:textFill>
              </w:rPr>
              <w:t>5</w:t>
            </w:r>
            <w:r>
              <w:rPr>
                <w:rFonts w:hint="eastAsia" w:ascii="宋体" w:hAnsi="宋体" w:cs="Calibri"/>
                <w:color w:val="000000" w:themeColor="text1"/>
                <w:kern w:val="0"/>
                <w:szCs w:val="24"/>
                <w:highlight w:val="none"/>
                <w14:textFill>
                  <w14:solidFill>
                    <w14:schemeClr w14:val="tx1"/>
                  </w14:solidFill>
                </w14:textFill>
              </w:rPr>
              <w:t>、需支持用户查看个人摘抄记录和内容。</w:t>
            </w:r>
          </w:p>
        </w:tc>
      </w:tr>
      <w:tr w14:paraId="0E8DF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328" w:type="pct"/>
            <w:vMerge w:val="continue"/>
            <w:shd w:val="clear" w:color="auto" w:fill="auto"/>
            <w:tcMar>
              <w:top w:w="60" w:type="dxa"/>
              <w:left w:w="120" w:type="dxa"/>
              <w:bottom w:w="30" w:type="dxa"/>
              <w:right w:w="120" w:type="dxa"/>
            </w:tcMar>
            <w:vAlign w:val="center"/>
          </w:tcPr>
          <w:p w14:paraId="1BC4F030">
            <w:pPr>
              <w:spacing w:line="360" w:lineRule="auto"/>
              <w:jc w:val="center"/>
              <w:rPr>
                <w:rFonts w:hint="eastAsia" w:ascii="宋体" w:hAnsi="宋体"/>
                <w:bCs/>
                <w:color w:val="000000" w:themeColor="text1"/>
                <w:szCs w:val="24"/>
                <w:highlight w:val="none"/>
                <w14:textFill>
                  <w14:solidFill>
                    <w14:schemeClr w14:val="tx1"/>
                  </w14:solidFill>
                </w14:textFill>
              </w:rPr>
            </w:pPr>
          </w:p>
        </w:tc>
        <w:tc>
          <w:tcPr>
            <w:tcW w:w="330" w:type="pct"/>
            <w:vMerge w:val="continue"/>
            <w:shd w:val="clear" w:color="auto" w:fill="auto"/>
            <w:vAlign w:val="center"/>
          </w:tcPr>
          <w:p w14:paraId="6FB132D7">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64" w:type="pct"/>
            <w:shd w:val="clear" w:color="auto" w:fill="auto"/>
            <w:tcMar>
              <w:top w:w="60" w:type="dxa"/>
              <w:left w:w="120" w:type="dxa"/>
              <w:bottom w:w="30" w:type="dxa"/>
              <w:right w:w="120" w:type="dxa"/>
            </w:tcMar>
            <w:vAlign w:val="center"/>
          </w:tcPr>
          <w:p w14:paraId="61A699CB">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bookmarkStart w:id="65" w:name="OLE_LINK7"/>
            <w:r>
              <w:rPr>
                <w:rFonts w:hint="eastAsia" w:ascii="宋体" w:hAnsi="宋体" w:cs="Calibri"/>
                <w:bCs/>
                <w:color w:val="000000" w:themeColor="text1"/>
                <w:kern w:val="0"/>
                <w:szCs w:val="24"/>
                <w:highlight w:val="none"/>
                <w14:textFill>
                  <w14:solidFill>
                    <w14:schemeClr w14:val="tx1"/>
                  </w14:solidFill>
                </w14:textFill>
              </w:rPr>
              <w:t>数字阅读资源</w:t>
            </w:r>
            <w:bookmarkEnd w:id="65"/>
          </w:p>
        </w:tc>
        <w:tc>
          <w:tcPr>
            <w:tcW w:w="3978" w:type="pct"/>
            <w:shd w:val="clear" w:color="auto" w:fill="auto"/>
            <w:tcMar>
              <w:top w:w="60" w:type="dxa"/>
              <w:left w:w="120" w:type="dxa"/>
              <w:bottom w:w="30" w:type="dxa"/>
              <w:right w:w="120" w:type="dxa"/>
            </w:tcMar>
          </w:tcPr>
          <w:p w14:paraId="2BA7862B">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一、书籍资源</w:t>
            </w:r>
          </w:p>
          <w:p w14:paraId="0486B804">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1、需提供不少于10000册适合中学生阅读的电子书籍；</w:t>
            </w:r>
          </w:p>
          <w:p w14:paraId="0A4FD796">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2、书籍内容</w:t>
            </w:r>
            <w:r>
              <w:rPr>
                <w:rFonts w:hint="eastAsia" w:ascii="宋体" w:hAnsi="宋体" w:cs="Calibri"/>
                <w:bCs/>
                <w:color w:val="000000" w:themeColor="text1"/>
                <w:kern w:val="0"/>
                <w:szCs w:val="24"/>
                <w:highlight w:val="none"/>
                <w14:textFill>
                  <w14:solidFill>
                    <w14:schemeClr w14:val="tx1"/>
                  </w14:solidFill>
                </w14:textFill>
              </w:rPr>
              <w:t>需支持根据中学生阅读常见书籍类型及年级段，对书城中书籍进行分类</w:t>
            </w:r>
            <w:r>
              <w:rPr>
                <w:rFonts w:hint="eastAsia" w:ascii="宋体" w:hAnsi="宋体" w:cs="Calibri"/>
                <w:color w:val="000000" w:themeColor="text1"/>
                <w:kern w:val="0"/>
                <w:szCs w:val="24"/>
                <w:highlight w:val="none"/>
                <w14:textFill>
                  <w14:solidFill>
                    <w14:schemeClr w14:val="tx1"/>
                  </w14:solidFill>
                </w14:textFill>
              </w:rPr>
              <w:t>；</w:t>
            </w:r>
          </w:p>
          <w:p w14:paraId="013D50B5">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w:t>
            </w:r>
            <w:r>
              <w:rPr>
                <w:rFonts w:hint="eastAsia" w:ascii="宋体" w:hAnsi="宋体" w:cs="Calibri"/>
                <w:color w:val="000000" w:themeColor="text1"/>
                <w:kern w:val="0"/>
                <w:szCs w:val="24"/>
                <w:highlight w:val="none"/>
                <w14:textFill>
                  <w14:solidFill>
                    <w14:schemeClr w14:val="tx1"/>
                  </w14:solidFill>
                </w14:textFill>
              </w:rPr>
              <w:t>3、需通过合法合规途径取得正版授权资源内容，不得有版权风险。</w:t>
            </w:r>
            <w:r>
              <w:rPr>
                <w:rFonts w:hint="eastAsia" w:ascii="宋体" w:hAnsi="宋体" w:cs="Calibri"/>
                <w:b w:val="0"/>
                <w:bCs w:val="0"/>
                <w:color w:val="000000" w:themeColor="text1"/>
                <w:kern w:val="0"/>
                <w:szCs w:val="24"/>
                <w:highlight w:val="none"/>
                <w14:textFill>
                  <w14:solidFill>
                    <w14:schemeClr w14:val="tx1"/>
                  </w14:solidFill>
                </w14:textFill>
              </w:rPr>
              <w:t>（响应文件需提供不少于5家出版单位的数字内容授权书或其他合作证明文件复印件）。</w:t>
            </w:r>
          </w:p>
          <w:p w14:paraId="3F1E7F1D">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二、视频课程</w:t>
            </w:r>
          </w:p>
          <w:p w14:paraId="4BBC96D2">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1、需提供不少于30本书的导读、精讲视频课程资源，视频总集数不少于300集；</w:t>
            </w:r>
          </w:p>
          <w:p w14:paraId="2E54DC91">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2、需提供写作指导类视频课程资源，视频总集数不少于50集；</w:t>
            </w:r>
          </w:p>
          <w:p w14:paraId="54967825">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3、需提供古诗词学习类视频课程资源，视频总集数不少于50集。</w:t>
            </w:r>
          </w:p>
          <w:p w14:paraId="0F51131E">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三、整本书阅读设计</w:t>
            </w:r>
          </w:p>
          <w:p w14:paraId="4C9B8382">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1、需提供分级阅读规划；</w:t>
            </w:r>
          </w:p>
          <w:p w14:paraId="2F64DB8D">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2、需提供不少于</w:t>
            </w:r>
            <w:r>
              <w:rPr>
                <w:rFonts w:ascii="宋体" w:hAnsi="宋体" w:cs="Calibri"/>
                <w:color w:val="000000" w:themeColor="text1"/>
                <w:kern w:val="0"/>
                <w:szCs w:val="24"/>
                <w:highlight w:val="none"/>
                <w14:textFill>
                  <w14:solidFill>
                    <w14:schemeClr w14:val="tx1"/>
                  </w14:solidFill>
                </w14:textFill>
              </w:rPr>
              <w:t>15</w:t>
            </w:r>
            <w:r>
              <w:rPr>
                <w:rFonts w:hint="eastAsia" w:ascii="宋体" w:hAnsi="宋体" w:cs="Calibri"/>
                <w:color w:val="000000" w:themeColor="text1"/>
                <w:kern w:val="0"/>
                <w:szCs w:val="24"/>
                <w:highlight w:val="none"/>
                <w14:textFill>
                  <w14:solidFill>
                    <w14:schemeClr w14:val="tx1"/>
                  </w14:solidFill>
                </w14:textFill>
              </w:rPr>
              <w:t>本书的整本书阅读教学资源及配套任务，供老师在发起整本书阅读教学时使用；</w:t>
            </w:r>
          </w:p>
          <w:p w14:paraId="6967CBE7">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3、需围绕整本书阅读教学课程路径及不同阶段课程的课堂环节，提供拓展教学资源。</w:t>
            </w:r>
          </w:p>
        </w:tc>
      </w:tr>
      <w:tr w14:paraId="5004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328" w:type="pct"/>
            <w:vMerge w:val="continue"/>
            <w:shd w:val="clear" w:color="auto" w:fill="auto"/>
            <w:tcMar>
              <w:top w:w="60" w:type="dxa"/>
              <w:left w:w="120" w:type="dxa"/>
              <w:bottom w:w="30" w:type="dxa"/>
              <w:right w:w="120" w:type="dxa"/>
            </w:tcMar>
            <w:vAlign w:val="center"/>
          </w:tcPr>
          <w:p w14:paraId="5C8806D1">
            <w:pPr>
              <w:spacing w:line="360" w:lineRule="auto"/>
              <w:jc w:val="center"/>
              <w:rPr>
                <w:rFonts w:hint="eastAsia" w:ascii="宋体" w:hAnsi="宋体"/>
                <w:bCs/>
                <w:color w:val="000000" w:themeColor="text1"/>
                <w:szCs w:val="24"/>
                <w:highlight w:val="none"/>
                <w14:textFill>
                  <w14:solidFill>
                    <w14:schemeClr w14:val="tx1"/>
                  </w14:solidFill>
                </w14:textFill>
              </w:rPr>
            </w:pPr>
          </w:p>
        </w:tc>
        <w:tc>
          <w:tcPr>
            <w:tcW w:w="330" w:type="pct"/>
            <w:vMerge w:val="continue"/>
            <w:shd w:val="clear" w:color="auto" w:fill="auto"/>
            <w:vAlign w:val="center"/>
          </w:tcPr>
          <w:p w14:paraId="06D86EA9">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64" w:type="pct"/>
            <w:shd w:val="clear" w:color="auto" w:fill="auto"/>
            <w:tcMar>
              <w:top w:w="60" w:type="dxa"/>
              <w:left w:w="120" w:type="dxa"/>
              <w:bottom w:w="30" w:type="dxa"/>
              <w:right w:w="120" w:type="dxa"/>
            </w:tcMar>
            <w:vAlign w:val="center"/>
          </w:tcPr>
          <w:p w14:paraId="147507C0">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学生数字阅读终端</w:t>
            </w:r>
          </w:p>
        </w:tc>
        <w:tc>
          <w:tcPr>
            <w:tcW w:w="3978" w:type="pct"/>
            <w:shd w:val="clear" w:color="auto" w:fill="auto"/>
            <w:tcMar>
              <w:top w:w="60" w:type="dxa"/>
              <w:left w:w="120" w:type="dxa"/>
              <w:bottom w:w="30" w:type="dxa"/>
              <w:right w:w="120" w:type="dxa"/>
            </w:tcMar>
            <w:vAlign w:val="center"/>
          </w:tcPr>
          <w:p w14:paraId="18B17759">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一、硬件要求：</w:t>
            </w:r>
          </w:p>
          <w:p w14:paraId="468A849F">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1、整机尺寸：长度不超过245mm，宽度不超过175mm，厚度不超过9mm；</w:t>
            </w:r>
          </w:p>
          <w:p w14:paraId="05F90C91">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2、整机重量：不大于430g；</w:t>
            </w:r>
          </w:p>
          <w:p w14:paraId="68DF1457">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3、电池：需采用锂聚合物电池，电池容量不低于4100mAh；</w:t>
            </w:r>
          </w:p>
          <w:p w14:paraId="058D23E5">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4、屏幕：需采用电子墨水屏，屏幕尺寸需大于8英寸、小于10英寸，支持16级灰度；</w:t>
            </w:r>
          </w:p>
          <w:p w14:paraId="17EC20B4">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5、触控：需支持电容触控和电磁笔手写触控，采用无源电磁笔，支持4096级压感；</w:t>
            </w:r>
          </w:p>
          <w:p w14:paraId="25821B46">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6、处理器/存储：运行内存不低于2GB，机身存储容量不低于32GB，需支持不低于128GB MicroSD卡扩展；</w:t>
            </w:r>
          </w:p>
          <w:p w14:paraId="49EDEDE1">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7、操作系统：需采用安卓定制系统，系统版本不低于安卓8.0，需针对阅读场景进行定制、不允许学生自行安装第三方应用；</w:t>
            </w:r>
          </w:p>
          <w:p w14:paraId="7DADD288">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8、无线连接：需支持4G全网通，需支持双频WIFI（2.4G+5G）和蓝牙5.</w:t>
            </w:r>
            <w:r>
              <w:rPr>
                <w:rFonts w:ascii="宋体" w:hAnsi="宋体" w:cs="Calibri"/>
                <w:bCs/>
                <w:color w:val="000000" w:themeColor="text1"/>
                <w:kern w:val="0"/>
                <w:szCs w:val="24"/>
                <w:highlight w:val="none"/>
                <w14:textFill>
                  <w14:solidFill>
                    <w14:schemeClr w14:val="tx1"/>
                  </w14:solidFill>
                </w14:textFill>
              </w:rPr>
              <w:t>0</w:t>
            </w:r>
            <w:r>
              <w:rPr>
                <w:rFonts w:hint="eastAsia" w:ascii="宋体" w:hAnsi="宋体" w:cs="Calibri"/>
                <w:bCs/>
                <w:color w:val="000000" w:themeColor="text1"/>
                <w:kern w:val="0"/>
                <w:szCs w:val="24"/>
                <w:highlight w:val="none"/>
                <w14:textFill>
                  <w14:solidFill>
                    <w14:schemeClr w14:val="tx1"/>
                  </w14:solidFill>
                </w14:textFill>
              </w:rPr>
              <w:t>连接；</w:t>
            </w:r>
          </w:p>
          <w:p w14:paraId="651F132C">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9、多媒体：需具备扬声器和双麦克风；</w:t>
            </w:r>
          </w:p>
          <w:p w14:paraId="5818E380">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10、保护套：需配备保护套对设备进行使用保护，并支持保护套的自由拆卸和安装；</w:t>
            </w:r>
          </w:p>
          <w:p w14:paraId="6BFCC752">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11、电磁笔：需配备原装无源电磁笔，无需充电即可使用，需支持电磁笔尾端擦除功能；</w:t>
            </w:r>
          </w:p>
          <w:p w14:paraId="55EA202C">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12、质保服务：主机需提供3年质保服务。</w:t>
            </w:r>
          </w:p>
          <w:p w14:paraId="1977B4B0">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二、软件功能：</w:t>
            </w:r>
          </w:p>
          <w:p w14:paraId="7EEC6A11">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（一）书城</w:t>
            </w:r>
          </w:p>
          <w:p w14:paraId="55BB2845">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1、需支持根据中学生阅读常见书籍类型及年级段，对书城中书籍进行分类；</w:t>
            </w:r>
          </w:p>
          <w:p w14:paraId="45F5A4C1">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2、需支持按学段进行书籍筛选；</w:t>
            </w:r>
          </w:p>
          <w:p w14:paraId="3544D312">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3、需支持进行阅读内容推荐，至少包括教材推荐、阅读指导、个性化推荐；</w:t>
            </w:r>
          </w:p>
          <w:p w14:paraId="50F66B26">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4、需支持书籍搜索；</w:t>
            </w:r>
          </w:p>
          <w:p w14:paraId="7BA531E1">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5、需支持查看书籍简介、目录、书评；</w:t>
            </w:r>
          </w:p>
          <w:p w14:paraId="25F0DB59">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6、需支持将书城中的书籍加入书架进行阅读。</w:t>
            </w:r>
          </w:p>
          <w:p w14:paraId="08784C6F">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（二）书架</w:t>
            </w:r>
          </w:p>
          <w:p w14:paraId="7873F6E9">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1、需支持将书城在线书籍、文库书籍加入书架；</w:t>
            </w:r>
          </w:p>
          <w:p w14:paraId="08890CEE">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2、需支持在书架中进行书籍搜索；</w:t>
            </w:r>
          </w:p>
          <w:p w14:paraId="1F3849DD">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ascii="宋体" w:hAnsi="宋体" w:cs="Calibri"/>
                <w:bCs/>
                <w:color w:val="000000" w:themeColor="text1"/>
                <w:kern w:val="0"/>
                <w:szCs w:val="24"/>
                <w:highlight w:val="none"/>
                <w14:textFill>
                  <w14:solidFill>
                    <w14:schemeClr w14:val="tx1"/>
                  </w14:solidFill>
                </w14:textFill>
              </w:rPr>
              <w:t>3、需支持将书籍</w:t>
            </w:r>
            <w:r>
              <w:rPr>
                <w:rFonts w:hint="eastAsia" w:ascii="宋体" w:hAnsi="宋体" w:cs="Calibri"/>
                <w:bCs/>
                <w:color w:val="000000" w:themeColor="text1"/>
                <w:kern w:val="0"/>
                <w:szCs w:val="24"/>
                <w:highlight w:val="none"/>
                <w14:textFill>
                  <w14:solidFill>
                    <w14:schemeClr w14:val="tx1"/>
                  </w14:solidFill>
                </w14:textFill>
              </w:rPr>
              <w:t>从书架中删除；</w:t>
            </w:r>
          </w:p>
          <w:p w14:paraId="53ACDB65">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4、需支持在书架中创建分组，并支持将指定资源移动至分组；</w:t>
            </w:r>
          </w:p>
          <w:p w14:paraId="555046F8">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5、需支持用户查看读书笔记，包括勾画批注和任意手写记录痕迹，同时需支持回溯到笔记对应的书籍原文位置。</w:t>
            </w:r>
          </w:p>
          <w:p w14:paraId="46EBB6A8">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（三）文库</w:t>
            </w:r>
          </w:p>
          <w:p w14:paraId="74C30D5A">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1、需支持查看学校文库和区域文库中分享的P</w:t>
            </w:r>
            <w:r>
              <w:rPr>
                <w:rFonts w:ascii="宋体" w:hAnsi="宋体" w:cs="Calibri"/>
                <w:bCs/>
                <w:color w:val="000000" w:themeColor="text1"/>
                <w:kern w:val="0"/>
                <w:szCs w:val="24"/>
                <w:highlight w:val="none"/>
                <w14:textFill>
                  <w14:solidFill>
                    <w14:schemeClr w14:val="tx1"/>
                  </w14:solidFill>
                </w14:textFill>
              </w:rPr>
              <w:t>DF</w:t>
            </w:r>
            <w:r>
              <w:rPr>
                <w:rFonts w:hint="eastAsia" w:ascii="宋体" w:hAnsi="宋体" w:cs="Calibri"/>
                <w:bCs/>
                <w:color w:val="000000" w:themeColor="text1"/>
                <w:kern w:val="0"/>
                <w:szCs w:val="24"/>
                <w:highlight w:val="none"/>
                <w14:textFill>
                  <w14:solidFill>
                    <w14:schemeClr w14:val="tx1"/>
                  </w14:solidFill>
                </w14:textFill>
              </w:rPr>
              <w:t>、E</w:t>
            </w:r>
            <w:r>
              <w:rPr>
                <w:rFonts w:ascii="宋体" w:hAnsi="宋体" w:cs="Calibri"/>
                <w:bCs/>
                <w:color w:val="000000" w:themeColor="text1"/>
                <w:kern w:val="0"/>
                <w:szCs w:val="24"/>
                <w:highlight w:val="none"/>
                <w14:textFill>
                  <w14:solidFill>
                    <w14:schemeClr w14:val="tx1"/>
                  </w14:solidFill>
                </w14:textFill>
              </w:rPr>
              <w:t>PUB</w:t>
            </w:r>
            <w:r>
              <w:rPr>
                <w:rFonts w:hint="eastAsia" w:ascii="宋体" w:hAnsi="宋体" w:cs="Calibri"/>
                <w:bCs/>
                <w:color w:val="000000" w:themeColor="text1"/>
                <w:kern w:val="0"/>
                <w:szCs w:val="24"/>
                <w:highlight w:val="none"/>
                <w14:textFill>
                  <w14:solidFill>
                    <w14:schemeClr w14:val="tx1"/>
                  </w14:solidFill>
                </w14:textFill>
              </w:rPr>
              <w:t>、</w:t>
            </w:r>
            <w:r>
              <w:rPr>
                <w:rFonts w:ascii="宋体" w:hAnsi="宋体" w:cs="Calibri"/>
                <w:bCs/>
                <w:color w:val="000000" w:themeColor="text1"/>
                <w:kern w:val="0"/>
                <w:szCs w:val="24"/>
                <w:highlight w:val="none"/>
                <w14:textFill>
                  <w14:solidFill>
                    <w14:schemeClr w14:val="tx1"/>
                  </w14:solidFill>
                </w14:textFill>
              </w:rPr>
              <w:t>TXT</w:t>
            </w:r>
            <w:r>
              <w:rPr>
                <w:rFonts w:hint="eastAsia" w:ascii="宋体" w:hAnsi="宋体" w:cs="Calibri"/>
                <w:bCs/>
                <w:color w:val="000000" w:themeColor="text1"/>
                <w:kern w:val="0"/>
                <w:szCs w:val="24"/>
                <w:highlight w:val="none"/>
                <w14:textFill>
                  <w14:solidFill>
                    <w14:schemeClr w14:val="tx1"/>
                  </w14:solidFill>
                </w14:textFill>
              </w:rPr>
              <w:t>格式的阅读内容；</w:t>
            </w:r>
          </w:p>
          <w:p w14:paraId="52DA6BA3">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2、需支持自由下载文库中的内容，并自动加入书架进行阅读；</w:t>
            </w:r>
          </w:p>
          <w:p w14:paraId="61929A76">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3、需支持根据书名及作者名称搜索对应资源内容。</w:t>
            </w:r>
          </w:p>
          <w:p w14:paraId="778563FE">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（四）多样化阅读</w:t>
            </w:r>
          </w:p>
          <w:p w14:paraId="6F6520D4">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1、需支持与部编版语文教材相匹配的教材同步阅读，阅读内容需覆盖初中7-9年级；</w:t>
            </w:r>
          </w:p>
          <w:p w14:paraId="2B603FEE">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2、需支持校园期刊阅读，提供至少一种校园版阅读期刊，往期内容不少于一年期；</w:t>
            </w:r>
          </w:p>
          <w:p w14:paraId="0B8362C4">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3、需支持思政学习类内容阅读，提供包括红色文学、人物楷模、四史学习等不少于三种类型的阅读内容；</w:t>
            </w:r>
          </w:p>
          <w:p w14:paraId="68B4BE16">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4、需支持有声课学习，支持用户进行有声课查看和播放。</w:t>
            </w:r>
          </w:p>
          <w:p w14:paraId="63D74853">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（五）书籍阅读</w:t>
            </w:r>
          </w:p>
          <w:p w14:paraId="11C6EB68">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1、需支持TXT、MOBI、EPUB、PDF格式的书籍阅读，支持进度条翻页，支持调整字体/字号/页边距/行间距；</w:t>
            </w:r>
          </w:p>
          <w:p w14:paraId="11A77AA0">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2、PDF格式书籍需支持进度条翻页，支持页面缩放及裁切；</w:t>
            </w:r>
          </w:p>
          <w:p w14:paraId="60DC5F57">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3、阅读过程中需支持添加/删除书签，并支持通过书签快速打开书籍目标页；</w:t>
            </w:r>
          </w:p>
          <w:p w14:paraId="658DDDBE">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4、阅读过程中需支持通过电磁笔在书页上进行自由书写批注；</w:t>
            </w:r>
          </w:p>
          <w:p w14:paraId="2EAA38A4">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5、阅读过程中需支持对书页内容进行划重点、摘录笔记，摘录笔记可导出至笔记列表中；</w:t>
            </w:r>
          </w:p>
          <w:p w14:paraId="484C32E9">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w:t>
            </w:r>
            <w:r>
              <w:rPr>
                <w:rFonts w:hint="eastAsia" w:ascii="宋体" w:hAnsi="宋体" w:cs="Calibri"/>
                <w:bCs/>
                <w:color w:val="000000" w:themeColor="text1"/>
                <w:kern w:val="0"/>
                <w:szCs w:val="24"/>
                <w:highlight w:val="none"/>
                <w14:textFill>
                  <w14:solidFill>
                    <w14:schemeClr w14:val="tx1"/>
                  </w14:solidFill>
                </w14:textFill>
              </w:rPr>
              <w:t>6、需支持听书功能，通过语音合成技术对书籍内容进行有声朗读，且需提供不少于六种音色的虚拟主播供用户自由选择。</w:t>
            </w:r>
            <w:r>
              <w:rPr>
                <w:rFonts w:hint="eastAsia" w:ascii="宋体" w:hAnsi="宋体" w:cs="Calibri"/>
                <w:color w:val="000000" w:themeColor="text1"/>
                <w:kern w:val="0"/>
                <w:szCs w:val="24"/>
                <w:highlight w:val="none"/>
                <w14:textFill>
                  <w14:solidFill>
                    <w14:schemeClr w14:val="tx1"/>
                  </w14:solidFill>
                </w14:textFill>
              </w:rPr>
              <w:t>（响应文件需提供此功能界面截图）</w:t>
            </w:r>
          </w:p>
          <w:p w14:paraId="0CFE8F31">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ascii="宋体" w:hAnsi="宋体" w:cs="Calibri"/>
                <w:bCs/>
                <w:color w:val="000000" w:themeColor="text1"/>
                <w:kern w:val="0"/>
                <w:szCs w:val="24"/>
                <w:highlight w:val="none"/>
                <w14:textFill>
                  <w14:solidFill>
                    <w14:schemeClr w14:val="tx1"/>
                  </w14:solidFill>
                </w14:textFill>
              </w:rPr>
              <w:t>（六）整本书阅读教学</w:t>
            </w:r>
          </w:p>
          <w:p w14:paraId="6925472E">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1、终端需支持与数字阅读平台的整本书阅读教学功能打通，需支持学生使用终端查看平台发布的整本书阅读课程，完成课堂练习；</w:t>
            </w:r>
          </w:p>
          <w:p w14:paraId="2F7F5E47">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2、需支持学生使用终端完成平台发布的整本书阅读策略单任务。</w:t>
            </w:r>
          </w:p>
          <w:p w14:paraId="3ED34ABC">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ascii="宋体" w:hAnsi="宋体" w:cs="Calibri"/>
                <w:bCs/>
                <w:color w:val="000000" w:themeColor="text1"/>
                <w:kern w:val="0"/>
                <w:szCs w:val="24"/>
                <w:highlight w:val="none"/>
                <w14:textFill>
                  <w14:solidFill>
                    <w14:schemeClr w14:val="tx1"/>
                  </w14:solidFill>
                </w14:textFill>
              </w:rPr>
              <w:t>（七）阅读活动</w:t>
            </w:r>
          </w:p>
          <w:p w14:paraId="5918B2BD">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1、需支持学生查看个人已参与的阅读活动和全部阅读，对于未参与的阅读活动可进行参与；</w:t>
            </w:r>
          </w:p>
          <w:p w14:paraId="377D1722">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2、需支持学生根据活动状态进行活动筛选；</w:t>
            </w:r>
          </w:p>
          <w:p w14:paraId="1144A992">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3、需支持学生查看活动详情，包括活动书单、活动简介、共读空间；</w:t>
            </w:r>
          </w:p>
          <w:p w14:paraId="2C2FB261">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4、需支持学生通过阅读终端完成活动中的阅读任务，包括写作、朗读、绘画和选择任务；</w:t>
            </w:r>
          </w:p>
          <w:p w14:paraId="25327079">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ascii="宋体" w:hAnsi="宋体" w:cs="Calibri"/>
                <w:bCs/>
                <w:color w:val="000000" w:themeColor="text1"/>
                <w:kern w:val="0"/>
                <w:szCs w:val="24"/>
                <w:highlight w:val="none"/>
                <w14:textFill>
                  <w14:solidFill>
                    <w14:schemeClr w14:val="tx1"/>
                  </w14:solidFill>
                </w14:textFill>
              </w:rPr>
              <w:t>5</w:t>
            </w:r>
            <w:r>
              <w:rPr>
                <w:rFonts w:hint="eastAsia" w:ascii="宋体" w:hAnsi="宋体" w:cs="Calibri"/>
                <w:bCs/>
                <w:color w:val="000000" w:themeColor="text1"/>
                <w:kern w:val="0"/>
                <w:szCs w:val="24"/>
                <w:highlight w:val="none"/>
                <w14:textFill>
                  <w14:solidFill>
                    <w14:schemeClr w14:val="tx1"/>
                  </w14:solidFill>
                </w14:textFill>
              </w:rPr>
              <w:t>、学生提交的写作、朗读、绘画作品，需支持教师进行审核并将审核通过作品发布至共读空间；</w:t>
            </w:r>
          </w:p>
          <w:p w14:paraId="35655F60">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ascii="宋体" w:hAnsi="宋体" w:cs="Calibri"/>
                <w:bCs/>
                <w:color w:val="000000" w:themeColor="text1"/>
                <w:kern w:val="0"/>
                <w:szCs w:val="24"/>
                <w:highlight w:val="none"/>
                <w14:textFill>
                  <w14:solidFill>
                    <w14:schemeClr w14:val="tx1"/>
                  </w14:solidFill>
                </w14:textFill>
              </w:rPr>
              <w:t>6</w:t>
            </w:r>
            <w:r>
              <w:rPr>
                <w:rFonts w:hint="eastAsia" w:ascii="宋体" w:hAnsi="宋体" w:cs="Calibri"/>
                <w:bCs/>
                <w:color w:val="000000" w:themeColor="text1"/>
                <w:kern w:val="0"/>
                <w:szCs w:val="24"/>
                <w:highlight w:val="none"/>
                <w14:textFill>
                  <w14:solidFill>
                    <w14:schemeClr w14:val="tx1"/>
                  </w14:solidFill>
                </w14:textFill>
              </w:rPr>
              <w:t>、需支持学生在共读空间中查看所有教师审核通过的作品，并对作品进行点赞；</w:t>
            </w:r>
          </w:p>
          <w:p w14:paraId="5F3C99AB">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ascii="宋体" w:hAnsi="宋体" w:cs="Calibri"/>
                <w:bCs/>
                <w:color w:val="000000" w:themeColor="text1"/>
                <w:kern w:val="0"/>
                <w:szCs w:val="24"/>
                <w:highlight w:val="none"/>
                <w14:textFill>
                  <w14:solidFill>
                    <w14:schemeClr w14:val="tx1"/>
                  </w14:solidFill>
                </w14:textFill>
              </w:rPr>
              <w:t>7</w:t>
            </w:r>
            <w:r>
              <w:rPr>
                <w:rFonts w:hint="eastAsia" w:ascii="宋体" w:hAnsi="宋体" w:cs="Calibri"/>
                <w:bCs/>
                <w:color w:val="000000" w:themeColor="text1"/>
                <w:kern w:val="0"/>
                <w:szCs w:val="24"/>
                <w:highlight w:val="none"/>
                <w14:textFill>
                  <w14:solidFill>
                    <w14:schemeClr w14:val="tx1"/>
                  </w14:solidFill>
                </w14:textFill>
              </w:rPr>
              <w:t>、需支持学生在共读空间中删除自己的作品。</w:t>
            </w:r>
          </w:p>
          <w:p w14:paraId="701F8547">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（八）笔记</w:t>
            </w:r>
          </w:p>
          <w:p w14:paraId="03F87615">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1、需支持学生通过原笔迹书写、语音转文字两种方式创建笔记；</w:t>
            </w:r>
          </w:p>
          <w:p w14:paraId="6AEC657A">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w:t>
            </w:r>
            <w:r>
              <w:rPr>
                <w:rFonts w:hint="eastAsia" w:ascii="宋体" w:hAnsi="宋体" w:cs="Calibri"/>
                <w:bCs/>
                <w:color w:val="000000" w:themeColor="text1"/>
                <w:kern w:val="0"/>
                <w:szCs w:val="24"/>
                <w:highlight w:val="none"/>
                <w14:textFill>
                  <w14:solidFill>
                    <w14:schemeClr w14:val="tx1"/>
                  </w14:solidFill>
                </w14:textFill>
              </w:rPr>
              <w:t>2、需支持中文、英文、中英混合场景的语音转写创作功能；</w:t>
            </w:r>
            <w:r>
              <w:rPr>
                <w:rFonts w:hint="eastAsia" w:ascii="宋体" w:hAnsi="宋体" w:cs="Calibri"/>
                <w:color w:val="000000" w:themeColor="text1"/>
                <w:kern w:val="0"/>
                <w:szCs w:val="24"/>
                <w:highlight w:val="none"/>
                <w14:textFill>
                  <w14:solidFill>
                    <w14:schemeClr w14:val="tx1"/>
                  </w14:solidFill>
                </w14:textFill>
              </w:rPr>
              <w:t>（响应文件需提供此功能界面截图）</w:t>
            </w:r>
          </w:p>
          <w:p w14:paraId="5B857B77">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3、需支持在录音过程中以手写笔迹进行记录，支持手写笔迹以时间戳的方式与录音文件、转写文本保持同步；</w:t>
            </w:r>
          </w:p>
          <w:p w14:paraId="0630B540">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4、需支持将手写文字一键转化为印刷体文字；</w:t>
            </w:r>
          </w:p>
          <w:p w14:paraId="247CB0E8">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5、需支持对笔记进行打标签、搜索、删除、找回操作，支持笔记排序规则的选择：包括按标题/按修改时间/按创建时间进行递增/递减排序；</w:t>
            </w:r>
          </w:p>
          <w:p w14:paraId="6AAEBF08">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6、需支持学生分享个人笔记内容；</w:t>
            </w:r>
          </w:p>
          <w:p w14:paraId="455B8A05">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（九）班级圈</w:t>
            </w:r>
          </w:p>
          <w:p w14:paraId="64929CD0">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1、需支持学生查看个人所在班级基础信息以及教师发布的班级公告；</w:t>
            </w:r>
          </w:p>
          <w:p w14:paraId="59D0312A">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ascii="宋体" w:hAnsi="宋体" w:cs="Calibri"/>
                <w:bCs/>
                <w:color w:val="000000" w:themeColor="text1"/>
                <w:kern w:val="0"/>
                <w:szCs w:val="24"/>
                <w:highlight w:val="none"/>
                <w14:textFill>
                  <w14:solidFill>
                    <w14:schemeClr w14:val="tx1"/>
                  </w14:solidFill>
                </w14:textFill>
              </w:rPr>
              <w:t>2</w:t>
            </w:r>
            <w:r>
              <w:rPr>
                <w:rFonts w:hint="eastAsia" w:ascii="宋体" w:hAnsi="宋体" w:cs="Calibri"/>
                <w:bCs/>
                <w:color w:val="000000" w:themeColor="text1"/>
                <w:kern w:val="0"/>
                <w:szCs w:val="24"/>
                <w:highlight w:val="none"/>
                <w14:textFill>
                  <w14:solidFill>
                    <w14:schemeClr w14:val="tx1"/>
                  </w14:solidFill>
                </w14:textFill>
              </w:rPr>
              <w:t>、需支持学生查看教师推荐的班级书单，并阅读相应的书籍；</w:t>
            </w:r>
          </w:p>
          <w:p w14:paraId="5475CD50">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3、需支持学生查看班级同学积分排行、阅读时长排行，读完本数排行，且能够查看自己对应的阅读时长；</w:t>
            </w:r>
          </w:p>
          <w:p w14:paraId="561B6DB6">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ascii="宋体" w:hAnsi="宋体" w:cs="Calibri"/>
                <w:bCs/>
                <w:color w:val="000000" w:themeColor="text1"/>
                <w:kern w:val="0"/>
                <w:szCs w:val="24"/>
                <w:highlight w:val="none"/>
                <w14:textFill>
                  <w14:solidFill>
                    <w14:schemeClr w14:val="tx1"/>
                  </w14:solidFill>
                </w14:textFill>
              </w:rPr>
              <w:t>4</w:t>
            </w:r>
            <w:r>
              <w:rPr>
                <w:rFonts w:hint="eastAsia" w:ascii="宋体" w:hAnsi="宋体" w:cs="Calibri"/>
                <w:bCs/>
                <w:color w:val="000000" w:themeColor="text1"/>
                <w:kern w:val="0"/>
                <w:szCs w:val="24"/>
                <w:highlight w:val="none"/>
                <w14:textFill>
                  <w14:solidFill>
                    <w14:schemeClr w14:val="tx1"/>
                  </w14:solidFill>
                </w14:textFill>
              </w:rPr>
              <w:t>、需支持学生在班级圈查看自己及班级其它同学分享的动态详情，并支持点赞。</w:t>
            </w:r>
          </w:p>
          <w:p w14:paraId="6B9E87EB">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（十）个人空间</w:t>
            </w:r>
          </w:p>
          <w:p w14:paraId="3D97ED5E">
            <w:pPr>
              <w:spacing w:line="360" w:lineRule="auto"/>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1、需支持用户进入个人空间查看个人信息、个人书籍阅读记录、个人发布的各类动态；</w:t>
            </w:r>
          </w:p>
          <w:p w14:paraId="4F6979C3">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2、需支持用户查看个人阅读及参与活动的数据统计。</w:t>
            </w:r>
          </w:p>
        </w:tc>
      </w:tr>
      <w:tr w14:paraId="0740D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328" w:type="pct"/>
            <w:vMerge w:val="continue"/>
            <w:shd w:val="clear" w:color="auto" w:fill="auto"/>
            <w:tcMar>
              <w:top w:w="60" w:type="dxa"/>
              <w:left w:w="120" w:type="dxa"/>
              <w:bottom w:w="30" w:type="dxa"/>
              <w:right w:w="120" w:type="dxa"/>
            </w:tcMar>
            <w:vAlign w:val="center"/>
          </w:tcPr>
          <w:p w14:paraId="50B5417B">
            <w:pPr>
              <w:spacing w:line="360" w:lineRule="auto"/>
              <w:jc w:val="center"/>
              <w:rPr>
                <w:rFonts w:hint="eastAsia" w:ascii="宋体" w:hAnsi="宋体"/>
                <w:bCs/>
                <w:color w:val="000000" w:themeColor="text1"/>
                <w:szCs w:val="24"/>
                <w:highlight w:val="none"/>
                <w14:textFill>
                  <w14:solidFill>
                    <w14:schemeClr w14:val="tx1"/>
                  </w14:solidFill>
                </w14:textFill>
              </w:rPr>
            </w:pPr>
          </w:p>
        </w:tc>
        <w:tc>
          <w:tcPr>
            <w:tcW w:w="330" w:type="pct"/>
            <w:vMerge w:val="continue"/>
            <w:shd w:val="clear" w:color="auto" w:fill="auto"/>
            <w:vAlign w:val="center"/>
          </w:tcPr>
          <w:p w14:paraId="3AE685A2">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64" w:type="pct"/>
            <w:shd w:val="clear" w:color="auto" w:fill="auto"/>
            <w:tcMar>
              <w:top w:w="60" w:type="dxa"/>
              <w:left w:w="120" w:type="dxa"/>
              <w:bottom w:w="30" w:type="dxa"/>
              <w:right w:w="120" w:type="dxa"/>
            </w:tcMar>
            <w:vAlign w:val="center"/>
          </w:tcPr>
          <w:p w14:paraId="7F9BB040">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教师应用终端</w:t>
            </w:r>
          </w:p>
        </w:tc>
        <w:tc>
          <w:tcPr>
            <w:tcW w:w="3978" w:type="pct"/>
            <w:shd w:val="clear" w:color="auto" w:fill="auto"/>
            <w:tcMar>
              <w:top w:w="60" w:type="dxa"/>
              <w:left w:w="120" w:type="dxa"/>
              <w:bottom w:w="30" w:type="dxa"/>
              <w:right w:w="120" w:type="dxa"/>
            </w:tcMar>
            <w:vAlign w:val="center"/>
          </w:tcPr>
          <w:p w14:paraId="43E36D01">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一、硬件配置：</w:t>
            </w:r>
          </w:p>
          <w:p w14:paraId="6A33E0AE">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1、整机尺寸：长度不超过240mm，宽度不超过170mm，厚度不超过6mm；</w:t>
            </w:r>
          </w:p>
          <w:p w14:paraId="7CCC9EE7">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2、整机重量：不大于410g；</w:t>
            </w:r>
          </w:p>
          <w:p w14:paraId="20A46ADB">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3、电池：需采用锂聚合物电池，电池容量不低于3200mAh；</w:t>
            </w:r>
          </w:p>
          <w:p w14:paraId="03B0164C">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4、屏幕：需采用电子墨水屏,屏幕尺寸不小于10英寸，需采用1600*1200分辨率，表面需采用纸质触感表面摩擦处理；</w:t>
            </w:r>
          </w:p>
          <w:p w14:paraId="085DBA55">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5、触控：需支持电容触控和电磁手写触控，且支持无源电磁手写笔，采用FELT材质笔尖，具备4096级压感；</w:t>
            </w:r>
          </w:p>
          <w:p w14:paraId="1BACF42B">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6、处理器/存储：运行内存不低于2GB，机身存储容量不低于64GB，需支持不低于128GB MicroSD卡扩展；</w:t>
            </w:r>
          </w:p>
          <w:p w14:paraId="382DA255">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7、操作系统：需采用安卓定制系统，系统版本不低于安卓8.0，需针对阅读场景进行定制；</w:t>
            </w:r>
          </w:p>
          <w:p w14:paraId="3852D833">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8、无线连接：需支持4G全网通，需支持WIFI和蓝牙连接；</w:t>
            </w:r>
          </w:p>
          <w:p w14:paraId="647D8BFB">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9、多媒体：需采用顶端高精度声麦系统，双麦克风阵列，不小于3米有效拾音距离；</w:t>
            </w:r>
          </w:p>
          <w:p w14:paraId="0BC00D7E">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10、保护套：需配备保护套对设备进行使用保护，并支持保护套的自由拆卸和安装；</w:t>
            </w:r>
          </w:p>
          <w:p w14:paraId="004F4CE5">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二、研修助手</w:t>
            </w:r>
          </w:p>
          <w:p w14:paraId="03B48314">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1、需支持教师按照听课记录、工作日志、学生谈话记录、家访记录等不同场景分类进行笔记记录，需支持教师自主设置场景分类；</w:t>
            </w:r>
          </w:p>
          <w:p w14:paraId="7B782AE5">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2、需支持教师通过原笔迹书写和语音转写两种方式进行记录；</w:t>
            </w:r>
          </w:p>
          <w:p w14:paraId="0A479F9A">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3、在手写记录场景下，需支持教师通过电磁笔进行书写，需支持将手写文字一键转化为印刷体文字；</w:t>
            </w:r>
          </w:p>
          <w:p w14:paraId="57C20108">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4、在语音记录场景下，需支持中文、英文、中英文混合的语音转写创作，需支持语音实时转写为文本，笔记内容需支持录音+转写文本+手写笔迹，需支持三者以时间戳的方式保持同步；</w:t>
            </w:r>
          </w:p>
          <w:p w14:paraId="5006DDC0">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5、需支持对语音转写记录的内容进行智能化语篇规整，自动去掉语气词，增加文本可读性；</w:t>
            </w:r>
          </w:p>
          <w:p w14:paraId="2E1C2B29">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6、需支持对语音转写记录的内容进行自动生成会议纪要，自动提炼关键内容；</w:t>
            </w:r>
          </w:p>
          <w:p w14:paraId="6B9365E9">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7、需支持对笔记进行打标签、搜索、删除、找回操作；</w:t>
            </w:r>
          </w:p>
          <w:p w14:paraId="5031C320">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ascii="宋体" w:hAnsi="宋体" w:cs="Calibri"/>
                <w:color w:val="000000" w:themeColor="text1"/>
                <w:kern w:val="0"/>
                <w:szCs w:val="24"/>
                <w:highlight w:val="none"/>
                <w14:textFill>
                  <w14:solidFill>
                    <w14:schemeClr w14:val="tx1"/>
                  </w14:solidFill>
                </w14:textFill>
              </w:rPr>
              <w:t>8</w:t>
            </w:r>
            <w:r>
              <w:rPr>
                <w:rFonts w:hint="eastAsia" w:ascii="宋体" w:hAnsi="宋体" w:cs="Calibri"/>
                <w:color w:val="000000" w:themeColor="text1"/>
                <w:kern w:val="0"/>
                <w:szCs w:val="24"/>
                <w:highlight w:val="none"/>
                <w14:textFill>
                  <w14:solidFill>
                    <w14:schemeClr w14:val="tx1"/>
                  </w14:solidFill>
                </w14:textFill>
              </w:rPr>
              <w:t>、需支持对笔记内容进行导出、分享。</w:t>
            </w:r>
          </w:p>
          <w:p w14:paraId="59BE93AA">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三、阅读</w:t>
            </w:r>
          </w:p>
          <w:p w14:paraId="1B69847C">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1、书城：需支持对书城中书籍进行分类，方便书籍查找；书城中需包含适合中学阅读的书籍和专为教师提供的专业书籍，书籍总量不低于一万册；</w:t>
            </w:r>
          </w:p>
          <w:p w14:paraId="6FE5BFAF">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2、书架：需支持将在线书籍加入书架，并支持在书架中搜索书籍以及从书架中删除书籍；</w:t>
            </w:r>
          </w:p>
          <w:p w14:paraId="6B5A511D">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3、文库：需支持进入在线文库下载、阅读文库中的书籍；</w:t>
            </w:r>
          </w:p>
          <w:p w14:paraId="61EA5D21">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4、需支持TXT、MOBI、EPUB、PDF格式的书籍阅读，支持进度条翻页，支持调整字体/字号/页边距/行间距；</w:t>
            </w:r>
          </w:p>
          <w:p w14:paraId="6B44353E">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5、PDF格式书籍需支持进度条翻页，支持页面缩放及裁切；</w:t>
            </w:r>
          </w:p>
          <w:p w14:paraId="3321D654">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6、需支持阅读过程中添加/删除书签，并通过书签快速打开书籍目标页；</w:t>
            </w:r>
          </w:p>
          <w:p w14:paraId="4E2E304C">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7、需支持阅读过程中通过电磁笔在书页上进行自由书写批注；</w:t>
            </w:r>
          </w:p>
          <w:p w14:paraId="043884DD">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8、需支持阅读过程中对书页内容进行划重点、摘录笔记，摘录笔记可导出至笔记列表中；</w:t>
            </w:r>
          </w:p>
          <w:p w14:paraId="04525BD9">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9、需支持听书功能，通过语音合成技术对书籍内容进行有声朗读。</w:t>
            </w:r>
          </w:p>
          <w:p w14:paraId="262623C9">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四、活动及班级管理</w:t>
            </w:r>
          </w:p>
          <w:p w14:paraId="5A70B006">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1、需支持教师在设备端查看本区域或本校发布的阅读活动列表和详情；</w:t>
            </w:r>
          </w:p>
          <w:p w14:paraId="6574697A">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2、需支持用户参与活动、阅读活动相关书籍、进行阅读任务作答、查看共读空间作品并点赞；</w:t>
            </w:r>
          </w:p>
          <w:p w14:paraId="642B5FC7">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3、需支持教师面向本班级发布班级公告、编辑班级书单；</w:t>
            </w:r>
          </w:p>
          <w:p w14:paraId="1AD63E8C">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ascii="宋体" w:hAnsi="宋体" w:cs="Calibri"/>
                <w:color w:val="000000" w:themeColor="text1"/>
                <w:kern w:val="0"/>
                <w:szCs w:val="24"/>
                <w:highlight w:val="none"/>
                <w14:textFill>
                  <w14:solidFill>
                    <w14:schemeClr w14:val="tx1"/>
                  </w14:solidFill>
                </w14:textFill>
              </w:rPr>
              <w:t>4</w:t>
            </w:r>
            <w:r>
              <w:rPr>
                <w:rFonts w:hint="eastAsia" w:ascii="宋体" w:hAnsi="宋体" w:cs="Calibri"/>
                <w:color w:val="000000" w:themeColor="text1"/>
                <w:kern w:val="0"/>
                <w:szCs w:val="24"/>
                <w:highlight w:val="none"/>
                <w14:textFill>
                  <w14:solidFill>
                    <w14:schemeClr w14:val="tx1"/>
                  </w14:solidFill>
                </w14:textFill>
              </w:rPr>
              <w:t>、需支持教师查看本班级成员、班级阅读数据统计及排行；</w:t>
            </w:r>
          </w:p>
          <w:p w14:paraId="56158F10">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ascii="宋体" w:hAnsi="宋体" w:cs="Calibri"/>
                <w:color w:val="000000" w:themeColor="text1"/>
                <w:kern w:val="0"/>
                <w:szCs w:val="24"/>
                <w:highlight w:val="none"/>
                <w14:textFill>
                  <w14:solidFill>
                    <w14:schemeClr w14:val="tx1"/>
                  </w14:solidFill>
                </w14:textFill>
              </w:rPr>
              <w:t>5</w:t>
            </w:r>
            <w:r>
              <w:rPr>
                <w:rFonts w:hint="eastAsia" w:ascii="宋体" w:hAnsi="宋体" w:cs="Calibri"/>
                <w:color w:val="000000" w:themeColor="text1"/>
                <w:kern w:val="0"/>
                <w:szCs w:val="24"/>
                <w:highlight w:val="none"/>
                <w14:textFill>
                  <w14:solidFill>
                    <w14:schemeClr w14:val="tx1"/>
                  </w14:solidFill>
                </w14:textFill>
              </w:rPr>
              <w:t>、需支持教师查看本班级学生发布至班级空间的各类分享，并可对分享内容进行审核、评论、点赞及删除操作。</w:t>
            </w:r>
          </w:p>
          <w:p w14:paraId="06C35645">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五、个人空间</w:t>
            </w:r>
          </w:p>
          <w:p w14:paraId="572A3B2A">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1、需支持用户进入个人空间查看个人信息；</w:t>
            </w:r>
          </w:p>
          <w:p w14:paraId="381C3923">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2、需支持用户查看个人书籍阅读记录；</w:t>
            </w:r>
          </w:p>
          <w:p w14:paraId="45339F88">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3、需支持用户查看个人发布的各类动态；</w:t>
            </w:r>
          </w:p>
          <w:p w14:paraId="52BBA8E4">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4、需支持用户查看个人阅读及参与活动的数据统计。</w:t>
            </w:r>
          </w:p>
        </w:tc>
      </w:tr>
      <w:tr w14:paraId="59ED3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328" w:type="pct"/>
            <w:vMerge w:val="continue"/>
            <w:shd w:val="clear" w:color="auto" w:fill="auto"/>
            <w:tcMar>
              <w:top w:w="60" w:type="dxa"/>
              <w:left w:w="120" w:type="dxa"/>
              <w:bottom w:w="30" w:type="dxa"/>
              <w:right w:w="120" w:type="dxa"/>
            </w:tcMar>
            <w:vAlign w:val="center"/>
          </w:tcPr>
          <w:p w14:paraId="0C375AA2">
            <w:pPr>
              <w:spacing w:line="360" w:lineRule="auto"/>
              <w:jc w:val="center"/>
              <w:rPr>
                <w:rFonts w:hint="eastAsia" w:ascii="宋体" w:hAnsi="宋体"/>
                <w:bCs/>
                <w:color w:val="000000" w:themeColor="text1"/>
                <w:szCs w:val="24"/>
                <w:highlight w:val="none"/>
                <w14:textFill>
                  <w14:solidFill>
                    <w14:schemeClr w14:val="tx1"/>
                  </w14:solidFill>
                </w14:textFill>
              </w:rPr>
            </w:pPr>
          </w:p>
        </w:tc>
        <w:tc>
          <w:tcPr>
            <w:tcW w:w="330" w:type="pct"/>
            <w:vMerge w:val="continue"/>
            <w:shd w:val="clear" w:color="auto" w:fill="auto"/>
            <w:vAlign w:val="center"/>
          </w:tcPr>
          <w:p w14:paraId="5F9518E2">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64" w:type="pct"/>
            <w:shd w:val="clear" w:color="auto" w:fill="auto"/>
            <w:tcMar>
              <w:top w:w="60" w:type="dxa"/>
              <w:left w:w="120" w:type="dxa"/>
              <w:bottom w:w="30" w:type="dxa"/>
              <w:right w:w="120" w:type="dxa"/>
            </w:tcMar>
            <w:vAlign w:val="center"/>
          </w:tcPr>
          <w:p w14:paraId="4318B4AF">
            <w:pPr>
              <w:spacing w:line="360" w:lineRule="auto"/>
              <w:jc w:val="center"/>
              <w:rPr>
                <w:rFonts w:hint="eastAsia" w:ascii="宋体" w:hAnsi="宋体" w:cs="Calibri"/>
                <w:bCs/>
                <w:color w:val="000000" w:themeColor="text1"/>
                <w:kern w:val="0"/>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电磁笔</w:t>
            </w:r>
          </w:p>
        </w:tc>
        <w:tc>
          <w:tcPr>
            <w:tcW w:w="3978" w:type="pct"/>
            <w:shd w:val="clear" w:color="auto" w:fill="auto"/>
            <w:tcMar>
              <w:top w:w="60" w:type="dxa"/>
              <w:left w:w="120" w:type="dxa"/>
              <w:bottom w:w="30" w:type="dxa"/>
              <w:right w:w="120" w:type="dxa"/>
            </w:tcMar>
            <w:vAlign w:val="center"/>
          </w:tcPr>
          <w:p w14:paraId="46A68ACC">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1、需支持电磁触控书写，配备具有4096级压感技术；</w:t>
            </w:r>
          </w:p>
          <w:p w14:paraId="573FBA55">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2、书写数字延迟不得高于40毫秒。</w:t>
            </w:r>
          </w:p>
        </w:tc>
      </w:tr>
      <w:tr w14:paraId="3C29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328" w:type="pct"/>
            <w:vMerge w:val="continue"/>
            <w:shd w:val="clear" w:color="auto" w:fill="auto"/>
            <w:tcMar>
              <w:top w:w="60" w:type="dxa"/>
              <w:left w:w="120" w:type="dxa"/>
              <w:bottom w:w="30" w:type="dxa"/>
              <w:right w:w="120" w:type="dxa"/>
            </w:tcMar>
            <w:vAlign w:val="center"/>
          </w:tcPr>
          <w:p w14:paraId="197DA812">
            <w:pPr>
              <w:spacing w:line="360" w:lineRule="auto"/>
              <w:jc w:val="center"/>
              <w:rPr>
                <w:rFonts w:hint="eastAsia" w:ascii="宋体" w:hAnsi="宋体"/>
                <w:bCs/>
                <w:color w:val="000000" w:themeColor="text1"/>
                <w:szCs w:val="24"/>
                <w:highlight w:val="none"/>
                <w14:textFill>
                  <w14:solidFill>
                    <w14:schemeClr w14:val="tx1"/>
                  </w14:solidFill>
                </w14:textFill>
              </w:rPr>
            </w:pPr>
          </w:p>
        </w:tc>
        <w:tc>
          <w:tcPr>
            <w:tcW w:w="330" w:type="pct"/>
            <w:vMerge w:val="continue"/>
            <w:shd w:val="clear" w:color="auto" w:fill="auto"/>
            <w:vAlign w:val="center"/>
          </w:tcPr>
          <w:p w14:paraId="6CE0C6DA">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64" w:type="pct"/>
            <w:shd w:val="clear" w:color="auto" w:fill="auto"/>
            <w:tcMar>
              <w:top w:w="60" w:type="dxa"/>
              <w:left w:w="120" w:type="dxa"/>
              <w:bottom w:w="30" w:type="dxa"/>
              <w:right w:w="120" w:type="dxa"/>
            </w:tcMar>
            <w:vAlign w:val="center"/>
          </w:tcPr>
          <w:p w14:paraId="5F571659">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备用笔芯</w:t>
            </w:r>
          </w:p>
        </w:tc>
        <w:tc>
          <w:tcPr>
            <w:tcW w:w="3978" w:type="pct"/>
            <w:shd w:val="clear" w:color="auto" w:fill="auto"/>
            <w:tcMar>
              <w:top w:w="60" w:type="dxa"/>
              <w:left w:w="120" w:type="dxa"/>
              <w:bottom w:w="30" w:type="dxa"/>
              <w:right w:w="120" w:type="dxa"/>
            </w:tcMar>
            <w:vAlign w:val="center"/>
          </w:tcPr>
          <w:p w14:paraId="1D754642">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1、尺寸：需与原装笔芯尺寸一致，能够与电磁笔完全匹配；</w:t>
            </w:r>
          </w:p>
          <w:p w14:paraId="50A6C1D5">
            <w:pPr>
              <w:spacing w:line="360" w:lineRule="auto"/>
              <w:rPr>
                <w:rFonts w:hint="eastAsia" w:ascii="宋体" w:hAnsi="宋体" w:cstheme="minorEastAsia"/>
                <w:color w:val="000000" w:themeColor="text1"/>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2、安装到电磁笔中后，需支持在数字阅读终端上进行流畅书写、点击操作。</w:t>
            </w:r>
          </w:p>
        </w:tc>
      </w:tr>
      <w:tr w14:paraId="69175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328" w:type="pct"/>
            <w:vMerge w:val="continue"/>
            <w:shd w:val="clear" w:color="auto" w:fill="auto"/>
            <w:tcMar>
              <w:top w:w="60" w:type="dxa"/>
              <w:left w:w="120" w:type="dxa"/>
              <w:bottom w:w="30" w:type="dxa"/>
              <w:right w:w="120" w:type="dxa"/>
            </w:tcMar>
            <w:vAlign w:val="center"/>
          </w:tcPr>
          <w:p w14:paraId="764A7E7E">
            <w:pPr>
              <w:spacing w:line="360" w:lineRule="auto"/>
              <w:jc w:val="center"/>
              <w:rPr>
                <w:rFonts w:hint="eastAsia" w:ascii="宋体" w:hAnsi="宋体"/>
                <w:bCs/>
                <w:color w:val="000000" w:themeColor="text1"/>
                <w:szCs w:val="24"/>
                <w:highlight w:val="none"/>
                <w14:textFill>
                  <w14:solidFill>
                    <w14:schemeClr w14:val="tx1"/>
                  </w14:solidFill>
                </w14:textFill>
              </w:rPr>
            </w:pPr>
          </w:p>
        </w:tc>
        <w:tc>
          <w:tcPr>
            <w:tcW w:w="330" w:type="pct"/>
            <w:vMerge w:val="continue"/>
            <w:shd w:val="clear" w:color="auto" w:fill="auto"/>
            <w:vAlign w:val="center"/>
          </w:tcPr>
          <w:p w14:paraId="44CAB030">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64" w:type="pct"/>
            <w:shd w:val="clear" w:color="auto" w:fill="auto"/>
            <w:tcMar>
              <w:top w:w="60" w:type="dxa"/>
              <w:left w:w="120" w:type="dxa"/>
              <w:bottom w:w="30" w:type="dxa"/>
              <w:right w:w="120" w:type="dxa"/>
            </w:tcMar>
            <w:vAlign w:val="center"/>
          </w:tcPr>
          <w:p w14:paraId="3C7B361E">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充电柜</w:t>
            </w:r>
          </w:p>
        </w:tc>
        <w:tc>
          <w:tcPr>
            <w:tcW w:w="3978" w:type="pct"/>
            <w:shd w:val="clear" w:color="auto" w:fill="auto"/>
            <w:tcMar>
              <w:top w:w="60" w:type="dxa"/>
              <w:left w:w="120" w:type="dxa"/>
              <w:bottom w:w="30" w:type="dxa"/>
              <w:right w:w="120" w:type="dxa"/>
            </w:tcMar>
            <w:vAlign w:val="center"/>
          </w:tcPr>
          <w:p w14:paraId="555DE8C9">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ascii="宋体" w:hAnsi="宋体" w:cs="Calibri"/>
                <w:color w:val="000000" w:themeColor="text1"/>
                <w:kern w:val="0"/>
                <w:szCs w:val="24"/>
                <w:highlight w:val="none"/>
                <w14:textFill>
                  <w14:solidFill>
                    <w14:schemeClr w14:val="tx1"/>
                  </w14:solidFill>
                </w14:textFill>
              </w:rPr>
              <w:t>1</w:t>
            </w:r>
            <w:r>
              <w:rPr>
                <w:rFonts w:hint="eastAsia" w:ascii="宋体" w:hAnsi="宋体" w:cs="Calibri"/>
                <w:color w:val="000000" w:themeColor="text1"/>
                <w:kern w:val="0"/>
                <w:szCs w:val="24"/>
                <w:highlight w:val="none"/>
                <w14:textFill>
                  <w14:solidFill>
                    <w14:schemeClr w14:val="tx1"/>
                  </w14:solidFill>
                </w14:textFill>
              </w:rPr>
              <w:t>、可支持 60 台学生阅读终端同时充电；</w:t>
            </w:r>
          </w:p>
          <w:p w14:paraId="1C6B19F0">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ascii="宋体" w:hAnsi="宋体" w:cs="Calibri"/>
                <w:color w:val="000000" w:themeColor="text1"/>
                <w:kern w:val="0"/>
                <w:szCs w:val="24"/>
                <w:highlight w:val="none"/>
                <w14:textFill>
                  <w14:solidFill>
                    <w14:schemeClr w14:val="tx1"/>
                  </w14:solidFill>
                </w14:textFill>
              </w:rPr>
              <w:t>2</w:t>
            </w:r>
            <w:r>
              <w:rPr>
                <w:rFonts w:hint="eastAsia" w:ascii="宋体" w:hAnsi="宋体" w:cs="Calibri"/>
                <w:color w:val="000000" w:themeColor="text1"/>
                <w:kern w:val="0"/>
                <w:szCs w:val="24"/>
                <w:highlight w:val="none"/>
                <w14:textFill>
                  <w14:solidFill>
                    <w14:schemeClr w14:val="tx1"/>
                  </w14:solidFill>
                </w14:textFill>
              </w:rPr>
              <w:t>、需采用环保 ABS 工程塑料单机隔断，隔断板具有扎线口，同时预留凹槽方便拿取设备；</w:t>
            </w:r>
          </w:p>
          <w:p w14:paraId="653FEBCC">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ascii="宋体" w:hAnsi="宋体" w:cs="Calibri"/>
                <w:color w:val="000000" w:themeColor="text1"/>
                <w:kern w:val="0"/>
                <w:szCs w:val="24"/>
                <w:highlight w:val="none"/>
                <w14:textFill>
                  <w14:solidFill>
                    <w14:schemeClr w14:val="tx1"/>
                  </w14:solidFill>
                </w14:textFill>
              </w:rPr>
              <w:t>3</w:t>
            </w:r>
            <w:r>
              <w:rPr>
                <w:rFonts w:hint="eastAsia" w:ascii="宋体" w:hAnsi="宋体" w:cs="Calibri"/>
                <w:color w:val="000000" w:themeColor="text1"/>
                <w:kern w:val="0"/>
                <w:szCs w:val="24"/>
                <w:highlight w:val="none"/>
                <w14:textFill>
                  <w14:solidFill>
                    <w14:schemeClr w14:val="tx1"/>
                  </w14:solidFill>
                </w14:textFill>
              </w:rPr>
              <w:t>、柜门上需带有优质锁具；</w:t>
            </w:r>
          </w:p>
          <w:p w14:paraId="097489D1">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ascii="宋体" w:hAnsi="宋体" w:cs="Calibri"/>
                <w:color w:val="000000" w:themeColor="text1"/>
                <w:kern w:val="0"/>
                <w:szCs w:val="24"/>
                <w:highlight w:val="none"/>
                <w14:textFill>
                  <w14:solidFill>
                    <w14:schemeClr w14:val="tx1"/>
                  </w14:solidFill>
                </w14:textFill>
              </w:rPr>
              <w:t>4</w:t>
            </w:r>
            <w:r>
              <w:rPr>
                <w:rFonts w:hint="eastAsia" w:ascii="宋体" w:hAnsi="宋体" w:cs="Calibri"/>
                <w:color w:val="000000" w:themeColor="text1"/>
                <w:kern w:val="0"/>
                <w:szCs w:val="24"/>
                <w:highlight w:val="none"/>
                <w14:textFill>
                  <w14:solidFill>
                    <w14:schemeClr w14:val="tx1"/>
                  </w14:solidFill>
                </w14:textFill>
              </w:rPr>
              <w:t>、机柜需具有优质静音脚轮，四轮万向，四轮刹车，便于移动和固定；</w:t>
            </w:r>
          </w:p>
          <w:p w14:paraId="21ACC210">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ascii="宋体" w:hAnsi="宋体" w:cs="Calibri"/>
                <w:color w:val="000000" w:themeColor="text1"/>
                <w:kern w:val="0"/>
                <w:szCs w:val="24"/>
                <w:highlight w:val="none"/>
                <w14:textFill>
                  <w14:solidFill>
                    <w14:schemeClr w14:val="tx1"/>
                  </w14:solidFill>
                </w14:textFill>
              </w:rPr>
              <w:t>5</w:t>
            </w:r>
            <w:r>
              <w:rPr>
                <w:rFonts w:hint="eastAsia" w:ascii="宋体" w:hAnsi="宋体" w:cs="Calibri"/>
                <w:color w:val="000000" w:themeColor="text1"/>
                <w:kern w:val="0"/>
                <w:szCs w:val="24"/>
                <w:highlight w:val="none"/>
                <w14:textFill>
                  <w14:solidFill>
                    <w14:schemeClr w14:val="tx1"/>
                  </w14:solidFill>
                </w14:textFill>
              </w:rPr>
              <w:t>、柜体顶部需采用弧度设计，有效避免人员碰伤；</w:t>
            </w:r>
          </w:p>
          <w:p w14:paraId="0409DCBE">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ascii="宋体" w:hAnsi="宋体" w:cs="Calibri"/>
                <w:color w:val="000000" w:themeColor="text1"/>
                <w:kern w:val="0"/>
                <w:szCs w:val="24"/>
                <w:highlight w:val="none"/>
                <w14:textFill>
                  <w14:solidFill>
                    <w14:schemeClr w14:val="tx1"/>
                  </w14:solidFill>
                </w14:textFill>
              </w:rPr>
              <w:t>6</w:t>
            </w:r>
            <w:r>
              <w:rPr>
                <w:rFonts w:hint="eastAsia" w:ascii="宋体" w:hAnsi="宋体" w:cs="Calibri"/>
                <w:color w:val="000000" w:themeColor="text1"/>
                <w:kern w:val="0"/>
                <w:szCs w:val="24"/>
                <w:highlight w:val="none"/>
                <w14:textFill>
                  <w14:solidFill>
                    <w14:schemeClr w14:val="tx1"/>
                  </w14:solidFill>
                </w14:textFill>
              </w:rPr>
              <w:t>、充电柜需具有防漏电保护功能；</w:t>
            </w:r>
          </w:p>
          <w:p w14:paraId="755693CD">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ascii="宋体" w:hAnsi="宋体" w:cs="Calibri"/>
                <w:color w:val="000000" w:themeColor="text1"/>
                <w:kern w:val="0"/>
                <w:szCs w:val="24"/>
                <w:highlight w:val="none"/>
                <w14:textFill>
                  <w14:solidFill>
                    <w14:schemeClr w14:val="tx1"/>
                  </w14:solidFill>
                </w14:textFill>
              </w:rPr>
              <w:t>7</w:t>
            </w:r>
            <w:r>
              <w:rPr>
                <w:rFonts w:hint="eastAsia" w:ascii="宋体" w:hAnsi="宋体" w:cs="Calibri"/>
                <w:color w:val="000000" w:themeColor="text1"/>
                <w:kern w:val="0"/>
                <w:szCs w:val="24"/>
                <w:highlight w:val="none"/>
                <w14:textFill>
                  <w14:solidFill>
                    <w14:schemeClr w14:val="tx1"/>
                  </w14:solidFill>
                </w14:textFill>
              </w:rPr>
              <w:t>、充电柜的整体尺寸要求：长度不超过700mm，宽度不超过500mm，高度不超过980mm；</w:t>
            </w:r>
          </w:p>
        </w:tc>
      </w:tr>
      <w:tr w14:paraId="5FA9A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328" w:type="pct"/>
            <w:vMerge w:val="continue"/>
            <w:shd w:val="clear" w:color="auto" w:fill="auto"/>
            <w:tcMar>
              <w:top w:w="60" w:type="dxa"/>
              <w:left w:w="120" w:type="dxa"/>
              <w:bottom w:w="30" w:type="dxa"/>
              <w:right w:w="120" w:type="dxa"/>
            </w:tcMar>
            <w:vAlign w:val="center"/>
          </w:tcPr>
          <w:p w14:paraId="55AAE987">
            <w:pPr>
              <w:spacing w:line="360" w:lineRule="auto"/>
              <w:jc w:val="center"/>
              <w:rPr>
                <w:rFonts w:hint="eastAsia" w:ascii="宋体" w:hAnsi="宋体"/>
                <w:bCs/>
                <w:color w:val="000000" w:themeColor="text1"/>
                <w:szCs w:val="24"/>
                <w:highlight w:val="none"/>
                <w14:textFill>
                  <w14:solidFill>
                    <w14:schemeClr w14:val="tx1"/>
                  </w14:solidFill>
                </w14:textFill>
              </w:rPr>
            </w:pPr>
          </w:p>
        </w:tc>
        <w:tc>
          <w:tcPr>
            <w:tcW w:w="330" w:type="pct"/>
            <w:vMerge w:val="continue"/>
            <w:shd w:val="clear" w:color="auto" w:fill="auto"/>
            <w:vAlign w:val="center"/>
          </w:tcPr>
          <w:p w14:paraId="18691CEF">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64" w:type="pct"/>
            <w:shd w:val="clear" w:color="auto" w:fill="auto"/>
            <w:tcMar>
              <w:top w:w="60" w:type="dxa"/>
              <w:left w:w="120" w:type="dxa"/>
              <w:bottom w:w="30" w:type="dxa"/>
              <w:right w:w="120" w:type="dxa"/>
            </w:tcMar>
            <w:vAlign w:val="center"/>
          </w:tcPr>
          <w:p w14:paraId="4819883E">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高并发路由器</w:t>
            </w:r>
          </w:p>
        </w:tc>
        <w:tc>
          <w:tcPr>
            <w:tcW w:w="3978" w:type="pct"/>
            <w:shd w:val="clear" w:color="auto" w:fill="auto"/>
            <w:tcMar>
              <w:top w:w="60" w:type="dxa"/>
              <w:left w:w="120" w:type="dxa"/>
              <w:bottom w:w="30" w:type="dxa"/>
              <w:right w:w="120" w:type="dxa"/>
            </w:tcMar>
            <w:vAlign w:val="center"/>
          </w:tcPr>
          <w:p w14:paraId="62588AB1">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1、需支持三射频（2.4G+5G+5G），满足不少于50台阅读终端同时联网；</w:t>
            </w:r>
          </w:p>
          <w:p w14:paraId="08454225">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2、尺寸：长度不超过200mm，宽度不超过200mm，高度不超过50mm，体积小巧，便于安装；</w:t>
            </w:r>
          </w:p>
          <w:p w14:paraId="4D226BA2">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3、天线类型：需采用内置智能天线；</w:t>
            </w:r>
          </w:p>
        </w:tc>
      </w:tr>
      <w:tr w14:paraId="057C4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328" w:type="pct"/>
            <w:vMerge w:val="continue"/>
            <w:shd w:val="clear" w:color="auto" w:fill="auto"/>
            <w:tcMar>
              <w:top w:w="60" w:type="dxa"/>
              <w:left w:w="120" w:type="dxa"/>
              <w:bottom w:w="30" w:type="dxa"/>
              <w:right w:w="120" w:type="dxa"/>
            </w:tcMar>
            <w:vAlign w:val="center"/>
          </w:tcPr>
          <w:p w14:paraId="00EC12EC">
            <w:pPr>
              <w:spacing w:line="360" w:lineRule="auto"/>
              <w:jc w:val="center"/>
              <w:rPr>
                <w:rFonts w:hint="eastAsia" w:ascii="宋体" w:hAnsi="宋体"/>
                <w:bCs/>
                <w:color w:val="000000" w:themeColor="text1"/>
                <w:szCs w:val="24"/>
                <w:highlight w:val="none"/>
                <w14:textFill>
                  <w14:solidFill>
                    <w14:schemeClr w14:val="tx1"/>
                  </w14:solidFill>
                </w14:textFill>
              </w:rPr>
            </w:pPr>
          </w:p>
        </w:tc>
        <w:tc>
          <w:tcPr>
            <w:tcW w:w="330" w:type="pct"/>
            <w:vMerge w:val="continue"/>
            <w:shd w:val="clear" w:color="auto" w:fill="auto"/>
            <w:vAlign w:val="center"/>
          </w:tcPr>
          <w:p w14:paraId="181B36B3">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p>
        </w:tc>
        <w:tc>
          <w:tcPr>
            <w:tcW w:w="364" w:type="pct"/>
            <w:shd w:val="clear" w:color="auto" w:fill="auto"/>
            <w:tcMar>
              <w:top w:w="60" w:type="dxa"/>
              <w:left w:w="120" w:type="dxa"/>
              <w:bottom w:w="30" w:type="dxa"/>
              <w:right w:w="120" w:type="dxa"/>
            </w:tcMar>
            <w:vAlign w:val="center"/>
          </w:tcPr>
          <w:p w14:paraId="2377A8F0">
            <w:pPr>
              <w:spacing w:line="360" w:lineRule="auto"/>
              <w:jc w:val="center"/>
              <w:rPr>
                <w:rFonts w:hint="eastAsia" w:ascii="宋体" w:hAnsi="宋体" w:cstheme="minorEastAsia"/>
                <w:bCs/>
                <w:color w:val="000000" w:themeColor="text1"/>
                <w:szCs w:val="24"/>
                <w:highlight w:val="none"/>
                <w14:textFill>
                  <w14:solidFill>
                    <w14:schemeClr w14:val="tx1"/>
                  </w14:solidFill>
                </w14:textFill>
              </w:rPr>
            </w:pPr>
            <w:r>
              <w:rPr>
                <w:rFonts w:hint="eastAsia" w:ascii="宋体" w:hAnsi="宋体" w:cs="Calibri"/>
                <w:bCs/>
                <w:color w:val="000000" w:themeColor="text1"/>
                <w:kern w:val="0"/>
                <w:szCs w:val="24"/>
                <w:highlight w:val="none"/>
                <w14:textFill>
                  <w14:solidFill>
                    <w14:schemeClr w14:val="tx1"/>
                  </w14:solidFill>
                </w14:textFill>
              </w:rPr>
              <w:t>支架</w:t>
            </w:r>
          </w:p>
        </w:tc>
        <w:tc>
          <w:tcPr>
            <w:tcW w:w="3978" w:type="pct"/>
            <w:shd w:val="clear" w:color="auto" w:fill="auto"/>
            <w:tcMar>
              <w:top w:w="60" w:type="dxa"/>
              <w:left w:w="120" w:type="dxa"/>
              <w:bottom w:w="30" w:type="dxa"/>
              <w:right w:w="120" w:type="dxa"/>
            </w:tcMar>
            <w:vAlign w:val="center"/>
          </w:tcPr>
          <w:p w14:paraId="089F75E6">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1、需使用全铝合金材质；</w:t>
            </w:r>
          </w:p>
          <w:p w14:paraId="77FA4318">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2、需采用单杆折叠设计，具备较强承重能力；</w:t>
            </w:r>
          </w:p>
          <w:p w14:paraId="1BFC4CD0">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3、需使用实心转轴，可实现支架平稳牢固无级高度调节；</w:t>
            </w:r>
          </w:p>
          <w:p w14:paraId="7DAD27E6">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4、需在底座使用防滑硅胶垫，实现终端放置稳固不晃动；</w:t>
            </w:r>
          </w:p>
          <w:p w14:paraId="46EA0B65">
            <w:pPr>
              <w:spacing w:line="360" w:lineRule="auto"/>
              <w:rPr>
                <w:rFonts w:hint="eastAsia" w:ascii="宋体" w:hAnsi="宋体" w:cs="Calibri"/>
                <w:color w:val="000000" w:themeColor="text1"/>
                <w:kern w:val="0"/>
                <w:szCs w:val="24"/>
                <w:highlight w:val="none"/>
                <w14:textFill>
                  <w14:solidFill>
                    <w14:schemeClr w14:val="tx1"/>
                  </w14:solidFill>
                </w14:textFill>
              </w:rPr>
            </w:pPr>
            <w:r>
              <w:rPr>
                <w:rFonts w:hint="eastAsia" w:ascii="宋体" w:hAnsi="宋体" w:cs="Calibri"/>
                <w:color w:val="000000" w:themeColor="text1"/>
                <w:kern w:val="0"/>
                <w:szCs w:val="24"/>
                <w:highlight w:val="none"/>
                <w14:textFill>
                  <w14:solidFill>
                    <w14:schemeClr w14:val="tx1"/>
                  </w14:solidFill>
                </w14:textFill>
              </w:rPr>
              <w:t>5、需采用有利于散热的背板镂空设计；</w:t>
            </w:r>
          </w:p>
        </w:tc>
      </w:tr>
      <w:bookmarkEnd w:id="61"/>
    </w:tbl>
    <w:p w14:paraId="31560258">
      <w:pPr>
        <w:rPr>
          <w:rFonts w:hint="eastAsia"/>
          <w:color w:val="000000" w:themeColor="text1"/>
          <w:highlight w:val="none"/>
          <w14:textFill>
            <w14:solidFill>
              <w14:schemeClr w14:val="tx1"/>
            </w14:solidFill>
          </w14:textFill>
        </w:rPr>
      </w:pPr>
    </w:p>
    <w:p w14:paraId="4EA239BD">
      <w:pPr>
        <w:rPr>
          <w:rFonts w:hint="eastAsia"/>
          <w:color w:val="000000" w:themeColor="text1"/>
          <w:highlight w:val="none"/>
          <w14:textFill>
            <w14:solidFill>
              <w14:schemeClr w14:val="tx1"/>
            </w14:solidFill>
          </w14:textFill>
        </w:rPr>
      </w:pPr>
    </w:p>
    <w:p w14:paraId="410219DC">
      <w:pPr>
        <w:rPr>
          <w:rFonts w:hint="eastAsia"/>
          <w:b/>
          <w:bCs/>
          <w:sz w:val="32"/>
          <w:szCs w:val="40"/>
          <w:highlight w:val="none"/>
        </w:rPr>
      </w:pPr>
      <w:r>
        <w:rPr>
          <w:rFonts w:hint="eastAsia"/>
          <w:b/>
          <w:bCs/>
          <w:sz w:val="32"/>
          <w:szCs w:val="40"/>
          <w:highlight w:val="none"/>
        </w:rPr>
        <w:br w:type="page"/>
      </w:r>
    </w:p>
    <w:p w14:paraId="2B4E050B">
      <w:pPr>
        <w:pStyle w:val="1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b/>
          <w:bCs/>
          <w:sz w:val="32"/>
          <w:szCs w:val="40"/>
          <w:highlight w:val="none"/>
        </w:rPr>
      </w:pPr>
      <w:r>
        <w:rPr>
          <w:rFonts w:hint="eastAsia"/>
          <w:b/>
          <w:bCs/>
          <w:sz w:val="32"/>
          <w:szCs w:val="40"/>
          <w:highlight w:val="none"/>
        </w:rPr>
        <w:t>标项2：</w:t>
      </w:r>
    </w:p>
    <w:p w14:paraId="5EC9E463">
      <w:pPr>
        <w:keepNext w:val="0"/>
        <w:keepLines w:val="0"/>
        <w:widowControl/>
        <w:suppressLineNumbers w:val="0"/>
        <w:jc w:val="center"/>
        <w:textAlignment w:val="center"/>
        <w:rPr>
          <w:rFonts w:hint="default" w:ascii="宋体" w:hAnsi="宋体" w:eastAsia="宋体" w:cs="宋体"/>
          <w:i w:val="0"/>
          <w:iCs w:val="0"/>
          <w:color w:val="000000"/>
          <w:kern w:val="0"/>
          <w:sz w:val="28"/>
          <w:szCs w:val="28"/>
          <w:highlight w:val="none"/>
          <w:u w:val="none"/>
          <w:lang w:val="en-US" w:eastAsia="zh-CN" w:bidi="ar"/>
        </w:rPr>
      </w:pPr>
      <w:r>
        <w:rPr>
          <w:rFonts w:hint="eastAsia" w:ascii="宋体" w:hAnsi="宋体" w:eastAsia="宋体" w:cs="宋体"/>
          <w:i w:val="0"/>
          <w:iCs w:val="0"/>
          <w:color w:val="000000"/>
          <w:kern w:val="0"/>
          <w:sz w:val="28"/>
          <w:szCs w:val="28"/>
          <w:highlight w:val="none"/>
          <w:u w:val="none"/>
          <w:lang w:val="en-US" w:eastAsia="zh-CN" w:bidi="ar"/>
        </w:rPr>
        <w:t>校园综合管理平台项目参数</w:t>
      </w:r>
    </w:p>
    <w:p w14:paraId="0F3E940F">
      <w:pPr>
        <w:rPr>
          <w:highlight w:val="none"/>
        </w:rPr>
      </w:pPr>
    </w:p>
    <w:tbl>
      <w:tblPr>
        <w:tblStyle w:val="46"/>
        <w:tblW w:w="5522" w:type="pct"/>
        <w:tblInd w:w="-54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00"/>
        <w:gridCol w:w="1431"/>
        <w:gridCol w:w="1560"/>
        <w:gridCol w:w="8254"/>
        <w:gridCol w:w="1530"/>
        <w:gridCol w:w="1763"/>
      </w:tblGrid>
      <w:tr w14:paraId="2C3D3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3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3AD48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序号</w:t>
            </w:r>
          </w:p>
        </w:tc>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16C3F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产品名称</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329C0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功能点</w:t>
            </w:r>
          </w:p>
        </w:tc>
        <w:tc>
          <w:tcPr>
            <w:tcW w:w="26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EF1B6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功能参数</w:t>
            </w:r>
          </w:p>
        </w:tc>
        <w:tc>
          <w:tcPr>
            <w:tcW w:w="4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D684E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单位</w:t>
            </w:r>
          </w:p>
        </w:tc>
        <w:tc>
          <w:tcPr>
            <w:tcW w:w="5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53291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数量</w:t>
            </w:r>
          </w:p>
        </w:tc>
      </w:tr>
      <w:tr w14:paraId="606E3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7960C0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457"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5F35CE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平台能力</w:t>
            </w:r>
            <w:r>
              <w:rPr>
                <w:rFonts w:hint="eastAsia" w:ascii="宋体" w:hAnsi="宋体" w:cs="宋体"/>
                <w:b/>
                <w:bCs/>
                <w:i w:val="0"/>
                <w:iCs w:val="0"/>
                <w:color w:val="000000"/>
                <w:kern w:val="0"/>
                <w:sz w:val="21"/>
                <w:szCs w:val="21"/>
                <w:highlight w:val="none"/>
                <w:u w:val="none"/>
                <w:lang w:val="en-US" w:eastAsia="zh-CN" w:bidi="ar"/>
              </w:rPr>
              <w:t>（核心产品）</w:t>
            </w: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6E30F8">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校园管理平台</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60B354">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基于家校通讯录组织架构，面向中小学学校，自动生成学段与年级结构（支持自动升班、毕业）；基于移动APP上完成设置与管理；管理员、班主任可以在手机端查看学生的录脸情况，家长需点击同意授权协议后，支持录入、删除学生人脸；家长可以在手机端给自己的孩子或家庭成员录人脸、上传个人信息；支持自定义设置学生标签，在选人组件中快速筛选对应标签的学生；支持按标签设置进出校设备；设置学生、家长、教师进出校通行规则；支持家长到校签到后，学生才可刷脸离校；一键查询学生在校状态；</w:t>
            </w:r>
          </w:p>
        </w:tc>
        <w:tc>
          <w:tcPr>
            <w:tcW w:w="48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B20D3A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w:t>
            </w:r>
          </w:p>
        </w:tc>
        <w:tc>
          <w:tcPr>
            <w:tcW w:w="56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976E5E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68E88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A4BC2E">
            <w:pPr>
              <w:jc w:val="center"/>
              <w:rPr>
                <w:rFonts w:hint="eastAsia" w:ascii="宋体" w:hAnsi="宋体" w:eastAsia="宋体" w:cs="宋体"/>
                <w:i w:val="0"/>
                <w:iCs w:val="0"/>
                <w:color w:val="000000"/>
                <w:sz w:val="21"/>
                <w:szCs w:val="21"/>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945324">
            <w:pPr>
              <w:jc w:val="center"/>
              <w:rPr>
                <w:rFonts w:hint="eastAsia" w:ascii="宋体" w:hAnsi="宋体" w:eastAsia="宋体" w:cs="宋体"/>
                <w:i w:val="0"/>
                <w:iCs w:val="0"/>
                <w:color w:val="000000"/>
                <w:sz w:val="21"/>
                <w:szCs w:val="21"/>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58242A">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组织&amp;通讯录</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162E1B">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建设以学校统一的教职工和家校的组织架构，可实现跨校区、跨部门、跨学段多层级智慧型管理组织，通讯录组织架构、部门、成员、角色的管理，可以有效保障平台基于 PC 和手机端，在全校的组织架构上实现面向所有人员的的即时通信、在线沟通、智能服务、任务公告等管理功能模块，并支持未来更多的业务模块加入智慧校园服务平台。</w:t>
            </w:r>
          </w:p>
          <w:p w14:paraId="1475325A">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快速搭建适应学校多层级的人员体系，确保确保每个层级的教职工人员具有与其 职责相对应的数据访问权限。内部通讯录清晰展示组织架构， 共享统一通讯录，跨部门沟通协同，在组织的通讯录中快速找到同事， 不用加好友即可发起聊天， 简单高效。支持多部门任职，部门、职位、工作地点为成组的字段，可配置多组。</w:t>
            </w:r>
          </w:p>
          <w:p w14:paraId="51D32D9F">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学校重要部门隐藏，高管隐藏手机号码，普通员工手机号码可设限，确保信息安全。针对敏感成员的敏感信息可独立设置可见范围</w:t>
            </w:r>
          </w:p>
          <w:p w14:paraId="217BEF00">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1、建一个学校组织，针对组织建立家校通讯录</w:t>
            </w:r>
          </w:p>
          <w:p w14:paraId="0DFD882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a、创建基础教育通讯录：面向K12学校，自动生成学段与年级结构（支持自动升班、毕业）；</w:t>
            </w:r>
          </w:p>
          <w:p w14:paraId="47D445F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b、创建自定义家校通讯录：支持个性化设置学段、院系、年级；</w:t>
            </w:r>
          </w:p>
          <w:p w14:paraId="65B87A75">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 通讯录可细分到班级，建立班主任，老师，学生，家长的人员名单；</w:t>
            </w:r>
          </w:p>
          <w:p w14:paraId="1F78AB3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a、支持用excel导入班主任、任课老师；</w:t>
            </w:r>
          </w:p>
          <w:p w14:paraId="215CA651">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b、支持用excel导入学生、家长信息；</w:t>
            </w:r>
          </w:p>
          <w:p w14:paraId="67D8E0FE">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3、平台提供稳定的人脸识别能力</w:t>
            </w:r>
          </w:p>
          <w:p w14:paraId="1503E5E2">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a、支持小学、初中、高中学生人脸识别</w:t>
            </w:r>
          </w:p>
          <w:p w14:paraId="4BFE0A2B">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b、系统云服务级别(SLA)达到99.99%以上</w:t>
            </w:r>
          </w:p>
          <w:p w14:paraId="7113E411">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4、基于移动APP应用完成功能设置与管理。</w:t>
            </w:r>
          </w:p>
          <w:p w14:paraId="56AF3D2D">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5、移动APP支持管理员、教师、家长角色登录和使用。</w:t>
            </w:r>
          </w:p>
          <w:p w14:paraId="0FE10203">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6、基于移动APP发送通知和告警信息。</w:t>
            </w:r>
          </w:p>
          <w:p w14:paraId="281FA08E">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7、各功能应用统计数据可在移动APP端查询和导出</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5C6D9B">
            <w:pPr>
              <w:jc w:val="center"/>
              <w:rPr>
                <w:rFonts w:hint="eastAsia" w:ascii="宋体" w:hAnsi="宋体" w:eastAsia="宋体" w:cs="宋体"/>
                <w:i w:val="0"/>
                <w:iCs w:val="0"/>
                <w:color w:val="000000"/>
                <w:sz w:val="21"/>
                <w:szCs w:val="21"/>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A9768C">
            <w:pPr>
              <w:jc w:val="center"/>
              <w:rPr>
                <w:rFonts w:hint="eastAsia" w:ascii="宋体" w:hAnsi="宋体" w:eastAsia="宋体" w:cs="宋体"/>
                <w:i w:val="0"/>
                <w:iCs w:val="0"/>
                <w:color w:val="000000"/>
                <w:sz w:val="21"/>
                <w:szCs w:val="21"/>
                <w:highlight w:val="none"/>
                <w:u w:val="none"/>
              </w:rPr>
            </w:pPr>
          </w:p>
        </w:tc>
      </w:tr>
      <w:tr w14:paraId="65F82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5F668F">
            <w:pPr>
              <w:jc w:val="center"/>
              <w:rPr>
                <w:rFonts w:hint="eastAsia" w:ascii="宋体" w:hAnsi="宋体" w:eastAsia="宋体" w:cs="宋体"/>
                <w:i w:val="0"/>
                <w:iCs w:val="0"/>
                <w:color w:val="000000"/>
                <w:sz w:val="21"/>
                <w:szCs w:val="21"/>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F3892E">
            <w:pPr>
              <w:jc w:val="center"/>
              <w:rPr>
                <w:rFonts w:hint="eastAsia" w:ascii="宋体" w:hAnsi="宋体" w:eastAsia="宋体" w:cs="宋体"/>
                <w:i w:val="0"/>
                <w:iCs w:val="0"/>
                <w:color w:val="000000"/>
                <w:sz w:val="21"/>
                <w:szCs w:val="21"/>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0A5A6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数据资产平台</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756D68">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1、数据项调用次数1万次/自然月</w:t>
            </w:r>
          </w:p>
          <w:p w14:paraId="667F2822">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2、数据项等级L1,L2</w:t>
            </w:r>
          </w:p>
          <w:p w14:paraId="78086B67">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3、数据资产访问周期1年</w:t>
            </w:r>
          </w:p>
          <w:p w14:paraId="7272AE45">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4、数据洞察组织人事，流程分析，支持查看组织数据趋势，自定义数据分析和仪表盘</w:t>
            </w:r>
          </w:p>
          <w:p w14:paraId="6CA3B731">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5、自定义仪表盘10个</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B3B6F1">
            <w:pPr>
              <w:jc w:val="center"/>
              <w:rPr>
                <w:rFonts w:hint="eastAsia" w:ascii="宋体" w:hAnsi="宋体" w:eastAsia="宋体" w:cs="宋体"/>
                <w:i w:val="0"/>
                <w:iCs w:val="0"/>
                <w:color w:val="000000"/>
                <w:sz w:val="21"/>
                <w:szCs w:val="21"/>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32C8CA">
            <w:pPr>
              <w:jc w:val="center"/>
              <w:rPr>
                <w:rFonts w:hint="eastAsia" w:ascii="宋体" w:hAnsi="宋体" w:eastAsia="宋体" w:cs="宋体"/>
                <w:i w:val="0"/>
                <w:iCs w:val="0"/>
                <w:color w:val="000000"/>
                <w:sz w:val="21"/>
                <w:szCs w:val="21"/>
                <w:highlight w:val="none"/>
                <w:u w:val="none"/>
              </w:rPr>
            </w:pPr>
          </w:p>
        </w:tc>
      </w:tr>
      <w:tr w14:paraId="47AD1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6C6258">
            <w:pPr>
              <w:jc w:val="center"/>
              <w:rPr>
                <w:rFonts w:hint="eastAsia" w:ascii="宋体" w:hAnsi="宋体" w:eastAsia="宋体" w:cs="宋体"/>
                <w:i w:val="0"/>
                <w:iCs w:val="0"/>
                <w:color w:val="000000"/>
                <w:sz w:val="21"/>
                <w:szCs w:val="21"/>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3E4949">
            <w:pPr>
              <w:jc w:val="center"/>
              <w:rPr>
                <w:rFonts w:hint="eastAsia" w:ascii="宋体" w:hAnsi="宋体" w:eastAsia="宋体" w:cs="宋体"/>
                <w:i w:val="0"/>
                <w:iCs w:val="0"/>
                <w:color w:val="000000"/>
                <w:sz w:val="21"/>
                <w:szCs w:val="21"/>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FA7EC4">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安全合规</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5F7583">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在客户端，包括PC端和移动端以及传输管道、服务端等多个维度完整复制了各项成熟的、经过多年验证的安全控制措施，建立了完整的事前动态管控、事中实时防御、事后快速响应的纵深防御体系，确保用户使用安全。需要具备高管保护模式，密聊，已读未读ding等功能。</w:t>
            </w:r>
          </w:p>
          <w:p w14:paraId="52A5DA74">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cs="宋体"/>
                <w:highlight w:val="none"/>
                <w:lang w:eastAsia="zh-CN"/>
              </w:rPr>
              <w:t>★</w:t>
            </w:r>
            <w:r>
              <w:rPr>
                <w:rFonts w:hint="eastAsia" w:ascii="宋体" w:hAnsi="宋体" w:eastAsia="宋体" w:cs="宋体"/>
                <w:i w:val="0"/>
                <w:iCs w:val="0"/>
                <w:color w:val="000000"/>
                <w:kern w:val="0"/>
                <w:sz w:val="21"/>
                <w:szCs w:val="21"/>
                <w:highlight w:val="none"/>
                <w:u w:val="none"/>
                <w:lang w:val="en-US" w:eastAsia="zh-CN" w:bidi="ar"/>
              </w:rPr>
              <w:t>平台需要通过国家公安部监督认证的三级等保认证、ISO27001:2013信息安全管理体系认证、ISO27018公有云体系下的用户隐私认证。平台的安全实践已达到国内领先、国际一流的安全标准要求，标明用户在使用app的过程中，其数据的保密性、完整性、可用性和隐私性已经与国内外最佳实践进行对标，且得到独立的第三方安全鉴证和审计。ISO/IEC 27018:ISO/IEC27018:2014是国际标准化协会制定的首个云端隐私保护标准，其重点关注数据收集、使用、存储等必须获得用户授权，且用户对其存储的数据具备完全的控制权和合理的透明度等。（需提供不少于三个安全相关认证证书）</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23CA9A">
            <w:pPr>
              <w:jc w:val="center"/>
              <w:rPr>
                <w:rFonts w:hint="eastAsia" w:ascii="宋体" w:hAnsi="宋体" w:eastAsia="宋体" w:cs="宋体"/>
                <w:i w:val="0"/>
                <w:iCs w:val="0"/>
                <w:color w:val="000000"/>
                <w:sz w:val="21"/>
                <w:szCs w:val="21"/>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0FE57B">
            <w:pPr>
              <w:jc w:val="center"/>
              <w:rPr>
                <w:rFonts w:hint="eastAsia" w:ascii="宋体" w:hAnsi="宋体" w:eastAsia="宋体" w:cs="宋体"/>
                <w:i w:val="0"/>
                <w:iCs w:val="0"/>
                <w:color w:val="000000"/>
                <w:sz w:val="21"/>
                <w:szCs w:val="21"/>
                <w:highlight w:val="none"/>
                <w:u w:val="none"/>
              </w:rPr>
            </w:pPr>
          </w:p>
        </w:tc>
      </w:tr>
      <w:tr w14:paraId="21577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F9710C">
            <w:pPr>
              <w:jc w:val="center"/>
              <w:rPr>
                <w:rFonts w:hint="eastAsia" w:ascii="宋体" w:hAnsi="宋体" w:eastAsia="宋体" w:cs="宋体"/>
                <w:i w:val="0"/>
                <w:iCs w:val="0"/>
                <w:color w:val="000000"/>
                <w:sz w:val="21"/>
                <w:szCs w:val="21"/>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3DAE84">
            <w:pPr>
              <w:jc w:val="center"/>
              <w:rPr>
                <w:rFonts w:hint="eastAsia" w:ascii="宋体" w:hAnsi="宋体" w:eastAsia="宋体" w:cs="宋体"/>
                <w:i w:val="0"/>
                <w:iCs w:val="0"/>
                <w:color w:val="000000"/>
                <w:sz w:val="21"/>
                <w:szCs w:val="21"/>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B2B9B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学校账号管控</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B467C5">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SSO 账号 IDP登录管控、手机号搜索管控、主动加入组织管控、创建组织管控、Web 端登录踢登管控、修改昵称管控、修改手机号管控。统一的学校账号管理（2000个）：学校账号是由学校管理员统一创建，并分发给教职工或者特定人员使用的账号，学校账号产生的数据均归属于学校，对创建的学校账号拥有完全的管控能力，包括创建、停用、启用、修改、删除等，方便统一管理。</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FBB3A7">
            <w:pPr>
              <w:jc w:val="center"/>
              <w:rPr>
                <w:rFonts w:hint="eastAsia" w:ascii="宋体" w:hAnsi="宋体" w:eastAsia="宋体" w:cs="宋体"/>
                <w:i w:val="0"/>
                <w:iCs w:val="0"/>
                <w:color w:val="000000"/>
                <w:sz w:val="21"/>
                <w:szCs w:val="21"/>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B079F8">
            <w:pPr>
              <w:jc w:val="center"/>
              <w:rPr>
                <w:rFonts w:hint="eastAsia" w:ascii="宋体" w:hAnsi="宋体" w:eastAsia="宋体" w:cs="宋体"/>
                <w:i w:val="0"/>
                <w:iCs w:val="0"/>
                <w:color w:val="000000"/>
                <w:sz w:val="21"/>
                <w:szCs w:val="21"/>
                <w:highlight w:val="none"/>
                <w:u w:val="none"/>
              </w:rPr>
            </w:pPr>
          </w:p>
        </w:tc>
      </w:tr>
      <w:tr w14:paraId="42124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81A37B">
            <w:pPr>
              <w:jc w:val="center"/>
              <w:rPr>
                <w:rFonts w:hint="eastAsia" w:ascii="宋体" w:hAnsi="宋体" w:eastAsia="宋体" w:cs="宋体"/>
                <w:i w:val="0"/>
                <w:iCs w:val="0"/>
                <w:color w:val="000000"/>
                <w:sz w:val="21"/>
                <w:szCs w:val="21"/>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C9DA70">
            <w:pPr>
              <w:jc w:val="center"/>
              <w:rPr>
                <w:rFonts w:hint="eastAsia" w:ascii="宋体" w:hAnsi="宋体" w:eastAsia="宋体" w:cs="宋体"/>
                <w:i w:val="0"/>
                <w:iCs w:val="0"/>
                <w:color w:val="000000"/>
                <w:sz w:val="21"/>
                <w:szCs w:val="21"/>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74147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权限管理</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B79CDE">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系统提供详细的权限管理系统，仅授权用户可访问相应的组织架构、通讯录信息及不同功能模块。管理员能够精细控制并分配授权用户对各功能模块以及内部消息群组的访问权限，不同角色的授权用户只能查看和操作与自身职责相关的质控数据。 </w:t>
            </w:r>
          </w:p>
          <w:p w14:paraId="78DE3C67">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移动平台的权限设置支持</w:t>
            </w:r>
          </w:p>
          <w:p w14:paraId="6F7CDC9E">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1.支持设置应用主管理员，应用主管理员拥有应用管理后台的全部权限等。</w:t>
            </w:r>
          </w:p>
          <w:p w14:paraId="6B5470C0">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2.支持设置数据管理员，可管理应用数据。</w:t>
            </w:r>
          </w:p>
          <w:p w14:paraId="0ED677E5">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3.支持应用内部填报表单权限的设置， 包括普通表单和流程表单的增删改查以及导出导入打印等权限。</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446A44">
            <w:pPr>
              <w:jc w:val="center"/>
              <w:rPr>
                <w:rFonts w:hint="eastAsia" w:ascii="宋体" w:hAnsi="宋体" w:eastAsia="宋体" w:cs="宋体"/>
                <w:i w:val="0"/>
                <w:iCs w:val="0"/>
                <w:color w:val="000000"/>
                <w:sz w:val="21"/>
                <w:szCs w:val="21"/>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C1BEAD">
            <w:pPr>
              <w:jc w:val="center"/>
              <w:rPr>
                <w:rFonts w:hint="eastAsia" w:ascii="宋体" w:hAnsi="宋体" w:eastAsia="宋体" w:cs="宋体"/>
                <w:i w:val="0"/>
                <w:iCs w:val="0"/>
                <w:color w:val="000000"/>
                <w:sz w:val="21"/>
                <w:szCs w:val="21"/>
                <w:highlight w:val="none"/>
                <w:u w:val="none"/>
              </w:rPr>
            </w:pPr>
          </w:p>
        </w:tc>
      </w:tr>
      <w:tr w14:paraId="36323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A3FC80">
            <w:pPr>
              <w:jc w:val="center"/>
              <w:rPr>
                <w:rFonts w:hint="eastAsia" w:ascii="宋体" w:hAnsi="宋体" w:eastAsia="宋体" w:cs="宋体"/>
                <w:i w:val="0"/>
                <w:iCs w:val="0"/>
                <w:color w:val="000000"/>
                <w:sz w:val="21"/>
                <w:szCs w:val="21"/>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25561D">
            <w:pPr>
              <w:jc w:val="center"/>
              <w:rPr>
                <w:rFonts w:hint="eastAsia" w:ascii="宋体" w:hAnsi="宋体" w:eastAsia="宋体" w:cs="宋体"/>
                <w:i w:val="0"/>
                <w:iCs w:val="0"/>
                <w:color w:val="000000"/>
                <w:sz w:val="21"/>
                <w:szCs w:val="21"/>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2F5D7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高管模式</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16F099">
            <w:pPr>
              <w:keepNext w:val="0"/>
              <w:keepLines w:val="0"/>
              <w:widowControl/>
              <w:suppressLineNumbers w:val="0"/>
              <w:jc w:val="both"/>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可定义100名高管人员，设置防止发骚扰信息，Ding 消息等防骚扰能力。</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BFF47D">
            <w:pPr>
              <w:jc w:val="center"/>
              <w:rPr>
                <w:rFonts w:hint="eastAsia" w:ascii="宋体" w:hAnsi="宋体" w:eastAsia="宋体" w:cs="宋体"/>
                <w:i w:val="0"/>
                <w:iCs w:val="0"/>
                <w:color w:val="000000"/>
                <w:sz w:val="21"/>
                <w:szCs w:val="21"/>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201EA0">
            <w:pPr>
              <w:jc w:val="center"/>
              <w:rPr>
                <w:rFonts w:hint="eastAsia" w:ascii="宋体" w:hAnsi="宋体" w:eastAsia="宋体" w:cs="宋体"/>
                <w:i w:val="0"/>
                <w:iCs w:val="0"/>
                <w:color w:val="000000"/>
                <w:sz w:val="21"/>
                <w:szCs w:val="21"/>
                <w:highlight w:val="none"/>
                <w:u w:val="none"/>
              </w:rPr>
            </w:pPr>
          </w:p>
        </w:tc>
      </w:tr>
      <w:tr w14:paraId="7A144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06E4E6">
            <w:pPr>
              <w:jc w:val="center"/>
              <w:rPr>
                <w:rFonts w:hint="eastAsia" w:ascii="宋体" w:hAnsi="宋体" w:eastAsia="宋体" w:cs="宋体"/>
                <w:i w:val="0"/>
                <w:iCs w:val="0"/>
                <w:color w:val="000000"/>
                <w:sz w:val="21"/>
                <w:szCs w:val="21"/>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9B9351">
            <w:pPr>
              <w:jc w:val="center"/>
              <w:rPr>
                <w:rFonts w:hint="eastAsia" w:ascii="宋体" w:hAnsi="宋体" w:eastAsia="宋体" w:cs="宋体"/>
                <w:i w:val="0"/>
                <w:iCs w:val="0"/>
                <w:color w:val="000000"/>
                <w:sz w:val="21"/>
                <w:szCs w:val="21"/>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3433E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数据保障服务</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99B543">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支持组织架构数据恢复、OA审批流程误删恢复、误解散群恢复、DING消息紧急撤回、超时消息撤回、离职数据删除恢复等数据保障服务共计10次，其中组织架构数据恢复2次，其他合计8次</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EF3ACF">
            <w:pPr>
              <w:jc w:val="center"/>
              <w:rPr>
                <w:rFonts w:hint="eastAsia" w:ascii="宋体" w:hAnsi="宋体" w:eastAsia="宋体" w:cs="宋体"/>
                <w:i w:val="0"/>
                <w:iCs w:val="0"/>
                <w:color w:val="000000"/>
                <w:sz w:val="21"/>
                <w:szCs w:val="21"/>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7F578F">
            <w:pPr>
              <w:jc w:val="center"/>
              <w:rPr>
                <w:rFonts w:hint="eastAsia" w:ascii="宋体" w:hAnsi="宋体" w:eastAsia="宋体" w:cs="宋体"/>
                <w:i w:val="0"/>
                <w:iCs w:val="0"/>
                <w:color w:val="000000"/>
                <w:sz w:val="21"/>
                <w:szCs w:val="21"/>
                <w:highlight w:val="none"/>
                <w:u w:val="none"/>
              </w:rPr>
            </w:pPr>
          </w:p>
        </w:tc>
      </w:tr>
      <w:tr w14:paraId="0931D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1836F4">
            <w:pPr>
              <w:jc w:val="center"/>
              <w:rPr>
                <w:rFonts w:hint="eastAsia" w:ascii="宋体" w:hAnsi="宋体" w:eastAsia="宋体" w:cs="宋体"/>
                <w:i w:val="0"/>
                <w:iCs w:val="0"/>
                <w:color w:val="000000"/>
                <w:sz w:val="21"/>
                <w:szCs w:val="21"/>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F80CBF">
            <w:pPr>
              <w:jc w:val="center"/>
              <w:rPr>
                <w:rFonts w:hint="eastAsia" w:ascii="宋体" w:hAnsi="宋体" w:eastAsia="宋体" w:cs="宋体"/>
                <w:i w:val="0"/>
                <w:iCs w:val="0"/>
                <w:color w:val="000000"/>
                <w:sz w:val="21"/>
                <w:szCs w:val="21"/>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2D054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定制工作台</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686CE2">
            <w:pPr>
              <w:keepNext w:val="0"/>
              <w:keepLines w:val="0"/>
              <w:widowControl/>
              <w:suppressLineNumbers w:val="0"/>
              <w:jc w:val="both"/>
              <w:textAlignment w:val="center"/>
              <w:rPr>
                <w:rFonts w:hint="eastAsia" w:ascii="宋体" w:hAnsi="宋体" w:eastAsia="宋体" w:cs="宋体"/>
                <w:i w:val="0"/>
                <w:iCs w:val="0"/>
                <w:strike w:val="0"/>
                <w:dstrike w:val="0"/>
                <w:color w:val="000000"/>
                <w:kern w:val="0"/>
                <w:sz w:val="21"/>
                <w:szCs w:val="21"/>
                <w:highlight w:val="none"/>
                <w:u w:val="none"/>
                <w:lang w:val="en-US" w:eastAsia="zh-CN" w:bidi="ar"/>
              </w:rPr>
            </w:pPr>
            <w:r>
              <w:rPr>
                <w:rFonts w:hint="eastAsia" w:ascii="宋体" w:hAnsi="宋体" w:cs="宋体"/>
                <w:highlight w:val="none"/>
                <w:lang w:eastAsia="zh-CN"/>
              </w:rPr>
              <w:t>★</w:t>
            </w:r>
            <w:r>
              <w:rPr>
                <w:rFonts w:hint="eastAsia" w:ascii="宋体" w:hAnsi="宋体" w:eastAsia="宋体" w:cs="宋体"/>
                <w:i w:val="0"/>
                <w:iCs w:val="0"/>
                <w:color w:val="000000"/>
                <w:kern w:val="0"/>
                <w:sz w:val="21"/>
                <w:szCs w:val="21"/>
                <w:highlight w:val="none"/>
                <w:u w:val="none"/>
                <w:lang w:val="en-US" w:eastAsia="zh-CN" w:bidi="ar"/>
              </w:rPr>
              <w:t>量身定制个性化工作台，轻松打造校园统一的文化阵地。快速搭建智慧校园首页自定义个性化设置。自定义工作台支持日历日程；支持最新发布的知识库信息以 公告列表形式呈现；支持设置外部链接；支持个人待办指标快捷入口。支持定时提醒、支持应用快捷入口。不同角色的授权用户只能查看和操作与其职责相对应的数据。用户可自主设计门户、活动展示页等，</w:t>
            </w:r>
            <w:r>
              <w:rPr>
                <w:rFonts w:hint="eastAsia" w:ascii="宋体" w:hAnsi="宋体" w:eastAsia="宋体" w:cs="宋体"/>
                <w:i w:val="0"/>
                <w:iCs w:val="0"/>
                <w:strike w:val="0"/>
                <w:dstrike w:val="0"/>
                <w:color w:val="000000"/>
                <w:kern w:val="0"/>
                <w:sz w:val="21"/>
                <w:szCs w:val="21"/>
                <w:highlight w:val="none"/>
                <w:u w:val="none"/>
                <w:lang w:val="en-US" w:eastAsia="zh-CN" w:bidi="ar"/>
              </w:rPr>
              <w:t>包括：</w:t>
            </w:r>
          </w:p>
          <w:p w14:paraId="6EADF224">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 支持多种排版方式，普通设计器、高级设计器和 HTML 排版方式。</w:t>
            </w:r>
          </w:p>
          <w:p w14:paraId="0AA9DE9D">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 支持拖拽完成展示页面设计。</w:t>
            </w:r>
          </w:p>
          <w:p w14:paraId="4917A3EA">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 支持取表单、流程数据作为展示内容。</w:t>
            </w:r>
          </w:p>
          <w:p w14:paraId="26D9D79D">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 提供基础组件布局组件、表单组件和高级组件。</w:t>
            </w:r>
          </w:p>
          <w:p w14:paraId="181928F6">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 支持全代码方式构建展示页面。</w:t>
            </w:r>
          </w:p>
          <w:p w14:paraId="1C533E25">
            <w:pPr>
              <w:keepNext w:val="0"/>
              <w:keepLines w:val="0"/>
              <w:widowControl/>
              <w:suppressLineNumbers w:val="0"/>
              <w:jc w:val="both"/>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7. 页面可分享给组织外的用户访问。（需提供手机端和电脑端工作台页面截图）</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4E590F">
            <w:pPr>
              <w:jc w:val="center"/>
              <w:rPr>
                <w:rFonts w:hint="eastAsia" w:ascii="宋体" w:hAnsi="宋体" w:eastAsia="宋体" w:cs="宋体"/>
                <w:i w:val="0"/>
                <w:iCs w:val="0"/>
                <w:color w:val="000000"/>
                <w:sz w:val="21"/>
                <w:szCs w:val="21"/>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529558">
            <w:pPr>
              <w:jc w:val="center"/>
              <w:rPr>
                <w:rFonts w:hint="eastAsia" w:ascii="宋体" w:hAnsi="宋体" w:eastAsia="宋体" w:cs="宋体"/>
                <w:i w:val="0"/>
                <w:iCs w:val="0"/>
                <w:color w:val="000000"/>
                <w:sz w:val="21"/>
                <w:szCs w:val="21"/>
                <w:highlight w:val="none"/>
                <w:u w:val="none"/>
              </w:rPr>
            </w:pPr>
          </w:p>
        </w:tc>
      </w:tr>
      <w:tr w14:paraId="0F733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FB03FE">
            <w:pPr>
              <w:jc w:val="center"/>
              <w:rPr>
                <w:rFonts w:hint="eastAsia" w:ascii="宋体" w:hAnsi="宋体" w:eastAsia="宋体" w:cs="宋体"/>
                <w:i w:val="0"/>
                <w:iCs w:val="0"/>
                <w:color w:val="000000"/>
                <w:sz w:val="21"/>
                <w:szCs w:val="21"/>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CBC0E5">
            <w:pPr>
              <w:jc w:val="center"/>
              <w:rPr>
                <w:rFonts w:hint="eastAsia" w:ascii="宋体" w:hAnsi="宋体" w:eastAsia="宋体" w:cs="宋体"/>
                <w:i w:val="0"/>
                <w:iCs w:val="0"/>
                <w:color w:val="000000"/>
                <w:sz w:val="21"/>
                <w:szCs w:val="21"/>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5E127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AI家校通讯录</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039E6F">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建立以集团校多层级的组织架构，高管模式的权限设置，安全保护个人数据。入班名单校验、智能短信通知、自动进度追踪，帮助管理员更安全、便捷导入</w:t>
            </w:r>
          </w:p>
          <w:p w14:paraId="3BA12783">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全面的联系信息数据库：包含全校师生及工作人员的姓名、部门、职位、电话号码、电子邮箱地址等基本信息，便于快速查找与联系。</w:t>
            </w:r>
          </w:p>
          <w:p w14:paraId="492F1E67">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分组与搜索功能：用户可以根据校区、部门、班级等不同维度对通讯录进行分类浏览，同时支持关键词搜索，快速定位到需要联系的人。</w:t>
            </w:r>
          </w:p>
          <w:p w14:paraId="19E0398A">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个人资料管理：允许每位教职员工及学生自行维护和更新个人联系方式，确保信息的准确性和时效性。 </w:t>
            </w:r>
          </w:p>
          <w:p w14:paraId="6B29EFDE">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组织结构视图：提供可视化的组织架构图，清晰展示各部门及人员之间的隶属关 系，有助于新成员快速融入团队，也便于了解整体结构。</w:t>
            </w:r>
          </w:p>
          <w:p w14:paraId="169CC380">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即时通讯集成：校园通讯录系统集成了即时消息功能，使用户能够在查询到联系人后直接发起聊天或视频会议，提高沟通效率。</w:t>
            </w:r>
          </w:p>
          <w:p w14:paraId="1586D154">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通知公告发布： 管理员可以通过通讯录平台向特定群体或全校园发布重要通知、活动预告等信息，确保 信息传达的及时性和广泛性。</w:t>
            </w:r>
          </w:p>
          <w:p w14:paraId="37B2795B">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移动应用支持：考虑到便利性，通讯录系统都开发了对应的手机应用程序，支持 iOS 和 Android 系统，使得用户无论在校内还是校外都能轻松访问和使用。</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941099">
            <w:pPr>
              <w:jc w:val="center"/>
              <w:rPr>
                <w:rFonts w:hint="eastAsia" w:ascii="宋体" w:hAnsi="宋体" w:eastAsia="宋体" w:cs="宋体"/>
                <w:i w:val="0"/>
                <w:iCs w:val="0"/>
                <w:color w:val="000000"/>
                <w:sz w:val="21"/>
                <w:szCs w:val="21"/>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84B0E6">
            <w:pPr>
              <w:jc w:val="center"/>
              <w:rPr>
                <w:rFonts w:hint="eastAsia" w:ascii="宋体" w:hAnsi="宋体" w:eastAsia="宋体" w:cs="宋体"/>
                <w:i w:val="0"/>
                <w:iCs w:val="0"/>
                <w:color w:val="000000"/>
                <w:sz w:val="21"/>
                <w:szCs w:val="21"/>
                <w:highlight w:val="none"/>
                <w:u w:val="none"/>
              </w:rPr>
            </w:pPr>
          </w:p>
        </w:tc>
      </w:tr>
      <w:tr w14:paraId="671C6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6FCFF6">
            <w:pPr>
              <w:jc w:val="center"/>
              <w:rPr>
                <w:rFonts w:hint="eastAsia" w:ascii="宋体" w:hAnsi="宋体" w:eastAsia="宋体" w:cs="宋体"/>
                <w:i w:val="0"/>
                <w:iCs w:val="0"/>
                <w:color w:val="000000"/>
                <w:sz w:val="21"/>
                <w:szCs w:val="21"/>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4B733A">
            <w:pPr>
              <w:jc w:val="center"/>
              <w:rPr>
                <w:rFonts w:hint="eastAsia" w:ascii="宋体" w:hAnsi="宋体" w:eastAsia="宋体" w:cs="宋体"/>
                <w:i w:val="0"/>
                <w:iCs w:val="0"/>
                <w:color w:val="000000"/>
                <w:sz w:val="21"/>
                <w:szCs w:val="21"/>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79E02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家校管理</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2B1B0B">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基础数据管理服务包含：</w:t>
            </w:r>
          </w:p>
          <w:p w14:paraId="4866291E">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1.基础信息统一维护管理，包括学校基础数据、学生信息、教职工信息、办公管 理信息等，各业务系统与数据中心实现同步的数据交换和共享、统一数据管理， 同时实现一次配置多系统共用。系统提供可视化界面以及多种快速操作按钮和功能，简化校园管理工作，支持自定义条件查询学生教职工信息、以及修改添加学 生信息， 包括快速绑定家长，快速设置班级教师和班主任信息等功能。</w:t>
            </w:r>
          </w:p>
          <w:p w14:paraId="19F907DD">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2.学期管理：以学期为校内唯一时间周期表，所有业务均按照统一时间进行业务 流程的自动流转和运行，支持管理员配置学校各学期开始、结束时间，支撑各业务系统按学校实际教学时间使用。</w:t>
            </w:r>
          </w:p>
          <w:p w14:paraId="1EEA2FE0">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3.部门管理：支持为所有教职工划分部门，支撑校园办公模块。支持快速创建部门、编辑和删除。</w:t>
            </w:r>
          </w:p>
          <w:p w14:paraId="1519A927">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4、班级群可以帮助老师进行线上授课、布置及批阅作业、重要事项通知以及学生信息快速收集。</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9CCC0D">
            <w:pPr>
              <w:jc w:val="center"/>
              <w:rPr>
                <w:rFonts w:hint="eastAsia" w:ascii="宋体" w:hAnsi="宋体" w:eastAsia="宋体" w:cs="宋体"/>
                <w:i w:val="0"/>
                <w:iCs w:val="0"/>
                <w:color w:val="000000"/>
                <w:sz w:val="21"/>
                <w:szCs w:val="21"/>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D6D992">
            <w:pPr>
              <w:jc w:val="center"/>
              <w:rPr>
                <w:rFonts w:hint="eastAsia" w:ascii="宋体" w:hAnsi="宋体" w:eastAsia="宋体" w:cs="宋体"/>
                <w:i w:val="0"/>
                <w:iCs w:val="0"/>
                <w:color w:val="000000"/>
                <w:sz w:val="21"/>
                <w:szCs w:val="21"/>
                <w:highlight w:val="none"/>
                <w:u w:val="none"/>
              </w:rPr>
            </w:pPr>
          </w:p>
        </w:tc>
      </w:tr>
      <w:tr w14:paraId="5C678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1A3DB0">
            <w:pPr>
              <w:jc w:val="center"/>
              <w:rPr>
                <w:rFonts w:hint="eastAsia" w:ascii="宋体" w:hAnsi="宋体" w:eastAsia="宋体" w:cs="宋体"/>
                <w:i w:val="0"/>
                <w:iCs w:val="0"/>
                <w:color w:val="000000"/>
                <w:sz w:val="21"/>
                <w:szCs w:val="21"/>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C977CC">
            <w:pPr>
              <w:jc w:val="center"/>
              <w:rPr>
                <w:rFonts w:hint="eastAsia" w:ascii="宋体" w:hAnsi="宋体" w:eastAsia="宋体" w:cs="宋体"/>
                <w:i w:val="0"/>
                <w:iCs w:val="0"/>
                <w:color w:val="000000"/>
                <w:sz w:val="21"/>
                <w:szCs w:val="21"/>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9F5C7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校园公告</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2E6A92">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公告：管理员可以通过公告发布单位的规章制度、节假日信息等通知，快速通知到全体教职工。1.公告可以设置分类、新员工欢迎、置顶、保密、定时等公 告。2.可以查看是否已读、ding 通知、撤回、删除等操作。</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585356">
            <w:pPr>
              <w:jc w:val="center"/>
              <w:rPr>
                <w:rFonts w:hint="eastAsia" w:ascii="宋体" w:hAnsi="宋体" w:eastAsia="宋体" w:cs="宋体"/>
                <w:i w:val="0"/>
                <w:iCs w:val="0"/>
                <w:color w:val="000000"/>
                <w:sz w:val="21"/>
                <w:szCs w:val="21"/>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F57BEA">
            <w:pPr>
              <w:jc w:val="center"/>
              <w:rPr>
                <w:rFonts w:hint="eastAsia" w:ascii="宋体" w:hAnsi="宋体" w:eastAsia="宋体" w:cs="宋体"/>
                <w:i w:val="0"/>
                <w:iCs w:val="0"/>
                <w:color w:val="000000"/>
                <w:sz w:val="21"/>
                <w:szCs w:val="21"/>
                <w:highlight w:val="none"/>
                <w:u w:val="none"/>
              </w:rPr>
            </w:pPr>
          </w:p>
        </w:tc>
      </w:tr>
      <w:tr w14:paraId="16EF6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4811DD">
            <w:pPr>
              <w:jc w:val="center"/>
              <w:rPr>
                <w:rFonts w:hint="eastAsia" w:ascii="宋体" w:hAnsi="宋体" w:eastAsia="宋体" w:cs="宋体"/>
                <w:i w:val="0"/>
                <w:iCs w:val="0"/>
                <w:color w:val="000000"/>
                <w:sz w:val="21"/>
                <w:szCs w:val="21"/>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1B4EDA">
            <w:pPr>
              <w:jc w:val="center"/>
              <w:rPr>
                <w:rFonts w:hint="eastAsia" w:ascii="宋体" w:hAnsi="宋体" w:eastAsia="宋体" w:cs="宋体"/>
                <w:i w:val="0"/>
                <w:iCs w:val="0"/>
                <w:color w:val="000000"/>
                <w:sz w:val="21"/>
                <w:szCs w:val="21"/>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6733B4">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移动协同</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2F69BC">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支持多端适配：支持 pc 端、手机端多端设备同时访问，多端登陆，5 个同类型设备。</w:t>
            </w:r>
          </w:p>
          <w:p w14:paraId="46CB220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在线文档：文档编辑实时同步、多人在线协作时的并发处理能力，支持 AI 能力。</w:t>
            </w:r>
          </w:p>
          <w:p w14:paraId="40324F6D">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预约会议，可设置会议主题、时间、会议室、主持人、联席主持人等信息；多种入会方式：会议支持四端接入（windows、Android、IOS、MAC）高级会管会控，支持对画面进行拖拽布局，提供智能翻译功能，在会议过程中也能轻松拥有双语环境；会议转直播，主持人可一键把会议内容通过直播的方式转发出去，参会人可通过观看直播的形式参加会议；</w:t>
            </w:r>
          </w:p>
          <w:p w14:paraId="5BBED2DD">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主持人对会议进行录制，录制文件保存在本地电脑上，支持语音转文字功能；</w:t>
            </w:r>
          </w:p>
          <w:p w14:paraId="53F657ED">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群直播在线培训：多端直播，支持电脑和手机开播，直播回放，支持分享回放给他人观看。直播数据，直播结束后，主播会收到系统统计数据，支持excel下载。统计信息中包含：观众信息、直播时间、签到情况等。安 全与控制：外链直播，该直播允许组织内外任意人员都可以观看。录制与回放：云录制，按需选择开启或关闭保存回放。在线回放，回放支持本地下载。闪记：会中录制，会后快速转文字，云端保存音/画/字，立体式记录会议内容。日志：满足日报、周报、月报、拜访记录、会议纪要等各种工作场景需求。灵活的提醒规则，及时自动提醒提交，提交状态一目了然； 自动统计，报表 一键导出。</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D2FDB9">
            <w:pPr>
              <w:jc w:val="center"/>
              <w:rPr>
                <w:rFonts w:hint="eastAsia" w:ascii="宋体" w:hAnsi="宋体" w:eastAsia="宋体" w:cs="宋体"/>
                <w:i w:val="0"/>
                <w:iCs w:val="0"/>
                <w:color w:val="000000"/>
                <w:sz w:val="21"/>
                <w:szCs w:val="21"/>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5FF089">
            <w:pPr>
              <w:jc w:val="center"/>
              <w:rPr>
                <w:rFonts w:hint="eastAsia" w:ascii="宋体" w:hAnsi="宋体" w:eastAsia="宋体" w:cs="宋体"/>
                <w:i w:val="0"/>
                <w:iCs w:val="0"/>
                <w:color w:val="000000"/>
                <w:sz w:val="21"/>
                <w:szCs w:val="21"/>
                <w:highlight w:val="none"/>
                <w:u w:val="none"/>
              </w:rPr>
            </w:pPr>
          </w:p>
        </w:tc>
      </w:tr>
      <w:tr w14:paraId="78D2F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532FC8">
            <w:pPr>
              <w:jc w:val="center"/>
              <w:rPr>
                <w:rFonts w:hint="eastAsia" w:ascii="宋体" w:hAnsi="宋体" w:eastAsia="宋体" w:cs="宋体"/>
                <w:i w:val="0"/>
                <w:iCs w:val="0"/>
                <w:color w:val="000000"/>
                <w:sz w:val="21"/>
                <w:szCs w:val="21"/>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95F469">
            <w:pPr>
              <w:jc w:val="center"/>
              <w:rPr>
                <w:rFonts w:hint="eastAsia" w:ascii="宋体" w:hAnsi="宋体" w:eastAsia="宋体" w:cs="宋体"/>
                <w:i w:val="0"/>
                <w:iCs w:val="0"/>
                <w:color w:val="000000"/>
                <w:sz w:val="21"/>
                <w:szCs w:val="21"/>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3E3AE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即时通讯</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BA1E38">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1、聊天记录存储支持 10 年内云端查阅，云端检索，群文件存储云端存储时效延长。消息撤回时效延长（单聊、内部群）72小时内。</w:t>
            </w:r>
          </w:p>
          <w:p w14:paraId="59FBC966">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2、支持消息通知与即时通讯功能：应用内DING消息，紧急消息增强提醒。 当数据未填报时， 系统支持通过应用、短信、电话 DING 消息或工作通知发送提醒信息给相关人员，及时填报数据。</w:t>
            </w:r>
          </w:p>
          <w:p w14:paraId="38327471">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3、即时通讯工具可以方便各部门以及家校配合进行沟通讨论，提高协作效率。消息可靠性保证：如群消息传输的加密方式、已读未读的送达确认机制等。</w:t>
            </w:r>
          </w:p>
          <w:p w14:paraId="075A7AF5">
            <w:pPr>
              <w:keepNext w:val="0"/>
              <w:keepLines w:val="0"/>
              <w:widowControl/>
              <w:suppressLineNumbers w:val="0"/>
              <w:jc w:val="both"/>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cs="宋体"/>
                <w:highlight w:val="none"/>
                <w:lang w:eastAsia="zh-CN"/>
              </w:rPr>
              <w:t>★</w:t>
            </w:r>
            <w:r>
              <w:rPr>
                <w:rFonts w:hint="eastAsia" w:ascii="宋体" w:hAnsi="宋体" w:eastAsia="宋体" w:cs="宋体"/>
                <w:i w:val="0"/>
                <w:iCs w:val="0"/>
                <w:color w:val="000000"/>
                <w:kern w:val="0"/>
                <w:sz w:val="21"/>
                <w:szCs w:val="21"/>
                <w:highlight w:val="none"/>
                <w:u w:val="none"/>
                <w:lang w:val="en-US" w:eastAsia="zh-CN" w:bidi="ar"/>
              </w:rPr>
              <w:t>4、实现了针对敏感信息的安全保护机制，支持“保密群 ”功能，这类群聊内的信息不仅禁止下载和转发，还可开启水印功能，使得任何屏幕截图都能追溯到源头，有效防止敏感信息泄露。提供云盘保密，权限管控，安全水印等安全设置，帮助 组织更好的进行信息安全管理。（需提供此项内容功能截图）</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6B1750">
            <w:pPr>
              <w:jc w:val="center"/>
              <w:rPr>
                <w:rFonts w:hint="eastAsia" w:ascii="宋体" w:hAnsi="宋体" w:eastAsia="宋体" w:cs="宋体"/>
                <w:i w:val="0"/>
                <w:iCs w:val="0"/>
                <w:color w:val="000000"/>
                <w:sz w:val="21"/>
                <w:szCs w:val="21"/>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30F394">
            <w:pPr>
              <w:jc w:val="center"/>
              <w:rPr>
                <w:rFonts w:hint="eastAsia" w:ascii="宋体" w:hAnsi="宋体" w:eastAsia="宋体" w:cs="宋体"/>
                <w:i w:val="0"/>
                <w:iCs w:val="0"/>
                <w:color w:val="000000"/>
                <w:sz w:val="21"/>
                <w:szCs w:val="21"/>
                <w:highlight w:val="none"/>
                <w:u w:val="none"/>
              </w:rPr>
            </w:pPr>
          </w:p>
        </w:tc>
      </w:tr>
      <w:tr w14:paraId="5F2A4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6B2946">
            <w:pPr>
              <w:jc w:val="center"/>
              <w:rPr>
                <w:rFonts w:hint="eastAsia" w:ascii="宋体" w:hAnsi="宋体" w:eastAsia="宋体" w:cs="宋体"/>
                <w:i w:val="0"/>
                <w:iCs w:val="0"/>
                <w:color w:val="000000"/>
                <w:sz w:val="21"/>
                <w:szCs w:val="21"/>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D344F9">
            <w:pPr>
              <w:jc w:val="center"/>
              <w:rPr>
                <w:rFonts w:hint="eastAsia" w:ascii="宋体" w:hAnsi="宋体" w:eastAsia="宋体" w:cs="宋体"/>
                <w:i w:val="0"/>
                <w:iCs w:val="0"/>
                <w:color w:val="000000"/>
                <w:sz w:val="21"/>
                <w:szCs w:val="21"/>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D844D3">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系统稳定性和兼容性</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5D99B0">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服务器响应时间：系统的正常运行时间和平均故障间隔时间 (MTBF)。系统负载均衡能力：在高并发场景下保持稳定运行的能力。平台支持：支持的操作系统，如 iOS、Android、Windows、macOS 等。浏览器兼容：Web 端对于不同浏览器的支持情况。</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873A09">
            <w:pPr>
              <w:jc w:val="center"/>
              <w:rPr>
                <w:rFonts w:hint="eastAsia" w:ascii="宋体" w:hAnsi="宋体" w:eastAsia="宋体" w:cs="宋体"/>
                <w:i w:val="0"/>
                <w:iCs w:val="0"/>
                <w:color w:val="000000"/>
                <w:sz w:val="21"/>
                <w:szCs w:val="21"/>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0C5B5D">
            <w:pPr>
              <w:jc w:val="center"/>
              <w:rPr>
                <w:rFonts w:hint="eastAsia" w:ascii="宋体" w:hAnsi="宋体" w:eastAsia="宋体" w:cs="宋体"/>
                <w:i w:val="0"/>
                <w:iCs w:val="0"/>
                <w:color w:val="000000"/>
                <w:sz w:val="21"/>
                <w:szCs w:val="21"/>
                <w:highlight w:val="none"/>
                <w:u w:val="none"/>
              </w:rPr>
            </w:pPr>
          </w:p>
        </w:tc>
      </w:tr>
      <w:tr w14:paraId="54B3C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2BB2C7">
            <w:pPr>
              <w:jc w:val="center"/>
              <w:rPr>
                <w:rFonts w:hint="eastAsia" w:ascii="宋体" w:hAnsi="宋体" w:eastAsia="宋体" w:cs="宋体"/>
                <w:i w:val="0"/>
                <w:iCs w:val="0"/>
                <w:color w:val="000000"/>
                <w:sz w:val="21"/>
                <w:szCs w:val="21"/>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388858">
            <w:pPr>
              <w:jc w:val="center"/>
              <w:rPr>
                <w:rFonts w:hint="eastAsia" w:ascii="宋体" w:hAnsi="宋体" w:eastAsia="宋体" w:cs="宋体"/>
                <w:i w:val="0"/>
                <w:iCs w:val="0"/>
                <w:color w:val="000000"/>
                <w:sz w:val="21"/>
                <w:szCs w:val="21"/>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D80F08">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开发平台</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A2AB90">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1、深度融合，提供移动app一方能力连接器，包括工作通知、群通知、待办任务、通讯录等。使用范围：全校教职工及学生和家长。</w:t>
            </w:r>
          </w:p>
          <w:p w14:paraId="5E220E3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2、实时沟通，可自动将应用内数据或流程状态以普通消息（包括群消息）的形式发送至指定角色或群。</w:t>
            </w:r>
          </w:p>
          <w:p w14:paraId="2DC32758">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3、除报表外，还提供数据大屏的展示方式。</w:t>
            </w:r>
          </w:p>
          <w:p w14:paraId="29C9E855">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4、具备自定义组件能力，用户可结合业务需求自己创建组件。</w:t>
            </w:r>
          </w:p>
          <w:p w14:paraId="668B10B4">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5、高可用：分布式集群部署，有单元化能力，具备短时间内自恢复能力。</w:t>
            </w:r>
          </w:p>
          <w:p w14:paraId="0D8EE9E6">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6、高安全：信息安全三级等保，具备较高安全性，拥有10+项国家安全标准资质 。</w:t>
            </w:r>
          </w:p>
          <w:p w14:paraId="0A3CC60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7、高性能：具备大数据量的高性能响应能力，同时具备实时的报表展现能力。</w:t>
            </w:r>
          </w:p>
          <w:p w14:paraId="0A636FCA">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8、系统平台本身需要基于B/S架构，系统应采用B/S架构实现。</w:t>
            </w:r>
          </w:p>
          <w:p w14:paraId="7D964945">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9、并发能力不小于TPS 10000/S。</w:t>
            </w:r>
          </w:p>
          <w:p w14:paraId="77FF0AB1">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10、支持零代码、低代码构建业务应用。</w:t>
            </w:r>
          </w:p>
          <w:p w14:paraId="17A92EB5">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11、支持分级管理，提供平台管理员、应用管理员等多级管控功能。</w:t>
            </w:r>
          </w:p>
          <w:p w14:paraId="20C012EA">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12、提供业务流程、业务表单、展示页面以及数据统计分析等功能。</w:t>
            </w:r>
          </w:p>
          <w:p w14:paraId="0CAB211B">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13、支持多端适配，包括PC、移动（含手机、PAD、小程序等）。</w:t>
            </w:r>
          </w:p>
          <w:p w14:paraId="72315313">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14、开放API调用，以及支持回调外部服务(HTTP)。</w:t>
            </w:r>
          </w:p>
          <w:p w14:paraId="6BB8C15E">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15、支持多语言展示。</w:t>
            </w:r>
          </w:p>
          <w:p w14:paraId="3BA9FF24">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16、支持百万级用户同时在线。</w:t>
            </w:r>
          </w:p>
          <w:p w14:paraId="1B4E1ECE">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17、提供完整的在线文档说明，包括产品功能、使用手册、音视频文件，并提供完善的在线技术支持服务。</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16B067">
            <w:pPr>
              <w:jc w:val="center"/>
              <w:rPr>
                <w:rFonts w:hint="eastAsia" w:ascii="宋体" w:hAnsi="宋体" w:eastAsia="宋体" w:cs="宋体"/>
                <w:i w:val="0"/>
                <w:iCs w:val="0"/>
                <w:color w:val="000000"/>
                <w:sz w:val="21"/>
                <w:szCs w:val="21"/>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69D205">
            <w:pPr>
              <w:jc w:val="center"/>
              <w:rPr>
                <w:rFonts w:hint="eastAsia" w:ascii="宋体" w:hAnsi="宋体" w:eastAsia="宋体" w:cs="宋体"/>
                <w:i w:val="0"/>
                <w:iCs w:val="0"/>
                <w:color w:val="000000"/>
                <w:sz w:val="21"/>
                <w:szCs w:val="21"/>
                <w:highlight w:val="none"/>
                <w:u w:val="none"/>
              </w:rPr>
            </w:pPr>
          </w:p>
        </w:tc>
      </w:tr>
      <w:tr w14:paraId="0DC28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09F365">
            <w:pPr>
              <w:jc w:val="center"/>
              <w:rPr>
                <w:rFonts w:hint="eastAsia" w:ascii="宋体" w:hAnsi="宋体" w:eastAsia="宋体" w:cs="宋体"/>
                <w:i w:val="0"/>
                <w:iCs w:val="0"/>
                <w:color w:val="000000"/>
                <w:sz w:val="21"/>
                <w:szCs w:val="21"/>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B8B7A8">
            <w:pPr>
              <w:jc w:val="center"/>
              <w:rPr>
                <w:rFonts w:hint="eastAsia" w:ascii="宋体" w:hAnsi="宋体" w:eastAsia="宋体" w:cs="宋体"/>
                <w:i w:val="0"/>
                <w:iCs w:val="0"/>
                <w:color w:val="000000"/>
                <w:sz w:val="21"/>
                <w:szCs w:val="21"/>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D1C51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报表管理</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58889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支持对收集的数据进行报表分析展示。支持的报表组件包括柱状图、折线图、饼图、混合图、表格和指标看板等。除此之外，还支持多张数据表的数据关联展示和跨应用取数据。</w:t>
            </w:r>
          </w:p>
          <w:p w14:paraId="2D36261E">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1、支持拖拽完成报表页面设计。</w:t>
            </w:r>
          </w:p>
          <w:p w14:paraId="738035AE">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2、支持查询条件自定义，按关键字、日期区间等。</w:t>
            </w:r>
          </w:p>
          <w:p w14:paraId="0A383A5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3、支持多个应用数据、多个表单数据组合形成一张报表。</w:t>
            </w:r>
          </w:p>
          <w:p w14:paraId="1A109161">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4、支持百万级数据的统计分析。</w:t>
            </w:r>
          </w:p>
          <w:p w14:paraId="4FA24176">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5、支持根据字段进行加和、求平均、取最大值、取最小值、计数等操作。</w:t>
            </w:r>
          </w:p>
          <w:p w14:paraId="2533889F">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6、支持根据报表字段进行排序。</w:t>
            </w:r>
          </w:p>
          <w:p w14:paraId="311B0185">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7、支持对应用收集到的数据或者应用之外的数据进行加工，用于报表页图表的制作。</w:t>
            </w:r>
          </w:p>
          <w:p w14:paraId="6C9EA48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8、提供报表卡片多种展示方式。</w:t>
            </w:r>
          </w:p>
          <w:p w14:paraId="26F1FBDF">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9、平台集成数据可视化dataV数据大屏。</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82335E">
            <w:pPr>
              <w:jc w:val="center"/>
              <w:rPr>
                <w:rFonts w:hint="eastAsia" w:ascii="宋体" w:hAnsi="宋体" w:eastAsia="宋体" w:cs="宋体"/>
                <w:i w:val="0"/>
                <w:iCs w:val="0"/>
                <w:color w:val="000000"/>
                <w:sz w:val="21"/>
                <w:szCs w:val="21"/>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F6E0BE">
            <w:pPr>
              <w:jc w:val="center"/>
              <w:rPr>
                <w:rFonts w:hint="eastAsia" w:ascii="宋体" w:hAnsi="宋体" w:eastAsia="宋体" w:cs="宋体"/>
                <w:i w:val="0"/>
                <w:iCs w:val="0"/>
                <w:color w:val="000000"/>
                <w:sz w:val="21"/>
                <w:szCs w:val="21"/>
                <w:highlight w:val="none"/>
                <w:u w:val="none"/>
              </w:rPr>
            </w:pPr>
          </w:p>
        </w:tc>
      </w:tr>
      <w:tr w14:paraId="75A06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nil"/>
              <w:right w:val="single" w:color="000000" w:sz="4" w:space="0"/>
            </w:tcBorders>
            <w:shd w:val="clear" w:color="auto" w:fill="FFFFFF"/>
            <w:vAlign w:val="center"/>
          </w:tcPr>
          <w:p w14:paraId="6A55F7FD">
            <w:pPr>
              <w:jc w:val="center"/>
              <w:rPr>
                <w:rFonts w:hint="eastAsia" w:ascii="宋体" w:hAnsi="宋体" w:eastAsia="宋体" w:cs="宋体"/>
                <w:i w:val="0"/>
                <w:iCs w:val="0"/>
                <w:color w:val="000000"/>
                <w:sz w:val="21"/>
                <w:szCs w:val="21"/>
                <w:highlight w:val="none"/>
                <w:u w:val="none"/>
              </w:rPr>
            </w:pPr>
          </w:p>
        </w:tc>
        <w:tc>
          <w:tcPr>
            <w:tcW w:w="457" w:type="pct"/>
            <w:vMerge w:val="continue"/>
            <w:tcBorders>
              <w:top w:val="single" w:color="000000" w:sz="4" w:space="0"/>
              <w:left w:val="single" w:color="000000" w:sz="4" w:space="0"/>
              <w:bottom w:val="nil"/>
              <w:right w:val="single" w:color="000000" w:sz="4" w:space="0"/>
            </w:tcBorders>
            <w:shd w:val="clear" w:color="auto" w:fill="FFFFFF"/>
            <w:vAlign w:val="center"/>
          </w:tcPr>
          <w:p w14:paraId="48A1BD85">
            <w:pPr>
              <w:jc w:val="center"/>
              <w:rPr>
                <w:rFonts w:hint="eastAsia" w:ascii="宋体" w:hAnsi="宋体" w:eastAsia="宋体" w:cs="宋体"/>
                <w:i w:val="0"/>
                <w:iCs w:val="0"/>
                <w:color w:val="000000"/>
                <w:sz w:val="21"/>
                <w:szCs w:val="21"/>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F8D54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智能人事</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2FF350">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支持对教职工办理入职、转正、离职、退休、获奖、人事合同【筛选、查询、检索、统计等】，以及人事花名册。支持教师异动统计，支持对教师进行关键词搜索、模糊查找、条件检索，支持和教师档案管理系统对接。</w:t>
            </w:r>
          </w:p>
        </w:tc>
        <w:tc>
          <w:tcPr>
            <w:tcW w:w="489" w:type="pct"/>
            <w:vMerge w:val="continue"/>
            <w:tcBorders>
              <w:top w:val="single" w:color="000000" w:sz="4" w:space="0"/>
              <w:left w:val="single" w:color="000000" w:sz="4" w:space="0"/>
              <w:bottom w:val="nil"/>
              <w:right w:val="single" w:color="000000" w:sz="4" w:space="0"/>
            </w:tcBorders>
            <w:shd w:val="clear" w:color="auto" w:fill="FFFFFF"/>
            <w:vAlign w:val="center"/>
          </w:tcPr>
          <w:p w14:paraId="28D69CA8">
            <w:pPr>
              <w:jc w:val="center"/>
              <w:rPr>
                <w:rFonts w:hint="eastAsia" w:ascii="宋体" w:hAnsi="宋体" w:eastAsia="宋体" w:cs="宋体"/>
                <w:i w:val="0"/>
                <w:iCs w:val="0"/>
                <w:color w:val="000000"/>
                <w:sz w:val="21"/>
                <w:szCs w:val="21"/>
                <w:highlight w:val="none"/>
                <w:u w:val="none"/>
              </w:rPr>
            </w:pPr>
          </w:p>
        </w:tc>
        <w:tc>
          <w:tcPr>
            <w:tcW w:w="563" w:type="pct"/>
            <w:vMerge w:val="continue"/>
            <w:tcBorders>
              <w:top w:val="single" w:color="000000" w:sz="4" w:space="0"/>
              <w:left w:val="single" w:color="000000" w:sz="4" w:space="0"/>
              <w:bottom w:val="nil"/>
              <w:right w:val="single" w:color="000000" w:sz="4" w:space="0"/>
            </w:tcBorders>
            <w:shd w:val="clear" w:color="auto" w:fill="FFFFFF"/>
            <w:vAlign w:val="center"/>
          </w:tcPr>
          <w:p w14:paraId="3D65A083">
            <w:pPr>
              <w:jc w:val="center"/>
              <w:rPr>
                <w:rFonts w:hint="eastAsia" w:ascii="宋体" w:hAnsi="宋体" w:eastAsia="宋体" w:cs="宋体"/>
                <w:i w:val="0"/>
                <w:iCs w:val="0"/>
                <w:color w:val="000000"/>
                <w:sz w:val="21"/>
                <w:szCs w:val="21"/>
                <w:highlight w:val="none"/>
                <w:u w:val="none"/>
              </w:rPr>
            </w:pPr>
          </w:p>
        </w:tc>
      </w:tr>
      <w:tr w14:paraId="09226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nil"/>
              <w:right w:val="single" w:color="000000" w:sz="4" w:space="0"/>
            </w:tcBorders>
            <w:shd w:val="clear" w:color="auto" w:fill="FFFFFF"/>
            <w:vAlign w:val="center"/>
          </w:tcPr>
          <w:p w14:paraId="5ECEF55A">
            <w:pPr>
              <w:jc w:val="center"/>
              <w:rPr>
                <w:rFonts w:hint="eastAsia" w:ascii="宋体" w:hAnsi="宋体" w:eastAsia="宋体" w:cs="宋体"/>
                <w:i w:val="0"/>
                <w:iCs w:val="0"/>
                <w:color w:val="000000"/>
                <w:sz w:val="21"/>
                <w:szCs w:val="21"/>
                <w:highlight w:val="none"/>
                <w:u w:val="none"/>
              </w:rPr>
            </w:pPr>
          </w:p>
        </w:tc>
        <w:tc>
          <w:tcPr>
            <w:tcW w:w="457" w:type="pct"/>
            <w:vMerge w:val="continue"/>
            <w:tcBorders>
              <w:top w:val="single" w:color="000000" w:sz="4" w:space="0"/>
              <w:left w:val="single" w:color="000000" w:sz="4" w:space="0"/>
              <w:bottom w:val="nil"/>
              <w:right w:val="single" w:color="000000" w:sz="4" w:space="0"/>
            </w:tcBorders>
            <w:shd w:val="clear" w:color="auto" w:fill="FFFFFF"/>
            <w:vAlign w:val="center"/>
          </w:tcPr>
          <w:p w14:paraId="26CAB775">
            <w:pPr>
              <w:jc w:val="center"/>
              <w:rPr>
                <w:rFonts w:hint="eastAsia" w:ascii="宋体" w:hAnsi="宋体" w:eastAsia="宋体" w:cs="宋体"/>
                <w:i w:val="0"/>
                <w:iCs w:val="0"/>
                <w:color w:val="000000"/>
                <w:sz w:val="21"/>
                <w:szCs w:val="21"/>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15B61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考勤&amp;假期</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F6427C">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排班、打卡、请假、考勤统计，考勤数据报表自定义能力</w:t>
            </w:r>
          </w:p>
        </w:tc>
        <w:tc>
          <w:tcPr>
            <w:tcW w:w="489" w:type="pct"/>
            <w:vMerge w:val="continue"/>
            <w:tcBorders>
              <w:top w:val="single" w:color="000000" w:sz="4" w:space="0"/>
              <w:left w:val="single" w:color="000000" w:sz="4" w:space="0"/>
              <w:bottom w:val="nil"/>
              <w:right w:val="single" w:color="000000" w:sz="4" w:space="0"/>
            </w:tcBorders>
            <w:shd w:val="clear" w:color="auto" w:fill="FFFFFF"/>
            <w:vAlign w:val="center"/>
          </w:tcPr>
          <w:p w14:paraId="7A2987F4">
            <w:pPr>
              <w:jc w:val="center"/>
              <w:rPr>
                <w:rFonts w:hint="eastAsia" w:ascii="宋体" w:hAnsi="宋体" w:eastAsia="宋体" w:cs="宋体"/>
                <w:i w:val="0"/>
                <w:iCs w:val="0"/>
                <w:color w:val="000000"/>
                <w:sz w:val="21"/>
                <w:szCs w:val="21"/>
                <w:highlight w:val="none"/>
                <w:u w:val="none"/>
              </w:rPr>
            </w:pPr>
          </w:p>
        </w:tc>
        <w:tc>
          <w:tcPr>
            <w:tcW w:w="563" w:type="pct"/>
            <w:vMerge w:val="continue"/>
            <w:tcBorders>
              <w:top w:val="single" w:color="000000" w:sz="4" w:space="0"/>
              <w:left w:val="single" w:color="000000" w:sz="4" w:space="0"/>
              <w:bottom w:val="nil"/>
              <w:right w:val="single" w:color="000000" w:sz="4" w:space="0"/>
            </w:tcBorders>
            <w:shd w:val="clear" w:color="auto" w:fill="FFFFFF"/>
            <w:vAlign w:val="center"/>
          </w:tcPr>
          <w:p w14:paraId="7AF49CCB">
            <w:pPr>
              <w:jc w:val="center"/>
              <w:rPr>
                <w:rFonts w:hint="eastAsia" w:ascii="宋体" w:hAnsi="宋体" w:eastAsia="宋体" w:cs="宋体"/>
                <w:i w:val="0"/>
                <w:iCs w:val="0"/>
                <w:color w:val="000000"/>
                <w:sz w:val="21"/>
                <w:szCs w:val="21"/>
                <w:highlight w:val="none"/>
                <w:u w:val="none"/>
              </w:rPr>
            </w:pPr>
          </w:p>
        </w:tc>
      </w:tr>
      <w:tr w14:paraId="5B174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nil"/>
              <w:right w:val="single" w:color="000000" w:sz="4" w:space="0"/>
            </w:tcBorders>
            <w:shd w:val="clear" w:color="auto" w:fill="FFFFFF"/>
            <w:vAlign w:val="center"/>
          </w:tcPr>
          <w:p w14:paraId="125F9997">
            <w:pPr>
              <w:jc w:val="center"/>
              <w:rPr>
                <w:rFonts w:hint="eastAsia" w:ascii="宋体" w:hAnsi="宋体" w:eastAsia="宋体" w:cs="宋体"/>
                <w:i w:val="0"/>
                <w:iCs w:val="0"/>
                <w:color w:val="000000"/>
                <w:sz w:val="21"/>
                <w:szCs w:val="21"/>
                <w:highlight w:val="none"/>
                <w:u w:val="none"/>
              </w:rPr>
            </w:pPr>
          </w:p>
        </w:tc>
        <w:tc>
          <w:tcPr>
            <w:tcW w:w="457" w:type="pct"/>
            <w:vMerge w:val="continue"/>
            <w:tcBorders>
              <w:top w:val="single" w:color="000000" w:sz="4" w:space="0"/>
              <w:left w:val="single" w:color="000000" w:sz="4" w:space="0"/>
              <w:bottom w:val="nil"/>
              <w:right w:val="single" w:color="000000" w:sz="4" w:space="0"/>
            </w:tcBorders>
            <w:shd w:val="clear" w:color="auto" w:fill="FFFFFF"/>
            <w:vAlign w:val="center"/>
          </w:tcPr>
          <w:p w14:paraId="36E07CCF">
            <w:pPr>
              <w:jc w:val="center"/>
              <w:rPr>
                <w:rFonts w:hint="eastAsia" w:ascii="宋体" w:hAnsi="宋体" w:eastAsia="宋体" w:cs="宋体"/>
                <w:i w:val="0"/>
                <w:iCs w:val="0"/>
                <w:color w:val="000000"/>
                <w:sz w:val="21"/>
                <w:szCs w:val="21"/>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6C584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招聘面试</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114194">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highlight w:val="none"/>
                <w:lang w:eastAsia="zh-CN"/>
              </w:rPr>
              <w:t>★</w:t>
            </w:r>
            <w:r>
              <w:rPr>
                <w:rFonts w:hint="eastAsia" w:ascii="宋体" w:hAnsi="宋体" w:eastAsia="宋体" w:cs="宋体"/>
                <w:i w:val="0"/>
                <w:iCs w:val="0"/>
                <w:color w:val="000000"/>
                <w:kern w:val="0"/>
                <w:sz w:val="21"/>
                <w:szCs w:val="21"/>
                <w:highlight w:val="none"/>
                <w:u w:val="none"/>
                <w:lang w:val="en-US" w:eastAsia="zh-CN" w:bidi="ar"/>
              </w:rPr>
              <w:t>1.二维码招聘: 设计专属二维码， 应聘者通过手机扫描即可直接在线提交申请页面，填写信息并上传简历。</w:t>
            </w:r>
          </w:p>
          <w:p w14:paraId="73903D7B">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 在线简历筛选与管理：建立教师简历数据库，便于招聘团队对简历进行分类，提高筛选效率。</w:t>
            </w:r>
          </w:p>
          <w:p w14:paraId="50494837">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3.组织线上初试：安排在线初试，提前发送面试邀请包含会议链接和注意事项。征得应聘者同意后，开启视频会议录制功能，便于后续复审和比较。</w:t>
            </w:r>
          </w:p>
          <w:p w14:paraId="2566296E">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 线上线下结合的复试： 对于关键岗位或需要进一步考察的候选人，可安排线下或更高阶的线上复试。</w:t>
            </w:r>
          </w:p>
          <w:p w14:paraId="678659F9">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 线上评分与反馈：使用电子评分表让面试官在线完成评分，并自动汇总各维度得分。</w:t>
            </w:r>
          </w:p>
        </w:tc>
        <w:tc>
          <w:tcPr>
            <w:tcW w:w="489" w:type="pct"/>
            <w:vMerge w:val="continue"/>
            <w:tcBorders>
              <w:top w:val="single" w:color="000000" w:sz="4" w:space="0"/>
              <w:left w:val="single" w:color="000000" w:sz="4" w:space="0"/>
              <w:bottom w:val="nil"/>
              <w:right w:val="single" w:color="000000" w:sz="4" w:space="0"/>
            </w:tcBorders>
            <w:shd w:val="clear" w:color="auto" w:fill="FFFFFF"/>
            <w:vAlign w:val="center"/>
          </w:tcPr>
          <w:p w14:paraId="25BD1028">
            <w:pPr>
              <w:jc w:val="center"/>
              <w:rPr>
                <w:rFonts w:hint="eastAsia" w:ascii="宋体" w:hAnsi="宋体" w:eastAsia="宋体" w:cs="宋体"/>
                <w:i w:val="0"/>
                <w:iCs w:val="0"/>
                <w:color w:val="000000"/>
                <w:sz w:val="21"/>
                <w:szCs w:val="21"/>
                <w:highlight w:val="none"/>
                <w:u w:val="none"/>
              </w:rPr>
            </w:pPr>
          </w:p>
        </w:tc>
        <w:tc>
          <w:tcPr>
            <w:tcW w:w="563" w:type="pct"/>
            <w:vMerge w:val="continue"/>
            <w:tcBorders>
              <w:top w:val="single" w:color="000000" w:sz="4" w:space="0"/>
              <w:left w:val="single" w:color="000000" w:sz="4" w:space="0"/>
              <w:bottom w:val="nil"/>
              <w:right w:val="single" w:color="000000" w:sz="4" w:space="0"/>
            </w:tcBorders>
            <w:shd w:val="clear" w:color="auto" w:fill="FFFFFF"/>
            <w:vAlign w:val="center"/>
          </w:tcPr>
          <w:p w14:paraId="44022FBD">
            <w:pPr>
              <w:jc w:val="center"/>
              <w:rPr>
                <w:rFonts w:hint="eastAsia" w:ascii="宋体" w:hAnsi="宋体" w:eastAsia="宋体" w:cs="宋体"/>
                <w:i w:val="0"/>
                <w:iCs w:val="0"/>
                <w:color w:val="000000"/>
                <w:sz w:val="21"/>
                <w:szCs w:val="21"/>
                <w:highlight w:val="none"/>
                <w:u w:val="none"/>
              </w:rPr>
            </w:pPr>
          </w:p>
        </w:tc>
      </w:tr>
      <w:tr w14:paraId="583E4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nil"/>
              <w:right w:val="single" w:color="000000" w:sz="4" w:space="0"/>
            </w:tcBorders>
            <w:shd w:val="clear" w:color="auto" w:fill="FFFFFF"/>
            <w:vAlign w:val="center"/>
          </w:tcPr>
          <w:p w14:paraId="76617C00">
            <w:pPr>
              <w:jc w:val="center"/>
              <w:rPr>
                <w:rFonts w:hint="eastAsia" w:ascii="宋体" w:hAnsi="宋体" w:eastAsia="宋体" w:cs="宋体"/>
                <w:i w:val="0"/>
                <w:iCs w:val="0"/>
                <w:color w:val="000000"/>
                <w:sz w:val="21"/>
                <w:szCs w:val="21"/>
                <w:highlight w:val="none"/>
                <w:u w:val="none"/>
              </w:rPr>
            </w:pPr>
          </w:p>
        </w:tc>
        <w:tc>
          <w:tcPr>
            <w:tcW w:w="457" w:type="pct"/>
            <w:vMerge w:val="continue"/>
            <w:tcBorders>
              <w:top w:val="single" w:color="000000" w:sz="4" w:space="0"/>
              <w:left w:val="single" w:color="000000" w:sz="4" w:space="0"/>
              <w:bottom w:val="nil"/>
              <w:right w:val="single" w:color="000000" w:sz="4" w:space="0"/>
            </w:tcBorders>
            <w:shd w:val="clear" w:color="auto" w:fill="FFFFFF"/>
            <w:vAlign w:val="center"/>
          </w:tcPr>
          <w:p w14:paraId="7AED7F49">
            <w:pPr>
              <w:jc w:val="center"/>
              <w:rPr>
                <w:rFonts w:hint="eastAsia" w:ascii="宋体" w:hAnsi="宋体" w:eastAsia="宋体" w:cs="宋体"/>
                <w:i w:val="0"/>
                <w:iCs w:val="0"/>
                <w:color w:val="000000"/>
                <w:sz w:val="21"/>
                <w:szCs w:val="21"/>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933F5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绩效考评</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CBDA29">
            <w:pPr>
              <w:keepNext w:val="0"/>
              <w:keepLines w:val="0"/>
              <w:widowControl/>
              <w:suppressLineNumbers w:val="0"/>
              <w:jc w:val="both"/>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cs="宋体"/>
                <w:highlight w:val="none"/>
                <w:lang w:eastAsia="zh-CN"/>
              </w:rPr>
              <w:t>★</w:t>
            </w:r>
            <w:r>
              <w:rPr>
                <w:rFonts w:hint="eastAsia" w:ascii="宋体" w:hAnsi="宋体" w:eastAsia="宋体" w:cs="宋体"/>
                <w:i w:val="0"/>
                <w:iCs w:val="0"/>
                <w:color w:val="000000"/>
                <w:kern w:val="0"/>
                <w:sz w:val="21"/>
                <w:szCs w:val="21"/>
                <w:highlight w:val="none"/>
                <w:u w:val="none"/>
                <w:lang w:val="en-US" w:eastAsia="zh-CN" w:bidi="ar"/>
              </w:rPr>
              <w:t>按照不同部门，自定义设置量化考核指标，也可以自定义增减赋分项。支持自评，领导打分等多种模式（提供绩效考评产品页面图片）</w:t>
            </w:r>
          </w:p>
        </w:tc>
        <w:tc>
          <w:tcPr>
            <w:tcW w:w="489" w:type="pct"/>
            <w:vMerge w:val="continue"/>
            <w:tcBorders>
              <w:top w:val="single" w:color="000000" w:sz="4" w:space="0"/>
              <w:left w:val="single" w:color="000000" w:sz="4" w:space="0"/>
              <w:bottom w:val="nil"/>
              <w:right w:val="single" w:color="000000" w:sz="4" w:space="0"/>
            </w:tcBorders>
            <w:shd w:val="clear" w:color="auto" w:fill="FFFFFF"/>
            <w:vAlign w:val="center"/>
          </w:tcPr>
          <w:p w14:paraId="5B521AD3">
            <w:pPr>
              <w:jc w:val="center"/>
              <w:rPr>
                <w:rFonts w:hint="eastAsia" w:ascii="宋体" w:hAnsi="宋体" w:eastAsia="宋体" w:cs="宋体"/>
                <w:i w:val="0"/>
                <w:iCs w:val="0"/>
                <w:color w:val="000000"/>
                <w:sz w:val="21"/>
                <w:szCs w:val="21"/>
                <w:highlight w:val="none"/>
                <w:u w:val="none"/>
              </w:rPr>
            </w:pPr>
          </w:p>
        </w:tc>
        <w:tc>
          <w:tcPr>
            <w:tcW w:w="563" w:type="pct"/>
            <w:vMerge w:val="continue"/>
            <w:tcBorders>
              <w:top w:val="single" w:color="000000" w:sz="4" w:space="0"/>
              <w:left w:val="single" w:color="000000" w:sz="4" w:space="0"/>
              <w:bottom w:val="nil"/>
              <w:right w:val="single" w:color="000000" w:sz="4" w:space="0"/>
            </w:tcBorders>
            <w:shd w:val="clear" w:color="auto" w:fill="FFFFFF"/>
            <w:vAlign w:val="center"/>
          </w:tcPr>
          <w:p w14:paraId="7C78A470">
            <w:pPr>
              <w:jc w:val="center"/>
              <w:rPr>
                <w:rFonts w:hint="eastAsia" w:ascii="宋体" w:hAnsi="宋体" w:eastAsia="宋体" w:cs="宋体"/>
                <w:i w:val="0"/>
                <w:iCs w:val="0"/>
                <w:color w:val="000000"/>
                <w:sz w:val="21"/>
                <w:szCs w:val="21"/>
                <w:highlight w:val="none"/>
                <w:u w:val="none"/>
              </w:rPr>
            </w:pPr>
          </w:p>
        </w:tc>
      </w:tr>
      <w:tr w14:paraId="70794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nil"/>
              <w:right w:val="single" w:color="000000" w:sz="4" w:space="0"/>
            </w:tcBorders>
            <w:shd w:val="clear" w:color="auto" w:fill="FFFFFF"/>
            <w:vAlign w:val="center"/>
          </w:tcPr>
          <w:p w14:paraId="03E38A5A">
            <w:pPr>
              <w:jc w:val="center"/>
              <w:rPr>
                <w:rFonts w:hint="eastAsia" w:ascii="宋体" w:hAnsi="宋体" w:eastAsia="宋体" w:cs="宋体"/>
                <w:i w:val="0"/>
                <w:iCs w:val="0"/>
                <w:color w:val="000000"/>
                <w:sz w:val="21"/>
                <w:szCs w:val="21"/>
                <w:highlight w:val="none"/>
                <w:u w:val="none"/>
              </w:rPr>
            </w:pPr>
          </w:p>
        </w:tc>
        <w:tc>
          <w:tcPr>
            <w:tcW w:w="457" w:type="pct"/>
            <w:vMerge w:val="continue"/>
            <w:tcBorders>
              <w:top w:val="single" w:color="000000" w:sz="4" w:space="0"/>
              <w:left w:val="single" w:color="000000" w:sz="4" w:space="0"/>
              <w:bottom w:val="nil"/>
              <w:right w:val="single" w:color="000000" w:sz="4" w:space="0"/>
            </w:tcBorders>
            <w:shd w:val="clear" w:color="auto" w:fill="FFFFFF"/>
            <w:vAlign w:val="center"/>
          </w:tcPr>
          <w:p w14:paraId="5117D52B">
            <w:pPr>
              <w:jc w:val="center"/>
              <w:rPr>
                <w:rFonts w:hint="eastAsia" w:ascii="宋体" w:hAnsi="宋体" w:eastAsia="宋体" w:cs="宋体"/>
                <w:i w:val="0"/>
                <w:iCs w:val="0"/>
                <w:color w:val="000000"/>
                <w:sz w:val="21"/>
                <w:szCs w:val="21"/>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7819D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绩效工资</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BA22A1">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cs="宋体"/>
                <w:highlight w:val="none"/>
                <w:lang w:eastAsia="zh-CN"/>
              </w:rPr>
              <w:t>★</w:t>
            </w:r>
            <w:r>
              <w:rPr>
                <w:rFonts w:hint="eastAsia" w:ascii="宋体" w:hAnsi="宋体" w:eastAsia="宋体" w:cs="宋体"/>
                <w:i w:val="0"/>
                <w:iCs w:val="0"/>
                <w:color w:val="000000"/>
                <w:kern w:val="0"/>
                <w:sz w:val="21"/>
                <w:szCs w:val="21"/>
                <w:highlight w:val="none"/>
                <w:u w:val="none"/>
                <w:lang w:val="en-US" w:eastAsia="zh-CN" w:bidi="ar"/>
              </w:rPr>
              <w:t>支持和绩效考评后的结果自动计算绩效工资，支持批量导入系统，一键分发工资条，查收状态实时统计，支持手签确认，阅后即焚。支持按照模板批量将教师的工资表上传到平台，教师可以在 OA 办公的工资中查阅个人的工资详情。工资管理能够将传统的工资条电子化，满足教师随时随地查看工资内容，并能进行保密。通过支持导入各种格式的Excel工资表，来自动生成电子工资条，自动推送至员工，保护薪资隐私。</w:t>
            </w:r>
          </w:p>
        </w:tc>
        <w:tc>
          <w:tcPr>
            <w:tcW w:w="489" w:type="pct"/>
            <w:vMerge w:val="continue"/>
            <w:tcBorders>
              <w:top w:val="single" w:color="000000" w:sz="4" w:space="0"/>
              <w:left w:val="single" w:color="000000" w:sz="4" w:space="0"/>
              <w:bottom w:val="nil"/>
              <w:right w:val="single" w:color="000000" w:sz="4" w:space="0"/>
            </w:tcBorders>
            <w:shd w:val="clear" w:color="auto" w:fill="FFFFFF"/>
            <w:vAlign w:val="center"/>
          </w:tcPr>
          <w:p w14:paraId="05F6370C">
            <w:pPr>
              <w:jc w:val="center"/>
              <w:rPr>
                <w:rFonts w:hint="eastAsia" w:ascii="宋体" w:hAnsi="宋体" w:eastAsia="宋体" w:cs="宋体"/>
                <w:i w:val="0"/>
                <w:iCs w:val="0"/>
                <w:color w:val="000000"/>
                <w:sz w:val="21"/>
                <w:szCs w:val="21"/>
                <w:highlight w:val="none"/>
                <w:u w:val="none"/>
              </w:rPr>
            </w:pPr>
          </w:p>
        </w:tc>
        <w:tc>
          <w:tcPr>
            <w:tcW w:w="563" w:type="pct"/>
            <w:vMerge w:val="continue"/>
            <w:tcBorders>
              <w:top w:val="single" w:color="000000" w:sz="4" w:space="0"/>
              <w:left w:val="single" w:color="000000" w:sz="4" w:space="0"/>
              <w:bottom w:val="nil"/>
              <w:right w:val="single" w:color="000000" w:sz="4" w:space="0"/>
            </w:tcBorders>
            <w:shd w:val="clear" w:color="auto" w:fill="FFFFFF"/>
            <w:vAlign w:val="center"/>
          </w:tcPr>
          <w:p w14:paraId="7D575364">
            <w:pPr>
              <w:jc w:val="center"/>
              <w:rPr>
                <w:rFonts w:hint="eastAsia" w:ascii="宋体" w:hAnsi="宋体" w:eastAsia="宋体" w:cs="宋体"/>
                <w:i w:val="0"/>
                <w:iCs w:val="0"/>
                <w:color w:val="000000"/>
                <w:sz w:val="21"/>
                <w:szCs w:val="21"/>
                <w:highlight w:val="none"/>
                <w:u w:val="none"/>
              </w:rPr>
            </w:pPr>
          </w:p>
        </w:tc>
      </w:tr>
      <w:tr w14:paraId="14397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65FAF6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457"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A73465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后勤管理</w:t>
            </w:r>
          </w:p>
        </w:tc>
        <w:tc>
          <w:tcPr>
            <w:tcW w:w="49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E9C81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门禁管理</w:t>
            </w:r>
          </w:p>
        </w:tc>
        <w:tc>
          <w:tcPr>
            <w:tcW w:w="263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1C5AD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管理员按教职工、学生设置通行权限；管理员可通过进行远程开门；支持管理员查看通行记录，并导出报表；设置访客可通行的设备，访客预约成功后，可在门禁刷脸、输入来访ID进行通行；门禁管理可以针对具体人员设置开门权限组，不同的人员拥有不同的权限，对于权限组可以编辑和删除</w:t>
            </w:r>
          </w:p>
          <w:p w14:paraId="110F2B4D">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可以管理添加设备，支持通过扫描二维码添加设备；可以修改设备名称，查看设备版本，序列号和设备通用参数；可以对设备进行远程升级，可以远程进行开门；支持解绑和重置设备；支持根据条件查询设备，例如设备名称，ID等多种人脸录入方式，管理员可以给所有人员录人脸，班主任可以给自己班级的学生录人脸，家长可以给自己的孩子或家庭成员录人脸；可以一键通知大家录入人脸。有记录管理功能，可以查看开门记录，远程开门记录，报警记录，这些记录都可以根据条件进行搜索，例如时间范围，还可以导出记录报表</w:t>
            </w:r>
          </w:p>
          <w:p w14:paraId="424F60CD">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磁力锁：两线双门明装型</w:t>
            </w:r>
          </w:p>
          <w:p w14:paraId="3A1FF6B2">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无残磁、无机械磨损、双门</w:t>
            </w:r>
          </w:p>
          <w:p w14:paraId="12260D3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适用于90度开的任何有框门</w:t>
            </w:r>
          </w:p>
          <w:p w14:paraId="316C16C3">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无框门或内推门可选择配件</w:t>
            </w:r>
          </w:p>
          <w:p w14:paraId="166E66CC">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LED指示</w:t>
            </w:r>
          </w:p>
          <w:p w14:paraId="67EEBB0C">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电压：DC12V输入</w:t>
            </w:r>
          </w:p>
          <w:p w14:paraId="42FC0FD3">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工作电流：800mA</w:t>
            </w:r>
          </w:p>
          <w:p w14:paraId="44326B00">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抗拉力：2*190kg</w:t>
            </w:r>
          </w:p>
        </w:tc>
        <w:tc>
          <w:tcPr>
            <w:tcW w:w="48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3F06D4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56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D18873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2E05B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A1DE39">
            <w:pPr>
              <w:jc w:val="center"/>
              <w:rPr>
                <w:rFonts w:hint="eastAsia" w:ascii="宋体" w:hAnsi="宋体" w:eastAsia="宋体" w:cs="宋体"/>
                <w:i w:val="0"/>
                <w:iCs w:val="0"/>
                <w:color w:val="000000"/>
                <w:sz w:val="21"/>
                <w:szCs w:val="21"/>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4C8B14">
            <w:pPr>
              <w:jc w:val="center"/>
              <w:rPr>
                <w:rFonts w:hint="eastAsia" w:ascii="宋体" w:hAnsi="宋体" w:eastAsia="宋体" w:cs="宋体"/>
                <w:i w:val="0"/>
                <w:iCs w:val="0"/>
                <w:color w:val="000000"/>
                <w:sz w:val="21"/>
                <w:szCs w:val="21"/>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CDD35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考勤设备</w:t>
            </w:r>
          </w:p>
        </w:tc>
        <w:tc>
          <w:tcPr>
            <w:tcW w:w="263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E1AEFC">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人脸识别智慧终端：CPU：双核ARM处理器；RAM：1GB；ROM：4GB；屏幕：8英寸IPS触摸屏，分辨率：1280*800；摄像头： 双摄，200W像素，支持宽动态，二维码识别摄像头；扬声器：单喇叭；防护等级：IP65；内置IC卡读卡器；整机功耗：≤24W；供电：12V/2A；支持功能：访客、考勤、测温。</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17308B">
            <w:pPr>
              <w:jc w:val="center"/>
              <w:rPr>
                <w:rFonts w:hint="eastAsia" w:ascii="宋体" w:hAnsi="宋体" w:eastAsia="宋体" w:cs="宋体"/>
                <w:i w:val="0"/>
                <w:iCs w:val="0"/>
                <w:color w:val="000000"/>
                <w:sz w:val="21"/>
                <w:szCs w:val="21"/>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147ADA">
            <w:pPr>
              <w:jc w:val="center"/>
              <w:rPr>
                <w:rFonts w:hint="eastAsia" w:ascii="宋体" w:hAnsi="宋体" w:eastAsia="宋体" w:cs="宋体"/>
                <w:i w:val="0"/>
                <w:iCs w:val="0"/>
                <w:color w:val="000000"/>
                <w:sz w:val="21"/>
                <w:szCs w:val="21"/>
                <w:highlight w:val="none"/>
                <w:u w:val="none"/>
              </w:rPr>
            </w:pPr>
          </w:p>
        </w:tc>
      </w:tr>
      <w:tr w14:paraId="00F48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AEA9A8">
            <w:pPr>
              <w:jc w:val="center"/>
              <w:rPr>
                <w:rFonts w:hint="eastAsia" w:ascii="宋体" w:hAnsi="宋体" w:eastAsia="宋体" w:cs="宋体"/>
                <w:i w:val="0"/>
                <w:iCs w:val="0"/>
                <w:color w:val="000000"/>
                <w:sz w:val="21"/>
                <w:szCs w:val="21"/>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5A6454">
            <w:pPr>
              <w:jc w:val="center"/>
              <w:rPr>
                <w:rFonts w:hint="eastAsia" w:ascii="宋体" w:hAnsi="宋体" w:eastAsia="宋体" w:cs="宋体"/>
                <w:i w:val="0"/>
                <w:iCs w:val="0"/>
                <w:color w:val="000000"/>
                <w:sz w:val="21"/>
                <w:szCs w:val="21"/>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90C7E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智能储物柜</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224098">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highlight w:val="none"/>
                <w:lang w:eastAsia="zh-CN"/>
              </w:rPr>
              <w:t>★</w:t>
            </w:r>
            <w:r>
              <w:rPr>
                <w:rFonts w:hint="eastAsia" w:ascii="宋体" w:hAnsi="宋体" w:eastAsia="宋体" w:cs="宋体"/>
                <w:i w:val="0"/>
                <w:iCs w:val="0"/>
                <w:color w:val="000000"/>
                <w:kern w:val="0"/>
                <w:sz w:val="21"/>
                <w:szCs w:val="21"/>
                <w:highlight w:val="none"/>
                <w:u w:val="none"/>
                <w:lang w:val="en-US" w:eastAsia="zh-CN" w:bidi="ar"/>
              </w:rPr>
              <w:t>1、智能储物柜系统，配合双面智能储物柜，一般放在校门口区域，家长在校外刷脸存物，学生在校内刷脸取物；取物通知可发送至班主任手机或电子班牌、教学一体机，不影响正常教学秩序，无需等待；存取一对一，防丢失，又因辨识能力较弱总是拿错物品的问题，进而有效减轻班主任与家长频繁联系的负担，以及门卫的管理负担。（需提供功能截图）</w:t>
            </w:r>
          </w:p>
          <w:p w14:paraId="327FD04A">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2、智能储物柜产品外观：高1820mm, 宽950mm, 厚500mm，20格子</w:t>
            </w:r>
          </w:p>
          <w:p w14:paraId="024B1724">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成品厚度：0.8mm</w:t>
            </w:r>
          </w:p>
          <w:p w14:paraId="5D069084">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电压：220V,60Hz/50Hz     </w:t>
            </w:r>
          </w:p>
          <w:p w14:paraId="324F814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出货方式：电磁锁</w:t>
            </w:r>
          </w:p>
          <w:p w14:paraId="49A2D3C5">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货道情况：货道定制</w:t>
            </w:r>
          </w:p>
          <w:p w14:paraId="22923BE0">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精密焊接工艺：机柜正反面采用喷涂工艺</w:t>
            </w:r>
          </w:p>
          <w:p w14:paraId="1AD0DC21">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工控主板：安卓5.1系统以上  1+8</w:t>
            </w:r>
          </w:p>
          <w:p w14:paraId="2A7676E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操控方式：屏幕触摸</w:t>
            </w:r>
          </w:p>
          <w:p w14:paraId="603BEAAB">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通讯：4G加WIFI</w:t>
            </w:r>
          </w:p>
          <w:p w14:paraId="5F5E8D1E">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4G天线：增益大天线，10.1寸电容触摸屏幕*2：</w:t>
            </w:r>
          </w:p>
          <w:p w14:paraId="078C222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1.CPU：A40i,四核，主频最高1.2GHz</w:t>
            </w:r>
          </w:p>
          <w:p w14:paraId="64FF18D0">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2.运行内存：1GB</w:t>
            </w:r>
          </w:p>
          <w:p w14:paraId="3E297D0D">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3.EMMC：8GB</w:t>
            </w:r>
          </w:p>
          <w:p w14:paraId="2110C4E5">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4.内置ROM：2KBEEPROM</w:t>
            </w:r>
          </w:p>
          <w:p w14:paraId="2761B91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5操作系统：Android7.1</w:t>
            </w:r>
          </w:p>
          <w:p w14:paraId="1C6EA5E0">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6.网络支持：以太网、支持WiFi/蓝牙4.0、无线外设扩展</w:t>
            </w:r>
          </w:p>
          <w:p w14:paraId="512AA163">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7.视频播放：支持wmv、avi、flv、rm、rmvb、mpeg、ts、mp4等</w:t>
            </w:r>
          </w:p>
          <w:p w14:paraId="3A2704F6">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8.图片格式：支持BMP、JPEG、PNG、GIF</w:t>
            </w:r>
          </w:p>
          <w:p w14:paraId="5AD70804">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9.亮度：500cd/m²</w:t>
            </w:r>
          </w:p>
          <w:p w14:paraId="4EB52ACA">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10.分辨率：800*1180</w:t>
            </w:r>
          </w:p>
          <w:p w14:paraId="36A0463F">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11.视角：全视角</w:t>
            </w:r>
          </w:p>
          <w:p w14:paraId="012A51CB">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12.触摸形式：3点电容式</w:t>
            </w:r>
          </w:p>
          <w:p w14:paraId="7AF67B64">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13.串口：2个串口TTL插座，2个串口RS232插座</w:t>
            </w:r>
          </w:p>
          <w:p w14:paraId="7FEB0BDC">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14.USB：2个USBHOST、1个USB插座</w:t>
            </w:r>
          </w:p>
          <w:p w14:paraId="7F51764B">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15.以太网：1个，10M/100M自适应以太网</w:t>
            </w:r>
          </w:p>
          <w:p w14:paraId="1DAA0F2B">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16.LVDS输出：1个单/双路，可直接驱动50/60Hz液晶屏</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D3BCB3">
            <w:pPr>
              <w:jc w:val="center"/>
              <w:rPr>
                <w:rFonts w:hint="eastAsia" w:ascii="宋体" w:hAnsi="宋体" w:eastAsia="宋体" w:cs="宋体"/>
                <w:i w:val="0"/>
                <w:iCs w:val="0"/>
                <w:color w:val="000000"/>
                <w:sz w:val="21"/>
                <w:szCs w:val="21"/>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1C476F">
            <w:pPr>
              <w:jc w:val="center"/>
              <w:rPr>
                <w:rFonts w:hint="eastAsia" w:ascii="宋体" w:hAnsi="宋体" w:eastAsia="宋体" w:cs="宋体"/>
                <w:i w:val="0"/>
                <w:iCs w:val="0"/>
                <w:color w:val="000000"/>
                <w:sz w:val="21"/>
                <w:szCs w:val="21"/>
                <w:highlight w:val="none"/>
                <w:u w:val="none"/>
              </w:rPr>
            </w:pPr>
          </w:p>
        </w:tc>
      </w:tr>
      <w:tr w14:paraId="2630C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61C5F1">
            <w:pPr>
              <w:jc w:val="center"/>
              <w:rPr>
                <w:rFonts w:hint="eastAsia" w:ascii="宋体" w:hAnsi="宋体" w:eastAsia="宋体" w:cs="宋体"/>
                <w:i w:val="0"/>
                <w:iCs w:val="0"/>
                <w:color w:val="000000"/>
                <w:sz w:val="21"/>
                <w:szCs w:val="21"/>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053161">
            <w:pPr>
              <w:jc w:val="center"/>
              <w:rPr>
                <w:rFonts w:hint="eastAsia" w:ascii="宋体" w:hAnsi="宋体" w:eastAsia="宋体" w:cs="宋体"/>
                <w:i w:val="0"/>
                <w:iCs w:val="0"/>
                <w:color w:val="000000"/>
                <w:sz w:val="21"/>
                <w:szCs w:val="21"/>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E408D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积分兑换系统</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2CA99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学校设置学生积分转换规则，学生用积分兑换礼品，提高学生学习动力、参与度</w:t>
            </w:r>
          </w:p>
          <w:p w14:paraId="5E61191E">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尺寸：高1920mm，宽1240mm，厚740mm</w:t>
            </w:r>
          </w:p>
          <w:p w14:paraId="284B4982">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电压：220V，60HZ/50HZ</w:t>
            </w:r>
          </w:p>
          <w:p w14:paraId="7ACED5C0">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温度：常温</w:t>
            </w:r>
          </w:p>
          <w:p w14:paraId="0591EAC7">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能耗：24小时1-2度</w:t>
            </w:r>
          </w:p>
          <w:p w14:paraId="5BFFA420">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货道情况：货道定制</w:t>
            </w:r>
          </w:p>
          <w:p w14:paraId="54936F23">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照明系统：LED灯照明</w:t>
            </w:r>
          </w:p>
          <w:p w14:paraId="558DC274">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工艺：精密焊接工艺，机柜正反面采用喷涂工艺，钢化玻璃</w:t>
            </w:r>
          </w:p>
          <w:p w14:paraId="2F6A8E18">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工控主板：安卓5.1系统 1+8 </w:t>
            </w:r>
          </w:p>
          <w:p w14:paraId="326EA10C">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支付方式：刷脸积分兑换</w:t>
            </w:r>
          </w:p>
          <w:p w14:paraId="0827532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操控方式：屏幕触摸</w:t>
            </w:r>
          </w:p>
          <w:p w14:paraId="2CFD3951">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通讯：4G加WIFI</w:t>
            </w:r>
          </w:p>
          <w:p w14:paraId="08E42F0F">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4G天线：增益大天线</w:t>
            </w:r>
          </w:p>
          <w:p w14:paraId="1D3DC1BA">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屏幕：21.5寸电容触摸</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9978AD">
            <w:pPr>
              <w:jc w:val="center"/>
              <w:rPr>
                <w:rFonts w:hint="eastAsia" w:ascii="宋体" w:hAnsi="宋体" w:eastAsia="宋体" w:cs="宋体"/>
                <w:i w:val="0"/>
                <w:iCs w:val="0"/>
                <w:color w:val="000000"/>
                <w:sz w:val="21"/>
                <w:szCs w:val="21"/>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404521">
            <w:pPr>
              <w:jc w:val="center"/>
              <w:rPr>
                <w:rFonts w:hint="eastAsia" w:ascii="宋体" w:hAnsi="宋体" w:eastAsia="宋体" w:cs="宋体"/>
                <w:i w:val="0"/>
                <w:iCs w:val="0"/>
                <w:color w:val="000000"/>
                <w:sz w:val="21"/>
                <w:szCs w:val="21"/>
                <w:highlight w:val="none"/>
                <w:u w:val="none"/>
              </w:rPr>
            </w:pPr>
          </w:p>
        </w:tc>
      </w:tr>
      <w:tr w14:paraId="0F930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85B428">
            <w:pPr>
              <w:jc w:val="center"/>
              <w:rPr>
                <w:rFonts w:hint="eastAsia" w:ascii="宋体" w:hAnsi="宋体" w:eastAsia="宋体" w:cs="宋体"/>
                <w:i w:val="0"/>
                <w:iCs w:val="0"/>
                <w:color w:val="000000"/>
                <w:sz w:val="21"/>
                <w:szCs w:val="21"/>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850691">
            <w:pPr>
              <w:jc w:val="center"/>
              <w:rPr>
                <w:rFonts w:hint="eastAsia" w:ascii="宋体" w:hAnsi="宋体" w:eastAsia="宋体" w:cs="宋体"/>
                <w:i w:val="0"/>
                <w:iCs w:val="0"/>
                <w:color w:val="000000"/>
                <w:sz w:val="21"/>
                <w:szCs w:val="21"/>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D438A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校园报修</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6F902B">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教职工可通过手机扫码或 WEB 端发起报修申请、催办、评价，管理人员可受理和处理报修信息，可查看报修报表数据。</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9CB357">
            <w:pPr>
              <w:jc w:val="center"/>
              <w:rPr>
                <w:rFonts w:hint="eastAsia" w:ascii="宋体" w:hAnsi="宋体" w:eastAsia="宋体" w:cs="宋体"/>
                <w:i w:val="0"/>
                <w:iCs w:val="0"/>
                <w:color w:val="000000"/>
                <w:sz w:val="21"/>
                <w:szCs w:val="21"/>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AB2754">
            <w:pPr>
              <w:jc w:val="center"/>
              <w:rPr>
                <w:rFonts w:hint="eastAsia" w:ascii="宋体" w:hAnsi="宋体" w:eastAsia="宋体" w:cs="宋体"/>
                <w:i w:val="0"/>
                <w:iCs w:val="0"/>
                <w:color w:val="000000"/>
                <w:sz w:val="21"/>
                <w:szCs w:val="21"/>
                <w:highlight w:val="none"/>
                <w:u w:val="none"/>
              </w:rPr>
            </w:pPr>
          </w:p>
        </w:tc>
      </w:tr>
      <w:tr w14:paraId="2A608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B54800">
            <w:pPr>
              <w:jc w:val="center"/>
              <w:rPr>
                <w:rFonts w:hint="eastAsia" w:ascii="宋体" w:hAnsi="宋体" w:eastAsia="宋体" w:cs="宋体"/>
                <w:i w:val="0"/>
                <w:iCs w:val="0"/>
                <w:color w:val="000000"/>
                <w:sz w:val="21"/>
                <w:szCs w:val="21"/>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3D5369">
            <w:pPr>
              <w:jc w:val="center"/>
              <w:rPr>
                <w:rFonts w:hint="eastAsia" w:ascii="宋体" w:hAnsi="宋体" w:eastAsia="宋体" w:cs="宋体"/>
                <w:i w:val="0"/>
                <w:iCs w:val="0"/>
                <w:color w:val="000000"/>
                <w:sz w:val="21"/>
                <w:szCs w:val="21"/>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B0B81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车辆停车管理系统</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7B196B">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1.首页</w:t>
            </w:r>
          </w:p>
          <w:p w14:paraId="1809DCD1">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数据概况：统计展示在场车辆数量、内部车辆数量、家长车辆数量、车道数量、进口数量、出口数量。</w:t>
            </w:r>
          </w:p>
          <w:p w14:paraId="1D3DCD7C">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数据分析：统计展示车流量分析，含离开车辆与进入车辆的数量对比。</w:t>
            </w:r>
          </w:p>
          <w:p w14:paraId="7A4D8EE3">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2.访客车辆管理</w:t>
            </w:r>
          </w:p>
          <w:p w14:paraId="2407BA35">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列表展示访客车辆信息，含车牌号、访客姓名、访客联系方式、访客身份证号码、访客出入时间；支持点击查看访客详情；支持输入关键字搜索查询访客信息，如姓名、车牌号、来访状态、访客时间；支持新增访客车辆，填写访客车辆信息提交；支持查看访客车辆申请记录</w:t>
            </w:r>
          </w:p>
          <w:p w14:paraId="7FBC6BE6">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3.内部车辆管理</w:t>
            </w:r>
          </w:p>
          <w:p w14:paraId="46F007D5">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列表展示内部车辆，含车牌号、姓名、部门、联系方式、车辆来源、时间、权限名称；支持对内部车辆进行编辑、删除操作；支持安装内置模板，进行车辆导入；支持新增车辆；支持输入关键字搜索查询车辆信息。</w:t>
            </w:r>
          </w:p>
          <w:p w14:paraId="16FD1EF5">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4.家校车辆管理</w:t>
            </w:r>
          </w:p>
          <w:p w14:paraId="7B5D7F71">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（1）车牌管理：列表展示家长录入的所有车牌、手机号，以及关联学生情况（展示学生名下车牌号列表）</w:t>
            </w:r>
          </w:p>
          <w:p w14:paraId="55F11660">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（2）权限管理：设置不同权限组的通行规则，维护权限名称、通行日期、通行周期、开始时间、结束时间、车道、范围；支持新增权限，通过权限名称筛选查询。</w:t>
            </w:r>
          </w:p>
          <w:p w14:paraId="684E397B">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4.在场车辆</w:t>
            </w:r>
          </w:p>
          <w:p w14:paraId="6EC87676">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列表展示在场车辆，含车牌号、入场车道、入场图片、入场时间、姓名、联系方式、车辆来源；支持对在场车辆进行结束操作和挪车提醒；支持操作的二次确认；支持批量操作；支持输入关键字搜索查询在场车辆信息。</w:t>
            </w:r>
          </w:p>
          <w:p w14:paraId="6C35CC5F">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5.车道管理</w:t>
            </w:r>
          </w:p>
          <w:p w14:paraId="792A6EDC">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车场设置：列表展示车场情况，含车场名称、车场编号、添加时间；支持新增车场；支持输入关键字搜查查询车场信息。</w:t>
            </w:r>
          </w:p>
          <w:p w14:paraId="5FF54385">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车道设置：列表展示车道情况，含车道名称、车场名称、车道编号、车道方向、IP、在线状态、添加时间；支持对车道进行编辑、删除、校对时间操作；支持对校对时间操作进行二次确认；支持新增车道；支持输入关键字搜查查询车道信息。</w:t>
            </w:r>
          </w:p>
          <w:p w14:paraId="52A7DDE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6.基础设置</w:t>
            </w:r>
          </w:p>
          <w:p w14:paraId="66033B22">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是否离职自动删除车辆；是否一位多车；是否允许员工自主录入车辆；</w:t>
            </w:r>
          </w:p>
          <w:p w14:paraId="6761E0C0">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员工自助录入是否需审批。</w:t>
            </w:r>
          </w:p>
          <w:p w14:paraId="238BFC65">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7.门岗设置</w:t>
            </w:r>
          </w:p>
          <w:p w14:paraId="5E61C977">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列表展示门岗信息，含姓名、门岗位置；支持对已维护的门岗信息进行删除操作；支持新增门岗信息；支持输入关键字搜索查询门岗信息。</w:t>
            </w:r>
          </w:p>
          <w:p w14:paraId="239038E3">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8.权限管理</w:t>
            </w:r>
          </w:p>
          <w:p w14:paraId="44532576">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列表展示权限信息，含权限名称、权限时间、车道；支持对已维护的权限进行编辑、删除和添加车牌操作；添加车牌支持跳转二级页面，列表展示车牌号、姓名、联系方式；支持新增和批量导入车牌信息；支持对已维护的车牌进行删除操作；支持新增权限；支持输入关键字搜索查询权限信息；支持一人绑定多车。</w:t>
            </w:r>
          </w:p>
          <w:p w14:paraId="26EF8C3C">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9.报表</w:t>
            </w:r>
          </w:p>
          <w:p w14:paraId="5B12CA8E">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进出统计：列表展示车辆进出信息统计，含类型、车牌号、姓名、部门、被访部门、联系方式、进场次数、出场次数；支持输入关键字搜索查询车辆进出信息统计。</w:t>
            </w:r>
          </w:p>
          <w:p w14:paraId="77EFB93B">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进出记录：列表展示车辆进出记录信息，含车牌号、入场时间、入场图片、出场时间、时长、姓名、部门、被访部门、联系方式；支持车辆进出记录信息的导出；支持输入关键字搜索查询车辆进出记录信息。</w:t>
            </w:r>
          </w:p>
          <w:p w14:paraId="2CCD1441">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10.移动端</w:t>
            </w:r>
          </w:p>
          <w:p w14:paraId="6B4EC4C3">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新增车辆：支持用户在手机端录入车辆信息包含车辆来源、车主姓名、所属单位、联系方式、车牌号码、进出日期区间等信息。</w:t>
            </w:r>
          </w:p>
          <w:p w14:paraId="6082A057">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进出记录：支持管理员在手机端查看所选日期内出入车辆的信息记录。</w:t>
            </w:r>
          </w:p>
          <w:p w14:paraId="04B22FF6">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我的车辆：支持用户在手机端维护绑定车辆的信息含联系方式、车牌号码等。</w:t>
            </w:r>
          </w:p>
          <w:p w14:paraId="67CF2098">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数据统计：统计当前在场车辆、在场内部车辆、在场访客车辆。</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94CB4F">
            <w:pPr>
              <w:jc w:val="center"/>
              <w:rPr>
                <w:rFonts w:hint="eastAsia" w:ascii="宋体" w:hAnsi="宋体" w:eastAsia="宋体" w:cs="宋体"/>
                <w:i w:val="0"/>
                <w:iCs w:val="0"/>
                <w:color w:val="000000"/>
                <w:sz w:val="21"/>
                <w:szCs w:val="21"/>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DBEB9F">
            <w:pPr>
              <w:jc w:val="center"/>
              <w:rPr>
                <w:rFonts w:hint="eastAsia" w:ascii="宋体" w:hAnsi="宋体" w:eastAsia="宋体" w:cs="宋体"/>
                <w:i w:val="0"/>
                <w:iCs w:val="0"/>
                <w:color w:val="000000"/>
                <w:sz w:val="21"/>
                <w:szCs w:val="21"/>
                <w:highlight w:val="none"/>
                <w:u w:val="none"/>
              </w:rPr>
            </w:pPr>
          </w:p>
        </w:tc>
      </w:tr>
      <w:tr w14:paraId="37C56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6E1A0A">
            <w:pPr>
              <w:jc w:val="center"/>
              <w:rPr>
                <w:rFonts w:hint="eastAsia" w:ascii="宋体" w:hAnsi="宋体" w:eastAsia="宋体" w:cs="宋体"/>
                <w:i w:val="0"/>
                <w:iCs w:val="0"/>
                <w:color w:val="000000"/>
                <w:sz w:val="21"/>
                <w:szCs w:val="21"/>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80E1D2">
            <w:pPr>
              <w:jc w:val="center"/>
              <w:rPr>
                <w:rFonts w:hint="eastAsia" w:ascii="宋体" w:hAnsi="宋体" w:eastAsia="宋体" w:cs="宋体"/>
                <w:i w:val="0"/>
                <w:iCs w:val="0"/>
                <w:color w:val="000000"/>
                <w:sz w:val="21"/>
                <w:szCs w:val="21"/>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5231A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智慧停车设备</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699F2C">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车牌识别显示一体机：摄像机：300w高清摄像。识别正确率：≥99.9%；CPU：高性能嵌入式处理器；识别角度：≤45°；车速范围：0-40Km/h；显示屏：P4.75mm间距LED高亮竖行显示屏，显示屏尺寸152*304mm；语音播报：支持；补光灯：智能补光灯,开关软件控制；识别特征：号码、颜色、类型；支持拍照类型：蓝牌、黑牌、黄牌、双层黄牌、警察车牌、新式武警牌、新能源车牌；尺寸规格：257mm*150mm*1450mm（长*宽*高）；额定功率：&lt;60W；通讯方式：TCP/485；LED显示屏:2行显示（可切换显示方式）；外壳防护等级:IP54机箱</w:t>
            </w:r>
          </w:p>
          <w:p w14:paraId="5A237940">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2、道闸机箱：产品参数</w:t>
            </w:r>
          </w:p>
          <w:p w14:paraId="2D47CFB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箱体尺寸：1036*340*251mm</w:t>
            </w:r>
          </w:p>
          <w:p w14:paraId="6E25E9E4">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箱体厚度：1.4mm</w:t>
            </w:r>
          </w:p>
          <w:p w14:paraId="1DE567FB">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电机功率：150w</w:t>
            </w:r>
          </w:p>
          <w:p w14:paraId="370ADBCD">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运行速度：3-6S</w:t>
            </w:r>
          </w:p>
          <w:p w14:paraId="61816FB4">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电机转速：1400RPM</w:t>
            </w:r>
          </w:p>
          <w:p w14:paraId="0B3006E8">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电机驱动：24V直流无刷电机</w:t>
            </w:r>
          </w:p>
          <w:p w14:paraId="3F07CECA">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工作电压：DC24V 8A</w:t>
            </w:r>
          </w:p>
          <w:p w14:paraId="7EAA9AB1">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适配杆型：直杆(≤6M)、栅栏杆(≤4M)泡沫杆(≤4M)、圆杆(≤4M)</w:t>
            </w:r>
          </w:p>
          <w:p w14:paraId="34D77D92">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断电起杆：选配</w:t>
            </w:r>
          </w:p>
          <w:p w14:paraId="7E1523D3">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遥控距离：≤30M</w:t>
            </w:r>
          </w:p>
          <w:p w14:paraId="57E9FBD4">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环境湿度：30C至60°C</w:t>
            </w:r>
          </w:p>
          <w:p w14:paraId="22196285">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相对湿度：90%以内(无凝露）</w:t>
            </w:r>
          </w:p>
          <w:p w14:paraId="0AD395A4">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海拔高度：1000M以下</w:t>
            </w:r>
          </w:p>
          <w:p w14:paraId="225A6F03">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运行寿命：&gt;500W次</w:t>
            </w:r>
          </w:p>
          <w:p w14:paraId="2C10B9D5">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防水等级：IP54</w:t>
            </w:r>
          </w:p>
          <w:p w14:paraId="20B2DB7C">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3、雷达：工作电压 +9~+24V DC，</w:t>
            </w:r>
          </w:p>
          <w:p w14:paraId="1AAD654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电流 ≤200mA@12V</w:t>
            </w:r>
          </w:p>
          <w:p w14:paraId="747F66B1">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工作频率范围  77~80GHz</w:t>
            </w:r>
          </w:p>
          <w:p w14:paraId="111C3FD6">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响应时间 &lt;75ms</w:t>
            </w:r>
          </w:p>
          <w:p w14:paraId="2F1F38C2">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支持杆长（车道宽度） 1~6m（可设定）</w:t>
            </w:r>
          </w:p>
          <w:p w14:paraId="41B8D252">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防砸区域 横向0.5-1. m（可设定）</w:t>
            </w:r>
          </w:p>
          <w:p w14:paraId="79DC285C">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检测目标 车辆，行人</w:t>
            </w:r>
          </w:p>
          <w:p w14:paraId="61DF844D">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调试方式 蓝牙</w:t>
            </w:r>
          </w:p>
          <w:p w14:paraId="1415096E">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在线更新 蓝牙</w:t>
            </w:r>
          </w:p>
          <w:p w14:paraId="29E0C35D">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水平视角 ±40°</w:t>
            </w:r>
          </w:p>
          <w:p w14:paraId="47F9AC17">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俯仰视角 ±15°</w:t>
            </w:r>
          </w:p>
          <w:p w14:paraId="75C426EF">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工作温度 -40℃～+85℃</w:t>
            </w:r>
          </w:p>
          <w:p w14:paraId="1581C241">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外形尺寸 Ф107.9mm×22.8mm</w:t>
            </w:r>
          </w:p>
          <w:p w14:paraId="2804319A">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防护等级 IP66</w:t>
            </w:r>
          </w:p>
          <w:p w14:paraId="2E99252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4、地感及车检器：工作温度：-80～+200℃</w:t>
            </w:r>
          </w:p>
          <w:p w14:paraId="362AB528">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绝 缘：FEP 铁氟龙</w:t>
            </w:r>
          </w:p>
          <w:p w14:paraId="22C84BDB">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线规（AWG）：20</w:t>
            </w:r>
          </w:p>
          <w:p w14:paraId="5BC2AB34">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导 体：绞合镀锡铜线（100%纯铜+镀锡）</w:t>
            </w:r>
          </w:p>
          <w:p w14:paraId="29795D8C">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导体结构 根数/线径（mm）：19*0.265</w:t>
            </w:r>
          </w:p>
          <w:p w14:paraId="324197CF">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导体截面积：0.518</w:t>
            </w:r>
          </w:p>
          <w:p w14:paraId="78DEA76E">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绝缘平均厚度（mm）：0.33</w:t>
            </w:r>
          </w:p>
          <w:p w14:paraId="038B25F3">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平均外径（mm）：0.85</w:t>
            </w:r>
          </w:p>
          <w:p w14:paraId="5D8AB8B2">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20 ℃时导体直流电阻（Ω/km）：33.23</w:t>
            </w:r>
          </w:p>
          <w:p w14:paraId="370062B6">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包装长度（m）：40米</w:t>
            </w:r>
          </w:p>
          <w:p w14:paraId="7B86867A">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颜色:红色/蓝色</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194C4F">
            <w:pPr>
              <w:jc w:val="center"/>
              <w:rPr>
                <w:rFonts w:hint="eastAsia" w:ascii="宋体" w:hAnsi="宋体" w:eastAsia="宋体" w:cs="宋体"/>
                <w:i w:val="0"/>
                <w:iCs w:val="0"/>
                <w:color w:val="000000"/>
                <w:sz w:val="21"/>
                <w:szCs w:val="21"/>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6AFD7E">
            <w:pPr>
              <w:jc w:val="center"/>
              <w:rPr>
                <w:rFonts w:hint="eastAsia" w:ascii="宋体" w:hAnsi="宋体" w:eastAsia="宋体" w:cs="宋体"/>
                <w:i w:val="0"/>
                <w:iCs w:val="0"/>
                <w:color w:val="000000"/>
                <w:sz w:val="21"/>
                <w:szCs w:val="21"/>
                <w:highlight w:val="none"/>
                <w:u w:val="none"/>
              </w:rPr>
            </w:pPr>
          </w:p>
        </w:tc>
      </w:tr>
      <w:tr w14:paraId="6262F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B7CCDA">
            <w:pPr>
              <w:jc w:val="center"/>
              <w:rPr>
                <w:rFonts w:hint="eastAsia" w:ascii="宋体" w:hAnsi="宋体" w:eastAsia="宋体" w:cs="宋体"/>
                <w:i w:val="0"/>
                <w:iCs w:val="0"/>
                <w:color w:val="000000"/>
                <w:sz w:val="21"/>
                <w:szCs w:val="21"/>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C3D8E3">
            <w:pPr>
              <w:jc w:val="center"/>
              <w:rPr>
                <w:rFonts w:hint="eastAsia" w:ascii="宋体" w:hAnsi="宋体" w:eastAsia="宋体" w:cs="宋体"/>
                <w:i w:val="0"/>
                <w:iCs w:val="0"/>
                <w:color w:val="000000"/>
                <w:sz w:val="21"/>
                <w:szCs w:val="21"/>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3FEBA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智慧访客</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95A3A2">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highlight w:val="none"/>
                <w:lang w:eastAsia="zh-CN"/>
              </w:rPr>
              <w:t>★</w:t>
            </w:r>
            <w:r>
              <w:rPr>
                <w:rFonts w:hint="eastAsia" w:ascii="宋体" w:hAnsi="宋体" w:eastAsia="宋体" w:cs="宋体"/>
                <w:i w:val="0"/>
                <w:iCs w:val="0"/>
                <w:color w:val="000000"/>
                <w:kern w:val="0"/>
                <w:sz w:val="21"/>
                <w:szCs w:val="21"/>
                <w:highlight w:val="none"/>
                <w:u w:val="none"/>
                <w:lang w:val="en-US" w:eastAsia="zh-CN" w:bidi="ar"/>
              </w:rPr>
              <w:t>1.学校PC端</w:t>
            </w:r>
          </w:p>
          <w:p w14:paraId="34DAE10E">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（1）数据看板：</w:t>
            </w:r>
          </w:p>
          <w:p w14:paraId="4F5AD4C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今日关键数据：访客人数、正在访问人数、已签退人数；</w:t>
            </w:r>
          </w:p>
          <w:p w14:paraId="64718BC1">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近七日访客人数：以柱形图展示近七日访客中，总访问人数、已到访人数的数据及对比；</w:t>
            </w:r>
          </w:p>
          <w:p w14:paraId="70331F01">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近七日预约次数：以折线图形式展示最近七日的预约次数；</w:t>
            </w:r>
          </w:p>
          <w:p w14:paraId="0A6D048D">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来访目的：以饼图形式展示各来访目的得人数统计及对比；</w:t>
            </w:r>
          </w:p>
          <w:p w14:paraId="02237432">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来访明细：列表展示访客姓名、到访日期、来访目的；</w:t>
            </w:r>
          </w:p>
          <w:p w14:paraId="632E298B">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被访人统计：列表展示教职工被访排名、教师工姓名、访问人数、访问时长；</w:t>
            </w:r>
          </w:p>
          <w:p w14:paraId="18931858">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支持按日期区间筛选查询来访目的、来访明细、被访人统计；支持数据导出。</w:t>
            </w:r>
          </w:p>
          <w:p w14:paraId="5D32268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（2）记录</w:t>
            </w:r>
          </w:p>
          <w:p w14:paraId="3E20BD1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申请记录：列表展示访客申请记录，含访客姓名、被访人、所在校区、部门、预约到访时间、预约结束时间、申请时间、审批人、状态等；支持查看访客详情，含访客信息、访问信息、审核信息；支持按被访人、部门、访客姓名、预约到访日期、申请日期、审批人、状态等筛选查询访客信息。</w:t>
            </w:r>
          </w:p>
          <w:p w14:paraId="5E9C58B4">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访客记录：列表展示访客记录列表，含访客姓名、被访人、所在校区、部门、预约到访时间、预约结束时间、状态；支持查看访客详情，含访客信息和访问信息；支持按被访人姓名、部门、访客姓名、预约到访日期、状态筛选查询访客记录；支持数据导出。</w:t>
            </w:r>
          </w:p>
          <w:p w14:paraId="4DFA4E28">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（3）访客邀约：列表展示访客邀约记录；支持新增邀约记录，操作完成后形成一条邀约记录；如果邀约多人拜访，可下载模版进行上传操作，操作完成后生成多条邀约记录；</w:t>
            </w:r>
          </w:p>
          <w:p w14:paraId="7B90ED9C">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邀约审批通过后，邀约信息会通过短信方式发送至被邀约人，被邀约人可点击生成邀约码，也可录入人脸，访问时直接刷码、刷脸入校。</w:t>
            </w:r>
          </w:p>
          <w:p w14:paraId="50C35AAC">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（4）访客设置（审批设置）：设置访客身份证是否必填、同行人信息是否必填、是否允许访客自主登记审批、访客邀约是否需要审批。</w:t>
            </w:r>
          </w:p>
          <w:p w14:paraId="579E1EAD">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2.访客移动端</w:t>
            </w:r>
          </w:p>
          <w:p w14:paraId="15ECC09D">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访客申请：支持访客填写访客申请单申请访客，含被访人、被访人所在校区、被访部门、联系方式、预约到访时间、预约结束时间、来访目的；</w:t>
            </w:r>
          </w:p>
          <w:p w14:paraId="29BCB7E5">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申请记录：被访人审批通过后，展示申请记录；支持按日期、被访人姓名筛选查询申请记录。</w:t>
            </w:r>
          </w:p>
          <w:p w14:paraId="5FDEAF7D">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3.教师移动端</w:t>
            </w:r>
          </w:p>
          <w:p w14:paraId="103CE187">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访客审批：展示我的审批记录和全校审批记录，全校记录管理员可查看；支持输入访客姓名查询审批记录。</w:t>
            </w:r>
          </w:p>
          <w:p w14:paraId="7A81F4B1">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邀约访客：教师主动邀约访客，填写访客信息单，生成访客记录；支持一键结束和一键到访操作；一键到访，生成访客签到通知；一键结束，生成访客签退通知。</w:t>
            </w:r>
          </w:p>
          <w:p w14:paraId="707E5BAA">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访客记录：支持查看我的访客记录和全校访客记录，全校访客记录管理员可查看；支持按日期、访客姓名筛选查询访客记录。</w:t>
            </w:r>
          </w:p>
          <w:p w14:paraId="31425286">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个人访客码：二维码支持下载；预约链接支持复制。</w:t>
            </w:r>
          </w:p>
          <w:p w14:paraId="322A32DE">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单位访客码：二维码支持下载；预约链接支持复制。</w:t>
            </w:r>
          </w:p>
          <w:p w14:paraId="61345AFE">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4.访客大屏</w:t>
            </w:r>
          </w:p>
          <w:p w14:paraId="3FE5086C">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展示累计访客数量、今日访客数量统计、访问部门分布、近期访客趋势、访客来源分析。</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9F6A0A">
            <w:pPr>
              <w:jc w:val="center"/>
              <w:rPr>
                <w:rFonts w:hint="eastAsia" w:ascii="宋体" w:hAnsi="宋体" w:eastAsia="宋体" w:cs="宋体"/>
                <w:i w:val="0"/>
                <w:iCs w:val="0"/>
                <w:color w:val="000000"/>
                <w:sz w:val="21"/>
                <w:szCs w:val="21"/>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A3C045">
            <w:pPr>
              <w:jc w:val="center"/>
              <w:rPr>
                <w:rFonts w:hint="eastAsia" w:ascii="宋体" w:hAnsi="宋体" w:eastAsia="宋体" w:cs="宋体"/>
                <w:i w:val="0"/>
                <w:iCs w:val="0"/>
                <w:color w:val="000000"/>
                <w:sz w:val="21"/>
                <w:szCs w:val="21"/>
                <w:highlight w:val="none"/>
                <w:u w:val="none"/>
              </w:rPr>
            </w:pPr>
          </w:p>
        </w:tc>
      </w:tr>
      <w:tr w14:paraId="01722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8C613D">
            <w:pPr>
              <w:jc w:val="center"/>
              <w:rPr>
                <w:rFonts w:hint="eastAsia" w:ascii="宋体" w:hAnsi="宋体" w:eastAsia="宋体" w:cs="宋体"/>
                <w:i w:val="0"/>
                <w:iCs w:val="0"/>
                <w:color w:val="000000"/>
                <w:sz w:val="21"/>
                <w:szCs w:val="21"/>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20ECB0">
            <w:pPr>
              <w:jc w:val="center"/>
              <w:rPr>
                <w:rFonts w:hint="eastAsia" w:ascii="宋体" w:hAnsi="宋体" w:eastAsia="宋体" w:cs="宋体"/>
                <w:i w:val="0"/>
                <w:iCs w:val="0"/>
                <w:color w:val="000000"/>
                <w:sz w:val="21"/>
                <w:szCs w:val="21"/>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FA948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场所预约</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9EAFFC">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1.PC端</w:t>
            </w:r>
          </w:p>
          <w:p w14:paraId="2DC3BB3E">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（1）数据看板</w:t>
            </w:r>
          </w:p>
          <w:p w14:paraId="2D369C23">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统计展示预约总人数、入校总人数、本年度预约人数、本月预约人数、上月预约人数、今日预约人数、昨日预约总人数；列表展示预约记录（预约人、预约学校）、入场记录（姓名、场馆名称）、立场记录（姓名、场馆名称）。</w:t>
            </w:r>
          </w:p>
          <w:p w14:paraId="2DFF7A03">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（2）场馆维护</w:t>
            </w:r>
          </w:p>
          <w:p w14:paraId="427B8790">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展示场馆列表，支持对已维护场馆进行闭馆、编辑、删除；支持新增场馆，维护场馆名称、场馆分类（羽毛球、网球、足球、篮球等）、场馆简介、图片、场馆类型（室内、室外）、人数限制、开放时间、开发规则（可多条规则）、联系方式、地址；支持通过场馆名称、场馆类型、场馆状态筛选查询。</w:t>
            </w:r>
          </w:p>
          <w:p w14:paraId="047BCCD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（3）记录</w:t>
            </w:r>
          </w:p>
          <w:p w14:paraId="431D9361">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预约记录：展示预约记录列表，含预约人、预约学校、预约校区、预约场馆、预约日期、预约时段；支持查看详情，含基本信息（姓名、联系方式、身份证、照片）、预约信息（学校、校区、场馆、预约时间）；支持通过预约人、预约日期筛选查询；支持数据导出。</w:t>
            </w:r>
          </w:p>
          <w:p w14:paraId="195DD0DE">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进出记录：展示人员进出记录，含姓名、学校、校区、位置、入场记录、离场记录；支持查看详情，含基本信息（姓名、联系方式、身份证、照片）、预约信息（学校、校区、场馆、入馆时间、出馆时间）；支持通过姓名、预约日期筛选查询进出记录；支持数据导出。</w:t>
            </w:r>
          </w:p>
          <w:p w14:paraId="599264B1">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（4）告警信息</w:t>
            </w:r>
          </w:p>
          <w:p w14:paraId="669B4860">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支持关联监控报警，展示告警信息（处理状态、危险等级、危险类型）；支持勾选“通知我的”只查看通知我的内容。</w:t>
            </w:r>
          </w:p>
          <w:p w14:paraId="26A3AF57">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（5）公告管理</w:t>
            </w:r>
          </w:p>
          <w:p w14:paraId="0B379E02">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展示历史公告列表，含公告标题、发布时间、公告状态；支持新增公告；支持对已上线公告进行查看、编辑、下线、删除；支持通过公告标题、发布日期筛选查询。</w:t>
            </w:r>
          </w:p>
          <w:p w14:paraId="6CCE22C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（6）广播装置配置</w:t>
            </w:r>
          </w:p>
          <w:p w14:paraId="4EA70EF4">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设备列表：展示设备列表，含设备名称、MAC地址、对接IP；支持对已有设备进行修改、删除；支持设置播报内容、安防部署、定时播报、新增设备。安防部署，展示部署列表，含摄像头、告警信息类型、关联设备、部署时间（可多项）、播报模式、停止时间；支持查看报警记录。</w:t>
            </w:r>
          </w:p>
          <w:p w14:paraId="16A80858">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报警记录：展示报价记录列表，含报警设备、报警时间、关联告警信息类型、关联摄像头、图片/视频；支持对告警信息进行处理。</w:t>
            </w:r>
          </w:p>
          <w:p w14:paraId="41AA864B">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播报内容设置：设置播报内容。</w:t>
            </w:r>
          </w:p>
          <w:p w14:paraId="18F6CFDD">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定时播报：支持设置多项定时播报方案，含播报时间规则、播报内容、播报设备；播报规则可同时设置多项。</w:t>
            </w:r>
          </w:p>
          <w:p w14:paraId="1431469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（7）设置</w:t>
            </w:r>
          </w:p>
          <w:p w14:paraId="28D74472">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信息维护：维护学校名称、学校图片、校区名称、学校地址、详细地址、学校二维码、登录二维码；二维码支持下载。</w:t>
            </w:r>
          </w:p>
          <w:p w14:paraId="6928F77F">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基础设置：设置年龄限制、预约时效、未到访限制。</w:t>
            </w:r>
          </w:p>
          <w:p w14:paraId="44E05ECA">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预警设置：设置是否开启推送通知，是否开启移动APP推送以及推送规则。</w:t>
            </w:r>
          </w:p>
          <w:p w14:paraId="0A074082">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（8）黑名单管理</w:t>
            </w:r>
          </w:p>
          <w:p w14:paraId="70FBD1CD">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展示黑名单列表，含图片、人员姓名、手机号码、身份证号码、锁定截止时间；支持管理员将人员从黑名单中移除。预约场馆后未到访达3次，自动列入黑名单。</w:t>
            </w:r>
          </w:p>
          <w:p w14:paraId="06A679C3">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2.移动端</w:t>
            </w:r>
          </w:p>
          <w:p w14:paraId="1B3FBE4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（1）登录系统</w:t>
            </w:r>
          </w:p>
          <w:p w14:paraId="4AEF2D88">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用户扫描二维码进入系统，注册，支持通过用户名/密码或短信验证码登录。</w:t>
            </w:r>
          </w:p>
          <w:p w14:paraId="04DBF1A4">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（2）预约须知</w:t>
            </w:r>
          </w:p>
          <w:p w14:paraId="1BA67C71">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用户查看预约须知，同意后进入系统。</w:t>
            </w:r>
          </w:p>
          <w:p w14:paraId="745174BD">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（3）首页</w:t>
            </w:r>
          </w:p>
          <w:p w14:paraId="494A9026">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首页提供学校列表、场馆列表、扫码入园、场馆公告的快捷入口；支持切换位置信息。</w:t>
            </w:r>
          </w:p>
          <w:p w14:paraId="482B8B9A">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（4）学校列表</w:t>
            </w:r>
          </w:p>
          <w:p w14:paraId="6D3E5C66">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展示学校列表，含学校名称、校区、场馆；支持点击查看详情，查看场馆类型、开放状态、预约限制及进入规则等；支持可预约场馆直接预约；支持输入学校名称筛选查询场馆信息。</w:t>
            </w:r>
          </w:p>
          <w:p w14:paraId="5265FB0E">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（5）场馆列表</w:t>
            </w:r>
          </w:p>
          <w:p w14:paraId="4D1D341A">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展示场馆列表，含场馆名称、类别、开放状态、预约规则及限制等；支持可预约场馆直接预约；支持通过学校名称、场馆名称、场馆类型（室内、室外）、场馆类别（足球、篮球等）进行筛选查询。</w:t>
            </w:r>
          </w:p>
          <w:p w14:paraId="1E9D412A">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（6）扫码入园</w:t>
            </w:r>
          </w:p>
          <w:p w14:paraId="76D292DB">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支持扫描二维码入园</w:t>
            </w:r>
          </w:p>
          <w:p w14:paraId="5AE81B75">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（7）场馆公告</w:t>
            </w:r>
          </w:p>
          <w:p w14:paraId="3249C1F1">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查看场馆公告，支持输入关键词筛选查询。</w:t>
            </w:r>
          </w:p>
          <w:p w14:paraId="6869497E">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（8）预约场馆</w:t>
            </w:r>
          </w:p>
          <w:p w14:paraId="232101F4">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支持用户选择自己需要预约的场馆、预约时间进行一键预约。</w:t>
            </w:r>
          </w:p>
          <w:p w14:paraId="61521A0B">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（9）刷码入园</w:t>
            </w:r>
          </w:p>
          <w:p w14:paraId="62F32C12">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预约成功后自动生成二维码，页面展示用户基本信息、随行人员信息、时间、二维码，用户可直接刷码入园。</w:t>
            </w:r>
          </w:p>
          <w:p w14:paraId="31A66B60">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（10）我的</w:t>
            </w:r>
          </w:p>
          <w:p w14:paraId="6F0C0AE5">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个人信息：展示个人姓名、手机号。</w:t>
            </w:r>
          </w:p>
          <w:p w14:paraId="135B7E2C">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预约记录：展示预约记录，区分待访问、已访问、已失效分类展示；支持对待访问的预约记录取消预约。</w:t>
            </w:r>
          </w:p>
          <w:p w14:paraId="4900E724">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随行人员：添加同行人，录入人脸，填写姓名、手机号、身份证号码、上传身份证信息；人脸录入成功后可通过人脸识别入园。</w:t>
            </w:r>
          </w:p>
          <w:p w14:paraId="2ED98835">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自主采集：维护个人照片、姓名、身份证号、手机号。</w:t>
            </w:r>
          </w:p>
          <w:p w14:paraId="56BBE001">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修改密码：支持用户修改密码，需输入手机号、旧密码、新密码、确认密码。</w:t>
            </w:r>
          </w:p>
          <w:p w14:paraId="28C9F3A4">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帮助中心：提供场所预约操作手册。</w:t>
            </w:r>
          </w:p>
          <w:p w14:paraId="6F23B11D">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退出登录：支持用户退出登录。</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643219">
            <w:pPr>
              <w:jc w:val="center"/>
              <w:rPr>
                <w:rFonts w:hint="eastAsia" w:ascii="宋体" w:hAnsi="宋体" w:eastAsia="宋体" w:cs="宋体"/>
                <w:i w:val="0"/>
                <w:iCs w:val="0"/>
                <w:color w:val="000000"/>
                <w:sz w:val="21"/>
                <w:szCs w:val="21"/>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48CA16">
            <w:pPr>
              <w:jc w:val="center"/>
              <w:rPr>
                <w:rFonts w:hint="eastAsia" w:ascii="宋体" w:hAnsi="宋体" w:eastAsia="宋体" w:cs="宋体"/>
                <w:i w:val="0"/>
                <w:iCs w:val="0"/>
                <w:color w:val="000000"/>
                <w:sz w:val="21"/>
                <w:szCs w:val="21"/>
                <w:highlight w:val="none"/>
                <w:u w:val="none"/>
              </w:rPr>
            </w:pPr>
          </w:p>
        </w:tc>
      </w:tr>
      <w:tr w14:paraId="54263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restart"/>
            <w:tcBorders>
              <w:top w:val="single" w:color="000000" w:sz="4" w:space="0"/>
              <w:left w:val="single" w:color="000000" w:sz="4" w:space="0"/>
              <w:bottom w:val="nil"/>
              <w:right w:val="single" w:color="000000" w:sz="4" w:space="0"/>
            </w:tcBorders>
            <w:shd w:val="clear" w:color="auto" w:fill="FFFFFF"/>
            <w:noWrap/>
            <w:vAlign w:val="center"/>
          </w:tcPr>
          <w:p w14:paraId="3B6D3F2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457" w:type="pct"/>
            <w:vMerge w:val="restart"/>
            <w:tcBorders>
              <w:top w:val="single" w:color="000000" w:sz="4" w:space="0"/>
              <w:left w:val="single" w:color="000000" w:sz="4" w:space="0"/>
              <w:bottom w:val="nil"/>
              <w:right w:val="single" w:color="000000" w:sz="4" w:space="0"/>
            </w:tcBorders>
            <w:shd w:val="clear" w:color="auto" w:fill="FFFFFF"/>
            <w:noWrap/>
            <w:vAlign w:val="center"/>
          </w:tcPr>
          <w:p w14:paraId="3273F49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学生管理</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920CC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招生管理系统</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3AD97A">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highlight w:val="none"/>
                <w:lang w:eastAsia="zh-CN"/>
              </w:rPr>
              <w:t>★</w:t>
            </w:r>
            <w:r>
              <w:rPr>
                <w:rFonts w:hint="eastAsia" w:ascii="宋体" w:hAnsi="宋体" w:eastAsia="宋体" w:cs="宋体"/>
                <w:i w:val="0"/>
                <w:iCs w:val="0"/>
                <w:color w:val="000000"/>
                <w:kern w:val="0"/>
                <w:sz w:val="21"/>
                <w:szCs w:val="21"/>
                <w:highlight w:val="none"/>
                <w:u w:val="none"/>
                <w:lang w:val="en-US" w:eastAsia="zh-CN" w:bidi="ar"/>
              </w:rPr>
              <w:t>一、招生计划管理（需提供本模块功能介绍视频和产品页面内容，演示资料）</w:t>
            </w:r>
          </w:p>
          <w:p w14:paraId="3787FD13">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 1、描述：主要为学校对各学年各专业发布的招生计划的管理；</w:t>
            </w:r>
          </w:p>
          <w:p w14:paraId="748FC3A5">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2、字段：校区年级、主要课程设置、招生计划人数、、备注、录取情况、已招生人数，关联报名二维码；</w:t>
            </w:r>
          </w:p>
          <w:p w14:paraId="054F99A5">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3、支持字段中对基础档案中的调取和联动，避免二次手工重复输入；</w:t>
            </w:r>
          </w:p>
          <w:p w14:paraId="54A0625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4、支持对招生计划以各学年维度录入管理；</w:t>
            </w:r>
          </w:p>
          <w:p w14:paraId="4D2AFF21">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5、支持对拥有权限的操作员可以对招生计划的新增、删除、修改、查询；</w:t>
            </w:r>
          </w:p>
          <w:p w14:paraId="112B96DB">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6、支持设置公开页面通过二维码访问关联后续学生报名入口；</w:t>
            </w:r>
          </w:p>
          <w:p w14:paraId="5FB2E882">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7、支持excel批量导出导入；</w:t>
            </w:r>
          </w:p>
          <w:p w14:paraId="66700177">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二、毕业学校信息管理 1、描述：主要为后续学生报名填报提供毕业信息中学校信息的基础信息支持；</w:t>
            </w:r>
          </w:p>
          <w:p w14:paraId="716EB58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2、字段：毕业学校地址、毕业学校所在省、毕业学校所在市/州、毕业学校所属区/县、毕业学校名称；</w:t>
            </w:r>
          </w:p>
          <w:p w14:paraId="02614A76">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3、支持对拥有权限的操作员可以对毕业学校信息的新增、删除、修改、查询；</w:t>
            </w:r>
          </w:p>
          <w:p w14:paraId="0D4C7D26">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4、支持excel批量导出导入；</w:t>
            </w:r>
          </w:p>
          <w:p w14:paraId="02D0D397">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highlight w:val="none"/>
                <w:lang w:eastAsia="zh-CN"/>
              </w:rPr>
              <w:t>★</w:t>
            </w:r>
            <w:r>
              <w:rPr>
                <w:rFonts w:hint="eastAsia" w:ascii="宋体" w:hAnsi="宋体" w:eastAsia="宋体" w:cs="宋体"/>
                <w:i w:val="0"/>
                <w:iCs w:val="0"/>
                <w:color w:val="000000"/>
                <w:kern w:val="0"/>
                <w:sz w:val="21"/>
                <w:szCs w:val="21"/>
                <w:highlight w:val="none"/>
                <w:u w:val="none"/>
                <w:lang w:val="en-US" w:eastAsia="zh-CN" w:bidi="ar"/>
              </w:rPr>
              <w:t>三、招生报名填写 1、描述：主要针对初中中考结束后的学生，通过扫码填报提交；</w:t>
            </w:r>
          </w:p>
          <w:p w14:paraId="297B8066">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字段：招生计划信息、基本信息（姓名、身份证号码、出生日期、性别、本人手机号、民族、住址、家长姓名、家长手机号、附件_身份证或户口本人页图片）、毕业信息（初中毕业学校地址、初中毕业学校全称、是否参加过中考、毕业时间、准考证号、准考证图片、中考成绩、中考成绩截图或图片等）、报名信息（报名专业类型、报名意向专业、该专业所在校区、专业是否可调剂）；</w:t>
            </w:r>
          </w:p>
          <w:p w14:paraId="50D7EA0A">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3、支持关联插入招生计划链接；</w:t>
            </w:r>
          </w:p>
          <w:p w14:paraId="1179F69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4、支持输入身份证号后自动带出出生日期和性别；</w:t>
            </w:r>
          </w:p>
          <w:p w14:paraId="0DCBF950">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5、支持字段中对基础档案中的调取和联动，避免二次手工重复输入；</w:t>
            </w:r>
          </w:p>
          <w:p w14:paraId="5875FFA4">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6、支持对拥有权限的老师可以对已经报名成功数据进行修改、查询；</w:t>
            </w:r>
          </w:p>
          <w:p w14:paraId="1CB9AE75">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7、支持学生通过招生二维码进行扫码填报；</w:t>
            </w:r>
          </w:p>
          <w:p w14:paraId="3A5C8C7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highlight w:val="none"/>
                <w:lang w:eastAsia="zh-CN"/>
              </w:rPr>
              <w:t>★</w:t>
            </w:r>
            <w:r>
              <w:rPr>
                <w:rFonts w:hint="eastAsia" w:ascii="宋体" w:hAnsi="宋体" w:eastAsia="宋体" w:cs="宋体"/>
                <w:i w:val="0"/>
                <w:iCs w:val="0"/>
                <w:color w:val="000000"/>
                <w:kern w:val="0"/>
                <w:sz w:val="21"/>
                <w:szCs w:val="21"/>
                <w:highlight w:val="none"/>
                <w:u w:val="none"/>
                <w:lang w:val="en-US" w:eastAsia="zh-CN" w:bidi="ar"/>
              </w:rPr>
              <w:t>四、招生报名确认 1、描述：主要为审核老师对已经提交招生报名的学生进行审核；</w:t>
            </w:r>
          </w:p>
          <w:p w14:paraId="592F7F47">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2、字段：类型、报所在校区、审核状态、审核日期、录取情况、录取日期、面试情况、面试日期、是否到校报到、报到日期、录取编号、招生教师、招办审核意见、招办审核日期、报名(审核)日期、报名时间；</w:t>
            </w:r>
          </w:p>
          <w:p w14:paraId="02B2F820">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3、支持对拥有权限的操作员对已提交招生报名信息的学生进行的审核；</w:t>
            </w:r>
          </w:p>
          <w:p w14:paraId="21BCABE7">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4、支持excel批量导出导入；</w:t>
            </w:r>
          </w:p>
          <w:p w14:paraId="5D94303D">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5、支持招生办录取学生时如果达到招生计划人数时会提示已招满；</w:t>
            </w:r>
          </w:p>
          <w:p w14:paraId="23402B73">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五、数据统计 1、支持数据展示，可以按毕业院校，性别、族别，招生教师，审核日期筛选数据。 </w:t>
            </w:r>
          </w:p>
          <w:p w14:paraId="4139CDC1">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2、支持数据报表的展示，可以汇总为性别、族别，专业人数，初中毕业学校，招生教师，应届、历届人数统计报表。</w:t>
            </w:r>
          </w:p>
        </w:tc>
        <w:tc>
          <w:tcPr>
            <w:tcW w:w="489"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F7224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563"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39A49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r>
      <w:tr w14:paraId="5DB9F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nil"/>
              <w:right w:val="single" w:color="000000" w:sz="4" w:space="0"/>
            </w:tcBorders>
            <w:shd w:val="clear" w:color="auto" w:fill="FFFFFF"/>
            <w:noWrap/>
            <w:vAlign w:val="center"/>
          </w:tcPr>
          <w:p w14:paraId="40113FCD">
            <w:pPr>
              <w:jc w:val="center"/>
              <w:rPr>
                <w:rFonts w:hint="eastAsia" w:ascii="宋体" w:hAnsi="宋体" w:eastAsia="宋体" w:cs="宋体"/>
                <w:i w:val="0"/>
                <w:iCs w:val="0"/>
                <w:color w:val="000000"/>
                <w:sz w:val="24"/>
                <w:szCs w:val="24"/>
                <w:highlight w:val="none"/>
                <w:u w:val="none"/>
              </w:rPr>
            </w:pPr>
          </w:p>
        </w:tc>
        <w:tc>
          <w:tcPr>
            <w:tcW w:w="457" w:type="pct"/>
            <w:vMerge w:val="continue"/>
            <w:tcBorders>
              <w:top w:val="single" w:color="000000" w:sz="4" w:space="0"/>
              <w:left w:val="single" w:color="000000" w:sz="4" w:space="0"/>
              <w:bottom w:val="nil"/>
              <w:right w:val="single" w:color="000000" w:sz="4" w:space="0"/>
            </w:tcBorders>
            <w:shd w:val="clear" w:color="auto" w:fill="FFFFFF"/>
            <w:noWrap/>
            <w:vAlign w:val="center"/>
          </w:tcPr>
          <w:p w14:paraId="2A504994">
            <w:pPr>
              <w:jc w:val="center"/>
              <w:rPr>
                <w:rFonts w:hint="eastAsia" w:ascii="宋体" w:hAnsi="宋体" w:eastAsia="宋体" w:cs="宋体"/>
                <w:i w:val="0"/>
                <w:iCs w:val="0"/>
                <w:color w:val="000000"/>
                <w:sz w:val="24"/>
                <w:szCs w:val="24"/>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3DA84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新生管理</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FF8651">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免同意一键入班，免费入群短信通知，入群进度自动追踪，可指派子管理管理分校区家校通讯录，扫码入班自动校验</w:t>
            </w:r>
          </w:p>
          <w:p w14:paraId="0C4D14E1">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管理员/老师可上传学生基准名单并开启入班校验，开启后将自动核对学生姓名、标识异常学生信息，防止骗子入群，守护家校群安全！</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BC13DC">
            <w:pPr>
              <w:jc w:val="center"/>
              <w:rPr>
                <w:rFonts w:hint="eastAsia" w:ascii="宋体" w:hAnsi="宋体" w:eastAsia="宋体" w:cs="宋体"/>
                <w:i w:val="0"/>
                <w:iCs w:val="0"/>
                <w:color w:val="000000"/>
                <w:sz w:val="24"/>
                <w:szCs w:val="24"/>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EC63CE">
            <w:pPr>
              <w:jc w:val="center"/>
              <w:rPr>
                <w:rFonts w:hint="eastAsia" w:ascii="宋体" w:hAnsi="宋体" w:eastAsia="宋体" w:cs="宋体"/>
                <w:i w:val="0"/>
                <w:iCs w:val="0"/>
                <w:color w:val="000000"/>
                <w:sz w:val="24"/>
                <w:szCs w:val="24"/>
                <w:highlight w:val="none"/>
                <w:u w:val="none"/>
              </w:rPr>
            </w:pPr>
          </w:p>
        </w:tc>
      </w:tr>
      <w:tr w14:paraId="7E80E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nil"/>
              <w:right w:val="single" w:color="000000" w:sz="4" w:space="0"/>
            </w:tcBorders>
            <w:shd w:val="clear" w:color="auto" w:fill="FFFFFF"/>
            <w:noWrap/>
            <w:vAlign w:val="center"/>
          </w:tcPr>
          <w:p w14:paraId="3A08F727">
            <w:pPr>
              <w:jc w:val="center"/>
              <w:rPr>
                <w:rFonts w:hint="eastAsia" w:ascii="宋体" w:hAnsi="宋体" w:eastAsia="宋体" w:cs="宋体"/>
                <w:i w:val="0"/>
                <w:iCs w:val="0"/>
                <w:color w:val="000000"/>
                <w:sz w:val="24"/>
                <w:szCs w:val="24"/>
                <w:highlight w:val="none"/>
                <w:u w:val="none"/>
              </w:rPr>
            </w:pPr>
          </w:p>
        </w:tc>
        <w:tc>
          <w:tcPr>
            <w:tcW w:w="457" w:type="pct"/>
            <w:vMerge w:val="continue"/>
            <w:tcBorders>
              <w:top w:val="single" w:color="000000" w:sz="4" w:space="0"/>
              <w:left w:val="single" w:color="000000" w:sz="4" w:space="0"/>
              <w:bottom w:val="nil"/>
              <w:right w:val="single" w:color="000000" w:sz="4" w:space="0"/>
            </w:tcBorders>
            <w:shd w:val="clear" w:color="auto" w:fill="FFFFFF"/>
            <w:noWrap/>
            <w:vAlign w:val="center"/>
          </w:tcPr>
          <w:p w14:paraId="0CB4AED3">
            <w:pPr>
              <w:jc w:val="center"/>
              <w:rPr>
                <w:rFonts w:hint="eastAsia" w:ascii="宋体" w:hAnsi="宋体" w:eastAsia="宋体" w:cs="宋体"/>
                <w:i w:val="0"/>
                <w:iCs w:val="0"/>
                <w:color w:val="000000"/>
                <w:sz w:val="24"/>
                <w:szCs w:val="24"/>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6EFA0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学生考勤</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5313CD">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可以新增和编辑考勤组；考勤组名称可以自定义；考勤成员可以按照部门班级或人员进行选择；考勤时间按照每周进行设置，可以设定上下学的时间段；可以指定专门的考勤设备，也可以全选；</w:t>
            </w:r>
          </w:p>
          <w:p w14:paraId="4D6D9BDC">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针对低龄儿童，还支持开启家长替代刷脸考勤的功能</w:t>
            </w:r>
          </w:p>
          <w:p w14:paraId="5A794F9D">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支持考勤结果通知的设定，可以选择通知的人员（家长，老师等）和具体通知的信息种类</w:t>
            </w:r>
          </w:p>
          <w:p w14:paraId="03CEB2F5">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可以设置设备禁用考勤的时间段</w:t>
            </w:r>
          </w:p>
          <w:p w14:paraId="6D5493D0">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支持考勤报表的导出，可以选择班级，按月或者每日进行考勤数据的统计。</w:t>
            </w:r>
          </w:p>
          <w:p w14:paraId="6D7EA24B">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设置考勤组，学生刷脸完成考勤，数据上传统计，老师可查看考勤结果;</w:t>
            </w:r>
          </w:p>
          <w:p w14:paraId="200CD98E">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PC端（1）首页展示每次上下学数据统计，含学生人数、参与考勤人数、上下学正常打卡人数、上学迟到人数、未打卡人数；最新上下学打卡记录；各年级上下学考勤统计图、今日请假情况统计图、近七日上下学出勤统计图、近七日请假统计图</w:t>
            </w:r>
          </w:p>
          <w:p w14:paraId="7284943B">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（2）人员管理：支持新增人员，新增人员在考勤大屏中不计入教师总人数统计。</w:t>
            </w:r>
          </w:p>
          <w:p w14:paraId="6115DD6D">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（3）考勤标语设置：支持新增、编辑、删除、查询考勤标语。新增标语设置标语标题、内容、话术来源。</w:t>
            </w:r>
          </w:p>
          <w:p w14:paraId="6EB339A3">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（4）其他统计：每日考勤统计、学生考勤明细、学生请假记录</w:t>
            </w:r>
          </w:p>
          <w:p w14:paraId="67AC525D">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2.教师移动端</w:t>
            </w:r>
          </w:p>
          <w:p w14:paraId="1F8A4DAB">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（1）考勤设置</w:t>
            </w:r>
          </w:p>
          <w:p w14:paraId="1497651C">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考勤模板：提供管理员新增考勤模板，模板名称，打卡规则，设置打卡时间段，上学打卡时间，放学时间打卡时间，选择星期。</w:t>
            </w:r>
          </w:p>
          <w:p w14:paraId="4673C96C">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考勤组：提供管理员设置考勤组名称，参与成员，选择成员，打卡模板，特殊日期。</w:t>
            </w:r>
          </w:p>
          <w:p w14:paraId="6ADC497E">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其他设置：支持设置日报通知、家长刷脸考勤的开关</w:t>
            </w:r>
          </w:p>
          <w:p w14:paraId="71C5EFB4">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考勤数据汇总：提供学生每日每次上下学人数统计，含正常、迟到、未打卡，以及打卡人数先对总人数的占比；突出显示当日事假、病假人数；支持按日期筛选查询。各项统计点击可进入查看详情及手动标记考勤状态</w:t>
            </w:r>
          </w:p>
          <w:p w14:paraId="1495ECAE">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（3）切换角色：支持切换身份、切换班级及数据导出操作</w:t>
            </w:r>
          </w:p>
          <w:p w14:paraId="77D06F40">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（4）学生请假①发起请假：支持教师代学生发起请假，填写请假单（含班级、学生姓名、请假类型、请假开始与结束时间、请假时长自动带出、是否离校、请假原因、图片等）</w:t>
            </w:r>
          </w:p>
          <w:p w14:paraId="613997F5">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②请假审批：对发起的请假通知进行审批，审批通过后发送移动通知到手机端。</w:t>
            </w:r>
          </w:p>
          <w:p w14:paraId="45880B25">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③撤销请假：请假可撤销，可提前结束。</w:t>
            </w:r>
          </w:p>
          <w:p w14:paraId="012C4E8D">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④请假记录：区分代请假和全部请假列表展示学生请假记录。</w:t>
            </w:r>
          </w:p>
          <w:p w14:paraId="3C4E14FB">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⑤请假设置：设置请假是否需要审批、原因是否必填、图片是否必填、请假期间是否限制通行次数及次数、学生请假需家长接送时进出限制、请假类型、长期请假设置、通知设置等。</w:t>
            </w:r>
          </w:p>
          <w:p w14:paraId="05D5507D">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3.家长移动端（1）数据统计</w:t>
            </w:r>
          </w:p>
          <w:p w14:paraId="299E824F">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支持查看月统计考勤数据，含正常、迟到、请假、未打卡的次数统计；展示月历，查看每日每次上下学的打卡时间</w:t>
            </w:r>
          </w:p>
          <w:p w14:paraId="247BFC44">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（2）考勤通知</w:t>
            </w:r>
          </w:p>
          <w:p w14:paraId="4B31E7C9">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学生刷脸考勤后，家长端收到带照片的考勤通知。</w:t>
            </w:r>
          </w:p>
          <w:p w14:paraId="13E2D524">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（3）学生请假</w:t>
            </w:r>
          </w:p>
          <w:p w14:paraId="7B74F5B6">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①发起请假，填写请假单，内容与教师端相同，班级与孩子名称、校区、请假时长自动带入。</w:t>
            </w:r>
          </w:p>
          <w:p w14:paraId="7E7ED756">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②查看请假审批状态。</w:t>
            </w:r>
          </w:p>
          <w:p w14:paraId="4DDD38D6">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③请假通过后，支持撤销请假与提前结束请假。</w:t>
            </w:r>
          </w:p>
          <w:p w14:paraId="6D1F80DC">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④查看请假记录。</w:t>
            </w:r>
          </w:p>
          <w:p w14:paraId="2501A200">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4.关联门禁权限</w:t>
            </w:r>
          </w:p>
          <w:p w14:paraId="7A082BAC">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提供管理员设置权限组，权限组包含名称、是否全员使用、是否全天开放、开放周期选择、有效期选择、设备连接、管理员设置等。</w:t>
            </w:r>
          </w:p>
          <w:p w14:paraId="61CD5035">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5.数据大屏</w:t>
            </w:r>
          </w:p>
          <w:p w14:paraId="0F1CE007">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图表展示以下内容：</w:t>
            </w:r>
          </w:p>
          <w:p w14:paraId="305522C9">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今日学生考勤：学生总人数、请假人数、正常上学人数以圆形统计图形式展现；</w:t>
            </w:r>
          </w:p>
          <w:p w14:paraId="797F9805">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近七日健康异常人数统计；包含健康异常的姓名、班级与症状，可实时精确跟进，避免流行病的爆发；</w:t>
            </w:r>
          </w:p>
          <w:p w14:paraId="0AAA4583">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近七日请假统计：统计近七日请假人数、请假类型包括（事假与病假），条形图展示</w:t>
            </w:r>
          </w:p>
          <w:p w14:paraId="2724207E">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近七日考勤统计：展示出勤人数、出勤人数趋势</w:t>
            </w:r>
          </w:p>
          <w:p w14:paraId="53D551C6">
            <w:pPr>
              <w:keepNext w:val="0"/>
              <w:keepLines w:val="0"/>
              <w:widowControl/>
              <w:numPr>
                <w:ilvl w:val="0"/>
                <w:numId w:val="0"/>
              </w:numPr>
              <w:suppressLineNumbers w:val="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近七日访客统计：管理员可查看待访客人数、正在访问人数、已签退人数、来访人员的姓名、到访日期及来访目的。</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5A6A32">
            <w:pPr>
              <w:jc w:val="center"/>
              <w:rPr>
                <w:rFonts w:hint="eastAsia" w:ascii="宋体" w:hAnsi="宋体" w:eastAsia="宋体" w:cs="宋体"/>
                <w:i w:val="0"/>
                <w:iCs w:val="0"/>
                <w:color w:val="000000"/>
                <w:sz w:val="24"/>
                <w:szCs w:val="24"/>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09DE1D">
            <w:pPr>
              <w:jc w:val="center"/>
              <w:rPr>
                <w:rFonts w:hint="eastAsia" w:ascii="宋体" w:hAnsi="宋体" w:eastAsia="宋体" w:cs="宋体"/>
                <w:i w:val="0"/>
                <w:iCs w:val="0"/>
                <w:color w:val="000000"/>
                <w:sz w:val="24"/>
                <w:szCs w:val="24"/>
                <w:highlight w:val="none"/>
                <w:u w:val="none"/>
              </w:rPr>
            </w:pPr>
          </w:p>
        </w:tc>
      </w:tr>
      <w:tr w14:paraId="7D1C2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nil"/>
              <w:right w:val="single" w:color="000000" w:sz="4" w:space="0"/>
            </w:tcBorders>
            <w:shd w:val="clear" w:color="auto" w:fill="FFFFFF"/>
            <w:noWrap/>
            <w:vAlign w:val="center"/>
          </w:tcPr>
          <w:p w14:paraId="0452EC69">
            <w:pPr>
              <w:jc w:val="center"/>
              <w:rPr>
                <w:rFonts w:hint="eastAsia" w:ascii="宋体" w:hAnsi="宋体" w:eastAsia="宋体" w:cs="宋体"/>
                <w:i w:val="0"/>
                <w:iCs w:val="0"/>
                <w:color w:val="000000"/>
                <w:sz w:val="24"/>
                <w:szCs w:val="24"/>
                <w:highlight w:val="none"/>
                <w:u w:val="none"/>
              </w:rPr>
            </w:pPr>
          </w:p>
        </w:tc>
        <w:tc>
          <w:tcPr>
            <w:tcW w:w="457" w:type="pct"/>
            <w:vMerge w:val="continue"/>
            <w:tcBorders>
              <w:top w:val="single" w:color="000000" w:sz="4" w:space="0"/>
              <w:left w:val="single" w:color="000000" w:sz="4" w:space="0"/>
              <w:bottom w:val="nil"/>
              <w:right w:val="single" w:color="000000" w:sz="4" w:space="0"/>
            </w:tcBorders>
            <w:shd w:val="clear" w:color="auto" w:fill="FFFFFF"/>
            <w:noWrap/>
            <w:vAlign w:val="center"/>
          </w:tcPr>
          <w:p w14:paraId="043B06B9">
            <w:pPr>
              <w:jc w:val="center"/>
              <w:rPr>
                <w:rFonts w:hint="eastAsia" w:ascii="宋体" w:hAnsi="宋体" w:eastAsia="宋体" w:cs="宋体"/>
                <w:i w:val="0"/>
                <w:iCs w:val="0"/>
                <w:color w:val="000000"/>
                <w:sz w:val="24"/>
                <w:szCs w:val="24"/>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0F0E6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学生请假</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A2AF54">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可以设置请假审批流程，设置具体的审批人员等</w:t>
            </w:r>
          </w:p>
          <w:p w14:paraId="37E61BA7">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请假审批通过后，可以关联对应离校的门禁设备，开通离校权限，同时可以设定通行的次数</w:t>
            </w:r>
          </w:p>
          <w:p w14:paraId="7270C7BA">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支持请假通知的配置，可以对不同角色设定可接收的通知</w:t>
            </w:r>
          </w:p>
          <w:p w14:paraId="11397EDD">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可以设定可申请请假的时间范围；请假时间单位也支持设定，可以按小时或者半天，支持管理员，老师和家长等为学生发起请假，可以选择学生的姓名，请假类型，请假时间，请假事由等</w:t>
            </w:r>
          </w:p>
          <w:p w14:paraId="42D44EFC">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可查看请假的记录，不同人员智能查看对应的记录，班主任只能查看本班级学生的请假，家长只能查看自己孩子的请假</w:t>
            </w:r>
          </w:p>
          <w:p w14:paraId="148B9478">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1.支持通过教师、家长发起学生请假或代请假申请，并能在请假流程审批完成后，将请假数据自动推送至学生考勤系统，同时能下发通行策略校门牌，并能通过刷卡或检测面部的方式控制闸机打开/关闭；</w:t>
            </w:r>
          </w:p>
          <w:p w14:paraId="7CDC7919">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2.家长审批请假：家长端通过手机可对请假进行审核，同意/拒绝，同意后交给老师进行审核，拒绝后流程结束，请假审批和离校准许可分离（例如：可同意请假但不同意离校）；</w:t>
            </w:r>
          </w:p>
          <w:p w14:paraId="0113F89D">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3.家长代请假：家长通过手机端可代学生进行请假，填写请假原因，选择请假类型，选择请假时间段发起申请，交由老师进行审核；</w:t>
            </w:r>
          </w:p>
          <w:p w14:paraId="79743E98">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4.老师审批请假：老师可通过手机/电脑端（PC）对请假进行审核，当老师为最后审核节点，同意后请假流程完成，如果不是最后审核节点，交由下一个节点继续审核。拒绝后流程结束；</w:t>
            </w:r>
          </w:p>
          <w:p w14:paraId="38496863">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5.请假未审批撤回： 学生/家长/老师可对请假审批同意后下一个节点未审批的的流程进行撤回操作，撤回后重新进行同意/拒绝操作；</w:t>
            </w:r>
          </w:p>
          <w:p w14:paraId="2A1B6119">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6.请假数据统计：教师 PC 端对请假数据进行统计，按班级查看、依据请假次数进行排序，查看每个人的请假次数列表：请假时间、类型、状态（审批中/已成功）；</w:t>
            </w:r>
          </w:p>
          <w:p w14:paraId="70F596B7">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7.请假进度查看：学生可通过班牌查看自己的请假进度/状态；</w:t>
            </w:r>
          </w:p>
          <w:p w14:paraId="3A30CDC8">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8.支持联动流程管理引擎，自定义设计请假流程；</w:t>
            </w:r>
          </w:p>
          <w:p w14:paraId="696227B8">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9.支持请假流程自定义编辑，支持请假类型的自定义设置编辑等；</w:t>
            </w:r>
          </w:p>
          <w:p w14:paraId="2388507B">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10.为了规范学校请假工作，系统支持请假证明上传、家长接送等功能；</w:t>
            </w:r>
          </w:p>
          <w:p w14:paraId="354240AD">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11.支持和【门禁系统】联动，学生请假流程结束自动下发通行策略，并能通过刷卡或检测面部的方式控制门禁打开/关闭；</w:t>
            </w:r>
          </w:p>
          <w:p w14:paraId="732289E5">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12.支持查看请假审批；</w:t>
            </w:r>
          </w:p>
          <w:p w14:paraId="7D3626C3">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13.支持离校动态统计，包含在外学生、历史离校记录、今日离校、今日返校、人员详情等；</w:t>
            </w:r>
          </w:p>
          <w:p w14:paraId="48EA0612">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14.支持代请假功能：老师可通过手机/电脑代学生进行请假，填写请假原因，选择请假类型，选择请假时间段、是否离校发起申请，如果不是最后审核节点，交由下一个节点继续审核。如果老师为最后审核节点，提交后当前代请假申请为完成状态；</w:t>
            </w:r>
          </w:p>
          <w:p w14:paraId="4A994FA4">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15.支持请假异常预警，包含异常待处理、已处理查询管理、处理时间等；</w:t>
            </w:r>
          </w:p>
          <w:p w14:paraId="3501FF15">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16.支持按照姓名、班级、申请日期、请假类型、离校去向、家长接送等条件查询请假记录，并能查看请假详情；</w:t>
            </w:r>
          </w:p>
          <w:p w14:paraId="4175CBCB">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17.支持自定义请假类型；</w:t>
            </w:r>
          </w:p>
          <w:p w14:paraId="4CC790D5">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18.支持管理学生请假申请、请假时间修改、是否可以通过宿舍闸机等；</w:t>
            </w:r>
          </w:p>
          <w:p w14:paraId="64B5871B">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19.支持自定义推送设置，包含推送对象、推送模版 ID 等设置；</w:t>
            </w:r>
          </w:p>
          <w:p w14:paraId="11301EC5">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20.支持将请假数据自动推送至学生考勤系统和宿舍管理系统；</w:t>
            </w:r>
          </w:p>
          <w:p w14:paraId="4EDFAB62">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21.支持按人员配置数据使用权限；</w:t>
            </w:r>
          </w:p>
          <w:p w14:paraId="7071A655">
            <w:pPr>
              <w:keepNext w:val="0"/>
              <w:keepLines w:val="0"/>
              <w:widowControl/>
              <w:suppressLineNumbers w:val="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22.支持自定义时间筛选，同时支持导出请假记录，包含请假汇总及请假记录。</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824A5A">
            <w:pPr>
              <w:jc w:val="center"/>
              <w:rPr>
                <w:rFonts w:hint="eastAsia" w:ascii="宋体" w:hAnsi="宋体" w:eastAsia="宋体" w:cs="宋体"/>
                <w:i w:val="0"/>
                <w:iCs w:val="0"/>
                <w:color w:val="000000"/>
                <w:sz w:val="24"/>
                <w:szCs w:val="24"/>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B6EA6E">
            <w:pPr>
              <w:jc w:val="center"/>
              <w:rPr>
                <w:rFonts w:hint="eastAsia" w:ascii="宋体" w:hAnsi="宋体" w:eastAsia="宋体" w:cs="宋体"/>
                <w:i w:val="0"/>
                <w:iCs w:val="0"/>
                <w:color w:val="000000"/>
                <w:sz w:val="24"/>
                <w:szCs w:val="24"/>
                <w:highlight w:val="none"/>
                <w:u w:val="none"/>
              </w:rPr>
            </w:pPr>
          </w:p>
        </w:tc>
      </w:tr>
      <w:tr w14:paraId="483F0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nil"/>
              <w:right w:val="single" w:color="000000" w:sz="4" w:space="0"/>
            </w:tcBorders>
            <w:shd w:val="clear" w:color="auto" w:fill="FFFFFF"/>
            <w:noWrap/>
            <w:vAlign w:val="center"/>
          </w:tcPr>
          <w:p w14:paraId="40573C9D">
            <w:pPr>
              <w:jc w:val="center"/>
              <w:rPr>
                <w:rFonts w:hint="eastAsia" w:ascii="宋体" w:hAnsi="宋体" w:eastAsia="宋体" w:cs="宋体"/>
                <w:i w:val="0"/>
                <w:iCs w:val="0"/>
                <w:color w:val="000000"/>
                <w:sz w:val="24"/>
                <w:szCs w:val="24"/>
                <w:highlight w:val="none"/>
                <w:u w:val="none"/>
              </w:rPr>
            </w:pPr>
          </w:p>
        </w:tc>
        <w:tc>
          <w:tcPr>
            <w:tcW w:w="457" w:type="pct"/>
            <w:vMerge w:val="continue"/>
            <w:tcBorders>
              <w:top w:val="single" w:color="000000" w:sz="4" w:space="0"/>
              <w:left w:val="single" w:color="000000" w:sz="4" w:space="0"/>
              <w:bottom w:val="nil"/>
              <w:right w:val="single" w:color="000000" w:sz="4" w:space="0"/>
            </w:tcBorders>
            <w:shd w:val="clear" w:color="auto" w:fill="FFFFFF"/>
            <w:noWrap/>
            <w:vAlign w:val="center"/>
          </w:tcPr>
          <w:p w14:paraId="4068721E">
            <w:pPr>
              <w:jc w:val="center"/>
              <w:rPr>
                <w:rFonts w:hint="eastAsia" w:ascii="宋体" w:hAnsi="宋体" w:eastAsia="宋体" w:cs="宋体"/>
                <w:i w:val="0"/>
                <w:iCs w:val="0"/>
                <w:color w:val="000000"/>
                <w:sz w:val="24"/>
                <w:szCs w:val="24"/>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ACF6A8">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亲情通话</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C0E492">
            <w:pPr>
              <w:keepNext w:val="0"/>
              <w:keepLines w:val="0"/>
              <w:widowControl/>
              <w:suppressLineNumbers w:val="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cs="宋体"/>
                <w:highlight w:val="none"/>
                <w:lang w:eastAsia="zh-CN"/>
              </w:rPr>
              <w:t>★</w:t>
            </w:r>
            <w:r>
              <w:rPr>
                <w:rFonts w:hint="eastAsia" w:ascii="宋体" w:hAnsi="宋体" w:eastAsia="宋体" w:cs="宋体"/>
                <w:i w:val="0"/>
                <w:iCs w:val="0"/>
                <w:color w:val="000000"/>
                <w:kern w:val="0"/>
                <w:sz w:val="22"/>
                <w:szCs w:val="22"/>
                <w:highlight w:val="none"/>
                <w:u w:val="none"/>
                <w:lang w:val="en-US" w:eastAsia="zh-CN" w:bidi="ar"/>
              </w:rPr>
              <w:t>学生可刷脸给家长拨打音视频通话，也能给家长留言；家长可在移动APP中接听音视频通话，也能发送留言给学生；老师可查看学生通话统计数据;操作系统：Android；CPU：四核ARM处理器；RAM：2GB；ROM：16GB；屏幕： 10.1英寸触摸屏，分辨率：1280*800；亮度：500cd/m²；对比度≥1000:1；摄像头：双摄，200W像素，支持宽动态；扬声器：1个喇叭，自带电话听筒，支持磁感应；防护等级：IP3X；支持13.56MHz的非接触式M1卡；支持红外补光；支持有线网络/wifi/蓝牙；支持功能：亲情通话、考勤、门禁、请假、通知公告。</w:t>
            </w:r>
            <w:r>
              <w:rPr>
                <w:rFonts w:hint="eastAsia" w:ascii="宋体" w:hAnsi="宋体" w:eastAsia="宋体" w:cs="宋体"/>
                <w:i w:val="0"/>
                <w:iCs w:val="0"/>
                <w:color w:val="000000"/>
                <w:kern w:val="0"/>
                <w:sz w:val="21"/>
                <w:szCs w:val="21"/>
                <w:highlight w:val="none"/>
                <w:u w:val="none"/>
                <w:lang w:val="en-US" w:eastAsia="zh-CN" w:bidi="ar"/>
              </w:rPr>
              <w:t>（需提供亲情通话机真实使用场景的视频资料）</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5232D4">
            <w:pPr>
              <w:jc w:val="center"/>
              <w:rPr>
                <w:rFonts w:hint="eastAsia" w:ascii="宋体" w:hAnsi="宋体" w:eastAsia="宋体" w:cs="宋体"/>
                <w:i w:val="0"/>
                <w:iCs w:val="0"/>
                <w:color w:val="000000"/>
                <w:sz w:val="24"/>
                <w:szCs w:val="24"/>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532CF7">
            <w:pPr>
              <w:jc w:val="center"/>
              <w:rPr>
                <w:rFonts w:hint="eastAsia" w:ascii="宋体" w:hAnsi="宋体" w:eastAsia="宋体" w:cs="宋体"/>
                <w:i w:val="0"/>
                <w:iCs w:val="0"/>
                <w:color w:val="000000"/>
                <w:sz w:val="24"/>
                <w:szCs w:val="24"/>
                <w:highlight w:val="none"/>
                <w:u w:val="none"/>
              </w:rPr>
            </w:pPr>
          </w:p>
        </w:tc>
      </w:tr>
      <w:tr w14:paraId="7F2AE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E0B1B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457"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5D3D9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AI办公</w:t>
            </w: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56D78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OA</w:t>
            </w:r>
          </w:p>
          <w:p w14:paraId="679DEDC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审批</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503A5D">
            <w:pPr>
              <w:keepNext w:val="0"/>
              <w:keepLines w:val="0"/>
              <w:widowControl/>
              <w:suppressLineNumbers w:val="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审批规则更灵活，可根据学校自身流程特性配置化其业务流程，专属版不包括应用管理</w:t>
            </w:r>
          </w:p>
        </w:tc>
        <w:tc>
          <w:tcPr>
            <w:tcW w:w="489"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5A5F4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563"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E82DA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r>
      <w:tr w14:paraId="3FFF4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BDBFE4">
            <w:pPr>
              <w:jc w:val="center"/>
              <w:rPr>
                <w:rFonts w:hint="eastAsia" w:ascii="宋体" w:hAnsi="宋体" w:eastAsia="宋体" w:cs="宋体"/>
                <w:i w:val="0"/>
                <w:iCs w:val="0"/>
                <w:color w:val="000000"/>
                <w:sz w:val="24"/>
                <w:szCs w:val="24"/>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439708">
            <w:pPr>
              <w:jc w:val="center"/>
              <w:rPr>
                <w:rFonts w:hint="eastAsia" w:ascii="宋体" w:hAnsi="宋体" w:eastAsia="宋体" w:cs="宋体"/>
                <w:i w:val="0"/>
                <w:iCs w:val="0"/>
                <w:color w:val="000000"/>
                <w:sz w:val="24"/>
                <w:szCs w:val="24"/>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E67D3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财务报销</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0863AB">
            <w:pPr>
              <w:keepNext w:val="0"/>
              <w:keepLines w:val="0"/>
              <w:widowControl/>
              <w:suppressLineNumbers w:val="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用于学校内部常规的办公流程电子化，包括发起流程与流程审批。主要针对报销、支出等流程。支持自定义设置流程及表单，切实满足学校的个性化要求，并支持所有流程的导出， 方便学校的后期处理及留档。</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908B68">
            <w:pPr>
              <w:jc w:val="center"/>
              <w:rPr>
                <w:rFonts w:hint="eastAsia" w:ascii="宋体" w:hAnsi="宋体" w:eastAsia="宋体" w:cs="宋体"/>
                <w:i w:val="0"/>
                <w:iCs w:val="0"/>
                <w:color w:val="000000"/>
                <w:sz w:val="24"/>
                <w:szCs w:val="24"/>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7FCC85">
            <w:pPr>
              <w:jc w:val="center"/>
              <w:rPr>
                <w:rFonts w:hint="eastAsia" w:ascii="宋体" w:hAnsi="宋体" w:eastAsia="宋体" w:cs="宋体"/>
                <w:i w:val="0"/>
                <w:iCs w:val="0"/>
                <w:color w:val="000000"/>
                <w:sz w:val="24"/>
                <w:szCs w:val="24"/>
                <w:highlight w:val="none"/>
                <w:u w:val="none"/>
              </w:rPr>
            </w:pPr>
          </w:p>
        </w:tc>
      </w:tr>
      <w:tr w14:paraId="5C026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8CE5E4">
            <w:pPr>
              <w:jc w:val="center"/>
              <w:rPr>
                <w:rFonts w:hint="eastAsia" w:ascii="宋体" w:hAnsi="宋体" w:eastAsia="宋体" w:cs="宋体"/>
                <w:i w:val="0"/>
                <w:iCs w:val="0"/>
                <w:color w:val="000000"/>
                <w:sz w:val="24"/>
                <w:szCs w:val="24"/>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B05298">
            <w:pPr>
              <w:jc w:val="center"/>
              <w:rPr>
                <w:rFonts w:hint="eastAsia" w:ascii="宋体" w:hAnsi="宋体" w:eastAsia="宋体" w:cs="宋体"/>
                <w:i w:val="0"/>
                <w:iCs w:val="0"/>
                <w:color w:val="000000"/>
                <w:sz w:val="24"/>
                <w:szCs w:val="24"/>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736250">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用印管理</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DFC645">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申请使用印章审批流程，管理人员可维护本单位印章的名称类型。</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CC8AF0">
            <w:pPr>
              <w:jc w:val="center"/>
              <w:rPr>
                <w:rFonts w:hint="eastAsia" w:ascii="宋体" w:hAnsi="宋体" w:eastAsia="宋体" w:cs="宋体"/>
                <w:i w:val="0"/>
                <w:iCs w:val="0"/>
                <w:color w:val="000000"/>
                <w:sz w:val="24"/>
                <w:szCs w:val="24"/>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52569E">
            <w:pPr>
              <w:jc w:val="center"/>
              <w:rPr>
                <w:rFonts w:hint="eastAsia" w:ascii="宋体" w:hAnsi="宋体" w:eastAsia="宋体" w:cs="宋体"/>
                <w:i w:val="0"/>
                <w:iCs w:val="0"/>
                <w:color w:val="000000"/>
                <w:sz w:val="24"/>
                <w:szCs w:val="24"/>
                <w:highlight w:val="none"/>
                <w:u w:val="none"/>
              </w:rPr>
            </w:pPr>
          </w:p>
        </w:tc>
      </w:tr>
      <w:tr w14:paraId="68D99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342AE2">
            <w:pPr>
              <w:jc w:val="center"/>
              <w:rPr>
                <w:rFonts w:hint="eastAsia" w:ascii="宋体" w:hAnsi="宋体" w:eastAsia="宋体" w:cs="宋体"/>
                <w:i w:val="0"/>
                <w:iCs w:val="0"/>
                <w:color w:val="000000"/>
                <w:sz w:val="24"/>
                <w:szCs w:val="24"/>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D01A83">
            <w:pPr>
              <w:jc w:val="center"/>
              <w:rPr>
                <w:rFonts w:hint="eastAsia" w:ascii="宋体" w:hAnsi="宋体" w:eastAsia="宋体" w:cs="宋体"/>
                <w:i w:val="0"/>
                <w:iCs w:val="0"/>
                <w:color w:val="000000"/>
                <w:sz w:val="24"/>
                <w:szCs w:val="24"/>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0D943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AI文档</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5E569B">
            <w:pPr>
              <w:keepNext w:val="0"/>
              <w:keepLines w:val="0"/>
              <w:widowControl/>
              <w:numPr>
                <w:ilvl w:val="0"/>
                <w:numId w:val="8"/>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支持的文档类型</w:t>
            </w:r>
          </w:p>
          <w:p w14:paraId="791C3DBB">
            <w:pPr>
              <w:keepNext w:val="0"/>
              <w:keepLines w:val="0"/>
              <w:widowControl/>
              <w:numPr>
                <w:ilvl w:val="0"/>
                <w:numId w:val="8"/>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基础文档类型：文字文档：支持类似Word的排版功能，包括标题、段落、表格、图片插入、超链接等。</w:t>
            </w:r>
          </w:p>
          <w:p w14:paraId="1C207846">
            <w:pPr>
              <w:keepNext w:val="0"/>
              <w:keepLines w:val="0"/>
              <w:widowControl/>
              <w:numPr>
                <w:ilvl w:val="0"/>
                <w:numId w:val="8"/>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表格文档：支持类似Excel的电子表格功能，包含公式计算、数据筛选、图表生成等。</w:t>
            </w:r>
          </w:p>
          <w:p w14:paraId="116648CA">
            <w:pPr>
              <w:keepNext w:val="0"/>
              <w:keepLines w:val="0"/>
              <w:widowControl/>
              <w:numPr>
                <w:ilvl w:val="0"/>
                <w:numId w:val="8"/>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思维导图：支持可视化层级结构编辑，适用于项目规划、流程设计等。</w:t>
            </w:r>
          </w:p>
          <w:p w14:paraId="346F90EC">
            <w:pPr>
              <w:keepNext w:val="0"/>
              <w:keepLines w:val="0"/>
              <w:widowControl/>
              <w:numPr>
                <w:ilvl w:val="0"/>
                <w:numId w:val="8"/>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Markdown文档：支持Markdown语法编辑，适合技术文档或结构化内容编写。</w:t>
            </w:r>
          </w:p>
          <w:p w14:paraId="2551228C">
            <w:pPr>
              <w:keepNext w:val="0"/>
              <w:keepLines w:val="0"/>
              <w:widowControl/>
              <w:numPr>
                <w:ilvl w:val="0"/>
                <w:numId w:val="8"/>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PDF文档：支持在线预览和注释，但不支持直接编辑（需转换为文字文档）。</w:t>
            </w:r>
          </w:p>
          <w:p w14:paraId="595D39BD">
            <w:pPr>
              <w:keepNext w:val="0"/>
              <w:keepLines w:val="0"/>
              <w:widowControl/>
              <w:numPr>
                <w:ilvl w:val="0"/>
                <w:numId w:val="8"/>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扩展功能：</w:t>
            </w:r>
          </w:p>
          <w:p w14:paraId="408114A6">
            <w:pPr>
              <w:keepNext w:val="0"/>
              <w:keepLines w:val="0"/>
              <w:widowControl/>
              <w:numPr>
                <w:ilvl w:val="0"/>
                <w:numId w:val="8"/>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支持插入移动审批、日程、待办等模块，实现文档与业务流程的联动。</w:t>
            </w:r>
          </w:p>
          <w:p w14:paraId="57C2B20A">
            <w:pPr>
              <w:keepNext w:val="0"/>
              <w:keepLines w:val="0"/>
              <w:widowControl/>
              <w:numPr>
                <w:ilvl w:val="0"/>
                <w:numId w:val="8"/>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支持插入云盘文件、截图、语音消息等。</w:t>
            </w:r>
          </w:p>
          <w:p w14:paraId="4B6B4FC5">
            <w:pPr>
              <w:keepNext w:val="0"/>
              <w:keepLines w:val="0"/>
              <w:widowControl/>
              <w:numPr>
                <w:ilvl w:val="0"/>
                <w:numId w:val="8"/>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 协作与实时编辑</w:t>
            </w:r>
          </w:p>
          <w:p w14:paraId="509CF2A5">
            <w:pPr>
              <w:keepNext w:val="0"/>
              <w:keepLines w:val="0"/>
              <w:widowControl/>
              <w:numPr>
                <w:ilvl w:val="0"/>
                <w:numId w:val="8"/>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实时协作：多人同时编辑：支持多人在线协同编辑（文字、表格、思维导图），实时同步修改内容。</w:t>
            </w:r>
          </w:p>
          <w:p w14:paraId="22D8A97D">
            <w:pPr>
              <w:keepNext w:val="0"/>
              <w:keepLines w:val="0"/>
              <w:widowControl/>
              <w:numPr>
                <w:ilvl w:val="0"/>
                <w:numId w:val="8"/>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历史版本：自动保存编辑历史，支持回退到任意版本，记录修改者和时间。</w:t>
            </w:r>
          </w:p>
          <w:p w14:paraId="43CE7BFF">
            <w:pPr>
              <w:keepNext w:val="0"/>
              <w:keepLines w:val="0"/>
              <w:widowControl/>
              <w:numPr>
                <w:ilvl w:val="0"/>
                <w:numId w:val="8"/>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评论与@提醒：支持在文档内添加评论并@指定成员，通知其参与讨论。</w:t>
            </w:r>
          </w:p>
          <w:p w14:paraId="7EA915A8">
            <w:pPr>
              <w:keepNext w:val="0"/>
              <w:keepLines w:val="0"/>
              <w:widowControl/>
              <w:numPr>
                <w:ilvl w:val="0"/>
                <w:numId w:val="8"/>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权限管理：</w:t>
            </w:r>
          </w:p>
          <w:p w14:paraId="592E83E1">
            <w:pPr>
              <w:keepNext w:val="0"/>
              <w:keepLines w:val="0"/>
              <w:widowControl/>
              <w:numPr>
                <w:ilvl w:val="0"/>
                <w:numId w:val="8"/>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权限分级：可设置文档权限为“仅查看”、“可编辑”或“禁止访问”。</w:t>
            </w:r>
          </w:p>
          <w:p w14:paraId="3471F18B">
            <w:pPr>
              <w:keepNext w:val="0"/>
              <w:keepLines w:val="0"/>
              <w:widowControl/>
              <w:numPr>
                <w:ilvl w:val="0"/>
                <w:numId w:val="8"/>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分组权限：支持按部门或群组分配权限，适合企业级复杂权限需求。</w:t>
            </w:r>
          </w:p>
          <w:p w14:paraId="6CC9ECB1">
            <w:pPr>
              <w:keepNext w:val="0"/>
              <w:keepLines w:val="0"/>
              <w:widowControl/>
              <w:numPr>
                <w:ilvl w:val="0"/>
                <w:numId w:val="8"/>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密码保护：可为文档设置访问密码，增强安全性。</w:t>
            </w:r>
          </w:p>
          <w:p w14:paraId="01CC7039">
            <w:pPr>
              <w:keepNext w:val="0"/>
              <w:keepLines w:val="0"/>
              <w:widowControl/>
              <w:numPr>
                <w:ilvl w:val="0"/>
                <w:numId w:val="8"/>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 存储与同步</w:t>
            </w:r>
          </w:p>
          <w:p w14:paraId="0A0193CF">
            <w:pPr>
              <w:keepNext w:val="0"/>
              <w:keepLines w:val="0"/>
              <w:widowControl/>
              <w:numPr>
                <w:ilvl w:val="0"/>
                <w:numId w:val="8"/>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文档存储位置：所有文档默认保存在云端，支持多端同步。</w:t>
            </w:r>
          </w:p>
          <w:p w14:paraId="7D5696AF">
            <w:pPr>
              <w:keepNext w:val="0"/>
              <w:keepLines w:val="0"/>
              <w:widowControl/>
              <w:numPr>
                <w:ilvl w:val="0"/>
                <w:numId w:val="8"/>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同步机制：实时同步：编辑内容即时同步到所有在线设备。</w:t>
            </w:r>
          </w:p>
          <w:p w14:paraId="461DADFD">
            <w:pPr>
              <w:keepNext w:val="0"/>
              <w:keepLines w:val="0"/>
              <w:widowControl/>
              <w:numPr>
                <w:ilvl w:val="0"/>
                <w:numId w:val="8"/>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离线编辑：部分功能支持离线编辑（需提前下载文档到本地），联网后自动同步。</w:t>
            </w:r>
          </w:p>
          <w:p w14:paraId="474B6E40">
            <w:pPr>
              <w:keepNext w:val="0"/>
              <w:keepLines w:val="0"/>
              <w:widowControl/>
              <w:numPr>
                <w:ilvl w:val="0"/>
                <w:numId w:val="8"/>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跨平台同步：支持手机、平板、PC（Windows/macOS）及网页端</w:t>
            </w:r>
          </w:p>
          <w:p w14:paraId="05BB6A1E">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4. 安全与加密</w:t>
            </w:r>
          </w:p>
          <w:p w14:paraId="3F0D0009">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数据加密：</w:t>
            </w:r>
          </w:p>
          <w:p w14:paraId="54EB0C17">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传输层加密：使用HTTPS协议加密数据传输。</w:t>
            </w:r>
          </w:p>
          <w:p w14:paraId="05447172">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存储层加密：文档内容加密存储于阿里云数据中心，符合ISO 27001等安全认证。</w:t>
            </w:r>
          </w:p>
          <w:p w14:paraId="49687807">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防泄露措施：支持文档水印功能，防止截屏或拍照泄露。</w:t>
            </w:r>
          </w:p>
          <w:p w14:paraId="555CF8DE">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企业管理员可查看文档访问、编辑记录，满足合规要求。</w:t>
            </w:r>
          </w:p>
          <w:p w14:paraId="33286DAE">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5. 平台与设备支持</w:t>
            </w:r>
          </w:p>
          <w:p w14:paraId="7E2D6EF8">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操作系统：</w:t>
            </w:r>
          </w:p>
          <w:p w14:paraId="744D1650">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PC端：支持Windows、macOS系统，需安装移动APP客户端或通过网页版访问。</w:t>
            </w:r>
          </w:p>
          <w:p w14:paraId="025F8C63">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移动端：支持iOS、Android系统，通过APP直接编辑。</w:t>
            </w:r>
          </w:p>
          <w:p w14:paraId="62F238BF">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网页版：可通过浏览器访问 dingtalk.com 或直接访问文档链接。</w:t>
            </w:r>
          </w:p>
          <w:p w14:paraId="3AC906B5">
            <w:pPr>
              <w:keepNext w:val="0"/>
              <w:keepLines w:val="0"/>
              <w:widowControl/>
              <w:numPr>
                <w:ilvl w:val="0"/>
                <w:numId w:val="0"/>
              </w:numPr>
              <w:suppressLineNumbers w:val="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浏览器兼容性：支持Chrome、Edge、Safari、Firefox等主流浏览器，需保持浏览器版本最新。</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5A1219">
            <w:pPr>
              <w:jc w:val="center"/>
              <w:rPr>
                <w:rFonts w:hint="eastAsia" w:ascii="宋体" w:hAnsi="宋体" w:eastAsia="宋体" w:cs="宋体"/>
                <w:i w:val="0"/>
                <w:iCs w:val="0"/>
                <w:color w:val="000000"/>
                <w:sz w:val="24"/>
                <w:szCs w:val="24"/>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D1218D">
            <w:pPr>
              <w:jc w:val="center"/>
              <w:rPr>
                <w:rFonts w:hint="eastAsia" w:ascii="宋体" w:hAnsi="宋体" w:eastAsia="宋体" w:cs="宋体"/>
                <w:i w:val="0"/>
                <w:iCs w:val="0"/>
                <w:color w:val="000000"/>
                <w:sz w:val="24"/>
                <w:szCs w:val="24"/>
                <w:highlight w:val="none"/>
                <w:u w:val="none"/>
              </w:rPr>
            </w:pPr>
          </w:p>
        </w:tc>
      </w:tr>
      <w:tr w14:paraId="4F8BC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5FE1BE">
            <w:pPr>
              <w:jc w:val="center"/>
              <w:rPr>
                <w:rFonts w:hint="eastAsia" w:ascii="宋体" w:hAnsi="宋体" w:eastAsia="宋体" w:cs="宋体"/>
                <w:i w:val="0"/>
                <w:iCs w:val="0"/>
                <w:color w:val="000000"/>
                <w:sz w:val="24"/>
                <w:szCs w:val="24"/>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6D2B63">
            <w:pPr>
              <w:jc w:val="center"/>
              <w:rPr>
                <w:rFonts w:hint="eastAsia" w:ascii="宋体" w:hAnsi="宋体" w:eastAsia="宋体" w:cs="宋体"/>
                <w:i w:val="0"/>
                <w:iCs w:val="0"/>
                <w:color w:val="000000"/>
                <w:sz w:val="24"/>
                <w:szCs w:val="24"/>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C2995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会议管理</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CD731E">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支持会议室的预约，可选择日期和具体会议室进行预约，会议室支持显示地点，容量大小，可用设备等信息</w:t>
            </w:r>
          </w:p>
          <w:p w14:paraId="04F72DCF">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支持会议室管理，可以添加和删除会议室，可以编辑会议室名称，具体现场图片，地点，可容纳人数，会议室关联的门禁设备，可选择会议室开放的人员</w:t>
            </w:r>
          </w:p>
          <w:p w14:paraId="1A4284DC">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可以对会议室的预定时间进行设置，可以导出会议室使用的报表，查看历史的会议记录，可以对会议室按照办公区域进行分组</w:t>
            </w:r>
          </w:p>
          <w:p w14:paraId="3B413782">
            <w:pPr>
              <w:keepNext w:val="0"/>
              <w:keepLines w:val="0"/>
              <w:widowControl/>
              <w:suppressLineNumbers w:val="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★支持无线投屏，并且可以对会议室中投屏设备进行管理，可添加和删除设备</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3ADDE6">
            <w:pPr>
              <w:jc w:val="center"/>
              <w:rPr>
                <w:rFonts w:hint="eastAsia" w:ascii="宋体" w:hAnsi="宋体" w:eastAsia="宋体" w:cs="宋体"/>
                <w:i w:val="0"/>
                <w:iCs w:val="0"/>
                <w:color w:val="000000"/>
                <w:sz w:val="24"/>
                <w:szCs w:val="24"/>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F62303">
            <w:pPr>
              <w:jc w:val="center"/>
              <w:rPr>
                <w:rFonts w:hint="eastAsia" w:ascii="宋体" w:hAnsi="宋体" w:eastAsia="宋体" w:cs="宋体"/>
                <w:i w:val="0"/>
                <w:iCs w:val="0"/>
                <w:color w:val="000000"/>
                <w:sz w:val="24"/>
                <w:szCs w:val="24"/>
                <w:highlight w:val="none"/>
                <w:u w:val="none"/>
              </w:rPr>
            </w:pPr>
          </w:p>
        </w:tc>
      </w:tr>
      <w:tr w14:paraId="69A03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AD57DC">
            <w:pPr>
              <w:jc w:val="center"/>
              <w:rPr>
                <w:rFonts w:hint="eastAsia" w:ascii="宋体" w:hAnsi="宋体" w:eastAsia="宋体" w:cs="宋体"/>
                <w:i w:val="0"/>
                <w:iCs w:val="0"/>
                <w:color w:val="000000"/>
                <w:sz w:val="24"/>
                <w:szCs w:val="24"/>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003CD7">
            <w:pPr>
              <w:jc w:val="center"/>
              <w:rPr>
                <w:rFonts w:hint="eastAsia" w:ascii="宋体" w:hAnsi="宋体" w:eastAsia="宋体" w:cs="宋体"/>
                <w:i w:val="0"/>
                <w:iCs w:val="0"/>
                <w:color w:val="000000"/>
                <w:sz w:val="24"/>
                <w:szCs w:val="24"/>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985D3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高清云会议室</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B5B719">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1、视频会议：使用组织内部会议/全员强制静音/锁定会议等丰富的安全管理功能， 确保会议全程安全可控，有序进行。会议中支持手机、Pad、电脑和会议室设备无缝切换，同时可支持语音/视频灵活切换。</w:t>
            </w:r>
          </w:p>
          <w:p w14:paraId="73063556">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2、会议时长， 单场会议最长 24 小时， 同时召开会议数最多 3 场，单场最多 100 方，会议清晰度，PC：1080P，移动端：720P，发起会议，会议提供发起即时会议，会前&amp;会中均可邀请成员入会；高清清晰度，单次会议时长24小时/联席主持人/高级会控/屏幕水印/智能翻译/会议转直播/本地电话接入许可/openapi/专属VIP集群</w:t>
            </w:r>
          </w:p>
          <w:p w14:paraId="4526AA88">
            <w:pPr>
              <w:keepNext w:val="0"/>
              <w:keepLines w:val="0"/>
              <w:widowControl/>
              <w:suppressLineNumbers w:val="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视频会议时长包：350万分钟。新增权益优势：上课场景更灵活。不限班级，同时上课，一个老师带多个班的场景，一个会议室容纳多班合并上课（单场会议人数上限300人）。主要用于学生病假线上上课，寒暑假老师集体备课，极端天气，学生同时在线上课，</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19D9D1">
            <w:pPr>
              <w:jc w:val="center"/>
              <w:rPr>
                <w:rFonts w:hint="eastAsia" w:ascii="宋体" w:hAnsi="宋体" w:eastAsia="宋体" w:cs="宋体"/>
                <w:i w:val="0"/>
                <w:iCs w:val="0"/>
                <w:color w:val="000000"/>
                <w:sz w:val="24"/>
                <w:szCs w:val="24"/>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265F3B">
            <w:pPr>
              <w:jc w:val="center"/>
              <w:rPr>
                <w:rFonts w:hint="eastAsia" w:ascii="宋体" w:hAnsi="宋体" w:eastAsia="宋体" w:cs="宋体"/>
                <w:i w:val="0"/>
                <w:iCs w:val="0"/>
                <w:color w:val="000000"/>
                <w:sz w:val="24"/>
                <w:szCs w:val="24"/>
                <w:highlight w:val="none"/>
                <w:u w:val="none"/>
              </w:rPr>
            </w:pPr>
          </w:p>
        </w:tc>
      </w:tr>
      <w:tr w14:paraId="590FC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EE99BA">
            <w:pPr>
              <w:jc w:val="center"/>
              <w:rPr>
                <w:rFonts w:hint="eastAsia" w:ascii="宋体" w:hAnsi="宋体" w:eastAsia="宋体" w:cs="宋体"/>
                <w:i w:val="0"/>
                <w:iCs w:val="0"/>
                <w:color w:val="000000"/>
                <w:sz w:val="24"/>
                <w:szCs w:val="24"/>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211597">
            <w:pPr>
              <w:jc w:val="center"/>
              <w:rPr>
                <w:rFonts w:hint="eastAsia" w:ascii="宋体" w:hAnsi="宋体" w:eastAsia="宋体" w:cs="宋体"/>
                <w:i w:val="0"/>
                <w:iCs w:val="0"/>
                <w:color w:val="000000"/>
                <w:sz w:val="24"/>
                <w:szCs w:val="24"/>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6C501A">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高级版云直播</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11B6C1">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1、直播时长包：20万分钟，新增权益优势：直播更灵活支持全校家长会、年级家长会/校家长会、学校运动会，单场直播人数上限5万人。</w:t>
            </w:r>
          </w:p>
          <w:p w14:paraId="7437D9ED">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2、直播教学 基础功能直播时长，单场直播最长24小时，观看人数，使用时长套餐时，单场观看人数不限。直播视频清晰度，最高支持1080P清晰度</w:t>
            </w:r>
          </w:p>
          <w:p w14:paraId="148844C4">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3、直播管理：发起直播数包含2场，单场直播观看人数最多500人，单场直播时长不限时（不超过20小时），提供专业开播端，同时支持屏幕共享</w:t>
            </w:r>
          </w:p>
          <w:p w14:paraId="5A1A7252">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4、预定直播，支持在直播入口“预约直播”，主播可以设置封面、主题、时间、群、简介等信息，多端直播，支持电脑和手机开播；预约观看，预约观看直播，预约后自动创建日程；网页观看，可以将链接分享出去，通过网页观看；多画面切换，最大5个画面，方便主播在直播过程中快速切换画面内容，不会因为直播过程中复杂切换视频画面，影响直播体验。；画面间切换，需要手动操作，点击“切换画面”，避免误操作。</w:t>
            </w:r>
          </w:p>
          <w:p w14:paraId="4BF449F9">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5、直播回放，将直播保存为回放便于多回看，支持分享回放给他人观看。直播数据，直播结束后，主播会收到系统统计数据，支持excel下载。统计信息中包含：观众信息、直播时间、签到情况等。</w:t>
            </w:r>
          </w:p>
          <w:p w14:paraId="62CC4B58">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6、安全与控制：</w:t>
            </w:r>
          </w:p>
          <w:p w14:paraId="4DEE7F86">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外链直播，该直播允许组织内外任意人员都可以观看。</w:t>
            </w:r>
          </w:p>
          <w:p w14:paraId="0E463B69">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观看权限设置，支持将直播通过链接方式分享给观看人，主播在直播窗口点击“分享”，设置分享权限：仅组织内或外链直播，然后可以复制直播链接分享给观众。</w:t>
            </w:r>
          </w:p>
          <w:p w14:paraId="22F0B2DB">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禁止聊天/点赞，一键关闭直播间评论区，用户无法聊天和点赞。</w:t>
            </w:r>
          </w:p>
          <w:p w14:paraId="1116E6EA">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观看者水印，支持开关。学校版直播权益才可以打开。</w:t>
            </w:r>
          </w:p>
          <w:p w14:paraId="10B60C0C">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禁言观众聊天，主播支持设置对观众禁言</w:t>
            </w:r>
          </w:p>
          <w:p w14:paraId="38F9B73F">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消息撤回，主播可以对评论区消息进行撤回。</w:t>
            </w:r>
          </w:p>
          <w:p w14:paraId="57661EE8">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消息置顶，主播可以对评论区消息进行置顶显示。</w:t>
            </w:r>
          </w:p>
          <w:p w14:paraId="6D5C0B5E">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7、录制与回放：</w:t>
            </w:r>
          </w:p>
          <w:p w14:paraId="17D41B7B">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云录制，存储空间，按需选择开启或关闭保存回放。【当前关闭回放，主播直播管理中可以看到直播记录，关闭“开启分享链接”，其他人则无法观看】</w:t>
            </w:r>
          </w:p>
          <w:p w14:paraId="09E242BC">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临时云存储，直播回放默认保存在临时存储空间，仅保存30天。建议用户转存至学校云盘，长期存储。</w:t>
            </w:r>
          </w:p>
          <w:p w14:paraId="127E282F">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在线回放，支持在移动APP内或浏览器网页在线播放直播回放。</w:t>
            </w:r>
          </w:p>
          <w:p w14:paraId="3698D6D4">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剪辑回放，主播可以对自己直播回放进行剪辑并保存。</w:t>
            </w:r>
          </w:p>
          <w:p w14:paraId="45A79054">
            <w:pPr>
              <w:keepNext w:val="0"/>
              <w:keepLines w:val="0"/>
              <w:widowControl/>
              <w:suppressLineNumbers w:val="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回放下载，直播回放可以下载到本地，群直播回放下载权限由群主设置。</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A86E1C">
            <w:pPr>
              <w:jc w:val="center"/>
              <w:rPr>
                <w:rFonts w:hint="eastAsia" w:ascii="宋体" w:hAnsi="宋体" w:eastAsia="宋体" w:cs="宋体"/>
                <w:i w:val="0"/>
                <w:iCs w:val="0"/>
                <w:color w:val="000000"/>
                <w:sz w:val="24"/>
                <w:szCs w:val="24"/>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D3B7FB">
            <w:pPr>
              <w:jc w:val="center"/>
              <w:rPr>
                <w:rFonts w:hint="eastAsia" w:ascii="宋体" w:hAnsi="宋体" w:eastAsia="宋体" w:cs="宋体"/>
                <w:i w:val="0"/>
                <w:iCs w:val="0"/>
                <w:color w:val="000000"/>
                <w:sz w:val="24"/>
                <w:szCs w:val="24"/>
                <w:highlight w:val="none"/>
                <w:u w:val="none"/>
              </w:rPr>
            </w:pPr>
          </w:p>
        </w:tc>
      </w:tr>
      <w:tr w14:paraId="09AD5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D977CA">
            <w:pPr>
              <w:jc w:val="center"/>
              <w:rPr>
                <w:rFonts w:hint="eastAsia" w:ascii="宋体" w:hAnsi="宋体" w:eastAsia="宋体" w:cs="宋体"/>
                <w:i w:val="0"/>
                <w:iCs w:val="0"/>
                <w:color w:val="000000"/>
                <w:sz w:val="24"/>
                <w:szCs w:val="24"/>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12DE35">
            <w:pPr>
              <w:jc w:val="center"/>
              <w:rPr>
                <w:rFonts w:hint="eastAsia" w:ascii="宋体" w:hAnsi="宋体" w:eastAsia="宋体" w:cs="宋体"/>
                <w:i w:val="0"/>
                <w:iCs w:val="0"/>
                <w:color w:val="000000"/>
                <w:sz w:val="24"/>
                <w:szCs w:val="24"/>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D55928">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教师云盘</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9D48D1">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1.支持按照组织机构自定义部门以及成员管理，支持创建、删除、编辑等；</w:t>
            </w:r>
          </w:p>
          <w:p w14:paraId="6EBCD587">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2.支持对部门设置限额大小，同时支持批量自定义限额大小；</w:t>
            </w:r>
          </w:p>
          <w:p w14:paraId="51D2D2A0">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3.支持对成员个人设置限额大小；</w:t>
            </w:r>
          </w:p>
          <w:p w14:paraId="76173010">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4.支持对文档进行权限管理，包含显示、预览、查看子部门、下载、移动、上传、编辑、删除等权限；</w:t>
            </w:r>
          </w:p>
          <w:p w14:paraId="51C1D6DB">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5.支持对文档进行下载、隔离、删除等操作；</w:t>
            </w:r>
          </w:p>
          <w:p w14:paraId="3AD85E4B">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6.支持用户对文档的操作进行日志记录；</w:t>
            </w:r>
          </w:p>
          <w:p w14:paraId="603017D0">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7.支持显示用户最近操作的文档；</w:t>
            </w:r>
          </w:p>
          <w:p w14:paraId="6862ED77">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8.支持用户对文档进行在线打开、在线编辑、重命名、收藏、文档详情查看；</w:t>
            </w:r>
          </w:p>
          <w:p w14:paraId="5ED17BCE">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9.支持用户创建个人文件夹、上传文件对文件打开、下载、复制、移动到、重命名、删除、收藏等；</w:t>
            </w:r>
          </w:p>
          <w:p w14:paraId="66975F7F">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10.支持用户对文件及文件夹进行上传管理；</w:t>
            </w:r>
          </w:p>
          <w:p w14:paraId="78F41054">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11.支持对文件、文件夹进行搜藏管理；</w:t>
            </w:r>
          </w:p>
          <w:p w14:paraId="637F7EBA">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12.支持回收站管理，对于删除的文件可以进行还原和彻底删除等操作；</w:t>
            </w:r>
          </w:p>
          <w:p w14:paraId="52FFBC1D">
            <w:pPr>
              <w:keepNext w:val="0"/>
              <w:keepLines w:val="0"/>
              <w:widowControl/>
              <w:suppressLineNumbers w:val="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13.云盘文件支持列表查看、文件预览、下载、复制、剪切、编辑、删除、分享等独立权限管理；</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05B4E7">
            <w:pPr>
              <w:jc w:val="center"/>
              <w:rPr>
                <w:rFonts w:hint="eastAsia" w:ascii="宋体" w:hAnsi="宋体" w:eastAsia="宋体" w:cs="宋体"/>
                <w:i w:val="0"/>
                <w:iCs w:val="0"/>
                <w:color w:val="000000"/>
                <w:sz w:val="24"/>
                <w:szCs w:val="24"/>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F107D2">
            <w:pPr>
              <w:jc w:val="center"/>
              <w:rPr>
                <w:rFonts w:hint="eastAsia" w:ascii="宋体" w:hAnsi="宋体" w:eastAsia="宋体" w:cs="宋体"/>
                <w:i w:val="0"/>
                <w:iCs w:val="0"/>
                <w:color w:val="000000"/>
                <w:sz w:val="24"/>
                <w:szCs w:val="24"/>
                <w:highlight w:val="none"/>
                <w:u w:val="none"/>
              </w:rPr>
            </w:pPr>
          </w:p>
        </w:tc>
      </w:tr>
      <w:tr w14:paraId="4CACE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61E534">
            <w:pPr>
              <w:jc w:val="center"/>
              <w:rPr>
                <w:rFonts w:hint="eastAsia" w:ascii="宋体" w:hAnsi="宋体" w:eastAsia="宋体" w:cs="宋体"/>
                <w:i w:val="0"/>
                <w:iCs w:val="0"/>
                <w:color w:val="000000"/>
                <w:sz w:val="24"/>
                <w:szCs w:val="24"/>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03130F">
            <w:pPr>
              <w:jc w:val="center"/>
              <w:rPr>
                <w:rFonts w:hint="eastAsia" w:ascii="宋体" w:hAnsi="宋体" w:eastAsia="宋体" w:cs="宋体"/>
                <w:i w:val="0"/>
                <w:iCs w:val="0"/>
                <w:color w:val="000000"/>
                <w:sz w:val="24"/>
                <w:szCs w:val="24"/>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98D8E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AI多维表</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C5394A">
            <w:pPr>
              <w:keepNext w:val="0"/>
              <w:keepLines w:val="0"/>
              <w:widowControl/>
              <w:suppressLineNumbers w:val="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cs="宋体"/>
                <w:highlight w:val="none"/>
                <w:lang w:eastAsia="zh-CN"/>
              </w:rPr>
              <w:t>★</w:t>
            </w:r>
            <w:r>
              <w:rPr>
                <w:rFonts w:hint="eastAsia" w:ascii="宋体" w:hAnsi="宋体" w:eastAsia="宋体" w:cs="宋体"/>
                <w:i w:val="0"/>
                <w:iCs w:val="0"/>
                <w:color w:val="000000"/>
                <w:kern w:val="0"/>
                <w:sz w:val="22"/>
                <w:szCs w:val="22"/>
                <w:highlight w:val="none"/>
                <w:u w:val="none"/>
                <w:lang w:val="en-US" w:eastAsia="zh-CN" w:bidi="ar"/>
              </w:rPr>
              <w:t>由多维表搭建、满足校内办公高频场景的10个，为学校提高办公效率。包括「值周巡查」、「值班安排」、「健康检测」、「听课登记」、「卫生用电检查」、「学籍登记」、「校长信箱」、「成绩分析」。</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D3CCCA">
            <w:pPr>
              <w:jc w:val="center"/>
              <w:rPr>
                <w:rFonts w:hint="eastAsia" w:ascii="宋体" w:hAnsi="宋体" w:eastAsia="宋体" w:cs="宋体"/>
                <w:i w:val="0"/>
                <w:iCs w:val="0"/>
                <w:color w:val="000000"/>
                <w:sz w:val="24"/>
                <w:szCs w:val="24"/>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CE8DD8">
            <w:pPr>
              <w:jc w:val="center"/>
              <w:rPr>
                <w:rFonts w:hint="eastAsia" w:ascii="宋体" w:hAnsi="宋体" w:eastAsia="宋体" w:cs="宋体"/>
                <w:i w:val="0"/>
                <w:iCs w:val="0"/>
                <w:color w:val="000000"/>
                <w:sz w:val="24"/>
                <w:szCs w:val="24"/>
                <w:highlight w:val="none"/>
                <w:u w:val="none"/>
              </w:rPr>
            </w:pPr>
          </w:p>
        </w:tc>
      </w:tr>
      <w:tr w14:paraId="3138C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E1DFEA">
            <w:pPr>
              <w:jc w:val="center"/>
              <w:rPr>
                <w:rFonts w:hint="eastAsia" w:ascii="宋体" w:hAnsi="宋体" w:eastAsia="宋体" w:cs="宋体"/>
                <w:i w:val="0"/>
                <w:iCs w:val="0"/>
                <w:color w:val="000000"/>
                <w:sz w:val="24"/>
                <w:szCs w:val="24"/>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20AC1E">
            <w:pPr>
              <w:jc w:val="center"/>
              <w:rPr>
                <w:rFonts w:hint="eastAsia" w:ascii="宋体" w:hAnsi="宋体" w:eastAsia="宋体" w:cs="宋体"/>
                <w:i w:val="0"/>
                <w:iCs w:val="0"/>
                <w:color w:val="000000"/>
                <w:sz w:val="24"/>
                <w:szCs w:val="24"/>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991AA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AI闪记</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0C90E1">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cs="宋体"/>
                <w:highlight w:val="none"/>
                <w:lang w:eastAsia="zh-CN"/>
              </w:rPr>
              <w:t>★</w:t>
            </w:r>
            <w:r>
              <w:rPr>
                <w:rFonts w:hint="eastAsia" w:ascii="宋体" w:hAnsi="宋体" w:eastAsia="宋体" w:cs="宋体"/>
                <w:i w:val="0"/>
                <w:iCs w:val="0"/>
                <w:color w:val="000000"/>
                <w:kern w:val="0"/>
                <w:sz w:val="22"/>
                <w:szCs w:val="22"/>
                <w:highlight w:val="none"/>
                <w:u w:val="none"/>
                <w:lang w:val="en-US" w:eastAsia="zh-CN" w:bidi="ar"/>
              </w:rPr>
              <w:t>实时记录、转写课堂内容。</w:t>
            </w:r>
          </w:p>
          <w:p w14:paraId="01F8ADD8">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智能章节：快速拆分成章节片段。</w:t>
            </w:r>
          </w:p>
          <w:p w14:paraId="0FA56A22">
            <w:pPr>
              <w:keepNext w:val="0"/>
              <w:keepLines w:val="0"/>
              <w:widowControl/>
              <w:suppressLineNumbers w:val="0"/>
              <w:jc w:val="both"/>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智能纪要：智能提取内容核心要点。小记标注：快速整理转文字内容。智能筛选发言人：高效选取感兴趣发言人的发言内容。会议、课程、发言记录等，开启闪记，实时语音转文字，事后还能标记重点和问题，方便快速整理！立体式记录，智能纪要自动生成，内容结构化展现，节省会后自己整理的时间。</w:t>
            </w:r>
          </w:p>
          <w:p w14:paraId="183DF61B">
            <w:pPr>
              <w:keepNext w:val="0"/>
              <w:keepLines w:val="0"/>
              <w:widowControl/>
              <w:suppressLineNumbers w:val="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闪记目前支持识别十一种语言翻译。还能给生肉视频加字幕</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D174A6">
            <w:pPr>
              <w:jc w:val="center"/>
              <w:rPr>
                <w:rFonts w:hint="eastAsia" w:ascii="宋体" w:hAnsi="宋体" w:eastAsia="宋体" w:cs="宋体"/>
                <w:i w:val="0"/>
                <w:iCs w:val="0"/>
                <w:color w:val="000000"/>
                <w:sz w:val="24"/>
                <w:szCs w:val="24"/>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DFB562">
            <w:pPr>
              <w:jc w:val="center"/>
              <w:rPr>
                <w:rFonts w:hint="eastAsia" w:ascii="宋体" w:hAnsi="宋体" w:eastAsia="宋体" w:cs="宋体"/>
                <w:i w:val="0"/>
                <w:iCs w:val="0"/>
                <w:color w:val="000000"/>
                <w:sz w:val="24"/>
                <w:szCs w:val="24"/>
                <w:highlight w:val="none"/>
                <w:u w:val="none"/>
              </w:rPr>
            </w:pPr>
          </w:p>
        </w:tc>
      </w:tr>
      <w:tr w14:paraId="27FF9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E656DE">
            <w:pPr>
              <w:jc w:val="center"/>
              <w:rPr>
                <w:rFonts w:hint="eastAsia" w:ascii="宋体" w:hAnsi="宋体" w:eastAsia="宋体" w:cs="宋体"/>
                <w:i w:val="0"/>
                <w:iCs w:val="0"/>
                <w:color w:val="000000"/>
                <w:sz w:val="24"/>
                <w:szCs w:val="24"/>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FBDCAA">
            <w:pPr>
              <w:jc w:val="center"/>
              <w:rPr>
                <w:rFonts w:hint="eastAsia" w:ascii="宋体" w:hAnsi="宋体" w:eastAsia="宋体" w:cs="宋体"/>
                <w:i w:val="0"/>
                <w:iCs w:val="0"/>
                <w:color w:val="000000"/>
                <w:sz w:val="24"/>
                <w:szCs w:val="24"/>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1EFCFB">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校长信箱</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ADD764">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提交表单包含必要字段的反馈提交，如标题、详细描述、类别选择、紧急程度、联系方式（可选）等。追踪功能:提交后， 为用户提供唯一的反馈编号，可以通过该编号在线追踪反馈的处理进度和结果。自动化分配:根据反馈类别，系统自动将反馈分配给相应的责任部门或领导。限时处理机制:设定反馈处理的时限，确保各部门在规定时间内回应或解决，提高效率。管理层审核:对于重要反馈，设置管理层审核流程，确保处理意见的恰当性和权威性。回复反馈:通过系统向提交者发送处理结果或进展通知，保持沟通的闭环。</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100985">
            <w:pPr>
              <w:jc w:val="center"/>
              <w:rPr>
                <w:rFonts w:hint="eastAsia" w:ascii="宋体" w:hAnsi="宋体" w:eastAsia="宋体" w:cs="宋体"/>
                <w:i w:val="0"/>
                <w:iCs w:val="0"/>
                <w:color w:val="000000"/>
                <w:sz w:val="24"/>
                <w:szCs w:val="24"/>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F133EA">
            <w:pPr>
              <w:jc w:val="center"/>
              <w:rPr>
                <w:rFonts w:hint="eastAsia" w:ascii="宋体" w:hAnsi="宋体" w:eastAsia="宋体" w:cs="宋体"/>
                <w:i w:val="0"/>
                <w:iCs w:val="0"/>
                <w:color w:val="000000"/>
                <w:sz w:val="24"/>
                <w:szCs w:val="24"/>
                <w:highlight w:val="none"/>
                <w:u w:val="none"/>
              </w:rPr>
            </w:pPr>
          </w:p>
        </w:tc>
      </w:tr>
      <w:tr w14:paraId="6307B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979040">
            <w:pPr>
              <w:jc w:val="center"/>
              <w:rPr>
                <w:rFonts w:hint="eastAsia" w:ascii="宋体" w:hAnsi="宋体" w:eastAsia="宋体" w:cs="宋体"/>
                <w:i w:val="0"/>
                <w:iCs w:val="0"/>
                <w:color w:val="000000"/>
                <w:sz w:val="24"/>
                <w:szCs w:val="24"/>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0AC457">
            <w:pPr>
              <w:jc w:val="center"/>
              <w:rPr>
                <w:rFonts w:hint="eastAsia" w:ascii="宋体" w:hAnsi="宋体" w:eastAsia="宋体" w:cs="宋体"/>
                <w:i w:val="0"/>
                <w:iCs w:val="0"/>
                <w:color w:val="000000"/>
                <w:sz w:val="24"/>
                <w:szCs w:val="24"/>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730E74">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校园文化阵地</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51160F">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 圈子创建与管理：</w:t>
            </w:r>
          </w:p>
          <w:p w14:paraId="0A7CBBFF">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公开圈/内部圈：用户可以根据需要创建公开圈， 允许外部人员加入，或者创建 内部圈，仅限组织内部成员参与。</w:t>
            </w:r>
          </w:p>
          <w:p w14:paraId="6ED737C8">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权限设置：管理员可以设定圈子的访问权限、加入方式（如需审核、自由加入 等），以及成员在圈内的发言权限等。</w:t>
            </w:r>
          </w:p>
          <w:p w14:paraId="40188F25">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 内容发布与互动：</w:t>
            </w:r>
          </w:p>
          <w:p w14:paraId="39156691">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动态分享：圈内成员可以发布文字、图片、视频、文件等多种形式的动态，分享 工作进展、知识心得、活动信息等。</w:t>
            </w:r>
          </w:p>
          <w:p w14:paraId="6CDFE99C">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评论与点赞：支持圈内成员对动态进行评论、点赞，增强互动性和参与感。</w:t>
            </w:r>
          </w:p>
          <w:p w14:paraId="23A1DC4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话题标签：通过话题标签分类内容，便于信息归类和检索，提高信息查找效率。</w:t>
            </w:r>
          </w:p>
          <w:p w14:paraId="3837A961">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 知识管理与沉淀：</w:t>
            </w:r>
          </w:p>
          <w:p w14:paraId="289394F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精华内容：管理员或指定成员可将优质内容标记为精华，方便圈内成员学习和参 考。</w:t>
            </w:r>
          </w:p>
          <w:p w14:paraId="355FE47F">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文件库： 圈子可以作为一个共享资料库，成员可以上传、下载工作相关的文档、 资料，实现知识共享和积累。</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3BD3A8">
            <w:pPr>
              <w:jc w:val="center"/>
              <w:rPr>
                <w:rFonts w:hint="eastAsia" w:ascii="宋体" w:hAnsi="宋体" w:eastAsia="宋体" w:cs="宋体"/>
                <w:i w:val="0"/>
                <w:iCs w:val="0"/>
                <w:color w:val="000000"/>
                <w:sz w:val="24"/>
                <w:szCs w:val="24"/>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E76D44">
            <w:pPr>
              <w:jc w:val="center"/>
              <w:rPr>
                <w:rFonts w:hint="eastAsia" w:ascii="宋体" w:hAnsi="宋体" w:eastAsia="宋体" w:cs="宋体"/>
                <w:i w:val="0"/>
                <w:iCs w:val="0"/>
                <w:color w:val="000000"/>
                <w:sz w:val="24"/>
                <w:szCs w:val="24"/>
                <w:highlight w:val="none"/>
                <w:u w:val="none"/>
              </w:rPr>
            </w:pPr>
          </w:p>
        </w:tc>
      </w:tr>
      <w:tr w14:paraId="6DAA8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FAA39B">
            <w:pPr>
              <w:jc w:val="center"/>
              <w:rPr>
                <w:rFonts w:hint="eastAsia" w:ascii="宋体" w:hAnsi="宋体" w:eastAsia="宋体" w:cs="宋体"/>
                <w:i w:val="0"/>
                <w:iCs w:val="0"/>
                <w:color w:val="000000"/>
                <w:sz w:val="24"/>
                <w:szCs w:val="24"/>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F6A31A">
            <w:pPr>
              <w:jc w:val="center"/>
              <w:rPr>
                <w:rFonts w:hint="eastAsia" w:ascii="宋体" w:hAnsi="宋体" w:eastAsia="宋体" w:cs="宋体"/>
                <w:i w:val="0"/>
                <w:iCs w:val="0"/>
                <w:color w:val="000000"/>
                <w:sz w:val="24"/>
                <w:szCs w:val="24"/>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EB3243">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AI助理</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D02060">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highlight w:val="none"/>
                <w:lang w:eastAsia="zh-CN"/>
              </w:rPr>
              <w:t>★</w:t>
            </w:r>
            <w:r>
              <w:rPr>
                <w:rFonts w:hint="eastAsia" w:ascii="宋体" w:hAnsi="宋体" w:eastAsia="宋体" w:cs="宋体"/>
                <w:i w:val="0"/>
                <w:iCs w:val="0"/>
                <w:color w:val="000000"/>
                <w:kern w:val="0"/>
                <w:sz w:val="21"/>
                <w:szCs w:val="21"/>
                <w:highlight w:val="none"/>
                <w:u w:val="none"/>
                <w:lang w:val="en-US" w:eastAsia="zh-CN" w:bidi="ar"/>
              </w:rPr>
              <w:t>核心技术与模型</w:t>
            </w:r>
          </w:p>
          <w:p w14:paraId="15F2E127">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1、集成模型: AI助理接入了DeepSeek系列模型，包括R1、V3和R1-qwen32b蒸馏版，支持深度思考和联网查询功能。</w:t>
            </w:r>
          </w:p>
          <w:p w14:paraId="67472244">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2、大模型基础: AI助理基于通义大模型，具备感知、记忆、规划和行动的多重能力。</w:t>
            </w:r>
          </w:p>
          <w:p w14:paraId="04DEABD1">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可代替管理员/老师自动回复家长咨询，减轻入学答疑负担，可多端回复。</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EB7E39">
            <w:pPr>
              <w:jc w:val="center"/>
              <w:rPr>
                <w:rFonts w:hint="eastAsia" w:ascii="宋体" w:hAnsi="宋体" w:eastAsia="宋体" w:cs="宋体"/>
                <w:i w:val="0"/>
                <w:iCs w:val="0"/>
                <w:color w:val="000000"/>
                <w:sz w:val="24"/>
                <w:szCs w:val="24"/>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5A9D46">
            <w:pPr>
              <w:jc w:val="center"/>
              <w:rPr>
                <w:rFonts w:hint="eastAsia" w:ascii="宋体" w:hAnsi="宋体" w:eastAsia="宋体" w:cs="宋体"/>
                <w:i w:val="0"/>
                <w:iCs w:val="0"/>
                <w:color w:val="000000"/>
                <w:sz w:val="24"/>
                <w:szCs w:val="24"/>
                <w:highlight w:val="none"/>
                <w:u w:val="none"/>
              </w:rPr>
            </w:pPr>
          </w:p>
        </w:tc>
      </w:tr>
      <w:tr w14:paraId="52B17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4E2B09">
            <w:pPr>
              <w:jc w:val="center"/>
              <w:rPr>
                <w:rFonts w:hint="eastAsia" w:ascii="宋体" w:hAnsi="宋体" w:eastAsia="宋体" w:cs="宋体"/>
                <w:i w:val="0"/>
                <w:iCs w:val="0"/>
                <w:color w:val="000000"/>
                <w:sz w:val="24"/>
                <w:szCs w:val="24"/>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6BAB09">
            <w:pPr>
              <w:jc w:val="center"/>
              <w:rPr>
                <w:rFonts w:hint="eastAsia" w:ascii="宋体" w:hAnsi="宋体" w:eastAsia="宋体" w:cs="宋体"/>
                <w:i w:val="0"/>
                <w:iCs w:val="0"/>
                <w:color w:val="000000"/>
                <w:sz w:val="24"/>
                <w:szCs w:val="24"/>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C6D18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学校邮箱</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E4392D">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学校企业邮箱与移动APP内许多应用组成协同办公套件，提升用户工作效率。学校邮箱具备海量吞吐、负载均衡、资源动态调度扩展、数据多副本冗余存储等技术特点，为用户提供高安全、高性能、高稳定的邮件基础服务。</w:t>
            </w:r>
          </w:p>
          <w:p w14:paraId="5BDC263F">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 邮件与移动 app 的即时消息、日历、公告、工作群等功能无缝集成，用户无需切换应用即可完成邮件收发、日程安排及团队协作。</w:t>
            </w:r>
          </w:p>
          <w:p w14:paraId="714FB69A">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 统一通信管理：用户可以在移动 APP 内直接管理多个邮箱账户， 包括学校邮箱和个人邮箱，实现邮件的集中查看和管理，减少信息遗漏和管理成本。可以发送、删除、回复邮件或下载邮件附件。邮箱发送一封邮件中收件人数量限制最多300个。</w:t>
            </w:r>
          </w:p>
          <w:p w14:paraId="4F83D33B">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邮件中添加日程：可以直接从邮件内容中提取时间、地点等信息，快速创建日程 邀请，同步到移动 app 日历中。</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93C634">
            <w:pPr>
              <w:jc w:val="center"/>
              <w:rPr>
                <w:rFonts w:hint="eastAsia" w:ascii="宋体" w:hAnsi="宋体" w:eastAsia="宋体" w:cs="宋体"/>
                <w:i w:val="0"/>
                <w:iCs w:val="0"/>
                <w:color w:val="000000"/>
                <w:sz w:val="24"/>
                <w:szCs w:val="24"/>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13EC7C">
            <w:pPr>
              <w:jc w:val="center"/>
              <w:rPr>
                <w:rFonts w:hint="eastAsia" w:ascii="宋体" w:hAnsi="宋体" w:eastAsia="宋体" w:cs="宋体"/>
                <w:i w:val="0"/>
                <w:iCs w:val="0"/>
                <w:color w:val="000000"/>
                <w:sz w:val="24"/>
                <w:szCs w:val="24"/>
                <w:highlight w:val="none"/>
                <w:u w:val="none"/>
              </w:rPr>
            </w:pPr>
          </w:p>
        </w:tc>
      </w:tr>
      <w:tr w14:paraId="7FA84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A277DA">
            <w:pPr>
              <w:jc w:val="center"/>
              <w:rPr>
                <w:rFonts w:hint="eastAsia" w:ascii="宋体" w:hAnsi="宋体" w:eastAsia="宋体" w:cs="宋体"/>
                <w:i w:val="0"/>
                <w:iCs w:val="0"/>
                <w:color w:val="000000"/>
                <w:sz w:val="24"/>
                <w:szCs w:val="24"/>
                <w:highlight w:val="none"/>
                <w:u w:val="none"/>
              </w:rPr>
            </w:pPr>
          </w:p>
        </w:tc>
        <w:tc>
          <w:tcPr>
            <w:tcW w:w="4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76D623">
            <w:pPr>
              <w:jc w:val="center"/>
              <w:rPr>
                <w:rFonts w:hint="eastAsia" w:ascii="宋体" w:hAnsi="宋体" w:eastAsia="宋体" w:cs="宋体"/>
                <w:i w:val="0"/>
                <w:iCs w:val="0"/>
                <w:color w:val="000000"/>
                <w:sz w:val="24"/>
                <w:szCs w:val="24"/>
                <w:highlight w:val="none"/>
                <w:u w:val="none"/>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842CB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数据大屏</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433BAA">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支持将考勤，请假，访客，门禁，会议室等模块的业务数据自定义组合进行显示，并支持多种方式的投屏</w:t>
            </w:r>
          </w:p>
          <w:p w14:paraId="6E51EE60">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支持数据大屏的自定义创建，可以选择不同的板式，命名大屏的名称；还可以对已有的数据大屏进行编辑</w:t>
            </w:r>
          </w:p>
          <w:p w14:paraId="3E9BC399">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数据模块支持自由选择和摆放，可以编辑图表标题，统计范围，样式等内容，可以支持效果预览</w:t>
            </w:r>
          </w:p>
          <w:p w14:paraId="7E7DF6A0">
            <w:pPr>
              <w:keepNext w:val="0"/>
              <w:keepLines w:val="0"/>
              <w:widowControl/>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支持在智能电视，普通电视和显示器上进行投屏</w:t>
            </w:r>
          </w:p>
          <w:p w14:paraId="41BF6CDA">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已连接的投屏可以切换显示的内容，可以断开连接</w:t>
            </w: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5BBFB3">
            <w:pPr>
              <w:jc w:val="center"/>
              <w:rPr>
                <w:rFonts w:hint="eastAsia" w:ascii="宋体" w:hAnsi="宋体" w:eastAsia="宋体" w:cs="宋体"/>
                <w:i w:val="0"/>
                <w:iCs w:val="0"/>
                <w:color w:val="000000"/>
                <w:sz w:val="24"/>
                <w:szCs w:val="24"/>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0F9007">
            <w:pPr>
              <w:jc w:val="center"/>
              <w:rPr>
                <w:rFonts w:hint="eastAsia" w:ascii="宋体" w:hAnsi="宋体" w:eastAsia="宋体" w:cs="宋体"/>
                <w:i w:val="0"/>
                <w:iCs w:val="0"/>
                <w:color w:val="000000"/>
                <w:sz w:val="24"/>
                <w:szCs w:val="24"/>
                <w:highlight w:val="none"/>
                <w:u w:val="none"/>
              </w:rPr>
            </w:pPr>
          </w:p>
        </w:tc>
      </w:tr>
      <w:tr w14:paraId="2158D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8E7BC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956"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E0E5C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软件开发服务</w:t>
            </w:r>
          </w:p>
        </w:tc>
        <w:tc>
          <w:tcPr>
            <w:tcW w:w="26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E5A4FC">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个性化需求定制开发，服务期为三年</w:t>
            </w:r>
          </w:p>
        </w:tc>
        <w:tc>
          <w:tcPr>
            <w:tcW w:w="4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25C55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5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141A8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r>
    </w:tbl>
    <w:p w14:paraId="2DE94D3E">
      <w:pPr>
        <w:rPr>
          <w:highlight w:val="none"/>
        </w:rPr>
      </w:pPr>
    </w:p>
    <w:p w14:paraId="3BD1B0DB">
      <w:pPr>
        <w:pStyle w:val="18"/>
        <w:rPr>
          <w:rFonts w:hint="eastAsia"/>
          <w:highlight w:val="none"/>
        </w:rPr>
      </w:pPr>
    </w:p>
    <w:p w14:paraId="51BC3F22">
      <w:pPr>
        <w:rPr>
          <w:rFonts w:hint="eastAsia" w:ascii="宋体" w:hAnsi="宋体"/>
          <w:bCs/>
          <w:szCs w:val="21"/>
          <w:highlight w:val="none"/>
        </w:rPr>
      </w:pPr>
      <w:r>
        <w:rPr>
          <w:rFonts w:hint="eastAsia" w:ascii="宋体" w:hAnsi="宋体"/>
          <w:bCs/>
          <w:szCs w:val="21"/>
          <w:highlight w:val="none"/>
        </w:rPr>
        <w:br w:type="page"/>
      </w:r>
    </w:p>
    <w:p w14:paraId="4E2080AB">
      <w:pPr>
        <w:adjustRightInd w:val="0"/>
        <w:snapToGrid w:val="0"/>
        <w:spacing w:line="400" w:lineRule="exact"/>
        <w:rPr>
          <w:rFonts w:ascii="宋体" w:hAnsi="宋体"/>
          <w:b/>
          <w:bCs w:val="0"/>
          <w:sz w:val="36"/>
          <w:szCs w:val="36"/>
          <w:highlight w:val="none"/>
        </w:rPr>
      </w:pPr>
      <w:r>
        <w:rPr>
          <w:rFonts w:hint="eastAsia" w:ascii="宋体" w:hAnsi="宋体"/>
          <w:b/>
          <w:bCs w:val="0"/>
          <w:sz w:val="36"/>
          <w:szCs w:val="36"/>
          <w:highlight w:val="none"/>
        </w:rPr>
        <w:t>标项</w:t>
      </w:r>
      <w:r>
        <w:rPr>
          <w:rFonts w:hint="eastAsia" w:ascii="宋体" w:hAnsi="宋体"/>
          <w:b/>
          <w:bCs w:val="0"/>
          <w:sz w:val="36"/>
          <w:szCs w:val="36"/>
          <w:highlight w:val="none"/>
          <w:lang w:val="en-US" w:eastAsia="zh-CN"/>
        </w:rPr>
        <w:t>3</w:t>
      </w:r>
      <w:r>
        <w:rPr>
          <w:rFonts w:hint="eastAsia" w:ascii="宋体" w:hAnsi="宋体"/>
          <w:b/>
          <w:bCs w:val="0"/>
          <w:sz w:val="36"/>
          <w:szCs w:val="36"/>
          <w:highlight w:val="none"/>
        </w:rPr>
        <w:t>：</w:t>
      </w:r>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autofit"/>
        <w:tblCellMar>
          <w:top w:w="0" w:type="dxa"/>
          <w:left w:w="108" w:type="dxa"/>
          <w:bottom w:w="0" w:type="dxa"/>
          <w:right w:w="108" w:type="dxa"/>
        </w:tblCellMar>
      </w:tblPr>
      <w:tblGrid>
        <w:gridCol w:w="864"/>
        <w:gridCol w:w="2353"/>
        <w:gridCol w:w="9204"/>
        <w:gridCol w:w="864"/>
        <w:gridCol w:w="875"/>
      </w:tblGrid>
      <w:tr w14:paraId="5797D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00" w:type="pct"/>
            <w:gridSpan w:val="5"/>
            <w:tcBorders>
              <w:top w:val="single" w:color="000000" w:sz="4" w:space="0"/>
              <w:left w:val="single" w:color="000000" w:sz="4" w:space="0"/>
              <w:bottom w:val="single" w:color="000000" w:sz="4" w:space="0"/>
              <w:right w:val="nil"/>
            </w:tcBorders>
            <w:shd w:val="clear" w:color="auto" w:fill="FFFFFF" w:themeFill="background1"/>
            <w:vAlign w:val="center"/>
          </w:tcPr>
          <w:p w14:paraId="1145C4B6">
            <w:pPr>
              <w:keepNext w:val="0"/>
              <w:keepLines w:val="0"/>
              <w:widowControl/>
              <w:suppressLineNumbers w:val="0"/>
              <w:jc w:val="center"/>
              <w:textAlignment w:val="center"/>
              <w:rPr>
                <w:rFonts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智慧黑板</w:t>
            </w:r>
          </w:p>
        </w:tc>
      </w:tr>
      <w:tr w14:paraId="7CFC4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285" w:hRule="atLeast"/>
        </w:trPr>
        <w:tc>
          <w:tcPr>
            <w:tcW w:w="30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71E70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序号</w:t>
            </w:r>
          </w:p>
        </w:tc>
        <w:tc>
          <w:tcPr>
            <w:tcW w:w="8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26DCD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分项名称</w:t>
            </w:r>
          </w:p>
        </w:tc>
        <w:tc>
          <w:tcPr>
            <w:tcW w:w="325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4729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参数</w:t>
            </w:r>
          </w:p>
        </w:tc>
        <w:tc>
          <w:tcPr>
            <w:tcW w:w="30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919C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单位</w:t>
            </w:r>
          </w:p>
        </w:tc>
        <w:tc>
          <w:tcPr>
            <w:tcW w:w="30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939A4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数量</w:t>
            </w:r>
          </w:p>
        </w:tc>
      </w:tr>
      <w:tr w14:paraId="52246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592" w:hRule="atLeast"/>
        </w:trPr>
        <w:tc>
          <w:tcPr>
            <w:tcW w:w="30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DA4E4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B992B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交互式智能平板（核心产品）</w:t>
            </w:r>
          </w:p>
        </w:tc>
        <w:tc>
          <w:tcPr>
            <w:tcW w:w="325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B23166">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一、整机参数</w:t>
            </w:r>
          </w:p>
          <w:p w14:paraId="3A2CFAED">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1.整机采用一体设计，外部无任何可见内部功能模块连接线。边角采用弧形设计，表面无尖锐边缘或凸起。</w:t>
            </w:r>
          </w:p>
          <w:p w14:paraId="7E231D52">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2.86英寸液晶屏，超高清LED背光，16:9比例，分辨率3840×2160像素。</w:t>
            </w:r>
          </w:p>
          <w:p w14:paraId="73408EBA">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3.嵌入式系统Android14及以上，处理器主频≥1.8GHz，运行内存≥2GB，存储空间≥8GB。</w:t>
            </w:r>
          </w:p>
          <w:p w14:paraId="1CC01634">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4.钢化玻璃表面硬度≥9H，莫氏7级，屏体表面强度100MPa。双系统支持≥40点触控。</w:t>
            </w:r>
          </w:p>
          <w:p w14:paraId="773F12BD">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5.内置2.2声道扬声器，总功率60W，模块化设计，易维护。内置非独立8阵列麦克风，拾音角度≥180°，距离≥12m。支持AI空间音频感知，依教室环境自动生成适配音效等。</w:t>
            </w:r>
          </w:p>
          <w:p w14:paraId="6E73F24C">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6.背光系统支持DC调光，色彩空间可选，sRGB模式下高色准△E≤1。支持AI画质调节模式，自动调整多种画质参数。</w:t>
            </w:r>
          </w:p>
          <w:p w14:paraId="07217318">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7.至少6个前置按键，至少5个可自定义。</w:t>
            </w:r>
          </w:p>
          <w:p w14:paraId="657594F5">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★8.支持蓝牙5.4，内置双WiFi6网卡，Android下支持≥32个无线设备连接，Windows下支持≥8个。</w:t>
            </w:r>
          </w:p>
          <w:p w14:paraId="38AA8AA5">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★9.支持超声波快速物联，无需同局域网，可配对、一键投屏等。</w:t>
            </w:r>
          </w:p>
          <w:p w14:paraId="7835ACAD">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10.整机上边框内置非独立式摄像头，采用一体化集成设计，内置多个摄像头，像素值均大于800 万。。</w:t>
            </w:r>
          </w:p>
          <w:p w14:paraId="74E1DA7A">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二、ops模块</w:t>
            </w:r>
          </w:p>
          <w:p w14:paraId="5274D6B8">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1.处理器：IntelCorei512代及以上。</w:t>
            </w:r>
          </w:p>
          <w:p w14:paraId="505444C1">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2.内存：8GDDR4笔记本内存及以上。硬盘≥256GSSD固态硬盘。</w:t>
            </w:r>
          </w:p>
          <w:p w14:paraId="674962F5">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3.≥3路USB，≥1路HDMI。</w:t>
            </w:r>
          </w:p>
          <w:p w14:paraId="7B60E6CC">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4.班班通与OPS模块同品牌须提供证明文件。</w:t>
            </w:r>
          </w:p>
          <w:p w14:paraId="12655754">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三、教学软件</w:t>
            </w:r>
          </w:p>
          <w:p w14:paraId="49F30515">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1.支持互动教学课件定向精准分享。互动式教学课件资源丰富，涵盖各学段地区教材版本等，数量众多，支持在线评分。</w:t>
            </w:r>
          </w:p>
          <w:p w14:paraId="724C9ECD">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★2.具备AI智能备课助手，可按教学环节筛选、导入课件内容。AI智能纠错，检查英文文本错误并一键纠错。AI音标助手，支持浏览、发音、转写音标等操作。</w:t>
            </w:r>
          </w:p>
          <w:p w14:paraId="12989726">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3.提供100节党建微课视频，可点播、下载、标记、截图等。互动课件资源库丰富，数量不低于15万份。</w:t>
            </w:r>
          </w:p>
          <w:p w14:paraId="586905CE">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4.提供Word转云教案功能，解析通用元素。提供多种教案模板，支持校本模板。</w:t>
            </w:r>
          </w:p>
          <w:p w14:paraId="6A91BDC6">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四、集中控制管理平台</w:t>
            </w:r>
          </w:p>
          <w:p w14:paraId="7E85CB71">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1.一校一码认证机制，保障关联私密安全。</w:t>
            </w:r>
          </w:p>
          <w:p w14:paraId="00BDEAE6">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2.支持创设系统还原点，实现磁盘级还原保护。软件运行受保护，无法通过传统方法终止。</w:t>
            </w:r>
          </w:p>
          <w:p w14:paraId="2A1DF058">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3.B/S混合云架构，支持多操作系统通过浏览器登录。</w:t>
            </w:r>
          </w:p>
          <w:p w14:paraId="06646B95">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4.支持自定义循环周期设置锁屏指令，多种锁屏及解锁方式。</w:t>
            </w:r>
          </w:p>
          <w:p w14:paraId="2A6D03A9">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5.看班功能，老师可查看教室画面、远程干预，管理员分配权限。</w:t>
            </w:r>
          </w:p>
          <w:p w14:paraId="2387177A">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6.音视频直播功能多样，支持多种直播方式及操作。</w:t>
            </w:r>
          </w:p>
          <w:p w14:paraId="6DBE6E9F">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7.支持一键开启全校班班通设备不良弹窗AI拦截过滤。</w:t>
            </w:r>
          </w:p>
          <w:p w14:paraId="7D5F8D81">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8.可查看并导出设备使用等多类数据。</w:t>
            </w:r>
          </w:p>
          <w:p w14:paraId="66F04BCA">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9.支持查看教室画面、记录巡视记录。</w:t>
            </w:r>
          </w:p>
          <w:p w14:paraId="054A9C16">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10.移动系统采用MiniProgram设计，兼容多种移动操作系统。</w:t>
            </w:r>
          </w:p>
          <w:p w14:paraId="26D8F653">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以上内容中带“★”项为核心参数，提供厂商官网产品截图证明或产品彩页或有效的检测报告。</w:t>
            </w:r>
          </w:p>
        </w:tc>
        <w:tc>
          <w:tcPr>
            <w:tcW w:w="30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D39B9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台</w:t>
            </w:r>
          </w:p>
        </w:tc>
        <w:tc>
          <w:tcPr>
            <w:tcW w:w="30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24020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w:t>
            </w:r>
          </w:p>
        </w:tc>
      </w:tr>
      <w:tr w14:paraId="75FC9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21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CD81F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8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2F5FD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智能讲台</w:t>
            </w:r>
          </w:p>
        </w:tc>
        <w:tc>
          <w:tcPr>
            <w:tcW w:w="325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89B778">
            <w:pPr>
              <w:keepNext w:val="0"/>
              <w:keepLines w:val="0"/>
              <w:widowControl/>
              <w:suppressLineNumbers w:val="0"/>
              <w:jc w:val="left"/>
              <w:textAlignment w:val="center"/>
              <w:rPr>
                <w:rStyle w:val="287"/>
                <w:highlight w:val="none"/>
                <w:lang w:val="en-US" w:eastAsia="zh-CN" w:bidi="ar"/>
              </w:rPr>
            </w:pPr>
            <w:r>
              <w:rPr>
                <w:rStyle w:val="287"/>
                <w:highlight w:val="none"/>
                <w:lang w:val="en-US" w:eastAsia="zh-CN" w:bidi="ar"/>
              </w:rPr>
              <w:t>1.智能讲台采用E0级木质板材，甲醛释放量≤0.05mg/m</w:t>
            </w:r>
            <w:r>
              <w:rPr>
                <w:rStyle w:val="160"/>
                <w:highlight w:val="none"/>
                <w:lang w:val="en-US" w:eastAsia="zh-CN" w:bidi="ar"/>
              </w:rPr>
              <w:t>³</w:t>
            </w:r>
            <w:r>
              <w:rPr>
                <w:rStyle w:val="287"/>
                <w:highlight w:val="none"/>
                <w:lang w:val="en-US" w:eastAsia="zh-CN" w:bidi="ar"/>
              </w:rPr>
              <w:t>，桌面防静电。</w:t>
            </w:r>
          </w:p>
          <w:p w14:paraId="730DFF3D">
            <w:pPr>
              <w:keepNext w:val="0"/>
              <w:keepLines w:val="0"/>
              <w:widowControl/>
              <w:suppressLineNumbers w:val="0"/>
              <w:jc w:val="left"/>
              <w:textAlignment w:val="center"/>
              <w:rPr>
                <w:rStyle w:val="287"/>
                <w:highlight w:val="none"/>
                <w:lang w:val="en-US" w:eastAsia="zh-CN" w:bidi="ar"/>
              </w:rPr>
            </w:pPr>
            <w:r>
              <w:rPr>
                <w:rStyle w:val="287"/>
                <w:highlight w:val="none"/>
                <w:lang w:val="en-US" w:eastAsia="zh-CN" w:bidi="ar"/>
              </w:rPr>
              <w:t>2.尺寸≥1100mm×550mm×900mm，三面环抱式设计，符合人体力学，桌面平整、悬浮式、边缘光滑无棱角。</w:t>
            </w:r>
          </w:p>
          <w:p w14:paraId="53F12100">
            <w:pPr>
              <w:keepNext w:val="0"/>
              <w:keepLines w:val="0"/>
              <w:widowControl/>
              <w:suppressLineNumbers w:val="0"/>
              <w:jc w:val="left"/>
              <w:textAlignment w:val="center"/>
              <w:rPr>
                <w:rStyle w:val="287"/>
                <w:highlight w:val="none"/>
                <w:lang w:val="en-US" w:eastAsia="zh-CN" w:bidi="ar"/>
              </w:rPr>
            </w:pPr>
            <w:r>
              <w:rPr>
                <w:rStyle w:val="287"/>
                <w:highlight w:val="none"/>
                <w:lang w:val="en-US" w:eastAsia="zh-CN" w:bidi="ar"/>
              </w:rPr>
              <w:t>★3.配备≥21.5英寸电容触摸屏，支持10点触控。</w:t>
            </w:r>
          </w:p>
          <w:p w14:paraId="402B65BA">
            <w:pPr>
              <w:keepNext w:val="0"/>
              <w:keepLines w:val="0"/>
              <w:widowControl/>
              <w:suppressLineNumbers w:val="0"/>
              <w:jc w:val="left"/>
              <w:textAlignment w:val="center"/>
              <w:rPr>
                <w:rStyle w:val="287"/>
                <w:highlight w:val="none"/>
                <w:lang w:val="en-US" w:eastAsia="zh-CN" w:bidi="ar"/>
              </w:rPr>
            </w:pPr>
            <w:r>
              <w:rPr>
                <w:rStyle w:val="287"/>
                <w:highlight w:val="none"/>
                <w:lang w:val="en-US" w:eastAsia="zh-CN" w:bidi="ar"/>
              </w:rPr>
              <w:t>4.屏幕采用≥3mm厚的防眩光全钢化防爆玻璃面板。</w:t>
            </w:r>
          </w:p>
          <w:p w14:paraId="63AE1314">
            <w:pPr>
              <w:keepNext w:val="0"/>
              <w:keepLines w:val="0"/>
              <w:widowControl/>
              <w:suppressLineNumbers w:val="0"/>
              <w:jc w:val="left"/>
              <w:textAlignment w:val="center"/>
              <w:rPr>
                <w:rStyle w:val="287"/>
                <w:highlight w:val="none"/>
                <w:lang w:val="en-US" w:eastAsia="zh-CN" w:bidi="ar"/>
              </w:rPr>
            </w:pPr>
            <w:r>
              <w:rPr>
                <w:rStyle w:val="287"/>
                <w:highlight w:val="none"/>
                <w:lang w:val="en-US" w:eastAsia="zh-CN" w:bidi="ar"/>
              </w:rPr>
              <w:t>5.可通过触控屏幕控制一体机画面及同步显示，提升授课效率。</w:t>
            </w:r>
          </w:p>
          <w:p w14:paraId="380EDF7E">
            <w:pPr>
              <w:keepNext w:val="0"/>
              <w:keepLines w:val="0"/>
              <w:widowControl/>
              <w:suppressLineNumbers w:val="0"/>
              <w:jc w:val="left"/>
              <w:textAlignment w:val="center"/>
              <w:rPr>
                <w:rStyle w:val="287"/>
                <w:highlight w:val="none"/>
                <w:lang w:val="en-US" w:eastAsia="zh-CN" w:bidi="ar"/>
              </w:rPr>
            </w:pPr>
            <w:r>
              <w:rPr>
                <w:rStyle w:val="287"/>
                <w:highlight w:val="none"/>
                <w:lang w:val="en-US" w:eastAsia="zh-CN" w:bidi="ar"/>
              </w:rPr>
              <w:t>6.两侧共设≥5个物理实体快捷按键。</w:t>
            </w:r>
          </w:p>
          <w:p w14:paraId="1ED301D4">
            <w:pPr>
              <w:keepNext w:val="0"/>
              <w:keepLines w:val="0"/>
              <w:widowControl/>
              <w:suppressLineNumbers w:val="0"/>
              <w:jc w:val="left"/>
              <w:textAlignment w:val="center"/>
              <w:rPr>
                <w:rStyle w:val="287"/>
                <w:highlight w:val="none"/>
                <w:lang w:val="en-US" w:eastAsia="zh-CN" w:bidi="ar"/>
              </w:rPr>
            </w:pPr>
            <w:r>
              <w:rPr>
                <w:rStyle w:val="287"/>
                <w:highlight w:val="none"/>
                <w:lang w:val="en-US" w:eastAsia="zh-CN" w:bidi="ar"/>
              </w:rPr>
              <w:t>★7.具备独立快捷按键，可一键控制一体机的熄屏、音量加减。</w:t>
            </w:r>
          </w:p>
          <w:p w14:paraId="72DEEBE1">
            <w:pPr>
              <w:keepNext w:val="0"/>
              <w:keepLines w:val="0"/>
              <w:widowControl/>
              <w:suppressLineNumbers w:val="0"/>
              <w:jc w:val="left"/>
              <w:textAlignment w:val="center"/>
              <w:rPr>
                <w:rStyle w:val="287"/>
                <w:highlight w:val="none"/>
                <w:lang w:val="en-US" w:eastAsia="zh-CN" w:bidi="ar"/>
              </w:rPr>
            </w:pPr>
            <w:r>
              <w:rPr>
                <w:rStyle w:val="287"/>
                <w:highlight w:val="none"/>
                <w:lang w:val="en-US" w:eastAsia="zh-CN" w:bidi="ar"/>
              </w:rPr>
              <w:t>8.支持对自身触控屏幕进行一键息屏、开/关机控制。</w:t>
            </w:r>
          </w:p>
          <w:p w14:paraId="7AF6C010">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Style w:val="287"/>
                <w:highlight w:val="none"/>
                <w:lang w:val="en-US" w:eastAsia="zh-CN" w:bidi="ar"/>
              </w:rPr>
              <w:t>以上内容中带“★”项为核心参数，提供厂商官网产品截图证明或产品彩页或有效的检测报告。</w:t>
            </w:r>
          </w:p>
        </w:tc>
        <w:tc>
          <w:tcPr>
            <w:tcW w:w="30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3C64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台</w:t>
            </w:r>
          </w:p>
        </w:tc>
        <w:tc>
          <w:tcPr>
            <w:tcW w:w="30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EE02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w:t>
            </w:r>
          </w:p>
        </w:tc>
      </w:tr>
      <w:tr w14:paraId="614BA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680" w:hRule="atLeast"/>
        </w:trPr>
        <w:tc>
          <w:tcPr>
            <w:tcW w:w="30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448C1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8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198D2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视频展台</w:t>
            </w:r>
          </w:p>
        </w:tc>
        <w:tc>
          <w:tcPr>
            <w:tcW w:w="325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2D3A81">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1.摄像头≥800万像素，USB五伏供电，隐藏式USB连线，下出USB口。</w:t>
            </w:r>
          </w:p>
          <w:p w14:paraId="0DF490A8">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2.A4拍摄幅面，1080P视频预览30帧/秒，金属加强托板及挂墙部分，托板承重3kg，整机壁挂安装。</w:t>
            </w:r>
          </w:p>
          <w:p w14:paraId="7B2903D9">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3.支持展台画面实时批注，多种笔划设置，批注内容同步缩放、移动。</w:t>
            </w:r>
          </w:p>
          <w:p w14:paraId="7CFDAFCF">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4.圆弧式设计，无锐角，托板磁吸吸附，易开合固定，降低机械锁故障率。</w:t>
            </w:r>
          </w:p>
          <w:p w14:paraId="18707808">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5.托板上方有LED补光灯，触摸按键开关，可通过软件控制。</w:t>
            </w:r>
          </w:p>
          <w:p w14:paraId="70B93ADD">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6.自动对焦摄像头，外壳有保护镜片密封，防护等级IP4X。</w:t>
            </w:r>
          </w:p>
          <w:p w14:paraId="4DE67F94">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7.故障自动检测，无信号时自动提供检测链接及原因。</w:t>
            </w:r>
          </w:p>
        </w:tc>
        <w:tc>
          <w:tcPr>
            <w:tcW w:w="30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29F2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台</w:t>
            </w:r>
          </w:p>
        </w:tc>
        <w:tc>
          <w:tcPr>
            <w:tcW w:w="30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27C83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w:t>
            </w:r>
          </w:p>
        </w:tc>
      </w:tr>
      <w:tr w14:paraId="6FDB5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5330" w:hRule="atLeast"/>
        </w:trPr>
        <w:tc>
          <w:tcPr>
            <w:tcW w:w="30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C7B84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w:t>
            </w:r>
          </w:p>
        </w:tc>
        <w:tc>
          <w:tcPr>
            <w:tcW w:w="8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E9587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推拉黑板</w:t>
            </w:r>
          </w:p>
        </w:tc>
        <w:tc>
          <w:tcPr>
            <w:tcW w:w="325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419B63">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1.</w:t>
            </w:r>
            <w:r>
              <w:rPr>
                <w:rFonts w:hint="eastAsia" w:ascii="仿宋" w:hAnsi="仿宋" w:eastAsia="仿宋" w:cs="仿宋"/>
                <w:i w:val="0"/>
                <w:iCs w:val="0"/>
                <w:color w:val="000000"/>
                <w:sz w:val="20"/>
                <w:szCs w:val="20"/>
                <w:highlight w:val="none"/>
                <w:u w:val="none"/>
              </w:rPr>
              <w:t>结构：双层结构，内层为两块固定书写板左右各一块，中间预留放置电子产品空间，外层为两块滑动书写板</w:t>
            </w:r>
            <w:r>
              <w:rPr>
                <w:rFonts w:hint="eastAsia" w:ascii="仿宋" w:hAnsi="仿宋" w:eastAsia="仿宋" w:cs="仿宋"/>
                <w:i w:val="0"/>
                <w:iCs w:val="0"/>
                <w:color w:val="000000"/>
                <w:sz w:val="20"/>
                <w:szCs w:val="20"/>
                <w:highlight w:val="none"/>
                <w:u w:val="none"/>
                <w:lang w:eastAsia="zh-CN"/>
              </w:rPr>
              <w:t>，</w:t>
            </w:r>
            <w:r>
              <w:rPr>
                <w:rFonts w:hint="eastAsia" w:ascii="仿宋" w:hAnsi="仿宋" w:eastAsia="仿宋" w:cs="仿宋"/>
                <w:i w:val="0"/>
                <w:iCs w:val="0"/>
                <w:color w:val="000000"/>
                <w:sz w:val="20"/>
                <w:szCs w:val="20"/>
                <w:highlight w:val="none"/>
                <w:u w:val="none"/>
                <w:lang w:val="en-US" w:eastAsia="zh-CN"/>
              </w:rPr>
              <w:t>开闭自如确保一体机的安全管理，支持电子产品居中放置</w:t>
            </w:r>
            <w:r>
              <w:rPr>
                <w:rFonts w:hint="eastAsia" w:ascii="仿宋" w:hAnsi="仿宋" w:eastAsia="仿宋" w:cs="仿宋"/>
                <w:i w:val="0"/>
                <w:iCs w:val="0"/>
                <w:color w:val="000000"/>
                <w:sz w:val="20"/>
                <w:szCs w:val="20"/>
                <w:highlight w:val="none"/>
                <w:u w:val="none"/>
              </w:rPr>
              <w:t>。</w:t>
            </w:r>
          </w:p>
          <w:p w14:paraId="1D9A4901">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2.</w:t>
            </w:r>
            <w:r>
              <w:rPr>
                <w:rFonts w:hint="eastAsia" w:ascii="仿宋" w:hAnsi="仿宋" w:eastAsia="仿宋" w:cs="仿宋"/>
                <w:i w:val="0"/>
                <w:iCs w:val="0"/>
                <w:color w:val="000000"/>
                <w:sz w:val="20"/>
                <w:szCs w:val="20"/>
                <w:highlight w:val="none"/>
                <w:u w:val="none"/>
              </w:rPr>
              <w:t>尺寸：长度≥4000mm，高度可根据所配电子产品适当调整，确保与电子产品的有效配套</w:t>
            </w:r>
          </w:p>
          <w:p w14:paraId="3A064212">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3.</w:t>
            </w:r>
            <w:r>
              <w:rPr>
                <w:rFonts w:hint="eastAsia" w:ascii="仿宋" w:hAnsi="仿宋" w:eastAsia="仿宋" w:cs="仿宋"/>
                <w:i w:val="0"/>
                <w:iCs w:val="0"/>
                <w:color w:val="000000"/>
                <w:sz w:val="20"/>
                <w:szCs w:val="20"/>
                <w:highlight w:val="none"/>
                <w:u w:val="none"/>
              </w:rPr>
              <w:t>内板：</w:t>
            </w:r>
            <w:r>
              <w:rPr>
                <w:rFonts w:hint="eastAsia" w:ascii="仿宋" w:hAnsi="仿宋" w:eastAsia="仿宋" w:cs="仿宋"/>
                <w:i w:val="0"/>
                <w:iCs w:val="0"/>
                <w:color w:val="000000"/>
                <w:sz w:val="20"/>
                <w:szCs w:val="20"/>
                <w:highlight w:val="none"/>
                <w:u w:val="none"/>
                <w:lang w:eastAsia="zh-CN"/>
              </w:rPr>
              <w:t>正面左右两侧</w:t>
            </w:r>
            <w:r>
              <w:rPr>
                <w:rFonts w:hint="eastAsia" w:ascii="仿宋" w:hAnsi="仿宋" w:eastAsia="仿宋" w:cs="仿宋"/>
                <w:i w:val="0"/>
                <w:iCs w:val="0"/>
                <w:color w:val="000000"/>
                <w:sz w:val="20"/>
                <w:szCs w:val="20"/>
                <w:highlight w:val="none"/>
                <w:u w:val="none"/>
              </w:rPr>
              <w:t>无</w:t>
            </w:r>
            <w:r>
              <w:rPr>
                <w:rFonts w:hint="eastAsia" w:ascii="仿宋" w:hAnsi="仿宋" w:eastAsia="仿宋" w:cs="仿宋"/>
                <w:i w:val="0"/>
                <w:iCs w:val="0"/>
                <w:color w:val="000000"/>
                <w:sz w:val="20"/>
                <w:szCs w:val="20"/>
                <w:highlight w:val="none"/>
                <w:u w:val="none"/>
                <w:lang w:eastAsia="zh-CN"/>
              </w:rPr>
              <w:t>边框设计</w:t>
            </w:r>
            <w:r>
              <w:rPr>
                <w:rFonts w:hint="eastAsia" w:ascii="仿宋" w:hAnsi="仿宋" w:eastAsia="仿宋" w:cs="仿宋"/>
                <w:i w:val="0"/>
                <w:iCs w:val="0"/>
                <w:color w:val="000000"/>
                <w:sz w:val="20"/>
                <w:szCs w:val="20"/>
                <w:highlight w:val="none"/>
                <w:u w:val="none"/>
              </w:rPr>
              <w:t>，</w:t>
            </w:r>
            <w:r>
              <w:rPr>
                <w:rFonts w:hint="eastAsia" w:ascii="仿宋" w:hAnsi="仿宋" w:eastAsia="仿宋" w:cs="仿宋"/>
                <w:i w:val="0"/>
                <w:iCs w:val="0"/>
                <w:color w:val="000000"/>
                <w:sz w:val="20"/>
                <w:szCs w:val="20"/>
                <w:highlight w:val="none"/>
                <w:u w:val="none"/>
                <w:lang w:eastAsia="zh-CN"/>
              </w:rPr>
              <w:t>上下边框正面高度不超</w:t>
            </w:r>
            <w:r>
              <w:rPr>
                <w:rFonts w:hint="eastAsia" w:ascii="仿宋" w:hAnsi="仿宋" w:eastAsia="仿宋" w:cs="仿宋"/>
                <w:i w:val="0"/>
                <w:iCs w:val="0"/>
                <w:color w:val="000000"/>
                <w:sz w:val="20"/>
                <w:szCs w:val="20"/>
                <w:highlight w:val="none"/>
                <w:u w:val="none"/>
                <w:lang w:val="en-US" w:eastAsia="zh-CN"/>
              </w:rPr>
              <w:t>15mm，</w:t>
            </w:r>
            <w:r>
              <w:rPr>
                <w:rFonts w:hint="eastAsia" w:ascii="仿宋" w:hAnsi="仿宋" w:eastAsia="仿宋" w:cs="仿宋"/>
                <w:i w:val="0"/>
                <w:iCs w:val="0"/>
                <w:color w:val="000000"/>
                <w:sz w:val="20"/>
                <w:szCs w:val="20"/>
                <w:highlight w:val="none"/>
                <w:u w:val="none"/>
              </w:rPr>
              <w:t>最大限度的增大书写面。</w:t>
            </w:r>
          </w:p>
          <w:p w14:paraId="1791EA61">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4.</w:t>
            </w:r>
            <w:r>
              <w:rPr>
                <w:rFonts w:hint="eastAsia" w:ascii="仿宋" w:hAnsi="仿宋" w:eastAsia="仿宋" w:cs="仿宋"/>
                <w:i w:val="0"/>
                <w:iCs w:val="0"/>
                <w:color w:val="000000"/>
                <w:sz w:val="20"/>
                <w:szCs w:val="20"/>
                <w:highlight w:val="none"/>
                <w:u w:val="none"/>
              </w:rPr>
              <w:t>板面：采用金属烤漆书写板面，亚光、墨绿色，光泽度≤12光泽单位，没有因黑板本身原因产生的眩光，书写流畅字迹清晰、色彩协调可视效果佳，有效的缓解学生视觉疲劳</w:t>
            </w:r>
            <w:r>
              <w:rPr>
                <w:rFonts w:hint="eastAsia" w:ascii="仿宋" w:hAnsi="仿宋" w:eastAsia="仿宋" w:cs="仿宋"/>
                <w:i w:val="0"/>
                <w:iCs w:val="0"/>
                <w:color w:val="000000"/>
                <w:sz w:val="20"/>
                <w:szCs w:val="20"/>
                <w:highlight w:val="none"/>
                <w:u w:val="none"/>
                <w:lang w:eastAsia="zh-CN"/>
              </w:rPr>
              <w:t>；</w:t>
            </w:r>
            <w:r>
              <w:rPr>
                <w:rFonts w:hint="eastAsia" w:ascii="仿宋" w:hAnsi="仿宋" w:eastAsia="仿宋" w:cs="仿宋"/>
                <w:i w:val="0"/>
                <w:iCs w:val="0"/>
                <w:color w:val="000000"/>
                <w:sz w:val="20"/>
                <w:szCs w:val="20"/>
                <w:highlight w:val="none"/>
                <w:u w:val="none"/>
                <w:lang w:val="en-US" w:eastAsia="zh-CN"/>
              </w:rPr>
              <w:t>板面表面附有一层透明保护膜，符合GB28231-2011《书写板安全卫生要求》</w:t>
            </w:r>
            <w:r>
              <w:rPr>
                <w:rFonts w:hint="eastAsia" w:ascii="仿宋" w:hAnsi="仿宋" w:eastAsia="仿宋" w:cs="仿宋"/>
                <w:i w:val="0"/>
                <w:iCs w:val="0"/>
                <w:color w:val="000000"/>
                <w:sz w:val="20"/>
                <w:szCs w:val="20"/>
                <w:highlight w:val="none"/>
                <w:u w:val="none"/>
              </w:rPr>
              <w:t>。</w:t>
            </w:r>
          </w:p>
          <w:p w14:paraId="61583A74">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5.</w:t>
            </w:r>
            <w:r>
              <w:rPr>
                <w:rFonts w:hint="eastAsia" w:ascii="仿宋" w:hAnsi="仿宋" w:eastAsia="仿宋" w:cs="仿宋"/>
                <w:i w:val="0"/>
                <w:iCs w:val="0"/>
                <w:color w:val="000000"/>
                <w:sz w:val="20"/>
                <w:szCs w:val="20"/>
                <w:highlight w:val="none"/>
                <w:u w:val="none"/>
                <w:lang w:eastAsia="zh-CN"/>
              </w:rPr>
              <w:t>背板：</w:t>
            </w:r>
            <w:r>
              <w:rPr>
                <w:rFonts w:hint="eastAsia" w:ascii="仿宋" w:hAnsi="仿宋" w:eastAsia="仿宋" w:cs="仿宋"/>
                <w:i w:val="0"/>
                <w:iCs w:val="0"/>
                <w:color w:val="000000"/>
                <w:sz w:val="20"/>
                <w:szCs w:val="20"/>
                <w:highlight w:val="none"/>
                <w:u w:val="none"/>
                <w:lang w:val="en-US" w:eastAsia="zh-CN"/>
              </w:rPr>
              <w:t>采用优质镀锌钢板，机械化流水线一次成型。</w:t>
            </w:r>
          </w:p>
          <w:p w14:paraId="6FA0AE12">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6.衬板：选用高强度、吸音、防潮、阻燃聚苯乙烯板,厚度≥14mm。</w:t>
            </w:r>
          </w:p>
          <w:p w14:paraId="493FD251">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7.</w:t>
            </w:r>
            <w:r>
              <w:rPr>
                <w:rFonts w:hint="eastAsia" w:ascii="仿宋" w:hAnsi="仿宋" w:eastAsia="仿宋" w:cs="仿宋"/>
                <w:i w:val="0"/>
                <w:iCs w:val="0"/>
                <w:color w:val="000000"/>
                <w:sz w:val="20"/>
                <w:szCs w:val="20"/>
                <w:highlight w:val="none"/>
                <w:u w:val="none"/>
              </w:rPr>
              <w:t>边框：</w:t>
            </w:r>
            <w:r>
              <w:rPr>
                <w:rFonts w:hint="eastAsia" w:ascii="仿宋" w:hAnsi="仿宋" w:eastAsia="仿宋" w:cs="仿宋"/>
                <w:i w:val="0"/>
                <w:iCs w:val="0"/>
                <w:color w:val="000000"/>
                <w:sz w:val="20"/>
                <w:szCs w:val="20"/>
                <w:highlight w:val="none"/>
                <w:u w:val="none"/>
                <w:lang w:val="en-US" w:eastAsia="zh-CN"/>
              </w:rPr>
              <w:t>采用高强度香槟色电泳铝合金型材，性能符合GB</w:t>
            </w:r>
            <w:r>
              <w:rPr>
                <w:rFonts w:hint="eastAsia" w:ascii="仿宋" w:hAnsi="仿宋" w:eastAsia="仿宋" w:cs="仿宋"/>
                <w:i w:val="0"/>
                <w:iCs w:val="0"/>
                <w:color w:val="000000"/>
                <w:sz w:val="20"/>
                <w:szCs w:val="20"/>
                <w:highlight w:val="none"/>
                <w:u w:val="none"/>
                <w:lang w:eastAsia="zh-CN"/>
              </w:rPr>
              <w:t xml:space="preserve">/T </w:t>
            </w:r>
            <w:r>
              <w:rPr>
                <w:rFonts w:hint="eastAsia" w:ascii="仿宋" w:hAnsi="仿宋" w:eastAsia="仿宋" w:cs="仿宋"/>
                <w:i w:val="0"/>
                <w:iCs w:val="0"/>
                <w:color w:val="000000"/>
                <w:sz w:val="20"/>
                <w:szCs w:val="20"/>
                <w:highlight w:val="none"/>
                <w:u w:val="none"/>
                <w:lang w:val="en-US" w:eastAsia="zh-CN"/>
              </w:rPr>
              <w:t>5237.3标准，横框规格≥57mm×78mm，立框规格≥29mm×100mm。轨道上置隐藏式滑动系统，杜绝灰尘及杂物进入，结构性解决滑动受灰尘影响的问题。配有宽度≥30mm的多用槽，多用槽与滑动系统分离，与边框一次模具成形，可放置书写笔、教鞭等教具，不影响滑动板滑动，也可用于灰尘集中处理。边框</w:t>
            </w:r>
            <w:r>
              <w:rPr>
                <w:rFonts w:hint="eastAsia" w:ascii="仿宋" w:hAnsi="仿宋" w:eastAsia="仿宋" w:cs="仿宋"/>
                <w:i w:val="0"/>
                <w:iCs w:val="0"/>
                <w:color w:val="000000"/>
                <w:sz w:val="20"/>
                <w:szCs w:val="20"/>
                <w:highlight w:val="none"/>
                <w:u w:val="none"/>
                <w:lang w:eastAsia="zh-CN"/>
              </w:rPr>
              <w:t>应具有良好的耐磨性及耐腐蚀性，耐腐蚀性</w:t>
            </w:r>
            <w:r>
              <w:rPr>
                <w:rFonts w:hint="eastAsia" w:ascii="仿宋" w:hAnsi="仿宋" w:eastAsia="仿宋" w:cs="仿宋"/>
                <w:i w:val="0"/>
                <w:iCs w:val="0"/>
                <w:color w:val="000000"/>
                <w:sz w:val="20"/>
                <w:szCs w:val="20"/>
                <w:highlight w:val="none"/>
                <w:u w:val="none"/>
                <w:lang w:val="en-US" w:eastAsia="zh-CN"/>
              </w:rPr>
              <w:t>CASS 72H不得低于10级，耐磨性（落沙试验）应不低于4000g</w:t>
            </w:r>
            <w:r>
              <w:rPr>
                <w:rFonts w:hint="eastAsia" w:ascii="仿宋" w:hAnsi="仿宋" w:eastAsia="仿宋" w:cs="仿宋"/>
                <w:i w:val="0"/>
                <w:iCs w:val="0"/>
                <w:color w:val="000000"/>
                <w:sz w:val="20"/>
                <w:szCs w:val="20"/>
                <w:highlight w:val="none"/>
                <w:u w:val="none"/>
              </w:rPr>
              <w:t>。</w:t>
            </w:r>
          </w:p>
          <w:p w14:paraId="27F42E37">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sz w:val="20"/>
                <w:szCs w:val="20"/>
                <w:highlight w:val="none"/>
                <w:u w:val="none"/>
                <w:lang w:val="en-US" w:eastAsia="zh-CN"/>
              </w:rPr>
              <w:t>8.</w:t>
            </w:r>
            <w:r>
              <w:rPr>
                <w:rFonts w:hint="eastAsia" w:ascii="仿宋" w:hAnsi="仿宋" w:eastAsia="仿宋" w:cs="仿宋"/>
                <w:i w:val="0"/>
                <w:iCs w:val="0"/>
                <w:color w:val="000000"/>
                <w:sz w:val="20"/>
                <w:szCs w:val="20"/>
                <w:highlight w:val="none"/>
                <w:u w:val="none"/>
              </w:rPr>
              <w:t>限位档：横框内部两侧安装限位档，避免滑动板推拉过程中撞击立框及夹手。</w:t>
            </w:r>
          </w:p>
          <w:p w14:paraId="148436C0">
            <w:pPr>
              <w:keepNext w:val="0"/>
              <w:keepLines w:val="0"/>
              <w:widowControl/>
              <w:suppressLineNumbers w:val="0"/>
              <w:jc w:val="left"/>
              <w:textAlignment w:val="center"/>
              <w:rPr>
                <w:rFonts w:hint="eastAsia" w:ascii="仿宋" w:hAnsi="仿宋" w:eastAsia="仿宋" w:cs="仿宋"/>
                <w:i w:val="0"/>
                <w:iCs w:val="0"/>
                <w:color w:val="000000"/>
                <w:kern w:val="2"/>
                <w:sz w:val="20"/>
                <w:szCs w:val="20"/>
                <w:highlight w:val="none"/>
                <w:u w:val="none"/>
                <w:lang w:val="en-US" w:eastAsia="zh-CN" w:bidi="ar-SA"/>
              </w:rPr>
            </w:pPr>
            <w:r>
              <w:rPr>
                <w:rFonts w:hint="eastAsia" w:ascii="仿宋" w:hAnsi="仿宋" w:eastAsia="仿宋" w:cs="仿宋"/>
                <w:i w:val="0"/>
                <w:iCs w:val="0"/>
                <w:color w:val="000000"/>
                <w:sz w:val="20"/>
                <w:szCs w:val="20"/>
                <w:highlight w:val="none"/>
                <w:u w:val="none"/>
                <w:lang w:val="en-US" w:eastAsia="zh-CN"/>
              </w:rPr>
              <w:t>9.滑轮：双组高精度轴承上吊轮，下平滑动系统，上下均匀安装，滑动流畅、噪音小、前后定位精确，下滑轮采用弹片式结构，有效降低书写晃动。为确保产品耐久性，滑轮使用寿命应不低于10万次。</w:t>
            </w:r>
          </w:p>
        </w:tc>
        <w:tc>
          <w:tcPr>
            <w:tcW w:w="30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36C5A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30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6B42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w:t>
            </w:r>
          </w:p>
        </w:tc>
      </w:tr>
      <w:tr w14:paraId="65C3D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57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3BC7A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w:t>
            </w:r>
          </w:p>
        </w:tc>
        <w:tc>
          <w:tcPr>
            <w:tcW w:w="8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C576F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扩声系统</w:t>
            </w:r>
          </w:p>
        </w:tc>
        <w:tc>
          <w:tcPr>
            <w:tcW w:w="325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F97064">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克风</w:t>
            </w:r>
          </w:p>
          <w:p w14:paraId="3943D6DE">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1.无线麦克风集音频发射处理器、天线、电池、拾音麦克风于一体，配合一体化有源音箱，无需任何外接辅助设备即可实现本地扩声功能。</w:t>
            </w:r>
          </w:p>
          <w:p w14:paraId="08DCA005">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★2.采样率≥48KHz，16bit；扩音增益≥15dB；声频响100Hz-16kHz，底噪≤100uVrms，声信噪比≥60dB；配合一体化有源音箱，扩音延时≤35ms。</w:t>
            </w:r>
          </w:p>
          <w:p w14:paraId="5BA4DB4E">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★3.用Wi-Fi射频频段传输，有效避免环境中运营商U段（700MHz）信号干扰。★4.支持2.4GHz与5G双频段工作，信道数量≥26个。</w:t>
            </w:r>
          </w:p>
          <w:p w14:paraId="207870CD">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5.电续航时间≥5小时，满电状态可满足一天内7节课（45分钟/一节课）的高频授课，充电10分钟满足一节课（45分钟/一节课）授课时间。</w:t>
            </w:r>
          </w:p>
          <w:p w14:paraId="412B5797">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★6.采用红外对码方式连接，避免连接到其他教室音箱。可在5S内快速完成与教学扩声音箱对码，无需繁琐操作。</w:t>
            </w:r>
          </w:p>
          <w:p w14:paraId="1AC065CD">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★7.支持两个无线麦克风同时配对一个一体化有源音箱使用，实现两个麦克风混音输出进行扩音。</w:t>
            </w:r>
          </w:p>
          <w:p w14:paraId="15B3C911">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★8.具备Type-c外置麦克风接口，与充电接口复用。可搭配Type-C接口的麦克风进行使用，比如头戴式、挂耳式的外置麦克风。</w:t>
            </w:r>
          </w:p>
          <w:p w14:paraId="48B3265C">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9.空旷无干扰的环境，无线传输有效距离≥15 米。</w:t>
            </w:r>
          </w:p>
          <w:p w14:paraId="6AC10D23">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10.一体化领夹设计，无需额外配件便可实现麦克风的领夹式使用。</w:t>
            </w:r>
          </w:p>
          <w:p w14:paraId="3FD597B4">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11.外壳防火等级≥V1。</w:t>
            </w:r>
          </w:p>
          <w:p w14:paraId="1278F7C2">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音响</w:t>
            </w:r>
          </w:p>
          <w:p w14:paraId="406AA31D">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 采用功放与有源音箱一体化设计，内置麦克风无线接收模块，帮助教师实现多媒体扩音以及本地扩声功能。</w:t>
            </w:r>
          </w:p>
          <w:p w14:paraId="0ABFDEA3">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 输出额定功率≥ 2x15W。</w:t>
            </w:r>
          </w:p>
          <w:p w14:paraId="42603CF9">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 音箱灵敏度≥85dB，1W/1M。</w:t>
            </w:r>
          </w:p>
          <w:p w14:paraId="27B45DCC">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 信噪比≥80dB@额定功率、A计权。</w:t>
            </w:r>
          </w:p>
          <w:p w14:paraId="29A60285">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 全频喇叭单元尺寸≥5英寸。</w:t>
            </w:r>
          </w:p>
          <w:p w14:paraId="5A7D5CB7">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6. THD+N≤1%。</w:t>
            </w:r>
          </w:p>
          <w:p w14:paraId="5FBF19EC">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7. 声频响110Hz-16kHz。</w:t>
            </w:r>
          </w:p>
          <w:p w14:paraId="27DD56E4">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8. 距离音箱10米处声压级≥75dB。</w:t>
            </w:r>
          </w:p>
          <w:p w14:paraId="3EB84F1F">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9. 具备≥1路电源开关、1路LINE IN、1路USB 接口。USB接口可外接U盘设备对音箱固件进行升级。</w:t>
            </w:r>
          </w:p>
          <w:p w14:paraId="3B661D79">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10. 支持无线麦克风扩音接收，采用Wi-Fi射频2.4GHz与 5GHz双频段传输，有效避免环境中运营商U段（700MHz）的信号干扰。</w:t>
            </w:r>
          </w:p>
          <w:p w14:paraId="6B01B256">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11. 采用红外对码方式，避免连接到其他教室音箱。可快速完成与教学扩声麦克风对码，无需繁琐操作。</w:t>
            </w:r>
          </w:p>
          <w:p w14:paraId="10FB4BE5">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12. 配置独立音频数字信号处理芯片，支持啸叫抑制功能。</w:t>
            </w:r>
          </w:p>
          <w:p w14:paraId="7FCD6BCC">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★13. 支持蓝牙无线接收，可分享移动设备上的音频。支持密码模式，防止学生连接。</w:t>
            </w:r>
          </w:p>
          <w:p w14:paraId="4638249C">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★14. 支持安卓手机通过蓝牙无线连接音箱，实现控制有源音箱的音量、设置蓝牙名称、设置蓝牙密码等功能，方便教师对音箱的管控。</w:t>
            </w:r>
          </w:p>
          <w:p w14:paraId="3CFD1111">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15. 主音箱与副音箱采用有线连接，音箱采用木质材质，保证声音还原度。</w:t>
            </w:r>
          </w:p>
          <w:p w14:paraId="346B1A75">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 为确保与教室白色墙面一致，音箱采取白色外观设计，更加美观。</w:t>
            </w:r>
          </w:p>
        </w:tc>
        <w:tc>
          <w:tcPr>
            <w:tcW w:w="30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3975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30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1BDA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w:t>
            </w:r>
          </w:p>
        </w:tc>
      </w:tr>
      <w:tr w14:paraId="2E5E7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2880" w:hRule="atLeast"/>
        </w:trPr>
        <w:tc>
          <w:tcPr>
            <w:tcW w:w="30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F94B7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w:t>
            </w:r>
          </w:p>
        </w:tc>
        <w:tc>
          <w:tcPr>
            <w:tcW w:w="8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CAEFB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后黑板</w:t>
            </w:r>
          </w:p>
        </w:tc>
        <w:tc>
          <w:tcPr>
            <w:tcW w:w="325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0AAB49">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1.颜色：墨绿色尺寸：4000mm×1215mm。</w:t>
            </w:r>
          </w:p>
          <w:p w14:paraId="03DBF9A3">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板面：采用金属烤漆书写板面，亚光、墨绿色，光泽度≤12光泽单位，没有因黑板本身原因产生的眩光，书写流畅字迹清晰、色彩协调可视效果佳，有效的缓解学生视觉疲劳；板面表面附有一层透明保护膜，符合GB28231-2011《书写板安全卫生要求》。</w:t>
            </w:r>
          </w:p>
          <w:p w14:paraId="23EF2DF3">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3.衬板：选用高强度、吸音、防潮、阻燃聚苯乙烯板，厚度≥14mm。</w:t>
            </w:r>
          </w:p>
          <w:p w14:paraId="06D50FB6">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4.背板：采用优质镀锌钢板，，机械化流水线一次成型，设有凹槽加强筋，增加板体强度。</w:t>
            </w:r>
          </w:p>
          <w:p w14:paraId="75EB4088">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5.覆板：采用环保型双组份聚氨酯胶水，自动化流水线覆板作业，确保粘接牢固板面平整，甲醛释放量≤0.025mg/L，符合GB 28231-2011《书写板安全卫生要求》。</w:t>
            </w:r>
          </w:p>
          <w:p w14:paraId="330A5D60">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6.边框：采用高强度香槟色电泳铝合金型材，规格36㎜×20㎜，型腔结构，增加板体挺度，教学板面采用槽内镶嵌、全包式结构。</w:t>
            </w:r>
          </w:p>
          <w:p w14:paraId="5D8871B1">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7.包角：采用高强度、抗老化ABS工程塑料注塑成型。≥R15的圆角，无尖角毛刺。</w:t>
            </w:r>
          </w:p>
          <w:p w14:paraId="4D0F1FC4">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安装：配装自制L形钢制安装件，隐形安装、没有外露的挂接件，符合GB 21027-2007《学生用品的安全通用要求》。</w:t>
            </w:r>
          </w:p>
        </w:tc>
        <w:tc>
          <w:tcPr>
            <w:tcW w:w="30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D45B7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30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ED30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36</w:t>
            </w:r>
          </w:p>
        </w:tc>
      </w:tr>
    </w:tbl>
    <w:p w14:paraId="60A538CD">
      <w:pPr>
        <w:rPr>
          <w:rFonts w:hint="eastAsia"/>
          <w:highlight w:val="none"/>
        </w:rPr>
      </w:pPr>
    </w:p>
    <w:p w14:paraId="7860FDC6">
      <w:pPr>
        <w:rPr>
          <w:rFonts w:hint="eastAsia"/>
          <w:b/>
          <w:bCs/>
          <w:sz w:val="32"/>
          <w:szCs w:val="40"/>
          <w:highlight w:val="none"/>
          <w:lang w:val="en-US" w:eastAsia="zh-CN"/>
        </w:rPr>
      </w:pPr>
      <w:r>
        <w:rPr>
          <w:rFonts w:hint="eastAsia"/>
          <w:b/>
          <w:bCs/>
          <w:sz w:val="32"/>
          <w:szCs w:val="40"/>
          <w:highlight w:val="none"/>
          <w:lang w:val="en-US" w:eastAsia="zh-CN"/>
        </w:rPr>
        <w:br w:type="page"/>
      </w:r>
    </w:p>
    <w:p w14:paraId="31784D72">
      <w:pPr>
        <w:jc w:val="center"/>
        <w:rPr>
          <w:rFonts w:hint="eastAsia"/>
          <w:b/>
          <w:bCs/>
          <w:sz w:val="32"/>
          <w:szCs w:val="40"/>
          <w:highlight w:val="none"/>
          <w:lang w:val="en-US" w:eastAsia="zh-CN"/>
        </w:rPr>
      </w:pPr>
      <w:r>
        <w:rPr>
          <w:rFonts w:hint="eastAsia"/>
          <w:b/>
          <w:bCs/>
          <w:sz w:val="32"/>
          <w:szCs w:val="40"/>
          <w:highlight w:val="none"/>
          <w:lang w:val="en-US" w:eastAsia="zh-CN"/>
        </w:rPr>
        <w:t>电子班牌</w:t>
      </w:r>
    </w:p>
    <w:p w14:paraId="0FB7EFF6">
      <w:pPr>
        <w:rPr>
          <w:rFonts w:hint="eastAsia"/>
          <w:highlight w:val="none"/>
        </w:rPr>
      </w:pPr>
    </w:p>
    <w:p w14:paraId="2DCEABBF">
      <w:pPr>
        <w:rPr>
          <w:rFonts w:hint="eastAsia"/>
          <w:highlight w:val="none"/>
        </w:rPr>
      </w:pPr>
    </w:p>
    <w:tbl>
      <w:tblPr>
        <w:tblStyle w:val="4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64"/>
        <w:gridCol w:w="1220"/>
        <w:gridCol w:w="10643"/>
        <w:gridCol w:w="765"/>
        <w:gridCol w:w="765"/>
      </w:tblGrid>
      <w:tr w14:paraId="618F8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5254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序号</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BECB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分项名称</w:t>
            </w:r>
          </w:p>
        </w:tc>
        <w:tc>
          <w:tcPr>
            <w:tcW w:w="3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571D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参数</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52CA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单位</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3A3B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数量</w:t>
            </w:r>
          </w:p>
        </w:tc>
      </w:tr>
      <w:tr w14:paraId="02692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5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915F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C6AE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电子班牌</w:t>
            </w:r>
          </w:p>
        </w:tc>
        <w:tc>
          <w:tcPr>
            <w:tcW w:w="3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3DFB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1.21.5英寸电容横屏，支持10点触控，分辨率≥1920*1080，16:9比例，亮度≥250cd/㎡。</w:t>
            </w:r>
          </w:p>
          <w:p w14:paraId="2E4DF42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2.防水防尘，适用于教室半户外，防护等级≥IP65。</w:t>
            </w:r>
          </w:p>
          <w:p w14:paraId="31E2DD7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3.背部与墙面微距全贴合，最大间隙≤2.5mm。</w:t>
            </w:r>
          </w:p>
          <w:p w14:paraId="5924355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4.拍摄像素≥600W，支持≥5人同时人脸识别，实现无卡考勤及信息查看。</w:t>
            </w:r>
          </w:p>
          <w:p w14:paraId="435A710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5.内置全向麦克风，拾音半径≥0.5m，支持语音留言同步至家长微信。</w:t>
            </w:r>
          </w:p>
          <w:p w14:paraId="70227DD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6.内置2.0立体声道功放，支持音频播放。</w:t>
            </w:r>
          </w:p>
          <w:p w14:paraId="3FC30CB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7.内置IC卡刷卡器，支持14443协议，可刷卡签到及查看信息。</w:t>
            </w:r>
          </w:p>
          <w:p w14:paraId="13650C7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8.至少1个RJ45网口，≥2个USB2.0接口。</w:t>
            </w:r>
          </w:p>
          <w:p w14:paraId="0438E86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9.内置天线设计，无外露。</w:t>
            </w:r>
          </w:p>
          <w:p w14:paraId="0409DD5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10.支持外接门禁及串口接口。</w:t>
            </w:r>
          </w:p>
          <w:p w14:paraId="2335A31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11.运行内存≥2GB，存储容量≥8GB。</w:t>
            </w:r>
          </w:p>
          <w:p w14:paraId="2E249DC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12.CPU≥4核，主频≥1.9G，操作系统≥Android9.0。</w:t>
            </w:r>
          </w:p>
          <w:p w14:paraId="6ED3D02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13.插墙式电源适配器，线材上出。</w:t>
            </w:r>
          </w:p>
          <w:p w14:paraId="0295D38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14.支持远程开关机，待机功耗≤2W。</w:t>
            </w:r>
          </w:p>
          <w:p w14:paraId="7FBCABB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信息发布系统：</w:t>
            </w:r>
          </w:p>
          <w:p w14:paraId="18A9D4F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1.后台发布班牌信息，支持多种类型及图文排版，具备定向推送功能，预置≥10个电子横幅主题模板。</w:t>
            </w:r>
          </w:p>
          <w:p w14:paraId="1AF2E51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2.支持校级、班级定向推送。</w:t>
            </w:r>
          </w:p>
          <w:p w14:paraId="55A6161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3.可发布≥3个事件倒计时。</w:t>
            </w:r>
          </w:p>
          <w:p w14:paraId="691A778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4.展示天气、空气质量，自动切换主题插图。</w:t>
            </w:r>
          </w:p>
          <w:p w14:paraId="1F88E79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5.设置屏保模式，可选择多种展示内容。</w:t>
            </w:r>
          </w:p>
          <w:p w14:paraId="2E09921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6.内置≥20套公告模板。</w:t>
            </w:r>
          </w:p>
          <w:p w14:paraId="65E0637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7.内置≥50份海报模板，可自定义分类。</w:t>
            </w:r>
          </w:p>
          <w:p w14:paraId="0320FA1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8.支持信息发布审核权限管理。</w:t>
            </w:r>
          </w:p>
          <w:p w14:paraId="6ACDBDF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课程管理：</w:t>
            </w:r>
          </w:p>
          <w:p w14:paraId="38FBE8F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1.提供科目数据库，支持自定义增添科目。</w:t>
            </w:r>
          </w:p>
          <w:p w14:paraId="043F211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2.发布课程作息时间表，可分层执行。</w:t>
            </w:r>
          </w:p>
          <w:p w14:paraId="5DA41EA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3.学生、教师可查看对应课程表。</w:t>
            </w:r>
          </w:p>
          <w:p w14:paraId="586418B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4.支持电子表格导入课表及单科目快速排课。</w:t>
            </w:r>
          </w:p>
          <w:p w14:paraId="55B23B6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考勤管理：</w:t>
            </w:r>
          </w:p>
          <w:p w14:paraId="551BED1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1.提供多种考勤规则模式，可设置考勤事件信息。</w:t>
            </w:r>
          </w:p>
          <w:p w14:paraId="2F99865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2.考勤时段内班牌自动切换至考勤模式。</w:t>
            </w:r>
          </w:p>
          <w:p w14:paraId="119AD88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3.人脸识别考勤支持离线识别。</w:t>
            </w:r>
          </w:p>
          <w:p w14:paraId="5AB9E21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4.考勤结果自动推送至家长手机端。</w:t>
            </w:r>
          </w:p>
          <w:p w14:paraId="6CBAA70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5.支持教师授课考勤，可设置多种考勤方式及查询考勤结果。</w:t>
            </w:r>
          </w:p>
          <w:p w14:paraId="0F47A77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校园管理&amp;班级管理：</w:t>
            </w:r>
          </w:p>
          <w:p w14:paraId="383875E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1.考场模式下，班牌自动切换至考试预告及考试模式。</w:t>
            </w:r>
          </w:p>
          <w:p w14:paraId="12E4BFE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2.支持自定义德育督导评分标准，可查看班级总分及各维度分数。</w:t>
            </w:r>
          </w:p>
          <w:p w14:paraId="1724D6D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3.展示班级评分名次及全校前三名。</w:t>
            </w:r>
          </w:p>
          <w:p w14:paraId="289D24E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4.批量颁发流动红旗，获奖班级班牌使用专用主题风格。</w:t>
            </w:r>
          </w:p>
          <w:p w14:paraId="7324A25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5.管理系统与学生行为评价软件数据接口无缝对接。</w:t>
            </w:r>
          </w:p>
          <w:p w14:paraId="2085D90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家校互通：</w:t>
            </w:r>
          </w:p>
          <w:p w14:paraId="7B72781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1.家长可发送留言、发起投票，自定义≥6个回复模板或投票选项。</w:t>
            </w:r>
          </w:p>
          <w:p w14:paraId="5CC3D21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2.家长留言或投票后，班牌显示学生新信息提醒。</w:t>
            </w:r>
          </w:p>
          <w:p w14:paraId="341323A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3.家长发留言时可设置选项，学生在班牌上选择回复。</w:t>
            </w:r>
          </w:p>
          <w:p w14:paraId="79F84FD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4.家长发起请假请求，可添加照片凭证，班主任及班牌同步状态。</w:t>
            </w:r>
          </w:p>
          <w:p w14:paraId="4C712E1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设备管理：</w:t>
            </w:r>
          </w:p>
          <w:p w14:paraId="1A64C32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1.支持自定义班牌界面，预置≥20种显示组件。</w:t>
            </w:r>
          </w:p>
          <w:p w14:paraId="04D663B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2.支持设定班牌定时开关机管理策略。</w:t>
            </w:r>
          </w:p>
          <w:p w14:paraId="598C7C3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3.预设关机状态下开机后，无人操作自动恢复关机。</w:t>
            </w:r>
          </w:p>
          <w:p w14:paraId="07F41C4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4.涉及底层配置或安全性的操作需二维码扫描认证。</w:t>
            </w:r>
          </w:p>
          <w:p w14:paraId="4B0101F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5.移动端身份验证，可绑定、解绑教室。</w:t>
            </w:r>
          </w:p>
          <w:p w14:paraId="2F6DCE1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6.支持查看班牌运行状态。</w:t>
            </w:r>
          </w:p>
          <w:p w14:paraId="0F32F13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7.支持远程操作班牌。</w:t>
            </w:r>
          </w:p>
          <w:p w14:paraId="0F64C07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8.支持查看本机配置信息。</w:t>
            </w:r>
          </w:p>
          <w:p w14:paraId="30607EE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9.班牌软件和系统支持远程OTA升级。</w:t>
            </w:r>
          </w:p>
          <w:p w14:paraId="613ABB7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10.内置电子动态二维码提交反馈建议。</w:t>
            </w:r>
          </w:p>
          <w:p w14:paraId="45443673">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综合管理平台：可管理班牌，包括课程、人员、权限、场地、信息发布、设备远程关机等。</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4E2B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9833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110</w:t>
            </w:r>
          </w:p>
        </w:tc>
      </w:tr>
    </w:tbl>
    <w:p w14:paraId="352629DB">
      <w:pPr>
        <w:rPr>
          <w:rFonts w:hint="eastAsia"/>
          <w:highlight w:val="none"/>
        </w:rPr>
      </w:pPr>
    </w:p>
    <w:p w14:paraId="040934AF">
      <w:pPr>
        <w:rPr>
          <w:rFonts w:hint="eastAsia"/>
          <w:highlight w:val="none"/>
        </w:rPr>
      </w:pPr>
    </w:p>
    <w:p w14:paraId="02A47367">
      <w:pPr>
        <w:rPr>
          <w:rFonts w:hint="eastAsia"/>
          <w:b/>
          <w:bCs/>
          <w:sz w:val="32"/>
          <w:szCs w:val="40"/>
          <w:highlight w:val="none"/>
          <w:lang w:eastAsia="zh-CN"/>
        </w:rPr>
      </w:pPr>
      <w:r>
        <w:rPr>
          <w:rFonts w:hint="eastAsia"/>
          <w:b/>
          <w:bCs/>
          <w:sz w:val="32"/>
          <w:szCs w:val="40"/>
          <w:highlight w:val="none"/>
          <w:lang w:eastAsia="zh-CN"/>
        </w:rPr>
        <w:br w:type="page"/>
      </w:r>
    </w:p>
    <w:p w14:paraId="6DEAC060">
      <w:pPr>
        <w:jc w:val="center"/>
        <w:rPr>
          <w:rFonts w:hint="eastAsia"/>
          <w:b/>
          <w:bCs/>
          <w:sz w:val="32"/>
          <w:szCs w:val="40"/>
          <w:highlight w:val="none"/>
          <w:lang w:eastAsia="zh-CN"/>
        </w:rPr>
      </w:pPr>
      <w:r>
        <w:rPr>
          <w:rFonts w:hint="eastAsia"/>
          <w:b/>
          <w:bCs/>
          <w:sz w:val="32"/>
          <w:szCs w:val="40"/>
          <w:highlight w:val="none"/>
          <w:lang w:eastAsia="zh-CN"/>
        </w:rPr>
        <w:t>讲台</w:t>
      </w:r>
    </w:p>
    <w:tbl>
      <w:tblPr>
        <w:tblStyle w:val="46"/>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8"/>
        <w:gridCol w:w="11968"/>
        <w:gridCol w:w="590"/>
        <w:gridCol w:w="591"/>
      </w:tblGrid>
      <w:tr w14:paraId="0F759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EEECE1"/>
            <w:vAlign w:val="center"/>
          </w:tcPr>
          <w:p w14:paraId="06AE2E8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分项名称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D6C82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参数</w:t>
            </w:r>
          </w:p>
        </w:tc>
        <w:tc>
          <w:tcPr>
            <w:tcW w:w="0" w:type="auto"/>
            <w:tcBorders>
              <w:top w:val="single" w:color="000000" w:sz="4" w:space="0"/>
              <w:left w:val="single" w:color="000000" w:sz="4" w:space="0"/>
              <w:bottom w:val="single" w:color="000000" w:sz="4" w:space="0"/>
              <w:right w:val="single" w:color="000000" w:sz="4" w:space="0"/>
            </w:tcBorders>
            <w:shd w:val="clear" w:color="auto" w:fill="EEECE1"/>
            <w:vAlign w:val="center"/>
          </w:tcPr>
          <w:p w14:paraId="3E92E38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EEECE1"/>
            <w:vAlign w:val="center"/>
          </w:tcPr>
          <w:p w14:paraId="7AC0BE6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数量</w:t>
            </w:r>
          </w:p>
        </w:tc>
      </w:tr>
      <w:tr w14:paraId="63601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977B4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讲台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158B3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1、整体设计符合人机工程学；</w:t>
            </w:r>
          </w:p>
          <w:p w14:paraId="010F22B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2、整体采用分体式结构，规格为长1200mm、宽700mm、高1000mm；</w:t>
            </w:r>
          </w:p>
          <w:p w14:paraId="584C539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3、多媒体讲台整体采用1.0mm优质冷轧钢板，无接缝，边缘及拐角均采用圆弧设计，确保学生安全，耐冲击性强，防盗性能优越。</w:t>
            </w:r>
          </w:p>
          <w:p w14:paraId="66EAD60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4、颜色选用哑光灰白色，挡板及下体前门采用木纹色，表面经脱脂磷化工艺处理后选用优质塑粉静电喷涂而成，耐腐蚀性强，有效保护学生视力，美观耐用。</w:t>
            </w:r>
          </w:p>
          <w:p w14:paraId="47746C8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5、显示器采用翻转结构，可容纳不同规格的显示器（17-23寸），结构独特新颖大幅度减少遮挡学生视线。</w:t>
            </w:r>
          </w:p>
          <w:p w14:paraId="778DE79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6、键盘采用翻转式结构，节省空间，操作简单方便；键盘为标准键盘。</w:t>
            </w:r>
          </w:p>
          <w:p w14:paraId="59B201B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7、桌面右侧为隐藏式抽屉，可放置视频展台，空间不小于560*540*200mm，承载重量≥12kg。</w:t>
            </w:r>
          </w:p>
          <w:p w14:paraId="1418EBF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8、键盘盒下方为中控，可放置260x160mm内的中央控制器，整体结构紧凑，空间设计合理。</w:t>
            </w:r>
          </w:p>
          <w:p w14:paraId="07BD6EB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9、所有布线孔均采用绝缘品装置隔离电源线，安全可靠。</w:t>
            </w:r>
          </w:p>
          <w:p w14:paraId="01B8A76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10、全部的加工件均采用模具成型，先进的工装夹具、配合全自动焊接工艺，保障尺寸精度及各部件一致性。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7484E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282FB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36</w:t>
            </w:r>
          </w:p>
        </w:tc>
      </w:tr>
    </w:tbl>
    <w:p w14:paraId="429272C0">
      <w:pPr>
        <w:rPr>
          <w:rFonts w:hint="eastAsia"/>
          <w:highlight w:val="none"/>
          <w:lang w:eastAsia="zh-CN"/>
        </w:rPr>
      </w:pPr>
    </w:p>
    <w:p w14:paraId="3843F623">
      <w:pPr>
        <w:rPr>
          <w:rFonts w:hint="eastAsia"/>
          <w:highlight w:val="none"/>
        </w:rPr>
      </w:pPr>
      <w:r>
        <w:rPr>
          <w:rFonts w:hint="eastAsia"/>
          <w:highlight w:val="none"/>
        </w:rPr>
        <w:br w:type="page"/>
      </w:r>
    </w:p>
    <w:p w14:paraId="043C5288">
      <w:pPr>
        <w:pStyle w:val="1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b/>
          <w:bCs/>
          <w:sz w:val="36"/>
          <w:szCs w:val="44"/>
          <w:highlight w:val="none"/>
        </w:rPr>
      </w:pPr>
      <w:r>
        <w:rPr>
          <w:rFonts w:hint="eastAsia"/>
          <w:b/>
          <w:bCs/>
          <w:sz w:val="36"/>
          <w:szCs w:val="44"/>
          <w:highlight w:val="none"/>
        </w:rPr>
        <w:t>标项</w:t>
      </w:r>
      <w:r>
        <w:rPr>
          <w:rFonts w:hint="eastAsia"/>
          <w:b/>
          <w:bCs/>
          <w:sz w:val="36"/>
          <w:szCs w:val="44"/>
          <w:highlight w:val="none"/>
          <w:lang w:val="en-US" w:eastAsia="zh-CN"/>
        </w:rPr>
        <w:t>4</w:t>
      </w:r>
      <w:r>
        <w:rPr>
          <w:rFonts w:hint="eastAsia"/>
          <w:b/>
          <w:bCs/>
          <w:sz w:val="36"/>
          <w:szCs w:val="44"/>
          <w:highlight w:val="none"/>
        </w:rPr>
        <w:t>：</w:t>
      </w:r>
    </w:p>
    <w:tbl>
      <w:tblPr>
        <w:tblStyle w:val="46"/>
        <w:tblW w:w="4998" w:type="pct"/>
        <w:tblInd w:w="0" w:type="dxa"/>
        <w:tblLayout w:type="fixed"/>
        <w:tblCellMar>
          <w:top w:w="0" w:type="dxa"/>
          <w:left w:w="108" w:type="dxa"/>
          <w:bottom w:w="0" w:type="dxa"/>
          <w:right w:w="108" w:type="dxa"/>
        </w:tblCellMar>
      </w:tblPr>
      <w:tblGrid>
        <w:gridCol w:w="1090"/>
        <w:gridCol w:w="1916"/>
        <w:gridCol w:w="8958"/>
        <w:gridCol w:w="1095"/>
        <w:gridCol w:w="1095"/>
      </w:tblGrid>
      <w:tr w14:paraId="21F1C5AA">
        <w:tblPrEx>
          <w:tblCellMar>
            <w:top w:w="0" w:type="dxa"/>
            <w:left w:w="108" w:type="dxa"/>
            <w:bottom w:w="0" w:type="dxa"/>
            <w:right w:w="108" w:type="dxa"/>
          </w:tblCellMar>
        </w:tblPrEx>
        <w:trPr>
          <w:trHeight w:val="285" w:hRule="atLeast"/>
        </w:trPr>
        <w:tc>
          <w:tcPr>
            <w:tcW w:w="851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C7F0580">
            <w:pPr>
              <w:widowControl/>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课堂反馈、精品录播教室配置参数</w:t>
            </w:r>
          </w:p>
        </w:tc>
      </w:tr>
      <w:tr w14:paraId="440F1B02">
        <w:tblPrEx>
          <w:tblCellMar>
            <w:top w:w="0" w:type="dxa"/>
            <w:left w:w="108" w:type="dxa"/>
            <w:bottom w:w="0" w:type="dxa"/>
            <w:right w:w="108" w:type="dxa"/>
          </w:tblCellMar>
        </w:tblPrEx>
        <w:trPr>
          <w:trHeight w:val="285"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438BA">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序号</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B8460">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分项名称</w:t>
            </w:r>
          </w:p>
        </w:tc>
        <w:tc>
          <w:tcPr>
            <w:tcW w:w="5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DEDF0">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参数配置</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96D1E">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单位</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F5FED">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数量</w:t>
            </w:r>
          </w:p>
        </w:tc>
      </w:tr>
      <w:tr w14:paraId="6F2F39F1">
        <w:tblPrEx>
          <w:tblCellMar>
            <w:top w:w="0" w:type="dxa"/>
            <w:left w:w="108" w:type="dxa"/>
            <w:bottom w:w="0" w:type="dxa"/>
            <w:right w:w="108" w:type="dxa"/>
          </w:tblCellMar>
        </w:tblPrEx>
        <w:trPr>
          <w:trHeight w:val="285" w:hRule="atLeast"/>
        </w:trPr>
        <w:tc>
          <w:tcPr>
            <w:tcW w:w="78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B3432CF">
            <w:pPr>
              <w:widowControl/>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lang w:val="en-US" w:eastAsia="zh-CN" w:bidi="ar"/>
              </w:rPr>
              <w:t>28</w:t>
            </w:r>
            <w:r>
              <w:rPr>
                <w:rFonts w:hint="eastAsia" w:ascii="宋体" w:hAnsi="宋体" w:eastAsia="宋体" w:cs="宋体"/>
                <w:b/>
                <w:bCs/>
                <w:color w:val="000000"/>
                <w:kern w:val="0"/>
                <w:sz w:val="21"/>
                <w:szCs w:val="21"/>
                <w:highlight w:val="none"/>
                <w:lang w:bidi="ar"/>
              </w:rPr>
              <w:t>间教室课堂反馈+分析</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C65FD">
            <w:pPr>
              <w:rPr>
                <w:rFonts w:hint="eastAsia" w:ascii="宋体" w:hAnsi="宋体" w:eastAsia="宋体" w:cs="宋体"/>
                <w:b/>
                <w:bCs/>
                <w:color w:val="000000"/>
                <w:sz w:val="21"/>
                <w:szCs w:val="21"/>
                <w:highlight w:val="none"/>
              </w:rPr>
            </w:pPr>
          </w:p>
        </w:tc>
      </w:tr>
      <w:tr w14:paraId="5C242DD1">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63760">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74B36">
            <w:pPr>
              <w:widowControl/>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themeColor="text1"/>
                <w:kern w:val="0"/>
                <w:sz w:val="21"/>
                <w:szCs w:val="21"/>
                <w:highlight w:val="none"/>
                <w:lang w:bidi="ar"/>
                <w14:textFill>
                  <w14:solidFill>
                    <w14:schemeClr w14:val="tx1"/>
                  </w14:solidFill>
                </w14:textFill>
              </w:rPr>
              <w:t>高清录播主机</w:t>
            </w:r>
            <w:r>
              <w:rPr>
                <w:rFonts w:hint="eastAsia" w:ascii="宋体" w:hAnsi="宋体" w:eastAsia="宋体" w:cs="宋体"/>
                <w:color w:val="000000" w:themeColor="text1"/>
                <w:kern w:val="0"/>
                <w:sz w:val="21"/>
                <w:szCs w:val="21"/>
                <w:highlight w:val="none"/>
                <w:lang w:eastAsia="zh-CN" w:bidi="ar"/>
                <w14:textFill>
                  <w14:solidFill>
                    <w14:schemeClr w14:val="tx1"/>
                  </w14:solidFill>
                </w14:textFill>
              </w:rPr>
              <w:t>（</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核心产品</w:t>
            </w:r>
            <w:r>
              <w:rPr>
                <w:rFonts w:hint="eastAsia" w:ascii="宋体" w:hAnsi="宋体" w:eastAsia="宋体" w:cs="宋体"/>
                <w:color w:val="000000" w:themeColor="text1"/>
                <w:kern w:val="0"/>
                <w:sz w:val="21"/>
                <w:szCs w:val="21"/>
                <w:highlight w:val="none"/>
                <w:lang w:eastAsia="zh-CN" w:bidi="ar"/>
                <w14:textFill>
                  <w14:solidFill>
                    <w14:schemeClr w14:val="tx1"/>
                  </w14:solidFill>
                </w14:textFill>
              </w:rPr>
              <w:t>）</w:t>
            </w:r>
          </w:p>
        </w:tc>
        <w:tc>
          <w:tcPr>
            <w:tcW w:w="5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D5638">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一、整体设计</w:t>
            </w:r>
          </w:p>
          <w:p w14:paraId="41E1DF7F">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1.主机整体采用嵌入式设计非PC与服务器工作站等架构以保障系统运行稳定、安全。为放便设备部署考虑，为避免屏幕动态变化影响学生课堂专注力的情况，录播主机需为标准1U机架式设计；</w:t>
            </w:r>
          </w:p>
          <w:p w14:paraId="60599ACC">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w:t>
            </w: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主机功能高度集成化需同时具备视频录制、自动跟踪、互动、直播、音频处理等功能功于一体，并内置师生课堂行为分析及语音分析能力；</w:t>
            </w:r>
            <w:r>
              <w:rPr>
                <w:rFonts w:hint="eastAsia" w:ascii="宋体" w:hAnsi="宋体" w:eastAsia="宋体" w:cs="宋体"/>
                <w:color w:val="000000"/>
                <w:sz w:val="21"/>
                <w:szCs w:val="21"/>
                <w:highlight w:val="none"/>
                <w:lang w:eastAsia="zh-CN"/>
              </w:rPr>
              <w:t>（提供有效的检测报告复印件。）</w:t>
            </w:r>
            <w:r>
              <w:rPr>
                <w:rFonts w:hint="eastAsia" w:ascii="宋体" w:hAnsi="宋体" w:eastAsia="宋体" w:cs="宋体"/>
                <w:color w:val="000000"/>
                <w:sz w:val="21"/>
                <w:szCs w:val="21"/>
                <w:highlight w:val="none"/>
              </w:rPr>
              <w:t>3.</w:t>
            </w: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主机支持6路视频输出，包括不少于4路D-Video输入、不少于2路HDMI 输入；支持不少于2路HDMI 输出；</w:t>
            </w:r>
            <w:r>
              <w:rPr>
                <w:rFonts w:hint="eastAsia" w:ascii="宋体" w:hAnsi="宋体" w:eastAsia="宋体" w:cs="宋体"/>
                <w:color w:val="000000"/>
                <w:sz w:val="21"/>
                <w:szCs w:val="21"/>
                <w:highlight w:val="none"/>
                <w:lang w:eastAsia="zh-CN"/>
              </w:rPr>
              <w:t>（提供有效的检测报告复印件。）</w:t>
            </w:r>
            <w:r>
              <w:rPr>
                <w:rFonts w:hint="eastAsia" w:ascii="宋体" w:hAnsi="宋体" w:eastAsia="宋体" w:cs="宋体"/>
                <w:color w:val="000000"/>
                <w:sz w:val="21"/>
                <w:szCs w:val="21"/>
                <w:highlight w:val="none"/>
              </w:rPr>
              <w:t>4.支持连接摄像机与主机之间通过一根双绞线进行供电、控制、视频信号同传；</w:t>
            </w:r>
          </w:p>
          <w:p w14:paraId="2C40467F">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5.</w:t>
            </w: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主机支持不少于2路3.5mm线性音频模拟信号输入接口；不少于2路3.5mm线性音频输出接口；不少于6路数字音频Digital Mic输入接口；</w:t>
            </w:r>
            <w:r>
              <w:rPr>
                <w:rFonts w:hint="eastAsia" w:ascii="宋体" w:hAnsi="宋体" w:eastAsia="宋体" w:cs="宋体"/>
                <w:color w:val="000000"/>
                <w:sz w:val="21"/>
                <w:szCs w:val="21"/>
                <w:highlight w:val="none"/>
                <w:lang w:eastAsia="zh-CN"/>
              </w:rPr>
              <w:t>（提供有效的检测报告复印件。）</w:t>
            </w:r>
            <w:r>
              <w:rPr>
                <w:rFonts w:hint="eastAsia" w:ascii="宋体" w:hAnsi="宋体" w:eastAsia="宋体" w:cs="宋体"/>
                <w:color w:val="000000"/>
                <w:sz w:val="21"/>
                <w:szCs w:val="21"/>
                <w:highlight w:val="none"/>
              </w:rPr>
              <w:t>6.主机支持不少于2路Console控制接口（RJ45），支持RS232串行通信协议进行外接控制；不少于2路USB 接口，可用于连接U盘等外设；</w:t>
            </w:r>
          </w:p>
          <w:p w14:paraId="3783A394">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7.主机支持音频“一线通”功能，支持通过一条双绞线即可通过RJ45接口同时实现数字音频信号的采集以及数字麦克风的供电，实现音频信号的高品质、抗干扰稳定传输；</w:t>
            </w:r>
          </w:p>
          <w:p w14:paraId="1B2BF63D">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8.主机兼容标准H.264视频编解码能力，要求支持1080P@30fps、720P@30fps，以及AAC音频编解码协议标准且内置音频处理功能；</w:t>
            </w:r>
          </w:p>
          <w:p w14:paraId="19569C60">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9.主机具备标准RJ45网络接口，支持100/1000M网络自适应以及IPv4、IPv6双协议栈；</w:t>
            </w:r>
          </w:p>
          <w:p w14:paraId="0CE6F2AF">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10.存储容量：主机储存容量1TB，用于录制视频文件的本地存储；</w:t>
            </w:r>
          </w:p>
          <w:p w14:paraId="1984A600">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11.</w:t>
            </w: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数字视频传输：支持视频裸数据传输技术，摄像机到录播主机端的视频采集和传输过程无需经过编解码，无画质损耗。具备声画同步机制，实现≤100ms的声画同步，保障录制视频质量；</w:t>
            </w:r>
            <w:r>
              <w:rPr>
                <w:rFonts w:hint="eastAsia" w:ascii="宋体" w:hAnsi="宋体" w:eastAsia="宋体" w:cs="宋体"/>
                <w:color w:val="000000"/>
                <w:sz w:val="21"/>
                <w:szCs w:val="21"/>
                <w:highlight w:val="none"/>
                <w:lang w:eastAsia="zh-CN"/>
              </w:rPr>
              <w:t>（提供有效的检测报告复印件。）</w:t>
            </w:r>
            <w:r>
              <w:rPr>
                <w:rFonts w:hint="eastAsia" w:ascii="宋体" w:hAnsi="宋体" w:eastAsia="宋体" w:cs="宋体"/>
                <w:color w:val="000000"/>
                <w:sz w:val="21"/>
                <w:szCs w:val="21"/>
                <w:highlight w:val="none"/>
              </w:rPr>
              <w:t>二、功能设计</w:t>
            </w:r>
          </w:p>
          <w:p w14:paraId="1D639677">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12.</w:t>
            </w: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画面同步：要求录播主机配套同品牌摄像机支持在多机位接入的情况下所有画面高度同步。在多画面布局以及多流录制、多流直播的使用场景下不同画面保持高度同步，满足最佳的使用体验；</w:t>
            </w:r>
            <w:r>
              <w:rPr>
                <w:rFonts w:hint="eastAsia" w:ascii="宋体" w:hAnsi="宋体" w:eastAsia="宋体" w:cs="宋体"/>
                <w:color w:val="000000"/>
                <w:sz w:val="21"/>
                <w:szCs w:val="21"/>
                <w:highlight w:val="none"/>
                <w:lang w:eastAsia="zh-CN"/>
              </w:rPr>
              <w:t>（提供有效的检测报告复印件。）</w:t>
            </w:r>
            <w:r>
              <w:rPr>
                <w:rFonts w:hint="eastAsia" w:ascii="宋体" w:hAnsi="宋体" w:eastAsia="宋体" w:cs="宋体"/>
                <w:color w:val="000000"/>
                <w:sz w:val="21"/>
                <w:szCs w:val="21"/>
                <w:highlight w:val="none"/>
              </w:rPr>
              <w:t>13.上电模式：需支持通电模式选择，实现主机通电后自动进入相应模式，包含但不限于自动开机、开机且休眠、不开机等模式；</w:t>
            </w:r>
          </w:p>
          <w:p w14:paraId="0A837500">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14.安装信息：支持填写设备的安装信息，包括位置、所在学校、安装地点、联系人等；</w:t>
            </w:r>
          </w:p>
          <w:p w14:paraId="78535E14">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15.休眠唤醒：需支持定时休眠唤醒功能，提供精确到秒的自定义时间设置，可以单独设置是否定时休眠或者定时唤醒；</w:t>
            </w:r>
          </w:p>
          <w:p w14:paraId="3330D07C">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16.权限管理：需支持对主机后台设置管理员用户与普通用户两种使用权限，普通用户无法进行相关参数与配置修改；</w:t>
            </w:r>
          </w:p>
          <w:p w14:paraId="20888E95">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17.系统状态：支持在导播界面实时查看主机当前CPU温度、磁盘空间占用情况、视频录制的参数配置和正在录制的视频时长与大小等信息；</w:t>
            </w:r>
          </w:p>
          <w:p w14:paraId="19C05BC0">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18.存储管理：需支持录像文件循环覆盖功能，开启循环覆盖功能后，录播硬盘在已存储90%的空间时，再次启动录制将删除录播内现存时间最早的录像文件以应对录制频率比较高的情况；</w:t>
            </w:r>
          </w:p>
          <w:p w14:paraId="02A57C25">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19.兼容拍摄：要求录播主机支持电子云镜和机械云台两种智能控制技术，对电子云镜生成的特写画面以及云台的拍摄画面进行控制，实现画面上下左右移动以及变焦切换，特写画面移动与切换支持鼠标定位实现，可以通过鼠标点击快速切换移动画面位置；</w:t>
            </w:r>
          </w:p>
          <w:p w14:paraId="75F10F32">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20.支持FTP文件传输协议，主机录制生成的视频文件与应用平台实现自动归档上传；</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335CA">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A7B79">
            <w:pPr>
              <w:widowControl/>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kern w:val="0"/>
                <w:sz w:val="21"/>
                <w:szCs w:val="21"/>
                <w:highlight w:val="none"/>
                <w:lang w:val="en-US" w:eastAsia="zh-CN" w:bidi="ar"/>
              </w:rPr>
              <w:t>28</w:t>
            </w:r>
          </w:p>
        </w:tc>
      </w:tr>
      <w:tr w14:paraId="332E2678">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5F36B">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2</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0C47F">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录播流媒体处理软件</w:t>
            </w:r>
          </w:p>
        </w:tc>
        <w:tc>
          <w:tcPr>
            <w:tcW w:w="5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BEC7D">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1.嵌入式录播主机出厂时内置流媒体处理软件以实现各个模块的功能应用；</w:t>
            </w:r>
          </w:p>
          <w:p w14:paraId="245CB975">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2.要求软件具备自主知识产权，提供计算机软件著作权登记证书复印件；</w:t>
            </w:r>
          </w:p>
          <w:p w14:paraId="1B209E50">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3.录播主机在不接入互联网的情况下也可以进行视频录制，且支持1080P高清分辨率录制，用MP4视频格式封装自动归档至录播内置的硬盘当中存储；</w:t>
            </w:r>
          </w:p>
          <w:p w14:paraId="5985CC81">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4.多流录制：支持教师画面、学生全景画面、学生特写画面等不少于3路摄像机画面和电脑画面的独立录制封装；</w:t>
            </w:r>
          </w:p>
          <w:p w14:paraId="71169BB6">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5.要求录播主机支持录制质量设置，提供1080P、720P等高清标清质量选择，并支持自定义录制分辨率、帧率、码率等参数；</w:t>
            </w:r>
          </w:p>
          <w:p w14:paraId="7A9A799A">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6.要求录播主机支持分段录制的功能以应对长时间的视频录制情况，提供不分段、30分钟分段、60分钟分段三种方式选择。实现在不结束录制的条件下自动按选择时长将视频文件分割成多个视频归档保存；</w:t>
            </w:r>
          </w:p>
          <w:p w14:paraId="074728F0">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7.要求录播主机支持插入U盘后，主机正常进行录制可以同步另存一份视频文件到U盘中；</w:t>
            </w:r>
          </w:p>
          <w:p w14:paraId="29CE8CE9">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8.要求录播主机支持录制、暂停、结束等基本功能操作，并支持外部设备通过基于HTTP协议的API接口以及RS232通信协议对设备进行相关控制；</w:t>
            </w:r>
          </w:p>
          <w:p w14:paraId="5652B36A">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9.录播主机支持B/S软件架构无需下载相关软件APP，以满足低配电脑也可通过浏览器访问录播主机导播界面，在导播界面实现对所有录制画面的实时预览，并支持在手动导播模式下点击预览画面窗口进行录制画面切换；</w:t>
            </w:r>
          </w:p>
          <w:p w14:paraId="1D3376B0">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10.录播主机支持8个摄像机电子云台预置位设置，在导播预览界面可便捷调取摄像机预设位置的画面；</w:t>
            </w:r>
          </w:p>
          <w:p w14:paraId="4D788F48">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11.录播主机支持在导播预览界面添加Logo台标与字幕，可自主上传Logo图标、设置logo位置、编辑字幕内容、选择字幕字体颜色与是否滚动显示，且后台管理设置可最多预设5个字幕作为备选，方便灵活调整与切换；</w:t>
            </w:r>
          </w:p>
          <w:p w14:paraId="174220DE">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12.录播主机支持通过导播界面进行音量控制，调整音量大小与一键静音功能；</w:t>
            </w:r>
          </w:p>
          <w:p w14:paraId="593999A1">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13.录播主机支持片头片尾设置，可上传JPG格式图片作为录制默认的片头或片尾画面，并可自定义片头片尾显示时长，最高不超过10秒；</w:t>
            </w:r>
          </w:p>
          <w:p w14:paraId="700017FA">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14.支持对录制、互动两个使用场景分别配置音频设置参数。并可在对应使用场景自动生效；</w:t>
            </w:r>
          </w:p>
          <w:p w14:paraId="4D05893E">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15.支持对录播主机任意线性音频输入通道做单独配置，提供无线MIC或多媒体设备等多种类型选择，支持对音频比特率与采样率进行配置，保障音频效果；</w:t>
            </w:r>
          </w:p>
          <w:p w14:paraId="0A6BC4F1">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16.支持不少于4路RTMP同步推流直播，并要求自定义选择主码流或子码流信号源进行推流，实现多流直播；</w:t>
            </w:r>
          </w:p>
          <w:p w14:paraId="36E92734">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17.支持自定义直播分辨率和码率，最高支持1080P@30FPS，以适应不同网络环境下保持直播的流畅性；</w:t>
            </w:r>
          </w:p>
          <w:p w14:paraId="6BA0CA2D">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18.要求支持RTMP直播、TS直播、集控推流直播等不少于3种不同直播模式，以适应不同场景直播需求；</w:t>
            </w:r>
          </w:p>
          <w:p w14:paraId="582ABF48">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19.要求支持H.323、SIP、BFCP、WebRTC等视音频互动协议技术，便捷进行远程互动教学应用；</w:t>
            </w:r>
          </w:p>
          <w:p w14:paraId="376D600E">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20.要求支持双流互动功能，在互动通讯过程中，支持教学场景信号与电脑课件信号以互相独立的信号进行传输，并最终接收端设备可通过两路HDMI接口将接收到的教学场景画面与电脑课件画面同时分别环出到两个显示设备上；</w:t>
            </w:r>
          </w:p>
          <w:p w14:paraId="1D1959DF">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21.通过录播主机的网络导播界面，需支持主讲端在互动过程中对其余互动参与者的发言权限进行控制，支持单人禁言/开启以及全场禁言/开启的控制方式；</w:t>
            </w:r>
          </w:p>
          <w:p w14:paraId="310207D3">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22.要求录播主机在双向互动过程中，可实现1080P@30FPS画质，并支持基于SVC技术实现在不同网络状况下的画面质量自适应；</w:t>
            </w:r>
          </w:p>
          <w:p w14:paraId="6AACC61B">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23.要求录播主机支持呼叫应答设置，默认支持自动应答与勾选手动应答两种方式以满足在专递课堂场景下听讲端的自动入会，以及在其余场景下录播教室内的用户接收到互动申请可自主选择是否加入会议的情况；。</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33192">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套</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F6258">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val="en-US" w:eastAsia="zh-CN" w:bidi="ar"/>
              </w:rPr>
              <w:t>28</w:t>
            </w:r>
          </w:p>
        </w:tc>
      </w:tr>
      <w:tr w14:paraId="0C2056B9">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DEC0D">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3</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ECABC">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智能课堂行为分析软件</w:t>
            </w:r>
          </w:p>
        </w:tc>
        <w:tc>
          <w:tcPr>
            <w:tcW w:w="5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9F4DB">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一.整体要求</w:t>
            </w:r>
          </w:p>
          <w:p w14:paraId="515C61A7">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1.兼容对接：配套高清录播主机，实现视频数据分析；同时支持与视频资源管理平台无缝对接，可将数据通过平台进行分析结果数据展示。</w:t>
            </w:r>
          </w:p>
          <w:p w14:paraId="370E612B">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2.多维分析：支持对课堂数据进行综合多维度的分析，包括“课堂三率”、“课堂语言分析”、“教学行为分析”、“教师活动轨迹”、“课堂时间分配”、“学生课堂动作表情分析”等维度数据。</w:t>
            </w:r>
          </w:p>
          <w:p w14:paraId="547CC65D">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3.实时分析：支持对师生出勤率、S-T教学行为、教师活动轨迹、学生课堂动作表情分析等维度数据进行实时统计分析。</w:t>
            </w:r>
          </w:p>
          <w:p w14:paraId="46015BE5">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二.课堂教情分析要求</w:t>
            </w:r>
          </w:p>
          <w:p w14:paraId="1B988458">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1.教学行为分析：支持“教师讲授”、“指导学生”、“学生汇报”、“师生互动”、“生生互动”、“教师巡视”多种维度的教学行为识别。</w:t>
            </w:r>
          </w:p>
          <w:p w14:paraId="0FBF8C80">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2.教师轨迹分析：支持统计整个课节时间内授课教师的授课行动轨迹，直观呈现教师授课过程中的授课位置数据。</w:t>
            </w:r>
          </w:p>
          <w:p w14:paraId="0A9973DB">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3.教师巡视分析：要求支持教师巡视情况统计并形成教师巡视数据，分析数据应包括教师课堂巡视次数、时长等数据。</w:t>
            </w:r>
          </w:p>
          <w:p w14:paraId="41AD19F8">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三.课堂学生分析要求</w:t>
            </w:r>
          </w:p>
          <w:p w14:paraId="4230618C">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1.班级出勤率统计：以班级维度进行班级出勤人数统计，包括应出席人数、实际出席人数、出勤率、迟到人数、缺席人数等。</w:t>
            </w:r>
          </w:p>
          <w:p w14:paraId="5A030D8E">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2.学生听课率分析：支持以课堂时间为轴线，对各个时刻学生的听课率进行分析统计，同时统计峰值和平均值数据。</w:t>
            </w:r>
          </w:p>
          <w:p w14:paraId="37519C2D">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3.支持学生课堂动作分析，包括趴桌子、举手、站立、抬头等肢体语言，可对各类动作进行实时检测。</w:t>
            </w:r>
          </w:p>
          <w:p w14:paraId="70067516">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4.支持对学生动作的实时统计分析，统计当前每种学生动作的峰值次数和占比。</w:t>
            </w:r>
          </w:p>
          <w:p w14:paraId="57F46121">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5.支持学生课堂表情分析，包括积极、平淡、消极等表情。并支持对各类表情进行实时检测，统计课堂中各类表情的学生人数。</w:t>
            </w:r>
          </w:p>
          <w:p w14:paraId="73CE597D">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6.支持对整节课堂实现学生动作和表情的统计分析，统计每种学生动作和表情的峰值时刻、峰值占比和峰值人数。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735D">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点</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C2518">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val="en-US" w:eastAsia="zh-CN" w:bidi="ar"/>
              </w:rPr>
              <w:t>28</w:t>
            </w:r>
          </w:p>
        </w:tc>
      </w:tr>
      <w:tr w14:paraId="2829C321">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FDD45">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4</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61297">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智能语音分析软件</w:t>
            </w:r>
          </w:p>
        </w:tc>
        <w:tc>
          <w:tcPr>
            <w:tcW w:w="5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EDFF6">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1.教师提问情况分析：支持基于课堂语音识别能力进行教师课堂提问行为分析，从提问次数与高频时间段两个核心维度进行数据统计，实现课堂提问情况的清晰回顾。</w:t>
            </w:r>
          </w:p>
          <w:p w14:paraId="52A305B3">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2.教师语速分析：支持通过语音识别能力进行教师课堂授课语速分析，呈现数据需包括教师课堂说话词数以及平均语速。</w:t>
            </w:r>
          </w:p>
          <w:p w14:paraId="7B7BFCF3">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3.课堂语音转写：要求基于语音语义识别完成课堂音频的文字转换，实现课堂教学过程语音全纪录，要求平台上可输出整节课的文字字幕。实现字幕与视频进度关联，通过点击字幕同步播放对应进度的视频。</w:t>
            </w:r>
          </w:p>
          <w:p w14:paraId="54E36D47">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4.课堂关键词分析：支持通过进行课堂语音识别，抓取统计提前设置好的课堂知识点关键词，统计各关键词出现的次数频率，并标注出现的时间点和显示所在的语句内容。</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ADFCB">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点</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55E91">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val="en-US" w:eastAsia="zh-CN" w:bidi="ar"/>
              </w:rPr>
              <w:t>28</w:t>
            </w:r>
          </w:p>
        </w:tc>
      </w:tr>
      <w:tr w14:paraId="380DAEF2">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F25BB">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5</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7AF47">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学生高清摄像机</w:t>
            </w:r>
          </w:p>
        </w:tc>
        <w:tc>
          <w:tcPr>
            <w:tcW w:w="5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7E9AE">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1.传感器类型：CMOS、1/2.5英寸</w:t>
            </w:r>
          </w:p>
          <w:p w14:paraId="72C585F9">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2.采用逐行扫描模式，有效像素不低于1100万。</w:t>
            </w:r>
            <w:r>
              <w:rPr>
                <w:rFonts w:hint="eastAsia" w:ascii="宋体" w:hAnsi="宋体" w:eastAsia="宋体" w:cs="宋体"/>
                <w:color w:val="000000"/>
                <w:sz w:val="21"/>
                <w:szCs w:val="21"/>
                <w:highlight w:val="none"/>
                <w:lang w:eastAsia="zh-CN"/>
              </w:rPr>
              <w:t>（提供有效的检测报告复印件。）</w:t>
            </w:r>
            <w:r>
              <w:rPr>
                <w:rFonts w:hint="eastAsia" w:ascii="宋体" w:hAnsi="宋体" w:eastAsia="宋体" w:cs="宋体"/>
                <w:color w:val="000000"/>
                <w:sz w:val="21"/>
                <w:szCs w:val="21"/>
                <w:highlight w:val="none"/>
              </w:rPr>
              <w:t>3.采用了2D和基于运动估计的3D降噪算法</w:t>
            </w:r>
          </w:p>
          <w:p w14:paraId="27DDF810">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4.最大水平视场角不小于80°，最大垂直视场角不小于50°</w:t>
            </w:r>
          </w:p>
          <w:p w14:paraId="471530D8">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5.网络接口：RJ45接口≥1，10/100/1000M自适应</w:t>
            </w:r>
          </w:p>
          <w:p w14:paraId="26B0B5FE">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6.视频接口：D-Video数字视频接口（RJ45）≥1</w:t>
            </w:r>
          </w:p>
          <w:p w14:paraId="7489B331">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7.编码技术：视频H.264/H.265</w:t>
            </w:r>
          </w:p>
          <w:p w14:paraId="33E753F2">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8.支持DC12V电源适配器供电与RJ45双绞线供电</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22441">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81EB7">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val="en-US" w:eastAsia="zh-CN" w:bidi="ar"/>
              </w:rPr>
              <w:t>28</w:t>
            </w:r>
          </w:p>
        </w:tc>
      </w:tr>
      <w:tr w14:paraId="59CC46E9">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B98EC">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6</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52ACB">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高清摄像机传输处理软件</w:t>
            </w:r>
          </w:p>
        </w:tc>
        <w:tc>
          <w:tcPr>
            <w:tcW w:w="5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759D8">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1.摄像机传输处理软件采用B/S架构，支持通用浏览器直接访问进行管理。</w:t>
            </w:r>
          </w:p>
          <w:p w14:paraId="32A3A312">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2.支持网络参数设置与修改，支持一键恢复默认参数。</w:t>
            </w:r>
          </w:p>
          <w:p w14:paraId="4DCA45B6">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3.支持曝光模式设置功能，包括自动、手动。</w:t>
            </w:r>
          </w:p>
          <w:p w14:paraId="3105A4D3">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4.支持抗闪烁频率、动态范围、光圈、快门参数设置。</w:t>
            </w:r>
          </w:p>
          <w:p w14:paraId="6FBC7DD2">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5.支持自动白平衡设置功能，红、蓝增益可调。</w:t>
            </w:r>
          </w:p>
          <w:p w14:paraId="38ACEB18">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6.支持噪声抑制设置功能，支持2D、3D降噪。</w:t>
            </w:r>
          </w:p>
          <w:p w14:paraId="0301ACA9">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7.支持摄像机图像质量调节功能，包括亮度、对比度、色调、饱和度。</w:t>
            </w:r>
          </w:p>
          <w:p w14:paraId="09C67A8D">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w:t>
            </w: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要求软件具备自主知识产权，提供计算机软件著作权登记证书复印件；</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1EFEB">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套</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F10B6">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val="en-US" w:eastAsia="zh-CN" w:bidi="ar"/>
              </w:rPr>
              <w:t>28</w:t>
            </w:r>
          </w:p>
        </w:tc>
      </w:tr>
      <w:tr w14:paraId="73849EE7">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490D5">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7</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5F3A1">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教师高清摄像机</w:t>
            </w:r>
          </w:p>
        </w:tc>
        <w:tc>
          <w:tcPr>
            <w:tcW w:w="5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85FE1">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1.传感器：要求采用CMOS类型图像传感器，尺寸≥1/2.5英寸；</w:t>
            </w:r>
          </w:p>
          <w:p w14:paraId="344FC188">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w:t>
            </w: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像素：有效像素≥800万；</w:t>
            </w:r>
            <w:r>
              <w:rPr>
                <w:rFonts w:hint="eastAsia" w:ascii="宋体" w:hAnsi="宋体" w:eastAsia="宋体" w:cs="宋体"/>
                <w:color w:val="000000"/>
                <w:sz w:val="21"/>
                <w:szCs w:val="21"/>
                <w:highlight w:val="none"/>
                <w:lang w:eastAsia="zh-CN"/>
              </w:rPr>
              <w:t>（提供有效的检测报告复印件。）</w:t>
            </w:r>
            <w:r>
              <w:rPr>
                <w:rFonts w:hint="eastAsia" w:ascii="宋体" w:hAnsi="宋体" w:eastAsia="宋体" w:cs="宋体"/>
                <w:color w:val="000000"/>
                <w:sz w:val="21"/>
                <w:szCs w:val="21"/>
                <w:highlight w:val="none"/>
              </w:rPr>
              <w:t>3.变焦：要求支持自动和手动变焦，光学变焦倍数≥22倍；</w:t>
            </w:r>
          </w:p>
          <w:p w14:paraId="526D884A">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4.云台转动：要求具备机械云台可进行转动跟踪。水平转动速度范围不少于1.0°~ 90°/s，垂直转动速度范围不少于1.0°~ 70°/s；</w:t>
            </w:r>
          </w:p>
          <w:p w14:paraId="0347617C">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5.视频编码：要求支持H.265、H.264高清视频编码协议；</w:t>
            </w:r>
          </w:p>
          <w:p w14:paraId="07BB617E">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6.视频输出：要求具备数字视频输出口（RJ45）≥1，HDMI视频输出口≥1；</w:t>
            </w:r>
          </w:p>
          <w:p w14:paraId="7646BA30">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7.协议支持：要求支持VISCA/ONVIF协议满足多种场景控制要求；</w:t>
            </w:r>
          </w:p>
          <w:p w14:paraId="556DBA6B">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8.一线通：要求具备基于RJ45双绞线的一线通连接，完成摄像机供电、控制以及视频信号传输；</w:t>
            </w:r>
          </w:p>
          <w:p w14:paraId="5D00BE4F">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9.</w:t>
            </w: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视频传输：基于视频传输传输，无呼吸效应且声画同步在≤100ms内。</w:t>
            </w:r>
            <w:r>
              <w:rPr>
                <w:rFonts w:hint="eastAsia" w:ascii="宋体" w:hAnsi="宋体" w:eastAsia="宋体" w:cs="宋体"/>
                <w:color w:val="000000"/>
                <w:sz w:val="21"/>
                <w:szCs w:val="21"/>
                <w:highlight w:val="none"/>
                <w:lang w:eastAsia="zh-CN"/>
              </w:rPr>
              <w:t>（提供有效的检测报告复印件。）</w:t>
            </w:r>
            <w:r>
              <w:rPr>
                <w:rFonts w:hint="eastAsia" w:ascii="宋体" w:hAnsi="宋体" w:eastAsia="宋体" w:cs="宋体"/>
                <w:color w:val="000000"/>
                <w:sz w:val="21"/>
                <w:szCs w:val="21"/>
                <w:highlight w:val="none"/>
              </w:rPr>
              <w:t>10.</w:t>
            </w: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智能跟踪：内置跟踪算法，摄像机内无额外辅助摄像头也无需增加任何设备即可实现人像自动跟踪，包括水平运动、俯仰运动、变焦、聚焦四维实时跟踪；</w:t>
            </w:r>
            <w:r>
              <w:rPr>
                <w:rFonts w:hint="eastAsia" w:ascii="宋体" w:hAnsi="宋体" w:eastAsia="宋体" w:cs="宋体"/>
                <w:color w:val="000000"/>
                <w:sz w:val="21"/>
                <w:szCs w:val="21"/>
                <w:highlight w:val="none"/>
                <w:lang w:eastAsia="zh-CN"/>
              </w:rPr>
              <w:t>（提供有效的检测报告复印件。）</w:t>
            </w:r>
            <w:r>
              <w:rPr>
                <w:rFonts w:hint="eastAsia" w:ascii="宋体" w:hAnsi="宋体" w:eastAsia="宋体" w:cs="宋体"/>
                <w:color w:val="000000"/>
                <w:sz w:val="21"/>
                <w:szCs w:val="21"/>
                <w:highlight w:val="none"/>
              </w:rPr>
              <w:t>11.</w:t>
            </w: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交叉识别：内置对锁定跟拍对象进行人脸特征与肢体双重认证识别，在多人同时进入拍摄画面的情况下，持续锁定跟踪对象，不出现跟丢和误跟的情况；</w:t>
            </w:r>
            <w:r>
              <w:rPr>
                <w:rFonts w:hint="eastAsia" w:ascii="宋体" w:hAnsi="宋体" w:eastAsia="宋体" w:cs="宋体"/>
                <w:color w:val="000000"/>
                <w:sz w:val="21"/>
                <w:szCs w:val="21"/>
                <w:highlight w:val="none"/>
                <w:lang w:eastAsia="zh-CN"/>
              </w:rPr>
              <w:t>（提供有效的检测报告复印件。）</w:t>
            </w:r>
            <w:r>
              <w:rPr>
                <w:rFonts w:hint="eastAsia" w:ascii="宋体" w:hAnsi="宋体" w:eastAsia="宋体" w:cs="宋体"/>
                <w:color w:val="000000"/>
                <w:sz w:val="21"/>
                <w:szCs w:val="21"/>
                <w:highlight w:val="none"/>
              </w:rPr>
              <w:t>12.AI抗干扰：支持在拍摄画面有显示设备或其他动态视频播放的情况下，自动启用AI抗干扰能力，保障画面始终锁定被跟踪对象，且跟踪效果不受影响；</w:t>
            </w:r>
          </w:p>
          <w:p w14:paraId="500082D2">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13.PTZ自适应：需支持PTZ实时跟焦，AI跟踪的状态下能实现摄像机水平旋转、垂直旋转、变焦的实时同步变化，无需等待拍摄对象稳定后再变焦调整画面，移动过程不虚焦，实现拍摄画面的自适应稳定调整；</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C3E42">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752F2">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val="en-US" w:eastAsia="zh-CN" w:bidi="ar"/>
              </w:rPr>
              <w:t>28</w:t>
            </w:r>
          </w:p>
        </w:tc>
      </w:tr>
      <w:tr w14:paraId="360E2064">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BFCD2">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8</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CE534">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智能跟踪拍摄软件</w:t>
            </w:r>
          </w:p>
        </w:tc>
        <w:tc>
          <w:tcPr>
            <w:tcW w:w="5392" w:type="dxa"/>
            <w:tcBorders>
              <w:top w:val="single" w:color="000000" w:sz="4" w:space="0"/>
              <w:left w:val="single" w:color="000000" w:sz="4" w:space="0"/>
              <w:bottom w:val="single" w:color="000000" w:sz="4" w:space="0"/>
              <w:right w:val="single" w:color="000000" w:sz="4" w:space="0"/>
            </w:tcBorders>
            <w:shd w:val="clear" w:color="auto" w:fill="auto"/>
          </w:tcPr>
          <w:p w14:paraId="2667A18D">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1.摄像机传输处理软件需采用B/S架构，支持通用浏览器直接访问进行管理；</w:t>
            </w:r>
          </w:p>
          <w:p w14:paraId="70816C5B">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2.需支持曝光模式设置功能，包括自动、手动；</w:t>
            </w:r>
          </w:p>
          <w:p w14:paraId="4D8D38B9">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3.需支持抗闪烁频率、动态范围、光圈、快门参数设置；</w:t>
            </w:r>
          </w:p>
          <w:p w14:paraId="7CC3F920">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4.需支持设置自动/手动/一键锁定/室内/室外多场景白平衡设置，红、蓝增益可调以满足不同环境取景需要；；</w:t>
            </w:r>
          </w:p>
          <w:p w14:paraId="060D142D">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5.需支持噪声抑制设置功能，支持2D、3D降噪；</w:t>
            </w:r>
          </w:p>
          <w:p w14:paraId="785D80AE">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6.需支持摄像机图像质量调节功能，包括亮度、对比度、色调、饱和度；</w:t>
            </w:r>
          </w:p>
          <w:p w14:paraId="3DBEE6D4">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7.需支持图像水平、垂直翻转，适应摄像机不同的安装方式要求；</w:t>
            </w:r>
          </w:p>
          <w:p w14:paraId="63BD0F03">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8.需支持摄像机控制功能，包括云台控制、预置位设置与调用、焦距调节等；</w:t>
            </w:r>
          </w:p>
          <w:p w14:paraId="79DF7937">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9.需支持自动/手动两种聚焦锁定模式；</w:t>
            </w:r>
          </w:p>
          <w:p w14:paraId="0EDAECBD">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10.支持设置预置位数量≥255，预置位设置精度≤0.1°；</w:t>
            </w:r>
          </w:p>
          <w:p w14:paraId="42F225ED">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11.需支持跟踪人物丢失寻回机制，在智能跟踪的场景下跟拍对象出画后重新回到拍摄画面将再次锁定跟踪；</w:t>
            </w:r>
          </w:p>
          <w:p w14:paraId="1AB52924">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12.支持配合录播主机设置五分像、七分像、全身像等多种教师图像跟踪画面模式，根据实际需要设置选用教师跟踪画面的大小；</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05C7A">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套</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34108">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val="en-US" w:eastAsia="zh-CN" w:bidi="ar"/>
              </w:rPr>
              <w:t>28</w:t>
            </w:r>
          </w:p>
        </w:tc>
      </w:tr>
      <w:tr w14:paraId="127A026A">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EB385">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9</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538AE">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壁挂式触控面板</w:t>
            </w:r>
          </w:p>
        </w:tc>
        <w:tc>
          <w:tcPr>
            <w:tcW w:w="5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DE82C">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1.硬件设计</w:t>
            </w:r>
          </w:p>
          <w:p w14:paraId="4A173BAB">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1）支持壁挂式上墙部署；</w:t>
            </w:r>
          </w:p>
          <w:p w14:paraId="4D346C91">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2）具备10.1英寸1280*800高清全视角显示屏幕；</w:t>
            </w:r>
          </w:p>
          <w:p w14:paraId="0ABC642F">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3）存储性能：缓存容量不小于2G,存储容量不小于16G；</w:t>
            </w:r>
          </w:p>
          <w:p w14:paraId="6A8DD11D">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4）操作系统 ：Android 11及以上版本；</w:t>
            </w:r>
          </w:p>
          <w:p w14:paraId="6EDFB58A">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5）接口类型：USB≥1， 网络接口≥1，3.5mm耳麦接口≥1，串口RS232≥1；</w:t>
            </w:r>
          </w:p>
          <w:p w14:paraId="392E2259">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2.整体设计</w:t>
            </w:r>
          </w:p>
          <w:p w14:paraId="02BB7F7A">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1）控制方式：支持通过网络连接进行录播主机的管理、控制；</w:t>
            </w:r>
          </w:p>
          <w:p w14:paraId="18DE3315">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2）电源管理：支持控制录播主机的关机、休眠、唤醒操作；</w:t>
            </w:r>
          </w:p>
          <w:p w14:paraId="526E6B3A">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3）集成录课模式控制、互动模式控制、录像资源管理等控制应用；</w:t>
            </w:r>
          </w:p>
          <w:p w14:paraId="536F362C">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1）支持通过触控面板实时预览录制信号画面，进行导播操作；</w:t>
            </w:r>
          </w:p>
          <w:p w14:paraId="1C4553E8">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2）支持录制开始/停止、录制暂停/恢复、直播开启/关闭、电脑画面锁定/解锁等功能操作；</w:t>
            </w:r>
          </w:p>
          <w:p w14:paraId="239B4258">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3.录像资源管理控制</w:t>
            </w:r>
          </w:p>
          <w:p w14:paraId="001FBB2F">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1）支持录像资源管理，通过导播控制软件直观呈现当前录播主机的录像资源信息，并支持选择相关的录课资源进行回放；</w:t>
            </w:r>
          </w:p>
          <w:p w14:paraId="76107F82">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2）支持录制资源下载操作，将文件下载至U盘进行移动共享。</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D976C">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0B751">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val="en-US" w:eastAsia="zh-CN" w:bidi="ar"/>
              </w:rPr>
              <w:t>28</w:t>
            </w:r>
          </w:p>
        </w:tc>
      </w:tr>
      <w:tr w14:paraId="0B742937">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76654">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10</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E8C06">
            <w:pPr>
              <w:widowControl/>
              <w:jc w:val="center"/>
              <w:textAlignment w:val="center"/>
              <w:rPr>
                <w:rFonts w:hint="eastAsia" w:ascii="宋体" w:hAnsi="宋体" w:eastAsia="宋体" w:cs="宋体"/>
                <w:color w:val="000000"/>
                <w:sz w:val="21"/>
                <w:szCs w:val="21"/>
                <w:highlight w:val="none"/>
              </w:rPr>
            </w:pPr>
            <w:r>
              <w:rPr>
                <w:rStyle w:val="288"/>
                <w:rFonts w:hint="eastAsia" w:ascii="宋体" w:hAnsi="宋体" w:eastAsia="宋体" w:cs="宋体"/>
                <w:sz w:val="21"/>
                <w:szCs w:val="21"/>
                <w:highlight w:val="none"/>
                <w:lang w:bidi="ar"/>
              </w:rPr>
              <w:t>数字阵列麦克风</w:t>
            </w:r>
          </w:p>
        </w:tc>
        <w:tc>
          <w:tcPr>
            <w:tcW w:w="5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1C03A">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1.类型：360°全指向数字阵列麦克风。</w:t>
            </w:r>
          </w:p>
          <w:p w14:paraId="5B642297">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2.内置嵌入式软件和音频处理模块，免配置即插即用；无需使用额外的音频处理主机。</w:t>
            </w:r>
          </w:p>
          <w:p w14:paraId="41D7B301">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3.拾音距离：不小于8米拾音距离。</w:t>
            </w:r>
          </w:p>
          <w:p w14:paraId="127AE8DA">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4.音频输入接口：line in（3.5mm）≥1，无需任何协议/接口转换设备，即可对接功放或有源扬声器完成扩声。</w:t>
            </w:r>
          </w:p>
          <w:p w14:paraId="696ACE52">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5.音频输出接口：line out（3.5mm）≥2。</w:t>
            </w:r>
          </w:p>
          <w:p w14:paraId="1FBF45A3">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6.USB接口：USB 2.0≥1，支持UAC 1.0协议，实现音频数据通信。</w:t>
            </w:r>
          </w:p>
          <w:p w14:paraId="58EBCE44">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7.灵敏度：不小于-26dBFS。</w:t>
            </w:r>
          </w:p>
          <w:p w14:paraId="4857BCA4">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8.信噪比：不小于80dB(A)。</w:t>
            </w:r>
          </w:p>
          <w:p w14:paraId="371AF7E8">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9.频率响应：不小于20Hz-16kHz。</w:t>
            </w:r>
          </w:p>
          <w:p w14:paraId="452E7066">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10.采样率：不小于32K采样的宽带音频采样。</w:t>
            </w:r>
          </w:p>
          <w:p w14:paraId="7819DE45">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11.供电：USB DC5V。</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B8BF57">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台</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9C4227">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val="en-US" w:eastAsia="zh-CN" w:bidi="ar"/>
              </w:rPr>
              <w:t>28</w:t>
            </w:r>
          </w:p>
        </w:tc>
      </w:tr>
      <w:tr w14:paraId="5FFE2F67">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8DFE6">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11</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2516E">
            <w:pPr>
              <w:widowControl/>
              <w:jc w:val="center"/>
              <w:textAlignment w:val="center"/>
              <w:rPr>
                <w:rFonts w:hint="eastAsia" w:ascii="宋体" w:hAnsi="宋体" w:eastAsia="宋体" w:cs="宋体"/>
                <w:color w:val="000000"/>
                <w:sz w:val="21"/>
                <w:szCs w:val="21"/>
                <w:highlight w:val="none"/>
              </w:rPr>
            </w:pPr>
            <w:r>
              <w:rPr>
                <w:rStyle w:val="288"/>
                <w:rFonts w:hint="eastAsia" w:ascii="宋体" w:hAnsi="宋体" w:eastAsia="宋体" w:cs="宋体"/>
                <w:sz w:val="21"/>
                <w:szCs w:val="21"/>
                <w:highlight w:val="none"/>
                <w:lang w:bidi="ar"/>
              </w:rPr>
              <w:t>音频优化处理软件</w:t>
            </w:r>
          </w:p>
        </w:tc>
        <w:tc>
          <w:tcPr>
            <w:tcW w:w="5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FAE55">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1.具备音频效果自适应校准能力，在不同场地均能实现自动校准，无需配手工配置。</w:t>
            </w:r>
          </w:p>
          <w:p w14:paraId="3BB759DA">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2.支持全向智能拾音追踪，自动追踪识别发言人，拾音范围内的声音均能清晰拾取。</w:t>
            </w:r>
          </w:p>
          <w:p w14:paraId="76506FB8">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3.具备自动增益功能，在拾音范围内，无论演讲者距离麦克风的距离远或近，均能实现音量恒定输出。</w:t>
            </w:r>
          </w:p>
          <w:p w14:paraId="5E38542B">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4.具备反馈抑制功能，有效抑制啸叫现象。</w:t>
            </w:r>
          </w:p>
          <w:p w14:paraId="3A8B3640">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5.具备智能自动降噪功能，智能识别和抑制背景常态噪音，如空调等噪声实现自动检测和消除。</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CEE57C">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套</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B33CB4">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val="en-US" w:eastAsia="zh-CN" w:bidi="ar"/>
              </w:rPr>
              <w:t>28</w:t>
            </w:r>
          </w:p>
        </w:tc>
      </w:tr>
      <w:tr w14:paraId="6300C5AB">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2DA98">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12</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392A0">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电源管理器</w:t>
            </w:r>
          </w:p>
        </w:tc>
        <w:tc>
          <w:tcPr>
            <w:tcW w:w="5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00328">
            <w:pPr>
              <w:widowControl/>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 xml:space="preserve">1.向录播视频系统、音频系统、显示系统提供统一的、至少八路电源管理； </w:t>
            </w:r>
          </w:p>
          <w:p w14:paraId="4DAA7088">
            <w:pPr>
              <w:widowControl/>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2.支持对录播系统控制功能，实现通过录制面板一键启动录播系统相关设备的电源；</w:t>
            </w:r>
          </w:p>
          <w:p w14:paraId="540A07A8">
            <w:pPr>
              <w:widowControl/>
              <w:jc w:val="left"/>
              <w:rPr>
                <w:rFonts w:hint="eastAsia" w:ascii="宋体" w:hAnsi="宋体" w:eastAsia="宋体" w:cs="宋体"/>
                <w:color w:val="000000"/>
                <w:kern w:val="0"/>
                <w:sz w:val="21"/>
                <w:szCs w:val="21"/>
                <w:highlight w:val="none"/>
              </w:rPr>
            </w:pPr>
            <w:r>
              <w:rPr>
                <w:rFonts w:hint="eastAsia" w:ascii="宋体" w:hAnsi="宋体" w:eastAsia="宋体" w:cs="宋体"/>
                <w:color w:val="000000"/>
                <w:sz w:val="21"/>
                <w:szCs w:val="21"/>
                <w:highlight w:val="none"/>
              </w:rPr>
              <w:t>3.支持录播系统的远程集中统一控制，实现录播主机远程开关机；</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3993B">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EEA30">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val="en-US" w:eastAsia="zh-CN" w:bidi="ar"/>
              </w:rPr>
              <w:t>28</w:t>
            </w:r>
          </w:p>
        </w:tc>
      </w:tr>
      <w:tr w14:paraId="2F5C6BA0">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C8E7F">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13</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C7EF0">
            <w:pPr>
              <w:widowControl/>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kern w:val="0"/>
                <w:sz w:val="21"/>
                <w:szCs w:val="21"/>
                <w:highlight w:val="none"/>
                <w:lang w:bidi="ar"/>
              </w:rPr>
              <w:t>全连接教学AI应用系统</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val="en-US" w:eastAsia="zh-CN" w:bidi="ar"/>
              </w:rPr>
              <w:t>核心产品</w:t>
            </w:r>
            <w:r>
              <w:rPr>
                <w:rFonts w:hint="eastAsia" w:ascii="宋体" w:hAnsi="宋体" w:eastAsia="宋体" w:cs="宋体"/>
                <w:color w:val="000000"/>
                <w:kern w:val="0"/>
                <w:sz w:val="21"/>
                <w:szCs w:val="21"/>
                <w:highlight w:val="none"/>
                <w:lang w:eastAsia="zh-CN" w:bidi="ar"/>
              </w:rPr>
              <w:t>）</w:t>
            </w:r>
          </w:p>
        </w:tc>
        <w:tc>
          <w:tcPr>
            <w:tcW w:w="5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CA356">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一、用户工作台</w:t>
            </w:r>
          </w:p>
          <w:p w14:paraId="695E8B89">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1）个人信息：支持用户对头像、姓名、性别、邮箱、出生日期、手机号码、通信地址、简介、学历、职称、执教学科、荣誉、登录密码、第三方账号绑定等个人资料进行查看和修改。</w:t>
            </w:r>
          </w:p>
          <w:p w14:paraId="7E87DA68">
            <w:pPr>
              <w:widowControl/>
              <w:jc w:val="left"/>
              <w:textAlignment w:val="center"/>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2）教学日程：支持通览该用户在平台中参与的各业务开展情况，以日历方式直观呈现，点击某一教学日程可快速进入对应功能模块。提供平台功能页面截图。</w:t>
            </w:r>
          </w:p>
          <w:p w14:paraId="68EF5331">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3）快捷入口：支持将平台功能分列呈现，教学项和教研项方便用户快速进入课表、视频、专辑、资源、在线学堂、收藏、教研活动、评审活动、磨课备课、教学督导等功能模块，快速开展在线应用。</w:t>
            </w:r>
          </w:p>
          <w:p w14:paraId="38CB22D0">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4）待办任务：支持通览该用户在平台中已参与的业务活动，以列表方式按即将逾期的状态降序排序直观呈现，点击某一待办任务可快速进入对应功能模块。提供平台功能页面截图。</w:t>
            </w:r>
          </w:p>
          <w:p w14:paraId="1B7A7F56">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5）我的课表：支持用户自我管理教学计划课表，课表内支持自定义课程名称、封面、主讲人、时间段、学段学科等基础信息并可上传附件。课表内授课形式支持普通直播课、校内互动课。</w:t>
            </w:r>
          </w:p>
          <w:p w14:paraId="60B2582C">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我的资源：支持通览用户上传的所有资源，并以列表形式直观展示资源名称、类型、观看权限、章节目录、审核状态、允许下载、上传日期等信息。提供用户自主上传资源功能入口，方便用户快捷上传个人资源。</w:t>
            </w:r>
          </w:p>
          <w:p w14:paraId="6D81BFED">
            <w:pPr>
              <w:widowControl/>
              <w:jc w:val="left"/>
              <w:textAlignment w:val="center"/>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7）我的收藏：支持通览用户在我的视频、我的专辑、教学督导、评审活动、在线学堂、校园电视等功能处收藏的资源，提供快速查询和分类筛选功能，点击某一资源即可快速查看其详情。提供平台功能页面截图。</w:t>
            </w:r>
          </w:p>
          <w:p w14:paraId="6AC1DB44">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8）我的视频：支持用户打造个人视频管理空间，包含自主上传教学视频或通过平台录播课归档的课程视频，支持关联视频附件文档、设置知识点、微能力、教学环节、是否AI行为分析、填写教学反馈与活动掠影。</w:t>
            </w:r>
          </w:p>
          <w:p w14:paraId="462065B3">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在线学堂：支持用户查看自主创建或所处教学班的学习课程，并可查看课程所有人与权限，页面提供编辑与查看学习统计按钮方便快速进行过程处理与结果导出，并支持对自己创建的课程快速取消发布与删除。</w:t>
            </w:r>
          </w:p>
          <w:p w14:paraId="6B2C502C">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二、教学资源服务系统</w:t>
            </w:r>
          </w:p>
          <w:p w14:paraId="5BA246C4">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校本资源库：平台支持汇聚本校内微课视频、练习题、课件、教学设计、学案、素材、试卷、备课包等不同类型的教学资源；支持用户进行上传、管理、推荐教学资源，形成校本资源库。校本资源库支持按照学段、学科、教材版本、年级等维度分类归档，并支持下载资源内容使用。</w:t>
            </w:r>
          </w:p>
          <w:p w14:paraId="4BDB9AA3">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2)资源统计：平台支持按推荐资源、热门资源、资源动态、排行榜等归类统计教学资源，同时支持资源总数与近一个月更新数量统计。</w:t>
            </w:r>
          </w:p>
          <w:p w14:paraId="50EF9ED3">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3)教材信息：平台支持在选择学段、学科、教材版本后，自动呈现对应的教学资源列表。</w:t>
            </w:r>
          </w:p>
          <w:p w14:paraId="6B4E6C9B">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个人资源上传：支持用户自主上传个人制作教学资源，形成个人资源文件空间。资源文件类型应支持文档、视频、压缩包、表格等不同类型，并支持按照题库、课件、题组、试卷、教学设计、教案、微课等分类归档至我的资源当中。</w:t>
            </w:r>
          </w:p>
          <w:p w14:paraId="733FEEC9">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三、课程教学系统</w:t>
            </w:r>
          </w:p>
          <w:p w14:paraId="11050DCB">
            <w:pPr>
              <w:widowControl/>
              <w:jc w:val="left"/>
              <w:textAlignment w:val="center"/>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1)课表排课：支持提供教师个人课表排课进行辅助教学。教师个人课表可由学校管理员统一推送，并支持教师在课表中查看自己的课程信息，同时支持教师根据实际情况在原基础上进行自主排课，自主排课的课程支持调课、修改时间、删除等管理操作。支持自定义排课周数来快速完成整个学期的排课计划。提供平台课表自主排课功能界面截图。</w:t>
            </w:r>
          </w:p>
          <w:p w14:paraId="1D9F5017">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2)课节时间：支持管理员自定义设置、修改课节时间，贴合不同地学校或不同季节的开课时间安排。</w:t>
            </w:r>
          </w:p>
          <w:p w14:paraId="1DF39F19">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3)排课类型：支持普通直播、校内互动两种排课类型。校内课程在校内课表进行排课，本校本地自主开课。</w:t>
            </w:r>
          </w:p>
          <w:p w14:paraId="434E86C6">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4)排课录制：支持在排课时进行课堂录制预约，默认设置所排课程对应的课节时间作为录制预约时间，进行录制预约登记。录制视频统一归档至平台个人视频空间。提供平台功能界面截图。</w:t>
            </w:r>
          </w:p>
          <w:p w14:paraId="1A36A76B">
            <w:pPr>
              <w:widowControl/>
              <w:jc w:val="left"/>
              <w:textAlignment w:val="center"/>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5)视频上传：支持用户自主上传课程视频发布用于课程点播，可对上传视频自主添加知识点、教学环节、行为分析等类型标识，点播播放时可点击相应知识点、教学环节跳转至对应时间点视频进行播放。提供平台功能界面截图。</w:t>
            </w:r>
          </w:p>
          <w:p w14:paraId="228C2748">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6)课程附件：支持在上传视频时同步上传课程附件，课程附件支持文档、图片、视频、压缩包等不同类型。附件上传后，在课程点播时支持同步下载。</w:t>
            </w:r>
          </w:p>
          <w:p w14:paraId="77679F34">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7)视频检索：支持通过关键字、录制时间检索筛选相应视频。</w:t>
            </w:r>
          </w:p>
          <w:p w14:paraId="6A066522">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课程直播：支持按日历时间查看开课信息并点击进入课程直播，实时观看教学直播内容；同时支持呈现近期课表中的课程直播状态（正在直播、即将开始、直播回放等）。支持观看直播过程中进行直播评论，发表学习意见。</w:t>
            </w:r>
          </w:p>
          <w:p w14:paraId="44C4F747">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四、学校教研活动系统</w:t>
            </w:r>
          </w:p>
          <w:p w14:paraId="6E56980E">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1)校级教研活动：支持创建、参与各年级、各学科的网络教研活动，支持自定义每个网络教研活动的展示封面、教研主题、教研内容，支持上传教研相关的视频、文档附件。</w:t>
            </w:r>
          </w:p>
          <w:p w14:paraId="7E476650">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教研模式：支持直播观摩教研、点播观摩教研、互动教研三种方式。直播观摩教研面向实时授课直播画面进行观摩教研；点播观摩教研可获取平台录制教学视频进行点播观摩。互动教研可实现多终端实时音视频互动。</w:t>
            </w:r>
          </w:p>
          <w:p w14:paraId="61C395B0">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3)教研会控：进行互动教研会议时，创建者拥有“会控”权限，可在互动教研会议中进行画面、发言、参会人员管理等控制。</w:t>
            </w:r>
          </w:p>
          <w:p w14:paraId="1BFCBF15">
            <w:pPr>
              <w:widowControl/>
              <w:jc w:val="left"/>
              <w:textAlignment w:val="center"/>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4)教研评分：创建主题教研后，支持自定义评分量表，在教研活动中根据打分量表进行教研观摩打分。提供平台该功能相关截图证明文件。</w:t>
            </w:r>
          </w:p>
          <w:p w14:paraId="75EABF5F">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教研互动：提供教研评论、教研笔记、教研评分、话题研讨四种教研互动方式。用户可在教研过程中发表评论，在线进行评论交互。以教研笔记的方式总结教研过程思想，形成教研总结。教研员可针对每个教研活动指定多个不同的“教研话题”，教研组成员可对话题进行进一步探讨。</w:t>
            </w:r>
          </w:p>
          <w:p w14:paraId="38A7AA39">
            <w:pPr>
              <w:widowControl/>
              <w:jc w:val="left"/>
              <w:textAlignment w:val="center"/>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6)教研标记：支持在发布教研笔记的时候关联当前观看视频时间作为标识，后续查看教研笔记时点击即可跳转教研视频至对应时间点进行观看，方便教研总结时充分理解笔记发布者的想法。提供平台该功能相关截图证明文件。</w:t>
            </w:r>
          </w:p>
          <w:p w14:paraId="7ECF7132">
            <w:pPr>
              <w:widowControl/>
              <w:jc w:val="left"/>
              <w:textAlignment w:val="center"/>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7)教研签到记录：支持记录统计教研参与签到人员，形成签到列表，便于教研活动的人员管理。签到列表需支持签到用户名、签到地点、签到时间、签退时间的关联统计展示。提供平台该功能相关截图证明文件。</w:t>
            </w:r>
          </w:p>
          <w:p w14:paraId="3F87EB83">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8)临时用户参与：所有人可见的教研活动支持非本平台的“临时用户”的参与，支持将临时用户参与的评论、话题研讨等数据保留到平台中。</w:t>
            </w:r>
          </w:p>
          <w:p w14:paraId="272F814D">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9)教研收藏：支持在教研活动界面点击收藏教研活动，收藏的教研活动可在个人账号下进行管理。</w:t>
            </w:r>
          </w:p>
          <w:p w14:paraId="75989DDB">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10)教研回顾：可以公开教研活动成果供用户对往届教研活动进行回顾。支持用户观看教研视频、查看教研笔记、查看评分结果，并下载各教研附件进行阅读和学习。</w:t>
            </w:r>
          </w:p>
          <w:p w14:paraId="247F97ED">
            <w:pPr>
              <w:widowControl/>
              <w:jc w:val="left"/>
              <w:textAlignment w:val="center"/>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11)教研签到功能：支持手机微信扫描教研活动二维码，填写基本信息以及通过手机定位获取签到地点后完成签到，并记录教研平台签到列表。提供该功能相关截图证明文件。</w:t>
            </w:r>
          </w:p>
          <w:p w14:paraId="6D6DD583">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五、活动评审系统</w:t>
            </w:r>
          </w:p>
          <w:p w14:paraId="6BF0AD04">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1)整体功能：提供完整的评审流程和体系，包括活动创建、活动参与、活动评审、活动公示四个环节。</w:t>
            </w:r>
          </w:p>
          <w:p w14:paraId="776C6128">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2)活动创建：支持自定义活动名称、活动海报、活动封面、活动阶段（筹备、报名、评审、结束）、活动时间、活动介绍，支持自定义参赛作品的大小和视频长度限制。</w:t>
            </w:r>
          </w:p>
          <w:p w14:paraId="05ADF6C4">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3)支持设置活动当前阶段：包括四个阶段状态：筹备中、报名中、评审中、结束与公示。活动可根据预设的时间自动变更活动的当前阶段状态。</w:t>
            </w:r>
          </w:p>
          <w:p w14:paraId="66FA8CFF">
            <w:pPr>
              <w:widowControl/>
              <w:jc w:val="left"/>
              <w:textAlignment w:val="center"/>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4)活动评分设置：支持自定义活动评分准则、分值。预置一套与教学课程评比相关的评分准则，评分项可选用提前设置好的模板，也可自定义。提供评审活动创建上述功能的软件界面截图。</w:t>
            </w:r>
          </w:p>
          <w:p w14:paraId="2A6398F4">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5)活动奖项设置：支持自定义活动奖项，支持按数量、比例进行得奖设置，如得分前2名为“一等奖”或得分前5%的为一等奖。</w:t>
            </w:r>
          </w:p>
          <w:p w14:paraId="5F80FCA7">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六、磨课备课系统</w:t>
            </w:r>
          </w:p>
          <w:p w14:paraId="0A13E7E8">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1)整体功能：支持关联课表进行备课，课前上传备课课件、布置预习任务、随堂测试试卷等。同时支持布置课后作业以及课后辅导任务，并进行备课总结反思。</w:t>
            </w:r>
          </w:p>
          <w:p w14:paraId="39AF4D78">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2)备课模式：支持教师自主备课、校内集备两种备课模式。自主备课为教师个人备课；校内集备为校内同一年级学科教师的集体备课。</w:t>
            </w:r>
          </w:p>
          <w:p w14:paraId="688E0102">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3)权限设置：用户可针对不同的观看权限和备课权限设置不同的公开范围，备课权限是可以针对该磨课备课上传对应的备课资料的；观看权限仅限于用户可以查看这个磨课备课的内容。</w:t>
            </w:r>
          </w:p>
          <w:p w14:paraId="2156599C">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4)备课资源：支持备课活动中从学校资源库中下载相应备课资源，或自行上传本地资源。</w:t>
            </w:r>
          </w:p>
          <w:p w14:paraId="79363511">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5)备课包：支持把备课中的课件和课中的视频作为一个备课包分享到校本资源中，方便学校形成自己独特的校本备课包资源，保存各科目老师的备课资源。</w:t>
            </w:r>
          </w:p>
          <w:p w14:paraId="135EB322">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七、校园在线巡课系统</w:t>
            </w:r>
          </w:p>
          <w:p w14:paraId="164043BA">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1）支持通过平台进行本校课程直播视频调取，在线观看开课现场画面。同时可支持课程主讲人、主讲班级、课程直播时间等相关信息展示。</w:t>
            </w:r>
          </w:p>
          <w:p w14:paraId="1FC574E2">
            <w:pPr>
              <w:widowControl/>
              <w:jc w:val="left"/>
              <w:textAlignment w:val="center"/>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2）课堂列表：支持后台根据学校实际教学楼、班级分布情况进行信息输入，使得在巡课界面可调出课堂列表，且列表应根据学校课堂实际分布情况进行呈现，可自定义包括课堂教室名称、所属楼层、所属教学楼、所属校区等4级呈现。提供平台该功能相关截图证明文件。</w:t>
            </w:r>
          </w:p>
          <w:p w14:paraId="4B6BFDC5">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3)支持在巡课界面通过教室列表自由切换巡课教室，从而实现对多个教室的远程直播巡课。</w:t>
            </w:r>
          </w:p>
          <w:p w14:paraId="3D9B1C83">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4）在线显示：支持仅显示当前在线的录播教室列表。</w:t>
            </w:r>
          </w:p>
          <w:p w14:paraId="634DF44D">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5）常用教室：支持将巡课教室进行分组，根据分组快捷选择课室进行巡课。</w:t>
            </w:r>
          </w:p>
          <w:p w14:paraId="68549687">
            <w:pPr>
              <w:widowControl/>
              <w:jc w:val="left"/>
              <w:textAlignment w:val="center"/>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6）场景收藏：支持每位用户将当前画面布局及巡课教室进行收藏，巡课专家点击收藏的场景可快速将巡课教室布局在画面中。提供平台该功能相关截图证明文件。</w:t>
            </w:r>
          </w:p>
          <w:p w14:paraId="585B4291">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7）画面布局：支持1分屏、2分屏、4分屏、6分屏、9分屏、10分屏六种巡课画面布局，每个分屏可直接拖拽教室信号进行巡课。</w:t>
            </w:r>
          </w:p>
          <w:p w14:paraId="419D7D7E">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8）画面拍照：支持对当前巡课画面进行拍照留存于图片库中，提供大图预览、图片下载、图片删除等多种管理功能。</w:t>
            </w:r>
          </w:p>
          <w:p w14:paraId="240330DB">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十、教师积分系统</w:t>
            </w:r>
          </w:p>
          <w:p w14:paraId="2879DF6F">
            <w:pPr>
              <w:widowControl/>
              <w:jc w:val="left"/>
              <w:textAlignment w:val="center"/>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1）整体功能：平台支持教师积分系统，管理员可以通过自定义统计维度和积分模版自定义积分规则，实现教师用户在平台开展教学活动时自动生成积分统计，积分可以按维度、类别、级别进行展示，高效辅助管理者开展教师评价。提供平台该功能相关截图证明文件。</w:t>
            </w:r>
          </w:p>
          <w:p w14:paraId="794B049C">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2）无感积分：支持通过积分规则和积分模版对平台上的教师行为进行无感采集并累计积分。</w:t>
            </w:r>
          </w:p>
          <w:p w14:paraId="7D95AB1E">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3）查看积分：用户可在工作台模块查看总积分、具体获取积分的时间及来源。</w:t>
            </w:r>
          </w:p>
          <w:p w14:paraId="12438B5D">
            <w:pPr>
              <w:widowControl/>
              <w:jc w:val="left"/>
              <w:textAlignment w:val="center"/>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4）申请积分：支持用户在积分系统自主申请积分，审核通过后即可获取对应的积分。提供平台该功能相关截图证明文件。</w:t>
            </w:r>
          </w:p>
          <w:p w14:paraId="0F9109E3">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5）审核积分：支持拥有审核权限的用户直接审核教师提交的积分申请。</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168D4">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套</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7AFA">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w:t>
            </w:r>
          </w:p>
        </w:tc>
      </w:tr>
      <w:tr w14:paraId="1C92C2A1">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F1676">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14</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BD89B">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平台服务器</w:t>
            </w:r>
          </w:p>
        </w:tc>
        <w:tc>
          <w:tcPr>
            <w:tcW w:w="5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1E7EE">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1.Cpu：IntelXeon E5(单个8核16线程水平)及以上配置</w:t>
            </w:r>
          </w:p>
          <w:p w14:paraId="5286C92E">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2.内存：32GB DDR4</w:t>
            </w:r>
          </w:p>
          <w:p w14:paraId="69AFD666">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3.硬盘：4TB</w:t>
            </w:r>
          </w:p>
          <w:p w14:paraId="70AF880D">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4.磁盘阵列：支持raid0、raid1、raid10</w:t>
            </w:r>
          </w:p>
          <w:p w14:paraId="6E301393">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5.网络：双千兆网卡，10M/100M/1000Mbps自适应</w:t>
            </w:r>
          </w:p>
          <w:p w14:paraId="615AB5F0">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6.电源冗余：双电源冗余</w:t>
            </w:r>
          </w:p>
          <w:p w14:paraId="42867165">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7.系统支持：AnolisOS 8.9</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16FAD">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台</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DF8F3">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w:t>
            </w:r>
          </w:p>
        </w:tc>
      </w:tr>
      <w:tr w14:paraId="1CA347FF">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C95C9">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15</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36AE7">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机柜</w:t>
            </w:r>
          </w:p>
        </w:tc>
        <w:tc>
          <w:tcPr>
            <w:tcW w:w="5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ED5DE">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定制</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68940">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个</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FAC50">
            <w:pPr>
              <w:widowControl/>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kern w:val="0"/>
                <w:sz w:val="21"/>
                <w:szCs w:val="21"/>
                <w:highlight w:val="none"/>
                <w:lang w:val="en-US" w:eastAsia="zh-CN" w:bidi="ar"/>
              </w:rPr>
              <w:t>28</w:t>
            </w:r>
          </w:p>
        </w:tc>
      </w:tr>
      <w:tr w14:paraId="29500000">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50AD5">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16</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A0F40">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线材</w:t>
            </w:r>
          </w:p>
        </w:tc>
        <w:tc>
          <w:tcPr>
            <w:tcW w:w="5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6D11F">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满足系统布线需求</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67775">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批</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4E607">
            <w:pPr>
              <w:widowControl/>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kern w:val="0"/>
                <w:sz w:val="21"/>
                <w:szCs w:val="21"/>
                <w:highlight w:val="none"/>
                <w:lang w:val="en-US" w:eastAsia="zh-CN" w:bidi="ar"/>
              </w:rPr>
              <w:t>28</w:t>
            </w:r>
          </w:p>
        </w:tc>
      </w:tr>
      <w:tr w14:paraId="307DA947">
        <w:tblPrEx>
          <w:tblCellMar>
            <w:top w:w="0" w:type="dxa"/>
            <w:left w:w="108" w:type="dxa"/>
            <w:bottom w:w="0" w:type="dxa"/>
            <w:right w:w="108" w:type="dxa"/>
          </w:tblCellMar>
        </w:tblPrEx>
        <w:trPr>
          <w:trHeight w:val="420" w:hRule="atLeast"/>
        </w:trPr>
        <w:tc>
          <w:tcPr>
            <w:tcW w:w="851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4D1979">
            <w:pPr>
              <w:widowControl/>
              <w:jc w:val="left"/>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lang w:bidi="ar"/>
              </w:rPr>
              <w:t>精品录播教室</w:t>
            </w:r>
            <w:r>
              <w:rPr>
                <w:rFonts w:hint="eastAsia" w:ascii="宋体" w:hAnsi="宋体" w:eastAsia="宋体" w:cs="宋体"/>
                <w:b/>
                <w:bCs/>
                <w:color w:val="000000"/>
                <w:kern w:val="0"/>
                <w:sz w:val="21"/>
                <w:szCs w:val="21"/>
                <w:highlight w:val="none"/>
                <w:lang w:val="en-US" w:eastAsia="zh-CN" w:bidi="ar"/>
              </w:rPr>
              <w:t>2</w:t>
            </w:r>
            <w:r>
              <w:rPr>
                <w:rFonts w:hint="eastAsia" w:ascii="宋体" w:hAnsi="宋体" w:eastAsia="宋体" w:cs="宋体"/>
                <w:b/>
                <w:bCs/>
                <w:color w:val="000000"/>
                <w:kern w:val="0"/>
                <w:sz w:val="21"/>
                <w:szCs w:val="21"/>
                <w:highlight w:val="none"/>
                <w:lang w:bidi="ar"/>
              </w:rPr>
              <w:t>间</w:t>
            </w:r>
          </w:p>
        </w:tc>
      </w:tr>
      <w:tr w14:paraId="12FBDE71">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69166B">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B85C02">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高清录播主机</w:t>
            </w:r>
          </w:p>
        </w:tc>
        <w:tc>
          <w:tcPr>
            <w:tcW w:w="5392" w:type="dxa"/>
            <w:tcBorders>
              <w:top w:val="single" w:color="000000" w:sz="4" w:space="0"/>
              <w:left w:val="single" w:color="000000" w:sz="4" w:space="0"/>
              <w:bottom w:val="single" w:color="000000" w:sz="4" w:space="0"/>
              <w:right w:val="single" w:color="000000" w:sz="4" w:space="0"/>
            </w:tcBorders>
            <w:shd w:val="clear" w:color="auto" w:fill="FFFFFF"/>
          </w:tcPr>
          <w:p w14:paraId="00E5E576">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一、整体设计</w:t>
            </w:r>
          </w:p>
          <w:p w14:paraId="0D0A2FE6">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1.主机架构：整体采用嵌入式设计、非PC与服务器工作站等架构，以保障系统运行稳定、安全。且为方便设备布线实施，主机需为标准1U机架式设计，支持外接不同尺寸控制屏满足不同环境的操作需要；</w:t>
            </w:r>
          </w:p>
          <w:p w14:paraId="397C699D">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2.高度集成：主机需同时具备音频编码、视频编码、音视频处理、录制、导播、自动跟踪、存储、点播、互动等多功能于一体；</w:t>
            </w:r>
            <w:r>
              <w:rPr>
                <w:rFonts w:hint="eastAsia" w:ascii="宋体" w:hAnsi="宋体" w:eastAsia="宋体" w:cs="宋体"/>
                <w:color w:val="000000"/>
                <w:sz w:val="21"/>
                <w:szCs w:val="21"/>
                <w:highlight w:val="none"/>
                <w:lang w:eastAsia="zh-CN"/>
              </w:rPr>
              <w:t>提供具有</w:t>
            </w:r>
            <w:r>
              <w:rPr>
                <w:rFonts w:hint="eastAsia" w:ascii="宋体" w:hAnsi="宋体" w:eastAsia="宋体" w:cs="宋体"/>
                <w:color w:val="000000"/>
                <w:sz w:val="21"/>
                <w:szCs w:val="21"/>
                <w:highlight w:val="none"/>
                <w:lang w:val="en-US" w:eastAsia="zh-CN"/>
              </w:rPr>
              <w:t>有效的</w:t>
            </w:r>
            <w:r>
              <w:rPr>
                <w:rFonts w:hint="eastAsia" w:ascii="宋体" w:hAnsi="宋体" w:eastAsia="宋体" w:cs="宋体"/>
                <w:color w:val="000000"/>
                <w:sz w:val="21"/>
                <w:szCs w:val="21"/>
                <w:highlight w:val="none"/>
                <w:lang w:eastAsia="zh-CN"/>
              </w:rPr>
              <w:t>检测报告复印件。</w:t>
            </w:r>
          </w:p>
          <w:p w14:paraId="3A4A7BE0">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3.优质性能：主机采用嵌入式架构处理器同时内置GPU与NPU协处理器，CPU核心数≥8，核心主频≥2.4GHz；</w:t>
            </w:r>
          </w:p>
          <w:p w14:paraId="0D1A56F6">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4.工作噪声：主机在正常工作状态下的生产噪声不高于20dB(A)；</w:t>
            </w:r>
          </w:p>
          <w:p w14:paraId="7E97E12F">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5.工作功率：要求整机正常工作状态下功耗不超过50W；</w:t>
            </w:r>
          </w:p>
          <w:p w14:paraId="484D8661">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6.视频接口：数字视频接口D-Video（RJ45）≥5，HDMI 输入≥2，HDMI 输出≥2路；提供</w:t>
            </w:r>
            <w:r>
              <w:rPr>
                <w:rFonts w:hint="eastAsia" w:ascii="宋体" w:hAnsi="宋体" w:eastAsia="宋体" w:cs="宋体"/>
                <w:color w:val="000000"/>
                <w:sz w:val="21"/>
                <w:szCs w:val="21"/>
                <w:highlight w:val="none"/>
                <w:lang w:val="en-US" w:eastAsia="zh-CN"/>
              </w:rPr>
              <w:t>有效的</w:t>
            </w:r>
            <w:r>
              <w:rPr>
                <w:rFonts w:hint="eastAsia" w:ascii="宋体" w:hAnsi="宋体" w:eastAsia="宋体" w:cs="宋体"/>
                <w:color w:val="000000"/>
                <w:sz w:val="21"/>
                <w:szCs w:val="21"/>
                <w:highlight w:val="none"/>
              </w:rPr>
              <w:t>检测报告复印件及背板接口图片。</w:t>
            </w:r>
          </w:p>
          <w:p w14:paraId="6C2FDC6D">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7.音频接口：要求主机支持线性音频输入与数字音频输入，要求Line in接口≥2，Line out接口≥2，数字音频接口D-Mic（RJ45）≥6；提供</w:t>
            </w:r>
            <w:r>
              <w:rPr>
                <w:rFonts w:hint="eastAsia" w:ascii="宋体" w:hAnsi="宋体" w:eastAsia="宋体" w:cs="宋体"/>
                <w:color w:val="000000"/>
                <w:sz w:val="21"/>
                <w:szCs w:val="21"/>
                <w:highlight w:val="none"/>
                <w:lang w:val="en-US" w:eastAsia="zh-CN"/>
              </w:rPr>
              <w:t>有效的</w:t>
            </w:r>
            <w:r>
              <w:rPr>
                <w:rFonts w:hint="eastAsia" w:ascii="宋体" w:hAnsi="宋体" w:eastAsia="宋体" w:cs="宋体"/>
                <w:color w:val="000000"/>
                <w:sz w:val="21"/>
                <w:szCs w:val="21"/>
                <w:highlight w:val="none"/>
              </w:rPr>
              <w:t>检测报告复印件及背板接口图片。</w:t>
            </w:r>
          </w:p>
          <w:p w14:paraId="7EC48BEC">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8.网络接口：RJ45≥1，支持100/1000M网络自适应及IPv4、IPv6双协议栈；</w:t>
            </w:r>
          </w:p>
          <w:p w14:paraId="02CC8BB8">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9.控制接口：RJ45≥2，支持RS232串行通信协议进行外接控制；</w:t>
            </w:r>
          </w:p>
          <w:p w14:paraId="57DCBE09">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10.外设接口：USB2.0≥2，可用于连接U盘等外设；</w:t>
            </w:r>
          </w:p>
          <w:p w14:paraId="2278EF85">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11.系统存储≥2T，保障设备的正常运行与录制视频文件的本地存储；</w:t>
            </w:r>
          </w:p>
          <w:p w14:paraId="2D936AE1">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12.视频一线通：支持摄像机与主机之间仅通过一根双绞线即可同时实现供电、控制和视频信号的同步传输，不接受使用转接器的方式；</w:t>
            </w:r>
          </w:p>
          <w:p w14:paraId="59B420E7">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13.音频一线通：支持麦克风与主机之间仅通过一根双绞线即可同时实现供电和音频信号的采集，实现音频信号的高品质、抗干扰稳定传输；</w:t>
            </w:r>
          </w:p>
          <w:p w14:paraId="7B110E64">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14.视频录制：兼容标准H.264视频编解码能力，要求支持4K@30fps、1080P@30fps、720P@30fps，以及AAC音频编解码协议标准且内置音频处理功能；</w:t>
            </w:r>
          </w:p>
          <w:p w14:paraId="3FD6E9D1">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15.视频传输技术：支持对同品牌高清摄像机实现基于RJ45双绞线的视频裸数据传输技术，支持摄像机到录播主机端的视频采集和传输过程无需编解码、无画质损耗并实现≤100ms的声画同步，保障录制视频效果；</w:t>
            </w:r>
          </w:p>
          <w:p w14:paraId="3DBB9DF4">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二、功能设计</w:t>
            </w:r>
          </w:p>
          <w:p w14:paraId="65C34D44">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16.便捷导播：软件需采用B/S架构设计，支持通过浏览器即可进行管理配置与操作，而无需额外安装客户端或APP；</w:t>
            </w:r>
          </w:p>
          <w:p w14:paraId="7231292C">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17.AI全场景跟踪：录播内置跟踪算法且跟踪功能基于AI人工智能技术无需额外增加图像定位主机或摄像机即可实现多机位的全自动跟踪切换；</w:t>
            </w:r>
          </w:p>
          <w:p w14:paraId="082829E8">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18.画面同步：要求录播主机配套同品牌摄像机支持在多机位接入的情况下所有画面高度同步。在多画面布局以及多流录制、多流直播的使用场景下不同画面保持高度同步，满足最佳的使用体验；</w:t>
            </w:r>
          </w:p>
          <w:p w14:paraId="33272971">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19.中英双语：需支持中英双语版本切换，适合不同用户的应用需求。要求通过网络导播界面即可便捷切换，无需进行更改授权、系统升级等复杂操作；</w:t>
            </w:r>
          </w:p>
          <w:p w14:paraId="64A3E021">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20.上电模式：需支持通电模式选择，实现主机通电后自动进入相应模式，包含但不限于自动开机、开机且休眠、不开机等模式；</w:t>
            </w:r>
          </w:p>
          <w:p w14:paraId="7E330896">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21.UVC/UAC功能：要求主机具备通过USB口直接输出音视频信号的能力，实现便捷的视频会议软件接入；</w:t>
            </w:r>
          </w:p>
          <w:p w14:paraId="0F9BF356">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22.智能音频处理：支持音频采样率的设置，且支持AGC自动增益、ANS噪声抑制、EQ均衡、AEC回声抑制等音频处理功能；</w:t>
            </w:r>
          </w:p>
          <w:p w14:paraId="0784A4E3">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23.录制码流：支持主码流和子码流的高低双码流录制，且支持自定义清晰度、帧率、码率和I帧间隔，支持动态比特率或静态比特率两种模式；</w:t>
            </w:r>
          </w:p>
          <w:p w14:paraId="0BD3C3E0">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24.存储管理：需支持录像文件循环覆盖功能，开启循环覆盖功能后，录播硬盘在已存储90%的空间时，再次启动录制将删除录播内现存时间最早的录像文件以应对录制频率比较高的情况；</w:t>
            </w:r>
          </w:p>
          <w:p w14:paraId="1BCBC9CE">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25.AI板书分析：基于AI技术、深度学习算法和图像处理能力，支持对教师在黑板上的板书内容实时识别并进行电子化处理，实现板书内容浮现在拍摄对象身前的效果并可实时环出至大屏进行观看；</w:t>
            </w:r>
            <w:r>
              <w:rPr>
                <w:rFonts w:hint="eastAsia" w:ascii="宋体" w:hAnsi="宋体" w:eastAsia="宋体" w:cs="宋体"/>
                <w:color w:val="000000"/>
                <w:sz w:val="21"/>
                <w:szCs w:val="21"/>
                <w:highlight w:val="none"/>
                <w:lang w:eastAsia="zh-CN"/>
              </w:rPr>
              <w:t>提供</w:t>
            </w:r>
            <w:r>
              <w:rPr>
                <w:rFonts w:hint="eastAsia" w:ascii="宋体" w:hAnsi="宋体" w:eastAsia="宋体" w:cs="宋体"/>
                <w:color w:val="000000"/>
                <w:sz w:val="21"/>
                <w:szCs w:val="21"/>
                <w:highlight w:val="none"/>
                <w:lang w:val="en-US" w:eastAsia="zh-CN"/>
              </w:rPr>
              <w:t>有效</w:t>
            </w:r>
            <w:r>
              <w:rPr>
                <w:rFonts w:hint="eastAsia" w:ascii="宋体" w:hAnsi="宋体" w:eastAsia="宋体" w:cs="宋体"/>
                <w:color w:val="000000"/>
                <w:sz w:val="21"/>
                <w:szCs w:val="21"/>
                <w:highlight w:val="none"/>
                <w:lang w:eastAsia="zh-CN"/>
              </w:rPr>
              <w:t>检测报告复印件。</w:t>
            </w:r>
          </w:p>
          <w:p w14:paraId="70864F80">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26.智能板书拍摄：要求板书AI分析能力兼容各类传统教学黑板与智慧互联黑板，并可实现人物半透明与不透明处理，摄像机无惧人物遮挡正向拍摄安装不受限；</w:t>
            </w:r>
            <w:r>
              <w:rPr>
                <w:rFonts w:hint="eastAsia" w:ascii="宋体" w:hAnsi="宋体" w:eastAsia="宋体" w:cs="宋体"/>
                <w:color w:val="000000"/>
                <w:sz w:val="21"/>
                <w:szCs w:val="21"/>
                <w:highlight w:val="none"/>
                <w:lang w:eastAsia="zh-CN"/>
              </w:rPr>
              <w:t>提供</w:t>
            </w:r>
            <w:r>
              <w:rPr>
                <w:rFonts w:hint="eastAsia" w:ascii="宋体" w:hAnsi="宋体" w:eastAsia="宋体" w:cs="宋体"/>
                <w:color w:val="000000"/>
                <w:sz w:val="21"/>
                <w:szCs w:val="21"/>
                <w:highlight w:val="none"/>
                <w:lang w:val="en-US" w:eastAsia="zh-CN"/>
              </w:rPr>
              <w:t>有效的</w:t>
            </w:r>
            <w:r>
              <w:rPr>
                <w:rFonts w:hint="eastAsia" w:ascii="宋体" w:hAnsi="宋体" w:eastAsia="宋体" w:cs="宋体"/>
                <w:color w:val="000000"/>
                <w:sz w:val="21"/>
                <w:szCs w:val="21"/>
                <w:highlight w:val="none"/>
                <w:lang w:eastAsia="zh-CN"/>
              </w:rPr>
              <w:t>检测报告复印件。</w:t>
            </w:r>
          </w:p>
          <w:p w14:paraId="343F580B">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27.智能色彩增强：要求实现基于AI技术的板书笔迹智能色彩增强处理，满足白色、黄色、蓝色、红色、绿色等不同颜色的彩色笔迹色彩还原与笔迹增强；</w:t>
            </w:r>
            <w:r>
              <w:rPr>
                <w:rFonts w:hint="eastAsia" w:ascii="宋体" w:hAnsi="宋体" w:eastAsia="宋体" w:cs="宋体"/>
                <w:color w:val="000000"/>
                <w:sz w:val="21"/>
                <w:szCs w:val="21"/>
                <w:highlight w:val="none"/>
                <w:lang w:eastAsia="zh-CN"/>
              </w:rPr>
              <w:t>提供</w:t>
            </w:r>
            <w:r>
              <w:rPr>
                <w:rFonts w:hint="eastAsia" w:ascii="宋体" w:hAnsi="宋体" w:eastAsia="宋体" w:cs="宋体"/>
                <w:color w:val="000000"/>
                <w:sz w:val="21"/>
                <w:szCs w:val="21"/>
                <w:highlight w:val="none"/>
                <w:lang w:val="en-US" w:eastAsia="zh-CN"/>
              </w:rPr>
              <w:t>有效的</w:t>
            </w:r>
            <w:r>
              <w:rPr>
                <w:rFonts w:hint="eastAsia" w:ascii="宋体" w:hAnsi="宋体" w:eastAsia="宋体" w:cs="宋体"/>
                <w:color w:val="000000"/>
                <w:sz w:val="21"/>
                <w:szCs w:val="21"/>
                <w:highlight w:val="none"/>
                <w:lang w:eastAsia="zh-CN"/>
              </w:rPr>
              <w:t>检测报告复印件。</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0E19BA">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台</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FC5469">
            <w:pPr>
              <w:widowControl/>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kern w:val="0"/>
                <w:sz w:val="21"/>
                <w:szCs w:val="21"/>
                <w:highlight w:val="none"/>
                <w:lang w:val="en-US" w:eastAsia="zh-CN" w:bidi="ar"/>
              </w:rPr>
              <w:t>2</w:t>
            </w:r>
          </w:p>
        </w:tc>
      </w:tr>
      <w:tr w14:paraId="4AE2C167">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290AB7">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AA4A10">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录播流媒体处理软件</w:t>
            </w:r>
          </w:p>
        </w:tc>
        <w:tc>
          <w:tcPr>
            <w:tcW w:w="5392" w:type="dxa"/>
            <w:tcBorders>
              <w:top w:val="single" w:color="000000" w:sz="4" w:space="0"/>
              <w:left w:val="single" w:color="000000" w:sz="4" w:space="0"/>
              <w:bottom w:val="single" w:color="000000" w:sz="4" w:space="0"/>
              <w:right w:val="single" w:color="000000" w:sz="4" w:space="0"/>
            </w:tcBorders>
            <w:shd w:val="clear" w:color="auto" w:fill="FFFFFF"/>
          </w:tcPr>
          <w:p w14:paraId="5519058A">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1.要求软件具备自主知识产权，提供计算机软件著作权登记证书复印件；</w:t>
            </w:r>
          </w:p>
          <w:p w14:paraId="4475559A">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2.录制模式：支持电影模式和资源模式两种录制模式。电影模式下支持将多路视频信号的复合成一路画面进行录制；资源模式下支持将接入的摄像机画面和电脑画面进行独立录制；</w:t>
            </w:r>
          </w:p>
          <w:p w14:paraId="27DA8CC7">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3.分段录制：支持30分钟分段、60分钟分段两种分段录制方式，系统可在不结束录制的条件下根据分段时长自动将视频录制为多个分段文件；</w:t>
            </w:r>
          </w:p>
          <w:p w14:paraId="2384B7CD">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4.录制存储：采用H.264/H.265的视频编码格式和MP4的视频封装格式，支持在断网情况下也可以进行视频录制并存储于录播主机中，也支持在联网情况下通过FTP自动上传视频文件；</w:t>
            </w:r>
          </w:p>
          <w:p w14:paraId="0A06B891">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5.同步录制：支持外接存储设备（如U盘），实现在视频录制的过程中，自动同步录制多一份并存储至U盘中；</w:t>
            </w:r>
          </w:p>
          <w:p w14:paraId="6CEABDA3">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6.录制关联：支持在录制启动时自动关联开启直播和全自动跟踪模式；</w:t>
            </w:r>
          </w:p>
          <w:p w14:paraId="45CA01D4">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7.视频管理：支持查看已录制的视频文件，并可按录制时间进行排序和按关键字检索查看，也支持对视频文件进行在线播放、下载、删除和FTP上传；</w:t>
            </w:r>
          </w:p>
          <w:p w14:paraId="23B729B5">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8.网络导播：支持通过浏览器即可访问并使用导播功能，而无需额外安装客户端或APP；</w:t>
            </w:r>
          </w:p>
          <w:p w14:paraId="5C12981D">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9.导播模式：支持全自动、半自动、手动三种导播模式，且支持在录制、直播和互动过程中任意切换导播模式；</w:t>
            </w:r>
          </w:p>
          <w:p w14:paraId="187364F5">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10.导播预览：支持对接入的所有画面进行导播预览，包括教师特写、教师全景、学生全景、学生特写、电脑画面等，电脑画面包括两路HDMI画面可切换，并支持点击预览画面即可切换为导播输出画面；</w:t>
            </w:r>
          </w:p>
          <w:p w14:paraId="1D2413CA">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11.视频布局：支持二分屏、三分屏、画中画等布局，也支持自定义布局方式，且支持对布局内的每个画面窗口进行拖动、叠加、缩放和指定视频源的操作，实现灵活调整；</w:t>
            </w:r>
          </w:p>
          <w:p w14:paraId="14DB6D9B">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12.台标字幕：需支持在导播预览界面添加Logo台标与字幕，可自主上传Logo图标、设置logo位置、编辑字幕内容、选择字幕字体颜色与是否滚动显示，且后台管理设置可预设字幕作为备选，方便灵活调整与切换；</w:t>
            </w:r>
          </w:p>
          <w:p w14:paraId="257B6D2F">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13.片头片尾：需支持片头片尾设置，可上传JPG格式图片作为录制默认的片头片尾画面，并可自定义片头片尾显示时长，支持片头片尾显示视频信息；</w:t>
            </w:r>
          </w:p>
          <w:p w14:paraId="5DFB416B">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14.摄像机控制：支持对接入摄像机特写画面进行电子云台控制，包括画面上下左右移动、放大缩小变焦等操作。云台控制功能应具有鼠标快速定位功能，通过鼠标点击快速居中画面区域。也支持设置和调用摄像机预置位，支持不少于8个预置位；</w:t>
            </w:r>
          </w:p>
          <w:p w14:paraId="78088780">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15.音量控制：支持在导播过程中进行音量控制，可调整相关输入输出的音量大小，且支持一键静音功能；</w:t>
            </w:r>
          </w:p>
          <w:p w14:paraId="76730930">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16.直播码流：需支持主码流和子码流高低双码流，且支持自定义清晰度、帧率和码流，主码流清晰度支持4K、1080P、720P；</w:t>
            </w:r>
          </w:p>
          <w:p w14:paraId="3F125217">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17.直播推流：支持不少于4路RTMP同步推流直播，并可自定义选择主码流或子码流进行推流直播；</w:t>
            </w:r>
          </w:p>
          <w:p w14:paraId="03016DC1">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18.直播模式：需支持RTMP直播、TS直播、集控推流直播等不少于3种不同直播模式，以适应不同场景直播需求；</w:t>
            </w:r>
          </w:p>
          <w:p w14:paraId="6653179E">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19.互动协议：需支持H.323、SIP 、BFCP、WebRTC等视音频互动协议技术，也支持内置互动模块，无需额外MCU类设备即可进行远程互动教学应用；</w:t>
            </w:r>
          </w:p>
          <w:p w14:paraId="2DF9A7CF">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20.互动画质：支持1080P@30fps的高清互动画质，且支持设置互动码流，并支持基于SVC技术实现在不同网络状况下的画面质量自适应；</w:t>
            </w:r>
          </w:p>
          <w:p w14:paraId="0348D2E6">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21.互动模式：支持“1+3”的互动授课模式和多方视频会议模式，授课模式支持主讲端查看所有听讲端画面并可控制听讲端的互动画面显示，会议模式支持二分屏、三分屏、四分屏等布局，也支持选择参会方进行轮巡显示；</w:t>
            </w:r>
          </w:p>
          <w:p w14:paraId="3FF1642A">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22.双流互动：支持在实时互动过程中，可将教学场景信号与电脑课件信号以互相独立的信号进行传输，并最终在接收端可通过两路独立HDMI接口将接收到的教学场景画面与电脑课件画面同时分别输出到两个显示设备上；</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8E5234">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套</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917717">
            <w:pPr>
              <w:widowControl/>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kern w:val="0"/>
                <w:sz w:val="21"/>
                <w:szCs w:val="21"/>
                <w:highlight w:val="none"/>
                <w:lang w:val="en-US" w:eastAsia="zh-CN" w:bidi="ar"/>
              </w:rPr>
              <w:t>2</w:t>
            </w:r>
          </w:p>
        </w:tc>
      </w:tr>
      <w:tr w14:paraId="6E13406F">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70B68C">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6B37F1">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智能跟踪处理软件</w:t>
            </w:r>
          </w:p>
        </w:tc>
        <w:tc>
          <w:tcPr>
            <w:tcW w:w="5392" w:type="dxa"/>
            <w:tcBorders>
              <w:top w:val="single" w:color="000000" w:sz="4" w:space="0"/>
              <w:left w:val="single" w:color="000000" w:sz="4" w:space="0"/>
              <w:bottom w:val="single" w:color="000000" w:sz="4" w:space="0"/>
              <w:right w:val="single" w:color="000000" w:sz="4" w:space="0"/>
            </w:tcBorders>
            <w:shd w:val="clear" w:color="auto" w:fill="FFFFFF"/>
          </w:tcPr>
          <w:p w14:paraId="17BE96CA">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1.跟踪逻辑：支持智能识别接入摄像机的使用定位，并联动摄像机选用对应的跟踪逻辑，如教师跟踪、学生跟踪等；</w:t>
            </w:r>
          </w:p>
          <w:p w14:paraId="7543F370">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2.检测区域：支持对接入摄像机的AI跟踪检测区域设置，可基于实景拍摄画面框选跟踪区域，框选后只在区域中方能触发跟踪，所见所得方便操作；</w:t>
            </w:r>
          </w:p>
          <w:p w14:paraId="4742DB80">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3.跟踪切换：支持根据设定的跟踪策略形成跟踪指令，实现多路接入摄像机的全自动AI跟踪画面切换；且支持自定义跟踪切换逻辑的画面布局，包含但不限于双分屏、画中画与自定义布局等；</w:t>
            </w:r>
          </w:p>
          <w:p w14:paraId="27783669">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4.跟踪策略：支持对接入摄像机自定义设置AI跟踪目标更新周期时间，摄像机依据配置实现相应跟踪策略；</w:t>
            </w:r>
          </w:p>
          <w:p w14:paraId="4369F9DD">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5.智能构图：支持设置摄像机拍摄画面的智能构图模式，包含但不限于五分像、七分像、全身像等；</w:t>
            </w:r>
          </w:p>
          <w:p w14:paraId="59EB5073">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6.全场景跟拍：要求支持基于计算机视觉CV技术的AI人工智能跟踪算法，实现教师识别、教师移动跟拍、教师轨迹识别以及学生上台识别、板书行为识别、单人与多人起立识别等教学焦点进行自动捕捉与切换；</w:t>
            </w:r>
          </w:p>
          <w:p w14:paraId="73744ED5">
            <w:pPr>
              <w:widowControl/>
              <w:jc w:val="left"/>
              <w:textAlignment w:val="center"/>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7.要求软件具备自主知识产权，提供计算机软件著作权登记证书复印件；</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2B030E">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套</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666521">
            <w:pPr>
              <w:widowControl/>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kern w:val="0"/>
                <w:sz w:val="21"/>
                <w:szCs w:val="21"/>
                <w:highlight w:val="none"/>
                <w:lang w:val="en-US" w:eastAsia="zh-CN" w:bidi="ar"/>
              </w:rPr>
              <w:t>2</w:t>
            </w:r>
          </w:p>
        </w:tc>
      </w:tr>
      <w:tr w14:paraId="1AB5C159">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BBEE76">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EFD5D5">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智能课堂行为分析软件</w:t>
            </w:r>
          </w:p>
        </w:tc>
        <w:tc>
          <w:tcPr>
            <w:tcW w:w="53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812582">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一.整体要求</w:t>
            </w:r>
          </w:p>
          <w:p w14:paraId="0249A042">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1.兼容对接：要求实现录播主机内置的实时课堂行为分析，同时支持与视频资源管理平台无缝对接，将数据通过平台进行展示或主机内部展示两种模式，两种模式均支持下载分析报告；</w:t>
            </w:r>
          </w:p>
          <w:p w14:paraId="14E1AC77">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多维分析：支持对课堂数据进行综合多维度的分析，包括“课堂师生行为时序”、“教学行为分析”、“理答分析”、“PPT与板书分析”、“教师讲授分析”、“姿态与情感分析”、“课堂管理分析”、“学生学情分析”等多维度多类型分析数据板块；</w:t>
            </w:r>
          </w:p>
          <w:p w14:paraId="1DD99FC1">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3.实时分析：支持对师生出勤率、教学行为、教师活动轨迹、学生课堂动作表情分析等维度数据进行实时统计分析，并且能在课程录制结束三分钟内将数据整合建模生成分析报告；</w:t>
            </w:r>
          </w:p>
          <w:p w14:paraId="62162E47">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4.教学环节识别：要求支持按照教学环节定义将课程视频切片，并且在视频播放进度条上有明显标签显示对应的教学环节；</w:t>
            </w:r>
          </w:p>
          <w:p w14:paraId="2180BE87">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5.编辑教学环节：要求支持用户可以对AI分析生成的教学环节结果自主纠偏，可以依据时间轴自主定义教学环节的时长以及更改教学环节的结论，并支持自主创建教学环节名称；</w:t>
            </w:r>
          </w:p>
          <w:p w14:paraId="6A09BF25">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6.行为时序播放：支持在课程视频播放进度条显示PPT翻页的具体时间节点，同时将教师行为与学生行为的时序分布依次排列展开，点击时序图上的具体行为节点，视频将自动跳转到对应位置，方便老师快速回顾课堂教学环节；</w:t>
            </w:r>
          </w:p>
          <w:p w14:paraId="20585582">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二.教师教情分析要求</w:t>
            </w:r>
          </w:p>
          <w:p w14:paraId="504CA52D">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教师行为分析：支持自动分析并统计老师授课过程中的教学行为，包括但不限于“教师板书”、“教师提问”、“教师追问”、“教师巡视”、“PPT演示”、“操作大屏”、“教师姿态”、“目光注视”、“教师发言”等；</w:t>
            </w:r>
          </w:p>
          <w:p w14:paraId="62676BBC">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2.PPT分析：要求支持教师授课PPT分析，分析每页PPT所用时长以及PPT内的图片与图表页数，并可识别PPT内留给学生课堂任务的数量，分析任务时间占比；</w:t>
            </w:r>
          </w:p>
          <w:p w14:paraId="03D1A8E6">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3.板书分析：要求支持教师板书分析，判定授课过程中教师板书的规范字、行间距合规程度、板书均衡情况、板书时间的学生抬头率、板书所用颜色；</w:t>
            </w:r>
          </w:p>
          <w:p w14:paraId="7FF7EF93">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4.教师巡视：要求支持分析教师课堂管理能力，统计教师巡视次数与巡视时长，并提供热点图直观查看教师授课轨迹情况</w:t>
            </w:r>
          </w:p>
          <w:p w14:paraId="3C97158E">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5.目光注视：要求支持分析教师对学生学习的观察情况，统计分析教师注视学生区域的时间占比情况；</w:t>
            </w:r>
          </w:p>
          <w:p w14:paraId="45C84BB0">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6.S-T分析：要求支持以图表的形式分析课堂过程中的师生行为，观察教师的课堂环节设计与师生互动情况；</w:t>
            </w:r>
          </w:p>
          <w:p w14:paraId="10276C16">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三.学生学情分析要求</w:t>
            </w:r>
          </w:p>
          <w:p w14:paraId="662D226D">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学生行为分析：要求支持自动分析并统计学生课堂过程中的学习行为，包括但不限于“多人站立”、“学生举手”、“学生低头”、“多人抬头”、“学生上台”、“学生应答”、“补充发言”、“课堂氛围”、“学生操作电脑”等。</w:t>
            </w:r>
          </w:p>
          <w:p w14:paraId="2EA4B456">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2.学情观察统计：要求支持对学生区域进行预置位划分，统计学生举手次数以及应答次数，上台人数以及趴桌时长；</w:t>
            </w:r>
          </w:p>
          <w:p w14:paraId="292C8550">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3.个体观察分析：要求支持对学生区域进行预置位划分，同时在未上传人脸信息的前提下也对每个学生进行编号标记，记录并呈现每个学生具体某个时间点的行为截图；</w:t>
            </w:r>
          </w:p>
          <w:p w14:paraId="4B369FAD">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4.学情区域对比：要求支持针对学生抬头率、学生情绪以及互动情况，选择2个不同的预置位进行听课情况对比，以图表的形式呈现学生的听课情况和次数对比；</w:t>
            </w:r>
          </w:p>
          <w:p w14:paraId="3C033B6B">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5.学生站立分析：支持以热点图的形式呈现学生站立、学生举手、补充发言的情况与分布，并支持统计站立人数与站立次数，针对学生站立行为支持具体到某个时间以及某位学生；</w:t>
            </w:r>
          </w:p>
          <w:p w14:paraId="724C0A1D">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6.学生专注分析：要求支持统计在不同场景下学生的抬头率情况，如教师板书时、学生上台时、教师PPT授课时，并呈现不同环节的抬头率比例；</w:t>
            </w:r>
          </w:p>
          <w:p w14:paraId="121D2CC6">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7.课堂氛围分析：支持学生课堂表情分析，并支持对各类表情进行实时检测，统计课堂过程中不同时间点学生开心或平静的表情峰值；</w:t>
            </w:r>
          </w:p>
          <w:p w14:paraId="2A130F16">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8.学生低头分析：要求支持整堂课学生的低头时长统计，并支持展示低头时间点的具体截图。</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AE0285">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套</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C5950E">
            <w:pPr>
              <w:widowControl/>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kern w:val="0"/>
                <w:sz w:val="21"/>
                <w:szCs w:val="21"/>
                <w:highlight w:val="none"/>
                <w:lang w:val="en-US" w:eastAsia="zh-CN" w:bidi="ar"/>
              </w:rPr>
              <w:t>2</w:t>
            </w:r>
          </w:p>
        </w:tc>
      </w:tr>
      <w:tr w14:paraId="2B98BCD7">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2D642E">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A9586A">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智能语音分析软件</w:t>
            </w:r>
          </w:p>
        </w:tc>
        <w:tc>
          <w:tcPr>
            <w:tcW w:w="53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87C91E">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1.教师提问情况分析：支持基于课堂语音识别能力进行教师课堂提问行为分析，从提问次数与高级认知提问比例两个核心维度进行数据统计，实现课堂提问情况的清晰回顾。</w:t>
            </w:r>
          </w:p>
          <w:p w14:paraId="42B789D8">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2.教师语速分析：支持通过语音识别能力进行教师课堂授课语速分析，呈现数据需包括整体语速的变化图以及平均语速结论；</w:t>
            </w:r>
          </w:p>
          <w:p w14:paraId="700F489F">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3.课堂语音转写：要求基于语音语义识别完成课堂音频的文字转换，实现课堂教学过程语音全纪录，要求平台上可输出整节课的文字字幕。并支持由上课老师课后自主编辑转写文本实现纠偏；</w:t>
            </w:r>
          </w:p>
          <w:p w14:paraId="54C5DA36">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4.课堂高频词分析：支持通过AI语音识别能力以及视觉分析能力，抓取授课过程中出现的高频词汇，并统计出现频次以及出现来源，包括但不限于PPT、板书、教师音频，精准判断课堂教学重点；</w:t>
            </w:r>
          </w:p>
          <w:p w14:paraId="36760989">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5.课堂语气词分析：支持通过进行课堂语音识别，判断老师教学过程中出现的常规语气词出现频次，如“呐”，“嘛”，等语气词，辅助老师调整教学过程中的不良习惯；</w:t>
            </w:r>
          </w:p>
          <w:p w14:paraId="62654F95">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6.教师普通话分析：要求支持对教师授课音频进行自适应分段，并分析每个段落教师授课过程中的普通话水平、语速、音量以及关键词；</w:t>
            </w:r>
          </w:p>
          <w:p w14:paraId="7A4CB630">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7.教师音量分析：要求支持分析本堂课教师平均的授课音量，以及根据时间推移呈现音量波动的变化图表；</w:t>
            </w:r>
          </w:p>
          <w:p w14:paraId="6E572A46">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8.理答类型分析：要求支持对教师课堂理答情况进行分析，支持统计教师提问次数、抽答次数、追问次数，并可以获取每个问题以时间轴的形式记录在什么时间提问；</w:t>
            </w:r>
          </w:p>
          <w:p w14:paraId="2B5505A1">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9.教师追问分析：要求支持分析教师追问类型与次数，并标记具体在第几次提问时发起追问，对追问内容分析是否对学生有诱发思考的作用并统计次数；</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74D25D">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套</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A79E26">
            <w:pPr>
              <w:widowControl/>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kern w:val="0"/>
                <w:sz w:val="21"/>
                <w:szCs w:val="21"/>
                <w:highlight w:val="none"/>
                <w:lang w:val="en-US" w:eastAsia="zh-CN" w:bidi="ar"/>
              </w:rPr>
              <w:t>2</w:t>
            </w:r>
          </w:p>
        </w:tc>
      </w:tr>
      <w:tr w14:paraId="3769E71C">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13461C">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7DDA67">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高清全景摄像机</w:t>
            </w:r>
          </w:p>
        </w:tc>
        <w:tc>
          <w:tcPr>
            <w:tcW w:w="53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FD05F8">
            <w:pPr>
              <w:widowControl/>
              <w:jc w:val="left"/>
              <w:textAlignment w:val="center"/>
              <w:rPr>
                <w:rFonts w:hint="eastAsia" w:ascii="宋体" w:hAnsi="宋体" w:eastAsia="宋体" w:cs="宋体"/>
                <w:color w:val="000000"/>
                <w:sz w:val="21"/>
                <w:szCs w:val="21"/>
                <w:highlight w:val="none"/>
                <w:lang w:eastAsia="zh-CN"/>
              </w:rPr>
            </w:pPr>
            <w:bookmarkStart w:id="66" w:name="RANGE!C8"/>
            <w:r>
              <w:rPr>
                <w:rFonts w:hint="eastAsia" w:ascii="宋体" w:hAnsi="宋体" w:eastAsia="宋体" w:cs="宋体"/>
                <w:color w:val="000000"/>
                <w:sz w:val="21"/>
                <w:szCs w:val="21"/>
                <w:highlight w:val="none"/>
              </w:rPr>
              <w:t>1.传感器：要求采用CMOS类型图像传感器，尺寸≥1/2.5英寸；</w:t>
            </w:r>
          </w:p>
          <w:p w14:paraId="4A5D3DC2">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w:t>
            </w: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像素：有效像素≥800万；</w:t>
            </w:r>
            <w:r>
              <w:rPr>
                <w:rFonts w:hint="eastAsia" w:ascii="宋体" w:hAnsi="宋体" w:eastAsia="宋体" w:cs="宋体"/>
                <w:color w:val="000000"/>
                <w:sz w:val="21"/>
                <w:szCs w:val="21"/>
                <w:highlight w:val="none"/>
                <w:lang w:eastAsia="zh-CN"/>
              </w:rPr>
              <w:t>（提供有效的检测报告复印件。）</w:t>
            </w:r>
            <w:r>
              <w:rPr>
                <w:rFonts w:hint="eastAsia" w:ascii="宋体" w:hAnsi="宋体" w:eastAsia="宋体" w:cs="宋体"/>
                <w:color w:val="000000"/>
                <w:sz w:val="21"/>
                <w:szCs w:val="21"/>
                <w:highlight w:val="none"/>
              </w:rPr>
              <w:t>3.变焦：要求支持自动和手动变焦，光学变焦倍数≥22倍；</w:t>
            </w:r>
          </w:p>
          <w:p w14:paraId="2D4ABB32">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4.云台转动：要求具备机械云台可进行转动跟踪。水平转动速度范围不少于1.0°~ 90°/s，垂直转动速度范围不少于1.0°~ 70°/s；</w:t>
            </w:r>
          </w:p>
          <w:p w14:paraId="2E43D9BE">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5.视频编码：要求支持H.265、H.264高清视频编码协议；</w:t>
            </w:r>
          </w:p>
          <w:p w14:paraId="4AA86588">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6.视频输出：要求具备数字视频输出口（RJ45）≥1，HDMI视频输出口≥1；</w:t>
            </w:r>
          </w:p>
          <w:p w14:paraId="7C0734FB">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7.协议支持：要求支持VISCA/ONVIF协议满足多种场景控制要求；</w:t>
            </w:r>
          </w:p>
          <w:p w14:paraId="421DDEE1">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8.一线通：要求具备基于RJ45双绞线的一线通连接，完成摄像机供电、控制以及视频信号传输；</w:t>
            </w:r>
          </w:p>
          <w:p w14:paraId="5FA3222E">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9.</w:t>
            </w: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视频传输：基于视频传输传输，无呼吸效应且声画同步在≤100ms内。</w:t>
            </w:r>
            <w:r>
              <w:rPr>
                <w:rFonts w:hint="eastAsia" w:ascii="宋体" w:hAnsi="宋体" w:eastAsia="宋体" w:cs="宋体"/>
                <w:color w:val="000000"/>
                <w:sz w:val="21"/>
                <w:szCs w:val="21"/>
                <w:highlight w:val="none"/>
                <w:lang w:eastAsia="zh-CN"/>
              </w:rPr>
              <w:t>（提供有效的检测报告复印件。）</w:t>
            </w:r>
            <w:r>
              <w:rPr>
                <w:rFonts w:hint="eastAsia" w:ascii="宋体" w:hAnsi="宋体" w:eastAsia="宋体" w:cs="宋体"/>
                <w:color w:val="000000"/>
                <w:sz w:val="21"/>
                <w:szCs w:val="21"/>
                <w:highlight w:val="none"/>
              </w:rPr>
              <w:t>10.</w:t>
            </w: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智能跟踪：内置跟踪算法，摄像机内无额外辅助摄像头也无需增加任何设备即可实现人像自动跟踪，包括水平运动、俯仰运动、变焦、聚焦四维实时跟踪；</w:t>
            </w:r>
            <w:r>
              <w:rPr>
                <w:rFonts w:hint="eastAsia" w:ascii="宋体" w:hAnsi="宋体" w:eastAsia="宋体" w:cs="宋体"/>
                <w:color w:val="000000"/>
                <w:sz w:val="21"/>
                <w:szCs w:val="21"/>
                <w:highlight w:val="none"/>
                <w:lang w:eastAsia="zh-CN"/>
              </w:rPr>
              <w:t>（提供有效的检测报告复印件。）</w:t>
            </w:r>
            <w:r>
              <w:rPr>
                <w:rFonts w:hint="eastAsia" w:ascii="宋体" w:hAnsi="宋体" w:eastAsia="宋体" w:cs="宋体"/>
                <w:color w:val="000000"/>
                <w:sz w:val="21"/>
                <w:szCs w:val="21"/>
                <w:highlight w:val="none"/>
              </w:rPr>
              <w:t>11.</w:t>
            </w: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交叉识别：内置对锁定跟拍对象进行人脸特征与肢体双重认证识别，在多人同时进入拍摄画面的情况下，持续锁定跟踪对象，不出现跟丢和误跟的情况；</w:t>
            </w:r>
            <w:r>
              <w:rPr>
                <w:rFonts w:hint="eastAsia" w:ascii="宋体" w:hAnsi="宋体" w:eastAsia="宋体" w:cs="宋体"/>
                <w:color w:val="000000"/>
                <w:sz w:val="21"/>
                <w:szCs w:val="21"/>
                <w:highlight w:val="none"/>
                <w:lang w:eastAsia="zh-CN"/>
              </w:rPr>
              <w:t>（提供有效的检测报告复印件。）</w:t>
            </w:r>
            <w:r>
              <w:rPr>
                <w:rFonts w:hint="eastAsia" w:ascii="宋体" w:hAnsi="宋体" w:eastAsia="宋体" w:cs="宋体"/>
                <w:color w:val="000000"/>
                <w:sz w:val="21"/>
                <w:szCs w:val="21"/>
                <w:highlight w:val="none"/>
              </w:rPr>
              <w:t>12.AI抗干扰：支持在拍摄画面有显示设备或其他动态视频播放的情况下，自动启用AI抗干扰能力，保障画面始终锁定被跟踪对象，且跟踪效果不受影响；</w:t>
            </w:r>
          </w:p>
          <w:p w14:paraId="1728778B">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13.PTZ自适应：需支持PTZ实时跟焦，AI跟踪的状态下能实现摄像机水平旋转、垂直旋转、变焦的实时同步变化，无需等待拍摄对象稳定后再变焦调整画面，移动过程不虚焦，实现拍摄画面的自适应稳定调整；</w:t>
            </w:r>
            <w:bookmarkEnd w:id="66"/>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3673B3">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台</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002B9D">
            <w:pPr>
              <w:widowControl/>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kern w:val="0"/>
                <w:sz w:val="21"/>
                <w:szCs w:val="21"/>
                <w:highlight w:val="none"/>
                <w:lang w:val="en-US" w:eastAsia="zh-CN" w:bidi="ar"/>
              </w:rPr>
              <w:t>4</w:t>
            </w:r>
          </w:p>
        </w:tc>
      </w:tr>
      <w:tr w14:paraId="5078F7D2">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BE0442">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D5FA05">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高清特写摄像机</w:t>
            </w:r>
          </w:p>
        </w:tc>
        <w:tc>
          <w:tcPr>
            <w:tcW w:w="53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3A8E7B">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1.传感器：要求采用CMOS类型图像传感器，尺寸≥1/2.5英寸；</w:t>
            </w:r>
          </w:p>
          <w:p w14:paraId="7294D4DF">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w:t>
            </w: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像素：有效像素≥800万；</w:t>
            </w:r>
            <w:r>
              <w:rPr>
                <w:rFonts w:hint="eastAsia" w:ascii="宋体" w:hAnsi="宋体" w:eastAsia="宋体" w:cs="宋体"/>
                <w:color w:val="000000"/>
                <w:sz w:val="21"/>
                <w:szCs w:val="21"/>
                <w:highlight w:val="none"/>
                <w:lang w:eastAsia="zh-CN"/>
              </w:rPr>
              <w:t>（提供有效的检测报告复印件。）</w:t>
            </w:r>
            <w:r>
              <w:rPr>
                <w:rFonts w:hint="eastAsia" w:ascii="宋体" w:hAnsi="宋体" w:eastAsia="宋体" w:cs="宋体"/>
                <w:color w:val="000000"/>
                <w:sz w:val="21"/>
                <w:szCs w:val="21"/>
                <w:highlight w:val="none"/>
              </w:rPr>
              <w:t>3.变焦：要求支持自动和手动变焦，光学变焦倍数≥28倍；</w:t>
            </w:r>
          </w:p>
          <w:p w14:paraId="5A467C47">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4.云台转动：要求具备机械云台可进行转动跟踪。水平转动速度范围不少于1.0°~ 90°/s，垂直转动速度范围不少于1.0°~ 70°/s；</w:t>
            </w:r>
          </w:p>
          <w:p w14:paraId="1E4FF747">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5.视频编码：要求支持H.265、H.264高清视频编码协议；</w:t>
            </w:r>
          </w:p>
          <w:p w14:paraId="3C301431">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6.视频输出：要求具备数字视频输出口（RJ45）≥1，HDMI视频输出口≥1；</w:t>
            </w:r>
          </w:p>
          <w:p w14:paraId="1E85B3D5">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7.协议支持：要求支持VISCA/ONVIF协议满足多种场景控制要求；</w:t>
            </w:r>
          </w:p>
          <w:p w14:paraId="43F54883">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8.</w:t>
            </w: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一线通：要求具备基于RJ45双绞线的一线通连接，完成摄像机供电、控制以及视频信号传输；</w:t>
            </w:r>
            <w:r>
              <w:rPr>
                <w:rFonts w:hint="eastAsia" w:ascii="宋体" w:hAnsi="宋体" w:eastAsia="宋体" w:cs="宋体"/>
                <w:color w:val="000000"/>
                <w:sz w:val="21"/>
                <w:szCs w:val="21"/>
                <w:highlight w:val="none"/>
                <w:lang w:eastAsia="zh-CN"/>
              </w:rPr>
              <w:t>（提供有效的检测报告复印件。）</w:t>
            </w:r>
            <w:r>
              <w:rPr>
                <w:rFonts w:hint="eastAsia" w:ascii="宋体" w:hAnsi="宋体" w:eastAsia="宋体" w:cs="宋体"/>
                <w:color w:val="000000"/>
                <w:sz w:val="21"/>
                <w:szCs w:val="21"/>
                <w:highlight w:val="none"/>
              </w:rPr>
              <w:t>9.视频传输：基于视频传输传输，无呼吸效应且声画同步在≤100ms内。</w:t>
            </w:r>
          </w:p>
          <w:p w14:paraId="5F73631B">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10.智能跟踪：内置跟踪算法，摄像机内无额外辅助摄像头也无需增加任何设备即可实现人像自动跟踪，包括水平运动、俯仰运动、变焦、聚焦四维实时跟踪；</w:t>
            </w:r>
          </w:p>
          <w:p w14:paraId="4804590F">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11.交叉识别：内置对锁定跟拍对象进行人脸特征与肢体双重认证识别，在多人同时进入拍摄画面的情况下，持续锁定跟踪对象，不出现跟丢和误跟的情况；</w:t>
            </w:r>
          </w:p>
          <w:p w14:paraId="6550E03E">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12.AI抗干扰：支持在拍摄画面有显示设备或其他动态视频播放的情况下，自动启用AI抗干扰能力，保障画面始终锁定被跟踪对象，且跟踪效果不受影响；</w:t>
            </w:r>
            <w:r>
              <w:rPr>
                <w:rFonts w:hint="eastAsia" w:ascii="宋体" w:hAnsi="宋体" w:eastAsia="宋体" w:cs="宋体"/>
                <w:color w:val="000000"/>
                <w:sz w:val="21"/>
                <w:szCs w:val="21"/>
                <w:highlight w:val="none"/>
                <w:lang w:eastAsia="zh-CN"/>
              </w:rPr>
              <w:t>（提供有效的检测报告复印件。）</w:t>
            </w:r>
            <w:r>
              <w:rPr>
                <w:rFonts w:hint="eastAsia" w:ascii="宋体" w:hAnsi="宋体" w:eastAsia="宋体" w:cs="宋体"/>
                <w:color w:val="000000"/>
                <w:sz w:val="21"/>
                <w:szCs w:val="21"/>
                <w:highlight w:val="none"/>
              </w:rPr>
              <w:t>13.</w:t>
            </w: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PTZ自适应：需支持PTZ实时跟焦，AI跟踪的状态下能实现摄像机水平旋转、垂直旋转、变焦的实时同步变化，无需等待拍摄对象稳定后再变焦调整画面，移动过程不虚焦，实现拍摄画面的自适应稳定调整；</w:t>
            </w:r>
          </w:p>
          <w:p w14:paraId="1B637BB1">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14.通讯接口：要求具备RS232/RS422≥1；</w:t>
            </w:r>
          </w:p>
          <w:p w14:paraId="3F52C13C">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15.网络接入：RJ45网络接口≥1；</w:t>
            </w:r>
          </w:p>
          <w:p w14:paraId="20AB81B6">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16.音频接口：Line in输入口≥1；</w:t>
            </w:r>
          </w:p>
          <w:p w14:paraId="25899994">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17.音频编码：要求支持OPUS、G.711A、AAC等常用音频编码协议；</w:t>
            </w:r>
          </w:p>
          <w:p w14:paraId="679F86DA">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18.USB接口：要求具备USB Type-A≥1；</w:t>
            </w:r>
          </w:p>
          <w:p w14:paraId="6D204B11">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19.背光补偿：要求具备背光补偿功能；</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688E9B">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台</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32F5E1">
            <w:pPr>
              <w:widowControl/>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kern w:val="0"/>
                <w:sz w:val="21"/>
                <w:szCs w:val="21"/>
                <w:highlight w:val="none"/>
                <w:lang w:val="en-US" w:eastAsia="zh-CN" w:bidi="ar"/>
              </w:rPr>
              <w:t>6</w:t>
            </w:r>
          </w:p>
        </w:tc>
      </w:tr>
      <w:tr w14:paraId="3007C35D">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88641B">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9D2822">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摄像机跟踪拍摄软件</w:t>
            </w:r>
          </w:p>
        </w:tc>
        <w:tc>
          <w:tcPr>
            <w:tcW w:w="5392" w:type="dxa"/>
            <w:tcBorders>
              <w:top w:val="single" w:color="000000" w:sz="4" w:space="0"/>
              <w:left w:val="single" w:color="000000" w:sz="4" w:space="0"/>
              <w:bottom w:val="single" w:color="000000" w:sz="4" w:space="0"/>
              <w:right w:val="single" w:color="000000" w:sz="4" w:space="0"/>
            </w:tcBorders>
            <w:shd w:val="clear" w:color="auto" w:fill="FFFFFF"/>
          </w:tcPr>
          <w:p w14:paraId="04B50C2F">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1.摄像机传输处理软件需采用B/S架构，支持通用浏览器直接访问进行管理；</w:t>
            </w:r>
          </w:p>
          <w:p w14:paraId="1B33EF92">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2.需支持曝光模式设置功能，包括自动、手动；</w:t>
            </w:r>
          </w:p>
          <w:p w14:paraId="016DF8AF">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3.需支持抗闪烁频率、动态范围、光圈、快门参数设置；</w:t>
            </w:r>
          </w:p>
          <w:p w14:paraId="03881A56">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4.需支持设置自动/手动/一键锁定/室内/室外多场景白平衡设置，红、蓝增益可调以满足不同环境取景需要；；</w:t>
            </w:r>
          </w:p>
          <w:p w14:paraId="5026FCB4">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5.需支持噪声抑制设置功能，支持2D、3D降噪；</w:t>
            </w:r>
          </w:p>
          <w:p w14:paraId="5228C174">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6.需支持摄像机图像质量调节功能，包括亮度、对比度、色调、饱和度；</w:t>
            </w:r>
          </w:p>
          <w:p w14:paraId="77ACBA31">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7.需支持图像水平、垂直翻转，适应摄像机不同的安装方式要求；</w:t>
            </w:r>
          </w:p>
          <w:p w14:paraId="1B22FE6D">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8.需支持摄像机控制功能，包括云台控制、预置位设置与调用、焦距调节等；</w:t>
            </w:r>
          </w:p>
          <w:p w14:paraId="571A9A20">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9.需支持自动/手动两种聚焦锁定模式；</w:t>
            </w:r>
          </w:p>
          <w:p w14:paraId="2A1C79DD">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10.支持设置预置位数量≥255，预置位设置精度≤0.1°；</w:t>
            </w:r>
          </w:p>
          <w:p w14:paraId="170355C7">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11.需支持跟踪人物丢失寻回机制，在智能跟踪的场景下跟拍对象出画后重新回到拍摄画面将再次锁定跟踪；</w:t>
            </w:r>
          </w:p>
          <w:p w14:paraId="3F89D128">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12.支持配合录播主机设置五分像、七分像、全身像等多种教师图像跟踪画面模式，根据实际需要设置选用教师跟踪画面的大小；</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840AE8">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套</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D0CFAA">
            <w:pPr>
              <w:widowControl/>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kern w:val="0"/>
                <w:sz w:val="21"/>
                <w:szCs w:val="21"/>
                <w:highlight w:val="none"/>
                <w:lang w:val="en-US" w:eastAsia="zh-CN" w:bidi="ar"/>
              </w:rPr>
              <w:t>10</w:t>
            </w:r>
          </w:p>
        </w:tc>
      </w:tr>
      <w:tr w14:paraId="52DA9B26">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84EC73">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3B5640">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数字阵列麦克风</w:t>
            </w:r>
          </w:p>
        </w:tc>
        <w:tc>
          <w:tcPr>
            <w:tcW w:w="53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3F90A4">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1.类型：360°全指向数字阵列麦克风。</w:t>
            </w:r>
          </w:p>
          <w:p w14:paraId="39792F6F">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2.内置嵌入式软件和音频处理模块，免配置即插即用；无需使用额外的音频处理主机。</w:t>
            </w:r>
          </w:p>
          <w:p w14:paraId="03F88635">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3.拾音距离：不小于8米拾音距离。</w:t>
            </w:r>
          </w:p>
          <w:p w14:paraId="199C2141">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4.音频输入接口：line in（3.5mm）≥1，无需任何协议/接口转换设备，即可对接功放或有源扬声器完成扩声。</w:t>
            </w:r>
          </w:p>
          <w:p w14:paraId="0B4D2E5E">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5.音频输出接口：line out（3.5mm）≥2。</w:t>
            </w:r>
          </w:p>
          <w:p w14:paraId="2CD6B0CD">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6.USB接口：USB 2.0≥1，支持UAC 1.0协议，实现音频数据通信。</w:t>
            </w:r>
          </w:p>
          <w:p w14:paraId="2DB95BC8">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7.灵敏度：不小于-26dBFS。</w:t>
            </w:r>
          </w:p>
          <w:p w14:paraId="2B50B9DA">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8.信噪比：不小于80dB(A)。</w:t>
            </w:r>
          </w:p>
          <w:p w14:paraId="738C6CA6">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9.频率响应：不小于20Hz-16kHz。</w:t>
            </w:r>
          </w:p>
          <w:p w14:paraId="25ED3ABD">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10.采样率：不小于32K采样的宽带音频采样。</w:t>
            </w:r>
          </w:p>
          <w:p w14:paraId="1E06EC86">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11.供电：USB DC5V。</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120C8E">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台</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E01CC8">
            <w:pPr>
              <w:widowControl/>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kern w:val="0"/>
                <w:sz w:val="21"/>
                <w:szCs w:val="21"/>
                <w:highlight w:val="none"/>
                <w:lang w:val="en-US" w:eastAsia="zh-CN" w:bidi="ar"/>
              </w:rPr>
              <w:t>2</w:t>
            </w:r>
          </w:p>
        </w:tc>
      </w:tr>
      <w:tr w14:paraId="6A6B9682">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175821">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B1EF2E">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音频优化处理软件</w:t>
            </w:r>
          </w:p>
        </w:tc>
        <w:tc>
          <w:tcPr>
            <w:tcW w:w="53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AD717F">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1.具备音频效果自适应校准能力，在不同场地均能实现自动校准，无需配手工配置。</w:t>
            </w:r>
          </w:p>
          <w:p w14:paraId="45277F08">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2.支持全向智能拾音追踪，自动追踪识别发言人，拾音范围内的声音均能清晰拾取。</w:t>
            </w:r>
          </w:p>
          <w:p w14:paraId="7B5E64CF">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3.具备自动增益功能，在拾音范围内，无论演讲者距离麦克风的距离远或近，均能实现音量恒定输出。</w:t>
            </w:r>
          </w:p>
          <w:p w14:paraId="184C1102">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4.具备反馈抑制功能，有效抑制啸叫现象。</w:t>
            </w:r>
          </w:p>
          <w:p w14:paraId="57269E5D">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5.具备智能自动降噪功能，智能识别和抑制背景常态噪音，如空调等噪声实现自动检测和消除。</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A81661">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套</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19F872">
            <w:pPr>
              <w:widowControl/>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kern w:val="0"/>
                <w:sz w:val="21"/>
                <w:szCs w:val="21"/>
                <w:highlight w:val="none"/>
                <w:lang w:val="en-US" w:eastAsia="zh-CN" w:bidi="ar"/>
              </w:rPr>
              <w:t>2</w:t>
            </w:r>
          </w:p>
        </w:tc>
      </w:tr>
      <w:tr w14:paraId="2B868B7B">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D377DC">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11</w:t>
            </w:r>
          </w:p>
        </w:tc>
        <w:tc>
          <w:tcPr>
            <w:tcW w:w="1153" w:type="dxa"/>
            <w:tcBorders>
              <w:top w:val="single" w:color="000000" w:sz="4" w:space="0"/>
              <w:left w:val="single" w:color="000000" w:sz="4" w:space="0"/>
              <w:bottom w:val="nil"/>
              <w:right w:val="nil"/>
            </w:tcBorders>
            <w:shd w:val="clear" w:color="auto" w:fill="auto"/>
            <w:vAlign w:val="center"/>
          </w:tcPr>
          <w:p w14:paraId="7BE58C4C">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拾音话筒</w:t>
            </w:r>
          </w:p>
        </w:tc>
        <w:tc>
          <w:tcPr>
            <w:tcW w:w="5392" w:type="dxa"/>
            <w:tcBorders>
              <w:top w:val="single" w:color="000000" w:sz="4" w:space="0"/>
              <w:left w:val="single" w:color="000000" w:sz="4" w:space="0"/>
              <w:bottom w:val="nil"/>
              <w:right w:val="single" w:color="000000" w:sz="4" w:space="0"/>
            </w:tcBorders>
            <w:shd w:val="clear" w:color="auto" w:fill="auto"/>
            <w:vAlign w:val="center"/>
          </w:tcPr>
          <w:p w14:paraId="49B7E7E5">
            <w:pPr>
              <w:widowControl/>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1.指向性：超心型</w:t>
            </w:r>
          </w:p>
          <w:p w14:paraId="11153D40">
            <w:pPr>
              <w:widowControl/>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2.频率响应：35Hz—16kHz</w:t>
            </w:r>
          </w:p>
          <w:p w14:paraId="2AE4EFC1">
            <w:pPr>
              <w:widowControl/>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3.灵敏度≥-7dB±1dB</w:t>
            </w:r>
          </w:p>
          <w:p w14:paraId="77FCE6CA">
            <w:pPr>
              <w:widowControl/>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4.最大声压级≥95dB</w:t>
            </w:r>
          </w:p>
          <w:p w14:paraId="6ACA4954">
            <w:pPr>
              <w:widowControl/>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5.信噪比≥60dB</w:t>
            </w:r>
          </w:p>
          <w:p w14:paraId="722EB296">
            <w:pPr>
              <w:widowControl/>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6.动态范围≥75dB</w:t>
            </w:r>
          </w:p>
          <w:p w14:paraId="3224639E">
            <w:pPr>
              <w:widowControl/>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7.使用电源：麦克风一线通供电</w:t>
            </w:r>
          </w:p>
          <w:p w14:paraId="099E6266">
            <w:pPr>
              <w:widowControl/>
              <w:jc w:val="left"/>
              <w:rPr>
                <w:rFonts w:hint="eastAsia" w:ascii="宋体" w:hAnsi="宋体" w:eastAsia="宋体" w:cs="宋体"/>
                <w:color w:val="000000"/>
                <w:kern w:val="0"/>
                <w:sz w:val="21"/>
                <w:szCs w:val="21"/>
                <w:highlight w:val="none"/>
              </w:rPr>
            </w:pPr>
            <w:r>
              <w:rPr>
                <w:rFonts w:hint="eastAsia" w:ascii="宋体" w:hAnsi="宋体" w:eastAsia="宋体" w:cs="宋体"/>
                <w:color w:val="000000"/>
                <w:sz w:val="21"/>
                <w:szCs w:val="21"/>
                <w:highlight w:val="none"/>
              </w:rPr>
              <w:t>8.输出接口：RJ45，数字音频接口</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FAECA5">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只</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CA77A5">
            <w:pPr>
              <w:widowControl/>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kern w:val="0"/>
                <w:sz w:val="21"/>
                <w:szCs w:val="21"/>
                <w:highlight w:val="none"/>
                <w:lang w:val="en-US" w:eastAsia="zh-CN" w:bidi="ar"/>
              </w:rPr>
              <w:t>12</w:t>
            </w:r>
          </w:p>
        </w:tc>
      </w:tr>
      <w:tr w14:paraId="041D4988">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E28623">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B00365">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壁挂式触控面板</w:t>
            </w:r>
          </w:p>
        </w:tc>
        <w:tc>
          <w:tcPr>
            <w:tcW w:w="53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35067D">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1.具备21.5英寸1920*1080高清10点电容触摸屏</w:t>
            </w:r>
          </w:p>
          <w:p w14:paraId="6F544728">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2.存储性能：缓存容量不小于4G,存储容量不小于32G；</w:t>
            </w:r>
          </w:p>
          <w:p w14:paraId="004D2AC1">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4.操作系统 ：Android 11及以上版本；</w:t>
            </w:r>
          </w:p>
          <w:p w14:paraId="3C6DE30C">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5.接口类型：USB≥1，RJ45接口≥1，3.5mm耳麦接口≥1，串口RS232≥1，HDMI输出≥1</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D22CF2">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个</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75E16C">
            <w:pPr>
              <w:widowControl/>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kern w:val="0"/>
                <w:sz w:val="21"/>
                <w:szCs w:val="21"/>
                <w:highlight w:val="none"/>
                <w:lang w:val="en-US" w:eastAsia="zh-CN" w:bidi="ar"/>
              </w:rPr>
              <w:t>2</w:t>
            </w:r>
          </w:p>
        </w:tc>
      </w:tr>
      <w:tr w14:paraId="29B36CBF">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2D4765">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1CE8B0">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电源管理器</w:t>
            </w:r>
          </w:p>
        </w:tc>
        <w:tc>
          <w:tcPr>
            <w:tcW w:w="53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26C010">
            <w:pPr>
              <w:widowControl/>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 xml:space="preserve">1.向录播视频系统、音频系统、显示系统提供统一的、至少八路电源管理； </w:t>
            </w:r>
          </w:p>
          <w:p w14:paraId="17A5F5D0">
            <w:pPr>
              <w:widowControl/>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2.支持对录播系统控制功能，实现通过录制面板一键启动录播系统相关设备的电源；</w:t>
            </w:r>
          </w:p>
          <w:p w14:paraId="25465D0B">
            <w:pPr>
              <w:widowControl/>
              <w:jc w:val="left"/>
              <w:rPr>
                <w:rFonts w:hint="eastAsia" w:ascii="宋体" w:hAnsi="宋体" w:eastAsia="宋体" w:cs="宋体"/>
                <w:color w:val="000000"/>
                <w:kern w:val="0"/>
                <w:sz w:val="21"/>
                <w:szCs w:val="21"/>
                <w:highlight w:val="none"/>
              </w:rPr>
            </w:pPr>
            <w:r>
              <w:rPr>
                <w:rFonts w:hint="eastAsia" w:ascii="宋体" w:hAnsi="宋体" w:eastAsia="宋体" w:cs="宋体"/>
                <w:color w:val="000000"/>
                <w:sz w:val="21"/>
                <w:szCs w:val="21"/>
                <w:highlight w:val="none"/>
              </w:rPr>
              <w:t>3.支持录播系统的远程集中统一控制，实现录播主机远程开关机；</w:t>
            </w:r>
          </w:p>
          <w:p w14:paraId="38E199A4">
            <w:pPr>
              <w:widowControl/>
              <w:jc w:val="left"/>
              <w:textAlignment w:val="center"/>
              <w:rPr>
                <w:rFonts w:hint="eastAsia" w:ascii="宋体" w:hAnsi="宋体" w:eastAsia="宋体" w:cs="宋体"/>
                <w:color w:val="000000"/>
                <w:sz w:val="21"/>
                <w:szCs w:val="21"/>
                <w:highlight w:val="none"/>
              </w:rPr>
            </w:pP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35A422">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台</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F66E25">
            <w:pPr>
              <w:widowControl/>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kern w:val="0"/>
                <w:sz w:val="21"/>
                <w:szCs w:val="21"/>
                <w:highlight w:val="none"/>
                <w:lang w:val="en-US" w:eastAsia="zh-CN" w:bidi="ar"/>
              </w:rPr>
              <w:t>2</w:t>
            </w:r>
          </w:p>
        </w:tc>
      </w:tr>
      <w:tr w14:paraId="50F87399">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04974">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246C95">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导播控制台</w:t>
            </w:r>
          </w:p>
        </w:tc>
        <w:tc>
          <w:tcPr>
            <w:tcW w:w="53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9FEB23">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1.支持远程操作录播主机的开关机；</w:t>
            </w:r>
          </w:p>
          <w:p w14:paraId="610E4CA0">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2.支持不少于5种特技效果；</w:t>
            </w:r>
          </w:p>
          <w:p w14:paraId="22A4C434">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3.支持不少于6布局选择；6路视频直播切换；6个预置位；6个视频预选功能；</w:t>
            </w:r>
          </w:p>
          <w:p w14:paraId="0A7D521C">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4.支持云台控制功能：上下左右及变焦功能；</w:t>
            </w:r>
          </w:p>
          <w:p w14:paraId="4E4E32ED">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5.支持录制、暂停、停止功能；</w:t>
            </w:r>
          </w:p>
          <w:p w14:paraId="09BC7A62">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6.支持全自动录播模式和手动录播模式。</w:t>
            </w:r>
          </w:p>
          <w:p w14:paraId="39955256">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7.支持通过USB线缆连接录播主机；</w:t>
            </w:r>
          </w:p>
          <w:p w14:paraId="4E00C539">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8.安装导播控制台软件，并设置录播地址；</w:t>
            </w:r>
          </w:p>
          <w:p w14:paraId="76DC5911">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9.导播界面与导播控制台按键/状态同步对应；</w:t>
            </w:r>
          </w:p>
          <w:p w14:paraId="094E4DF9">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10.导播控制台关机按键为控制录播系统软关机/唤醒功能。</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199D95">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台</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B4A3F3">
            <w:pPr>
              <w:widowControl/>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kern w:val="0"/>
                <w:sz w:val="21"/>
                <w:szCs w:val="21"/>
                <w:highlight w:val="none"/>
                <w:lang w:val="en-US" w:eastAsia="zh-CN" w:bidi="ar"/>
              </w:rPr>
              <w:t>2</w:t>
            </w:r>
          </w:p>
        </w:tc>
      </w:tr>
      <w:tr w14:paraId="42DC648D">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07FBA7">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1D970B">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音箱</w:t>
            </w:r>
          </w:p>
        </w:tc>
        <w:tc>
          <w:tcPr>
            <w:tcW w:w="53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4C39A2">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1.有源音箱，无需额外配置功放设备。</w:t>
            </w:r>
          </w:p>
          <w:p w14:paraId="5931D11D">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2.标准3.5mm音频接口，连接麦克风无需其他设备协议转换。</w:t>
            </w:r>
          </w:p>
          <w:p w14:paraId="3C48EAD3">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3.功率不小于16W。</w:t>
            </w:r>
          </w:p>
          <w:p w14:paraId="55E7444A">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4.信噪比不小于85dB。</w:t>
            </w:r>
          </w:p>
          <w:p w14:paraId="6580031D">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5.频响范围不小于20Hz-20kHz。</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015024">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对</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40E89C">
            <w:pPr>
              <w:widowControl/>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kern w:val="0"/>
                <w:sz w:val="21"/>
                <w:szCs w:val="21"/>
                <w:highlight w:val="none"/>
                <w:lang w:val="en-US" w:eastAsia="zh-CN" w:bidi="ar"/>
              </w:rPr>
              <w:t>2</w:t>
            </w:r>
          </w:p>
        </w:tc>
      </w:tr>
      <w:tr w14:paraId="52C13C06">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D1B448">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E5C9A3">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智慧黑板</w:t>
            </w:r>
          </w:p>
        </w:tc>
        <w:tc>
          <w:tcPr>
            <w:tcW w:w="53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71C1A1">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一、 显示模块及整机性能</w:t>
            </w:r>
          </w:p>
          <w:p w14:paraId="6379DF6E">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1、智能黑板采用平面结构设计，提供三段式两种安装方式，整体尺寸不低于4200*1300*120mm, 融合了黑板、液晶屏、音箱及拔插式电脑等设备；</w:t>
            </w:r>
          </w:p>
          <w:p w14:paraId="50F88EF6">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2、智能黑板通屏支持普通粉笔、无尘粉笔、水性笔、油性笔书写；</w:t>
            </w:r>
          </w:p>
          <w:p w14:paraId="026E4827">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3、液晶屏显示尺寸≧85英寸，采用A规屏；分辨率：3840*2160；可视角度：178°,屏体亮度不低于350cd/㎡。</w:t>
            </w:r>
          </w:p>
          <w:p w14:paraId="18C63378">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4、 整机玻璃光泽度不低于85%,透光率不低于94%,表面硬度不低于8H；</w:t>
            </w:r>
          </w:p>
          <w:p w14:paraId="070A1410">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5、液晶屏显示部分采用屏幕全贴合技术，提供亮度、书写距离、光影折射、水雾水汽、可视分辨率、抗压撞击、触控可靠性的检测报告。</w:t>
            </w:r>
          </w:p>
          <w:p w14:paraId="341A40C8">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6、屏体正面前置中文标识按键，至少包含音量加减、触控开关、安卓主页、电脑系统还原等；</w:t>
            </w:r>
          </w:p>
          <w:p w14:paraId="13800389">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7、屏体正面前置中文标识输入接口，提供≥3路USB3.0接口（可同时在Windows及Android系统下被读取）和1路HDMI高清接口（非转接方式）。</w:t>
            </w:r>
          </w:p>
          <w:p w14:paraId="759B974E">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8、为保证信号不遮挡，屏体正面前置2.4G和5G双频wifi和蓝牙信号发射器。</w:t>
            </w:r>
          </w:p>
          <w:p w14:paraId="4FC2E47C">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9、采用电容触摸定位技术，不小于10人书写，触摸分辨率:≥32768*32768；</w:t>
            </w:r>
          </w:p>
          <w:p w14:paraId="6E18D8AD">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9、背光采用去蓝光技术。</w:t>
            </w:r>
          </w:p>
          <w:p w14:paraId="7629674A">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10、具有单点书写、多指息屏和唤醒屏幕、手势擦除功能。</w:t>
            </w:r>
          </w:p>
          <w:p w14:paraId="47ADCB66">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11、屏体正面内置2*15W扬声器和笔槽。</w:t>
            </w:r>
          </w:p>
          <w:p w14:paraId="4BFC6373">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12、具有悬浮菜单，在Windows和Android系统下，悬浮菜单均可通过双指调用到屏幕任意位置，在任何信号源下均可实现批注、打开展台等功能；悬浮菜单中的应用可根据使用需求进行应用更换，悬浮菜单中的信号源通道支持一键信号切换。</w:t>
            </w:r>
          </w:p>
          <w:p w14:paraId="0B6A17AD">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13、整机下方需设计通屏笔槽功能，方便笔的存储及管理。</w:t>
            </w:r>
          </w:p>
          <w:p w14:paraId="58E7A4C9">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14、支持整机开机画面自定义。安卓主页面提供≥4个应用入口，任意入口可以根据教学需要自行更换。安卓系统下提供硬件系统检测：对系统内存、存储、触控系统、电脑、屏温监控等提供直观的状态、故障提示。安卓下具备文件浏览功能和二维码分享等功能；</w:t>
            </w:r>
          </w:p>
          <w:p w14:paraId="5B5F7573">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15、需具备开机引导功能，在设备第一次开机时可根据引导界面进行设备注册、系统激活及office软件激活，并可开启系统保护，可有效抵御病毒入侵，避免系统受到破坏</w:t>
            </w:r>
          </w:p>
          <w:p w14:paraId="7D4413B0">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16、智能书写笔：采用蓝牙技术；采用锂电池供电，带自动休眠节电设计，充满电后连续使用时间不低于100小时；笔尖设计采用2048级压力感应；提供5个按键，至少有一个按键可以自定义，自定义内容包括笔的开关、截图、清页等；具有擦除按键，用户可通过长按钮实现擦除，支持白板软件中点擦除；支持长按按键实现ppt播放和结束播放，短按实现上下翻页。支持所有页面的包括office、网页、白板软件的翻页功能。具有远程指示灯演示功能。</w:t>
            </w:r>
          </w:p>
          <w:p w14:paraId="07E6868F">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 xml:space="preserve">二、教学应用软件: </w:t>
            </w:r>
          </w:p>
          <w:p w14:paraId="42D71A70">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（一）主界面与登录</w:t>
            </w:r>
          </w:p>
          <w:p w14:paraId="093073EA">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1.具有教学云平台，支持云端备课，教师可直接登陆云平台进行备课及课件下载使用，教师注册即可获得不少于32GB的云盘容量。</w:t>
            </w:r>
          </w:p>
          <w:p w14:paraId="0AC71C76">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2.提供至少三种登录方式，包块快捷登录、账号登录、扫码登录等多种方式。</w:t>
            </w:r>
          </w:p>
          <w:p w14:paraId="33281848">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3、所有应用模块的入口均在统一界面上，包括课前设计、教学软件、资源中心、多屏互动、展台软件等。</w:t>
            </w:r>
          </w:p>
          <w:p w14:paraId="064B1366">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（二）课前设计</w:t>
            </w:r>
          </w:p>
          <w:p w14:paraId="0DE78D47">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1、软件提供教案设计功能，支持老师按照软件设计的情景导入、内容精讲、同步习题、随堂测试、分组竞赛、分组探究等教学环节创建教案。</w:t>
            </w:r>
          </w:p>
          <w:p w14:paraId="1A60789A">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2、软件提供人教社等数字教材资源、云端资源、本地资源进行教案制作。针对不同教学环节自动推送与课程精准匹配的资源；</w:t>
            </w:r>
          </w:p>
          <w:p w14:paraId="33E7E006">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3、云端资源涵盖幼教、普教、职教等学段，总量不少于1000G。试题库不少于50万道。</w:t>
            </w:r>
          </w:p>
          <w:p w14:paraId="241AB9C4">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4、支持教师向移动端（手机、pad等）发布学习任务，学生完成提交后，系统自动统计提交情况、完成率等。</w:t>
            </w:r>
          </w:p>
          <w:p w14:paraId="65C5FAA1">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5、 提供可视化学情分析，可查看多班级学生的学习态度、学习效果、学习难点，为备课提供参考。</w:t>
            </w:r>
          </w:p>
          <w:p w14:paraId="15705AD0">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6、提供教案管理功能，支持教案与教师教学日历关联。</w:t>
            </w:r>
          </w:p>
          <w:p w14:paraId="3C990B3D">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（三）教学软件</w:t>
            </w:r>
          </w:p>
          <w:p w14:paraId="4C3AF4DC">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1、提供双侧三段式快捷键，快捷键可自定义显示时长，可根据需要显示或隐藏快捷键，快捷键中至少包含关闭窗口按键、自定义按键、隐藏显示按键等；</w:t>
            </w:r>
          </w:p>
          <w:p w14:paraId="69FF3F25">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2、软件菜单功能按钮和图标的各级菜单均配备明确中文标识；</w:t>
            </w:r>
          </w:p>
          <w:p w14:paraId="217BB9F8">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3、书写工具:至少提供粉笔、硬笔、智能笔、荧光笔、激光笔、软笔、手势笔、纹理笔、图章笔等不少于10种书写工具；。</w:t>
            </w:r>
          </w:p>
          <w:p w14:paraId="75405CED">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4、软件具有水平和垂直的对齐虚线，当移动对象素材时，对齐虚线提示是否对齐。</w:t>
            </w:r>
          </w:p>
          <w:p w14:paraId="74EF217A">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5、提供音、视频编辑功能。音、视频文件导入到软件中进行播放，可设置循环播放、跨页面播放。视频文件可一键全屏播放，支持动态截图，截取图片自动生成图片索引栏。</w:t>
            </w:r>
          </w:p>
          <w:p w14:paraId="43707A21">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6、提供不少于30种常用图形，包括线段、圆、三角形、四边形、多边形、对话框、单双箭头、大中括号、加减乘除等，所有图形均可填充颜色、修改边框颜色粗细以及设置图形透明度；</w:t>
            </w:r>
          </w:p>
          <w:p w14:paraId="2D4C7B29">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7、具有页面切换特效，包括缩放、揭开、切出、淡出、推进、覆盖等多种特殊效果；</w:t>
            </w:r>
          </w:p>
          <w:p w14:paraId="2C813422">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8、对象特效设置：可对页面对象设置多种进入、退出时的特殊效果，如百叶窗、淡入、缩放、浮现、飞入、旋转、劈裂、弹跳等效果，支持设置触发源，支持调整特效顺序、特效时间设置、特效预览、特效删除；支持教学软件页面中的图片、文字等任何对象可在页面中可实现路径轨迹设置、播放和重播。</w:t>
            </w:r>
          </w:p>
          <w:p w14:paraId="538F2E1B">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9、思维导图：提供多种思维导图模板如逻辑图、鱼骨图、组织结构图，可轻松增删或拖拽编辑内容、节点，并支持在节点上插入图片、音频、视频、文档等附件、及网页链接、课件页面、聚光灯等。</w:t>
            </w:r>
          </w:p>
          <w:p w14:paraId="3550837E">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10、学科工具：至少提供12门以上学科工具，包含语文、数学、英语、物理、化学、生物、地理、历史、音乐、体育、书法、美术等常用学科。针对以上学科，学科工具包含视频、文字、图片、动态教具、动态课件等内容。</w:t>
            </w:r>
          </w:p>
          <w:p w14:paraId="2336A03F">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1）数学工具：提供数学公式编辑功能，支持常规输入与LaTeX两种输入方式；提供初中和高中成品动态课件，课件可一键插入白板教学页面直接使用；提供立体图形动态展示功能，支持分段展示，并可以精确修改几何数值。</w:t>
            </w:r>
          </w:p>
          <w:p w14:paraId="5D84101D">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2）语文学科工具：至少包含汉字、拼音、注音、古诗词、学词语、学拼音、成语词典等内容。提供3755个国标一级汉字，包括汉字的笔顺演示和指定分解笔画演示；支持手写识别拼音，以及笔顺演示和朗读发音；提供单个或多个文字自动注音功能；</w:t>
            </w:r>
          </w:p>
          <w:p w14:paraId="2F48A16F">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（3）英语工具：提供单词和音标学习视频；支持英文手写识别和自动换行；</w:t>
            </w:r>
          </w:p>
          <w:p w14:paraId="1A81931F">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（4）物理工具：提供力学、电学、电磁学、光学、电学图例等多种动态可调节素材，如弹簧、游标卡尺、刻度尺、气缸、安培表、伏特表、开关、滑动变阻器、透镜等；</w:t>
            </w:r>
          </w:p>
          <w:p w14:paraId="0A41A3B1">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（5）化学工具：提供动态可调节实验化学器械和化学器皿，如量筒、启普发生器、铁架台、分液漏斗、天平等；提供化学元素周期表工具和化学符号；</w:t>
            </w:r>
          </w:p>
          <w:p w14:paraId="74B6BCF5">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（6）生物工具：提供显微镜功能，可模拟装片展示，物镜目镜调整及旋转聚焦等操作。提供氨基酸、核苷酸、染色体、细胞膜等动态操作演示；</w:t>
            </w:r>
          </w:p>
          <w:p w14:paraId="584489AD">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 xml:space="preserve">（7）地理工具：提供地球仪模型，可显示气候、国家、地形等内容；提供太阳系图示，可显示不同视角、地球晨昏线、地月模型；提供天气符号图示； </w:t>
            </w:r>
          </w:p>
          <w:p w14:paraId="6B12E395">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（8）音乐工具：提供电子琴、架子鼓、吉他、排笛、大提琴等多种动态教具。</w:t>
            </w:r>
          </w:p>
          <w:p w14:paraId="19569A26">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9）历史工具：提供中国各朝代的动态简介，包含世系表、疆域图、朝代历史简介等；提供国内外近代政治、经济、文化、军事、历史事件介绍，提供年代检索；以及丝绸之路、新航路开辟、赤壁之战等历史大事件的动态简介等；</w:t>
            </w:r>
          </w:p>
          <w:p w14:paraId="5FD7A8F0">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11、仿真实验：具备总数不少于450个,涵盖K-12年级科学、初高中物理、化学、生物等学科的本地仿真实验资源，仿真实验包括实验目的、实验原理、实验器材、注意事项、实验演示、开始实验、实验检测、实验应用等环节，为方便向学生展示及操作，仿真实验支持一键全屏播放。</w:t>
            </w:r>
          </w:p>
          <w:p w14:paraId="040538EB">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12、课堂活动工具：提供连线、填空、分类、趣味竞赛、翻翻卡等多种趣味活动模板，直接选择并输入相应内容即可轻松生成互动分类游戏，提升课堂趣味性。</w:t>
            </w:r>
          </w:p>
          <w:p w14:paraId="474BC363">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 xml:space="preserve">13、工具箱：提供不少于12个教学辅助工具，例如直尺、圆规、三角板、聚光灯、放大镜、屏幕截图、展台、草稿纸等； </w:t>
            </w:r>
          </w:p>
          <w:p w14:paraId="11B20BF2">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14、PPT课件批注功能：PPT全屏播放时可自动开启工具菜单，提供PPT课件的播放控制(如前后翻页)、聚光灯、放大镜、草稿纸和书写批注等功能,支持生成二维码，快速分享课件。</w:t>
            </w:r>
          </w:p>
          <w:p w14:paraId="2EE4984F">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15、多屏互动功能：支持手机、pad移动端与交互智能黑板连接后，可实现常用功能如影像上传、投屏、播放课件、直播。支持对上传的图片内容再次编辑，可同时上传多张照片进行同屏对比，双向批注；一键打开电脑桌面课件并播放，课件支持播放列表，可快速选择PPT或白板课件进行播放。</w:t>
            </w:r>
          </w:p>
          <w:p w14:paraId="4A6EF02F">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16、提供产品微信公众号，内容包含软硬件产品文字、视频教程，产品报修和服务反馈等；  ops电脑：I5 8G 256SSD</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06E285">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台</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D64244">
            <w:pPr>
              <w:widowControl/>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kern w:val="0"/>
                <w:sz w:val="21"/>
                <w:szCs w:val="21"/>
                <w:highlight w:val="none"/>
                <w:lang w:val="en-US" w:eastAsia="zh-CN" w:bidi="ar"/>
              </w:rPr>
              <w:t>2</w:t>
            </w:r>
          </w:p>
        </w:tc>
      </w:tr>
      <w:tr w14:paraId="09C67ABA">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74A648">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17</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DE6E5">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壁挂展台</w:t>
            </w:r>
          </w:p>
        </w:tc>
        <w:tc>
          <w:tcPr>
            <w:tcW w:w="5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9DA24">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硬件要求：</w:t>
            </w:r>
          </w:p>
          <w:p w14:paraId="7156624C">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1．采用有线连接；不小于1300万像素，采用USB接口供电和传输数据，拍摄幅面A4，图像色彩24位，视频输出FLV、MP4，图片输出BMP、JPG、PNG、GIF、TIF。</w:t>
            </w:r>
          </w:p>
          <w:p w14:paraId="1EA0A9B3">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2．支持连接黑板或电脑使用，只需开启视频展台设备电源，打开视频展台软件即可连接。</w:t>
            </w:r>
          </w:p>
          <w:p w14:paraId="0C85801C">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3．光源：自然光+LED补光(白色)；</w:t>
            </w:r>
          </w:p>
          <w:p w14:paraId="7B0D89B7">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4．按键：电源键、拍照键、补光键；</w:t>
            </w:r>
          </w:p>
          <w:p w14:paraId="3A1BF939">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5．功率：额定功率2.4W、最大功率4W；</w:t>
            </w:r>
          </w:p>
          <w:p w14:paraId="0A8BDDB8">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软件功能要求：</w:t>
            </w:r>
          </w:p>
          <w:p w14:paraId="74435404">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1.支持点击拍照模式，选择单张、延时、连拍功能，延时模式需支持选择延时拍照时间（1s、3s、5s）,连拍模式需支持根据时间间隔或拍摄图片数量选择。拍摄后的图片支持缩放、旋转、批注等功能。</w:t>
            </w:r>
          </w:p>
          <w:p w14:paraId="3EBD0B1C">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2.支持视频展台设备按键一键拍照。支持对展台实时画面进行放大、缩小、旋转、锁定画面等操作。支持展台画面实时批注，预设多种笔划粗细及颜色供选择，支持一键清除批注。还可以进行视频展台实时动态多屏对比，同时可用工具进行批注。</w:t>
            </w:r>
          </w:p>
          <w:p w14:paraId="10778AD1">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3.支持二维码扫码功能，扫码成功后出现跳转箭头，点击即可跳转到扫码获取的网址中。</w:t>
            </w:r>
          </w:p>
          <w:p w14:paraId="6272087E">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4.支持智能识图OCR功能，将图片里的中文、英文或数字等识别提取出来保存到记事本里。</w:t>
            </w:r>
          </w:p>
          <w:p w14:paraId="53294ECA">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5.支持截图功能：可选框选矩形截图、任意图形截图、窗口截图、全屏截图，截图后图片可发送到白板软件里，也可以保存到电脑本地，保存格式可选图片、演示、PDF。也可对截图批量删除。</w:t>
            </w:r>
          </w:p>
          <w:p w14:paraId="29E81503">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6.支持多张截图拍照自动对比功能，图片数量不受限制，可任选其中一张图片进行全屏展示或返回视频画面，支持旋转、保存或删除。</w:t>
            </w:r>
          </w:p>
          <w:p w14:paraId="53E2FBE8">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7.支持工具栏切换功能。实现工具栏左下方、右下方的来回切换。</w:t>
            </w:r>
          </w:p>
          <w:p w14:paraId="54851B9A">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8．支持画面调整功能，对画面进行旋转、重置、锁定、情景模式、超强去噪、自动对焦、亮度调节等功能设置。情景模式支持选择阅读、真彩、运动模式。为增强文字显示清晰度，具备去噪的功能，并可根据用户的实际使用需求开启或关闭。</w:t>
            </w:r>
          </w:p>
          <w:p w14:paraId="46AAF28C">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9.展台软件具有自检功能，支持检测显卡驱动、硬件连接、摄像头占用和软件版本。</w:t>
            </w:r>
          </w:p>
          <w:p w14:paraId="639635AD">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10.软件支持语言切换和分辨率选择功能，包括简体中文、繁体中文、英语等多种语音支持切换，画面分辨率支持根据实际情况调节。</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117D15">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台</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CBA21E">
            <w:pPr>
              <w:widowControl/>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kern w:val="0"/>
                <w:sz w:val="21"/>
                <w:szCs w:val="21"/>
                <w:highlight w:val="none"/>
                <w:lang w:val="en-US" w:eastAsia="zh-CN" w:bidi="ar"/>
              </w:rPr>
              <w:t>2</w:t>
            </w:r>
          </w:p>
        </w:tc>
      </w:tr>
      <w:tr w14:paraId="48F7ADF4">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B00A31">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777E22">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录播教室装修</w:t>
            </w:r>
          </w:p>
        </w:tc>
        <w:tc>
          <w:tcPr>
            <w:tcW w:w="53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48FB65">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1.隔音辅助设施总体要求：教室吊顶使用矿棉板，或其他吸音装饰；地面宜使用PVC材质的静音塑胶，厚度不小于2.5毫米；</w:t>
            </w:r>
          </w:p>
          <w:p w14:paraId="1488E034">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四周墙体采用采用浅色新型环保的聚酯吸音材料，窗帘等宜选择色淡遮光的，教室内的布局尽量简洁；</w:t>
            </w:r>
          </w:p>
          <w:p w14:paraId="03F50994">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录播教室的室温为18℃－26℃，湿度为60％－80％较合理；</w:t>
            </w:r>
          </w:p>
          <w:p w14:paraId="54B4BD94">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录播专用教室内部装修选用环保型材料。甲醛、苯、氡等有害气体物质达到环保规范要求。</w:t>
            </w:r>
          </w:p>
          <w:p w14:paraId="503F1492">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2.矿棉板吊顶：38轻刚龙骨基层处理，60*60高密度矿棉板安装。</w:t>
            </w:r>
          </w:p>
          <w:p w14:paraId="6EB4D152">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3.灯安装：护眼灯，不低于2.5特变电铜芯线连接</w:t>
            </w:r>
          </w:p>
          <w:p w14:paraId="57C31FD6">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4.吸音墙面制作：底层木龙骨，石膏板找平，面层吸音板安装。</w:t>
            </w:r>
          </w:p>
          <w:p w14:paraId="03CC7DDC">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5.塑胶地板：塑胶地面铺贴，焊缝连接。</w:t>
            </w:r>
          </w:p>
          <w:p w14:paraId="703279E3">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6.边角修饰：不锈钢包边。</w:t>
            </w:r>
          </w:p>
          <w:p w14:paraId="3BB30112">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7.踢脚线：不锈钢踢脚线。</w:t>
            </w:r>
          </w:p>
          <w:p w14:paraId="4C50FDE5">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8.窗帘：遮光布窗帘。录播室及观摩室所有窗户</w:t>
            </w:r>
          </w:p>
          <w:p w14:paraId="6299E4EF">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9.做到录播室及观摩室无回声、无杂音。</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E1BD21">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批</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A91780">
            <w:pPr>
              <w:widowControl/>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kern w:val="0"/>
                <w:sz w:val="21"/>
                <w:szCs w:val="21"/>
                <w:highlight w:val="none"/>
                <w:lang w:val="en-US" w:eastAsia="zh-CN" w:bidi="ar"/>
              </w:rPr>
              <w:t>2</w:t>
            </w:r>
          </w:p>
        </w:tc>
      </w:tr>
      <w:tr w14:paraId="3A39C75A">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6133E4">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44C92B">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教室讲桌</w:t>
            </w:r>
          </w:p>
        </w:tc>
        <w:tc>
          <w:tcPr>
            <w:tcW w:w="53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9BCB2B">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 xml:space="preserve">1、讲台整体采用分体式结构，长1200mm、宽750mm、高1000mm（含地脚），实际操作高度：910mm </w:t>
            </w:r>
          </w:p>
          <w:p w14:paraId="2318C077">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2、上箱体颜色为哑光浅灰色，表面进行皮纹处理；上箱体前端中央位置设置专门的Logo印刷区域，方便学校/企业印刷Logo，加强校园/企业文化宣传；上、下箱体四周均采用圆弧边角设计，有效降低直楞伤害的同时提高产品视觉感受。</w:t>
            </w:r>
          </w:p>
          <w:p w14:paraId="1544ABC8">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3、上箱体采用高强度工程塑料及先进工艺一次性注塑成型；下箱体采用优质钢板折弯焊接成型，表面使用绿色环保无溶剂塑粉静电喷涂处理。</w:t>
            </w:r>
          </w:p>
          <w:p w14:paraId="433ADBD1">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4、上箱体两侧的扶手（木质或ABS，两者选配其一）结构采用人机工程学设计，符合使用者的使用习惯，有效降低长期站立使用时的疲劳感。</w:t>
            </w:r>
          </w:p>
          <w:p w14:paraId="10947469">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5、上箱体桌面设置有刻度功能和经典几何示例功能，方便日常测量和几何教学。</w:t>
            </w:r>
          </w:p>
          <w:p w14:paraId="3405B8AC">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6、上箱体桌面右上角为中控、高拍仪和五孔插座等的使用存放区域（可容纳尺寸270x210mm以下的中央控制器），通过推拉板的旋转开合和邮箱锁进行该区域的开启和锁闭；旋转板上的凸台方便抓取。桌面左上角为显示器区域，可容纳23英寸以下显示器，符合市面绝大部分显示器产品的需要，另外选配的任意停和一字拉杆配合显示器的旋转式开合，可以让任何使用者找到完美的使用角度；新颖的隐藏式键盘更是为使用者提供更多选择，键盘盒可随着推拉板的左右滑动对应的上升和下降；键盘与显示器的距离相较于抽屉式的键盘盒距离显示器更近，操作者使用起来更方便、舒适。另外，键盘盒的轨道更是为桌面提供了支撑，大大增强了桌面的强度。</w:t>
            </w:r>
          </w:p>
          <w:p w14:paraId="364C66AC">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7、下箱体采用模块化设计，可实现分拆组装；内置隐藏式展台抽屉，可放置618*432*150(L×W×H)内的视频展台，另外视频展台可根据使用者需要选择左右抽拉的方向；</w:t>
            </w:r>
          </w:p>
          <w:p w14:paraId="4E03CED0">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8、下箱体设置百叶窗式散热通风孔，结合下箱体内部设备情况及讲桌整体外观确定百叶窗的数量和排列形式。</w:t>
            </w:r>
          </w:p>
          <w:p w14:paraId="27C8A879">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9、下箱体底板过线孔均采用敲落孔方式。</w:t>
            </w:r>
          </w:p>
          <w:p w14:paraId="3E729662">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10、全部的加工件均为模具冲压成型或者注塑成型，采用先进的工装夹具、全自动焊接工艺。</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C4D847">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张</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6FB172">
            <w:pPr>
              <w:widowControl/>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kern w:val="0"/>
                <w:sz w:val="21"/>
                <w:szCs w:val="21"/>
                <w:highlight w:val="none"/>
                <w:lang w:val="en-US" w:eastAsia="zh-CN" w:bidi="ar"/>
              </w:rPr>
              <w:t>2</w:t>
            </w:r>
          </w:p>
        </w:tc>
      </w:tr>
      <w:tr w14:paraId="0981C5EA">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5F9518">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20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9C7A61">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学生课桌椅</w:t>
            </w:r>
          </w:p>
        </w:tc>
        <w:tc>
          <w:tcPr>
            <w:tcW w:w="53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9B1E29">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学生桌规格：1200W*500D*750H</w:t>
            </w:r>
          </w:p>
          <w:p w14:paraId="6BFAAC1C">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1、面板为25厘厚暖白色麻面实木颗粒三聚氰胺板，接近色1.7厘厚PVC封边条，板材等级E1级；封边采用全自动封边机热熔胶封边</w:t>
            </w:r>
          </w:p>
          <w:p w14:paraId="6ADA85EE">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2、面板底架位钢架可折叠底架、采用手控折叠开关，架子尺寸为1000mm*300mm*725mm、                                              3、桌脚：桌脚采用有优质钢板一次冲压成型和尼龙加纤塑料一次性成型胶头组合，脚管厚度为1.5mm，脚管经打磨抛光、酸洗、磷化、防腐等工艺处理，表面阿克苏静电粉末喷涂处理。                                                                                                                                                                                4、书网选用优质钢架，内径为条网书架设计，书网为15*0.8网管采用无尘静电喷涂处理。                                                                 5、脚轮：塑料ABS脚轮，黑白双色，带刹车装置、                                                                                                                     6、组合拼接件为ABS工程塑料子母扣，手动旋转式活动，使用方便。</w:t>
            </w:r>
          </w:p>
          <w:p w14:paraId="7F6BEC24">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 xml:space="preserve">7、前置挡板位三聚氰胺板、封边采用全自动封边机热熔胶封边、尺寸为1000mm*300mm   </w:t>
            </w:r>
          </w:p>
          <w:p w14:paraId="5848FAEC">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8、颜色要求：白色桌面、沙白色桌脚、黑色下架和书网、橙色挡板。                                                                                                                                                      凳子规格及参数：长370mm×宽280mm×凳高440mm（高度可根据学校要求的型号定制）。</w:t>
            </w:r>
          </w:p>
          <w:p w14:paraId="0380F4B9">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1、凳面：长370mm X宽280mm，凳面采用环保PP-R材料一次注塑成型，凳面为全新料制造，安全环保、无毒无甲醛释放；3、凳面符合人体工程学设计，呈双凹型设计，有效改善学生舒适坐姿；4、凳面上分布有四条尺寸不低于长26.5mm，宽4mm的透气槽，促进炎热季节透气通风，底部横八竖六加强筋分布，提高承重强度，延长使用寿命；5、凳面颜色为蓝色，不能使用油漆等进行表面涂层。</w:t>
            </w:r>
          </w:p>
          <w:p w14:paraId="095AD0DA">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1、课凳立柱尺寸：宽60mm×厚30mm；2、课凳立柱采用环保PVC材料挤塑成型，立柱内外颜色为灰白色；3、课凳左右两边的立柱与凳脚不得采用螺丝连接。</w:t>
            </w:r>
          </w:p>
          <w:p w14:paraId="301845F9">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1、课凳横梁尺寸不低于:长60 mm ×宽30mmm，横梁采用环保PVC材料挤塑成型；2、课凳横梁宽、厚提高课凳稳定性，延长课凳使用寿命；3、横梁管内外颜色为灰白色。</w:t>
            </w:r>
          </w:p>
          <w:p w14:paraId="73EDD39D">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1、凳脚采用环保PP-R材料一次注塑成型；2、左右两边的立柱与凳面和脚不得采用螺丝连接；3、凳脚垫为方形，增加接触面积，不得使用圆脚，四个脚底安装防滑及防噪音的专用胶垫，稳固安全。</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01EDA5">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套</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961D0B">
            <w:pPr>
              <w:widowControl/>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kern w:val="0"/>
                <w:sz w:val="21"/>
                <w:szCs w:val="21"/>
                <w:highlight w:val="none"/>
                <w:lang w:val="en-US" w:eastAsia="zh-CN" w:bidi="ar"/>
              </w:rPr>
              <w:t>56</w:t>
            </w:r>
          </w:p>
        </w:tc>
      </w:tr>
      <w:tr w14:paraId="6E628C8B">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A4F89F">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21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037E94">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观摩室电视机</w:t>
            </w:r>
          </w:p>
        </w:tc>
        <w:tc>
          <w:tcPr>
            <w:tcW w:w="53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BB5EB7">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屏幕尺寸：55英寸；超高清wifi智能网络液晶电视；</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E53379">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台</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5AB90F">
            <w:pPr>
              <w:widowControl/>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kern w:val="0"/>
                <w:sz w:val="21"/>
                <w:szCs w:val="21"/>
                <w:highlight w:val="none"/>
                <w:lang w:val="en-US" w:eastAsia="zh-CN" w:bidi="ar"/>
              </w:rPr>
              <w:t>2</w:t>
            </w:r>
          </w:p>
        </w:tc>
      </w:tr>
      <w:tr w14:paraId="79FC15C9">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820FBF">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22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426487">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观摩室桌椅</w:t>
            </w:r>
          </w:p>
        </w:tc>
        <w:tc>
          <w:tcPr>
            <w:tcW w:w="53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C4AAFB">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木质定制</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A5F467">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套</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5F1328">
            <w:pPr>
              <w:widowControl/>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kern w:val="0"/>
                <w:sz w:val="21"/>
                <w:szCs w:val="21"/>
                <w:highlight w:val="none"/>
                <w:lang w:val="en-US" w:eastAsia="zh-CN" w:bidi="ar"/>
              </w:rPr>
              <w:t>2</w:t>
            </w:r>
          </w:p>
        </w:tc>
      </w:tr>
      <w:tr w14:paraId="0BFED861">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2D46E8">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23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754DDC">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机柜</w:t>
            </w:r>
          </w:p>
        </w:tc>
        <w:tc>
          <w:tcPr>
            <w:tcW w:w="53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0B32E1">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定制</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F547F8">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个</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D256BC">
            <w:pPr>
              <w:widowControl/>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kern w:val="0"/>
                <w:sz w:val="21"/>
                <w:szCs w:val="21"/>
                <w:highlight w:val="none"/>
                <w:lang w:val="en-US" w:eastAsia="zh-CN" w:bidi="ar"/>
              </w:rPr>
              <w:t>2</w:t>
            </w:r>
          </w:p>
        </w:tc>
      </w:tr>
      <w:tr w14:paraId="2936A40F">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E9C6ED">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24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6351CA">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线材</w:t>
            </w:r>
          </w:p>
        </w:tc>
        <w:tc>
          <w:tcPr>
            <w:tcW w:w="53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CBBFD">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满足系统布线需求</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EA820A">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批</w:t>
            </w:r>
          </w:p>
        </w:tc>
        <w:tc>
          <w:tcPr>
            <w:tcW w:w="6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3422E6">
            <w:pPr>
              <w:widowControl/>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kern w:val="0"/>
                <w:sz w:val="21"/>
                <w:szCs w:val="21"/>
                <w:highlight w:val="none"/>
                <w:lang w:val="en-US" w:eastAsia="zh-CN" w:bidi="ar"/>
              </w:rPr>
              <w:t>2</w:t>
            </w:r>
          </w:p>
        </w:tc>
      </w:tr>
    </w:tbl>
    <w:p w14:paraId="576C21F0">
      <w:pPr>
        <w:rPr>
          <w:rFonts w:ascii="仿宋" w:hAnsi="仿宋" w:eastAsia="仿宋"/>
          <w:highlight w:val="none"/>
        </w:rPr>
      </w:pPr>
    </w:p>
    <w:p w14:paraId="70B6C488">
      <w:pPr>
        <w:rPr>
          <w:rFonts w:ascii="仿宋" w:hAnsi="仿宋" w:eastAsia="仿宋"/>
          <w:highlight w:val="none"/>
        </w:rPr>
      </w:pPr>
    </w:p>
    <w:tbl>
      <w:tblPr>
        <w:tblStyle w:val="4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89"/>
        <w:gridCol w:w="2200"/>
        <w:gridCol w:w="8387"/>
        <w:gridCol w:w="1189"/>
        <w:gridCol w:w="1189"/>
      </w:tblGrid>
      <w:tr w14:paraId="5B93F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AAF1C">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序号</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D8BD7">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分项名称</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1C2C9">
            <w:pPr>
              <w:keepNext w:val="0"/>
              <w:keepLines w:val="0"/>
              <w:widowControl/>
              <w:suppressLineNumbers w:val="0"/>
              <w:jc w:val="center"/>
              <w:textAlignment w:val="center"/>
              <w:rPr>
                <w:rStyle w:val="145"/>
                <w:rFonts w:hint="eastAsia" w:ascii="宋体" w:hAnsi="宋体" w:eastAsia="宋体" w:cs="宋体"/>
                <w:b/>
                <w:bCs/>
                <w:sz w:val="21"/>
                <w:szCs w:val="21"/>
                <w:highlight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校园电视台参数配置</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F78FC">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单位</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993E2">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数量</w:t>
            </w:r>
          </w:p>
        </w:tc>
      </w:tr>
      <w:tr w14:paraId="01E07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9A2A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36F4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虚拟互动演录播工作站</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FE1B8">
            <w:pPr>
              <w:keepNext w:val="0"/>
              <w:keepLines w:val="0"/>
              <w:widowControl/>
              <w:suppressLineNumbers w:val="0"/>
              <w:jc w:val="left"/>
              <w:textAlignment w:val="center"/>
              <w:rPr>
                <w:rStyle w:val="145"/>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1、CPU：AMD r7 5700或i7 12代以上；</w:t>
            </w:r>
          </w:p>
          <w:p w14:paraId="7855310C">
            <w:pPr>
              <w:keepNext w:val="0"/>
              <w:keepLines w:val="0"/>
              <w:widowControl/>
              <w:suppressLineNumbers w:val="0"/>
              <w:jc w:val="left"/>
              <w:textAlignment w:val="center"/>
              <w:rPr>
                <w:rStyle w:val="145"/>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2、工业级高稳定内存，4G D4*4；</w:t>
            </w:r>
          </w:p>
          <w:p w14:paraId="72A34E18">
            <w:pPr>
              <w:keepNext w:val="0"/>
              <w:keepLines w:val="0"/>
              <w:widowControl/>
              <w:suppressLineNumbers w:val="0"/>
              <w:jc w:val="left"/>
              <w:textAlignment w:val="center"/>
              <w:rPr>
                <w:rStyle w:val="145"/>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3、120G SSD系统盘，2T数据盘；</w:t>
            </w:r>
          </w:p>
          <w:p w14:paraId="1378A2D8">
            <w:pPr>
              <w:keepNext w:val="0"/>
              <w:keepLines w:val="0"/>
              <w:widowControl/>
              <w:suppressLineNumbers w:val="0"/>
              <w:jc w:val="left"/>
              <w:textAlignment w:val="center"/>
              <w:rPr>
                <w:rStyle w:val="145"/>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4、</w:t>
            </w:r>
            <w:r>
              <w:rPr>
                <w:rStyle w:val="286"/>
                <w:rFonts w:hint="eastAsia" w:ascii="宋体" w:hAnsi="宋体" w:eastAsia="宋体" w:cs="宋体"/>
                <w:b w:val="0"/>
                <w:bCs w:val="0"/>
                <w:sz w:val="21"/>
                <w:szCs w:val="21"/>
                <w:highlight w:val="none"/>
                <w:lang w:val="en-US" w:eastAsia="zh-CN" w:bidi="ar"/>
              </w:rPr>
              <w:t xml:space="preserve"> </w:t>
            </w:r>
            <w:r>
              <w:rPr>
                <w:rStyle w:val="145"/>
                <w:rFonts w:hint="eastAsia" w:ascii="宋体" w:hAnsi="宋体" w:eastAsia="宋体" w:cs="宋体"/>
                <w:b w:val="0"/>
                <w:bCs w:val="0"/>
                <w:sz w:val="21"/>
                <w:szCs w:val="21"/>
                <w:highlight w:val="none"/>
                <w:lang w:val="en-US" w:eastAsia="zh-CN" w:bidi="ar"/>
              </w:rPr>
              <w:t>D5 4G 192bit显卡；</w:t>
            </w:r>
          </w:p>
          <w:p w14:paraId="1DA64860">
            <w:pPr>
              <w:keepNext w:val="0"/>
              <w:keepLines w:val="0"/>
              <w:widowControl/>
              <w:suppressLineNumbers w:val="0"/>
              <w:jc w:val="left"/>
              <w:textAlignment w:val="center"/>
              <w:rPr>
                <w:rStyle w:val="145"/>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5、采集分辨率：≥2K；</w:t>
            </w:r>
          </w:p>
          <w:p w14:paraId="4E75B560">
            <w:pPr>
              <w:keepNext w:val="0"/>
              <w:keepLines w:val="0"/>
              <w:widowControl/>
              <w:suppressLineNumbers w:val="0"/>
              <w:jc w:val="left"/>
              <w:textAlignment w:val="center"/>
              <w:rPr>
                <w:rStyle w:val="145"/>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6、4路 HD高清输入；其中一路为4K。</w:t>
            </w:r>
          </w:p>
          <w:p w14:paraId="484DB365">
            <w:pPr>
              <w:keepNext w:val="0"/>
              <w:keepLines w:val="0"/>
              <w:widowControl/>
              <w:suppressLineNumbers w:val="0"/>
              <w:jc w:val="left"/>
              <w:textAlignment w:val="center"/>
              <w:rPr>
                <w:rStyle w:val="145"/>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★7、主机内置无线接收功能，可任意接收安卓、苹果、微软手持设备的无线信号，信号分辨率高达1080P，并支持对安卓、苹果、微软手持设备的拍摄信号实时抠像处理；</w:t>
            </w:r>
          </w:p>
          <w:p w14:paraId="51BAD9CE">
            <w:pPr>
              <w:keepNext w:val="0"/>
              <w:keepLines w:val="0"/>
              <w:widowControl/>
              <w:suppressLineNumbers w:val="0"/>
              <w:jc w:val="left"/>
              <w:textAlignment w:val="center"/>
              <w:rPr>
                <w:rStyle w:val="145"/>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8、前置2个高速USB2.0接口。</w:t>
            </w:r>
          </w:p>
          <w:p w14:paraId="09E141DC">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Style w:val="145"/>
                <w:rFonts w:hint="eastAsia" w:ascii="宋体" w:hAnsi="宋体" w:eastAsia="宋体" w:cs="宋体"/>
                <w:b w:val="0"/>
                <w:bCs w:val="0"/>
                <w:sz w:val="21"/>
                <w:szCs w:val="21"/>
                <w:highlight w:val="none"/>
                <w:lang w:val="en-US" w:eastAsia="zh-CN" w:bidi="ar"/>
              </w:rPr>
              <w:t>9、4U专业机架式设计，铝合金拉丝面板。</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8CFE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6382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1D7D1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6452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F845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专用机柜</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3F0A7">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22U专用机柜</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C382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8EC6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2BE98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D8F9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09E5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真三维虚拟演播室系统</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32DB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1、使用硬件编解码加速模式，充分发挥硬件性能；</w:t>
            </w:r>
          </w:p>
          <w:p w14:paraId="62EEA064">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★2、不少于4个输入通道，6个预监窗口，5路高标清混切，包括摄像机输入信号、USB摄像设备、NDI/RTSP /IP流、PPT/word/PDF文档、3D场景、图片、视频；（需提供软件界面截图文件）</w:t>
            </w:r>
          </w:p>
          <w:p w14:paraId="20E872F7">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3、内置4路输入通道和1路混合通道虚拟调音台，可对每个通道音频进行独立控制，支持选择通道进行混合输出或音频输出模式；系统内置10段均衡器和不少于5种虚拟效果器，支持左右声道平衡输出；（需提供软件界面截图文件）</w:t>
            </w:r>
          </w:p>
          <w:p w14:paraId="2ACC3962">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4、系统预监通道和导播窗口支持音频波段显示，实时指示当前切换音频大小；</w:t>
            </w:r>
          </w:p>
          <w:p w14:paraId="3A0A200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5、不少于3路独立广播级色键抠像器，每个通道抠像设置互不影响，支持对所有输入信号源同时抠像；</w:t>
            </w:r>
          </w:p>
          <w:p w14:paraId="1AF850ED">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6、每个抠像通道支持穿帮镜头裁切，可对上下左右4个方向进行裁切；</w:t>
            </w:r>
          </w:p>
          <w:p w14:paraId="300B4C2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★7、支持一键抠像模式，系统自带抠像颜色吸管，可吸取任意颜色进行抠像；（需提供软件界面截图文件）</w:t>
            </w:r>
          </w:p>
          <w:p w14:paraId="0FD92555">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★8、同时支持5路录制，其中不少于1路4K/30P模式，录制码率、分辨率、音频采样率、录制格式等可选，录制时可选择音频输入源进行加嵌混合录制；（需提供软件界面截图文件）</w:t>
            </w:r>
          </w:p>
          <w:p w14:paraId="12F6A034">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9、支持MP4、MKV、MOV、AVI、FLV格式录制；</w:t>
            </w:r>
          </w:p>
          <w:p w14:paraId="223E4102">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10、所有录制通道均支持暂停录制，暂停录制模式不得以生成二个文件形式实现；</w:t>
            </w:r>
          </w:p>
          <w:p w14:paraId="2F126583">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★11、所有录制通道均支持单独设置音频延时功能，保证录制的文件视音频同步；（需提供软件界面截图文件）</w:t>
            </w:r>
          </w:p>
          <w:p w14:paraId="2382D8A4">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12、单独通道录制时支持选择输入音频通道进行加嵌混合使用；</w:t>
            </w:r>
          </w:p>
          <w:p w14:paraId="155CB5EE">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★13、系统支持高达5个通道同时推流直播，最高支持到4K分辨率；推流直播时可选择音频输入源进行加嵌混合直播；（需提供软件界面截图文件）</w:t>
            </w:r>
          </w:p>
          <w:p w14:paraId="1D335459">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★14、支持本地4路视频同时播放或4路3D场景预览或4路IP流或4路USB信号或4路PPT/Word文件导入和预览；（需提供软件界面截图文件）</w:t>
            </w:r>
          </w:p>
          <w:p w14:paraId="47FF3D05">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15、系统支持虚拟机位编辑功能，编辑后可保存为8个机位，支持虚拟机位切换及运动轨迹的推拉摇移动作；</w:t>
            </w:r>
          </w:p>
          <w:p w14:paraId="52BFB831">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16、真三维虚拟演播室功能，具体真三维渲染引擎，采用虚拟无轨跟踪技术，无须使用云台、摇臂等硬件设备，即可实现推、拉、摇、移以及航拍等效果；</w:t>
            </w:r>
          </w:p>
          <w:p w14:paraId="6B02ACC8">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17、支持多种3D格式文件导入，包括obj、3ds、dxf、gltf、bvh、dae、stl、ply等格式；</w:t>
            </w:r>
          </w:p>
          <w:p w14:paraId="586D7C34">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18、三维场景中灯光反射强度、角度可设置，三维场景中支持导入不少于3个背景视窗内容，包括：外部输入信号、本地视频、图片、ip流、PPT/word，并可对背景视窗内容进行抠像处理，实现远程连线；</w:t>
            </w:r>
          </w:p>
          <w:p w14:paraId="38054E4C">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19、支持修改场景虚拟部件的三维空间位置、大小、形状等；</w:t>
            </w:r>
          </w:p>
          <w:p w14:paraId="0EE26B0E">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20、支持抠像载切调节，穿绑镜头可利用虚拟场景进行填充；</w:t>
            </w:r>
          </w:p>
          <w:p w14:paraId="2152CBC5">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21、所有媒体源支持以文件夹形式添加，添加后可生成预览文件夹，进入预览夹自动以列表形式展示，方便用户选择使用；</w:t>
            </w:r>
          </w:p>
          <w:p w14:paraId="1089DB8C">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22、支持导入台标文件，台标文件大小位置可调；</w:t>
            </w:r>
          </w:p>
          <w:p w14:paraId="679E84E1">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★23、支持导入gif文件为台标，同时应具备入场与出场特效，特效果模式不少于上入下出、下入上出、小入小出、左入左出、右入右出等6种；（需提供软件界面截图文件）</w:t>
            </w:r>
          </w:p>
          <w:p w14:paraId="38E92C75">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★24、支持画中画模式，如单画面模式，2画面模式，4画面等至少6种模式，画中画位置、大小可调，实现多画面连线，信号源可设置为外部输入、IP流、本地视频、PPT/word/PDF内容等；（需提供软件界面截图文件）</w:t>
            </w:r>
          </w:p>
          <w:p w14:paraId="21BB3878">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★25、系统自带题词器功能，同时输出屏幕可选，可设置输出字幕大小、滚动速度、镜像，支持导入txt文件；（需提供软件界面截图文件）</w:t>
            </w:r>
          </w:p>
          <w:p w14:paraId="6B933B3C">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26、系统自带不少于20种字幕背景文件，支持导入txt文档作为字幕，可设置为滚动或静止模式；</w:t>
            </w:r>
          </w:p>
          <w:p w14:paraId="0AB15DBB">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★27、支持将gif文件将字幕头文件，同时具有入场与出场特效，特效果模式不少于上入下出、下入上出、小入小出、左入左出、右入右出等6种模式；（需提供软件界面截图文件）</w:t>
            </w:r>
          </w:p>
          <w:p w14:paraId="5E864A86">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★28、一个场景可添加不少于5个以上的字幕文件进行组合，包括：字幕背景图片、静态或动态字幕头文件等，可制作成专业的图文包装效果；（需提供软件界面截图文件）</w:t>
            </w:r>
          </w:p>
          <w:p w14:paraId="0AFDC752">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29、支持暧场播出功能，暧场可添加一个图片文字作为标题；暧场支持倒计时或正计时开始模式；支持待定一个通道内容作为开播后的通道，并可自动切换播出；（需提供软件界面截图文件）</w:t>
            </w:r>
          </w:p>
          <w:p w14:paraId="2FE7BF83">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30、系统支持快捷键编辑功能，且不应少于20个可自定义的快捷键，包含：机位切换键、机位移键、导播切换、录制、推流键、模板保存；</w:t>
            </w:r>
          </w:p>
          <w:p w14:paraId="0E59FD31">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★31、支持导入mp3、wma、wav、mid、rmi、aac格式音频文件和lrc歌字文件， 歌字文字大小位置可调；（需提供软件界面截图文件）</w:t>
            </w:r>
          </w:p>
          <w:p w14:paraId="217F79BF">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★32、系统自带不少于400个真三维场景，包括：新闻类演播室、节目访谈、写实工作室、儿童卡通类、艺术类、历史地理类、舞美舞台类；（需提供软件界面截图文件）</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FDE9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4D46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19422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C53A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4</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9E86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点直播服系统</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216D8">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1、标准1U服务器架构，散热支持动态调节，硬件配置不低于：Intel Xeon E5-2680 v4，2.4GHz 主频，动态加速频率 3.3GHz，十四核心二十八线程，32G DDR4内存，标配8T硬盘</w:t>
            </w:r>
          </w:p>
          <w:p w14:paraId="3EBF3D00">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支持4路直播频道500并发用户数接受观看直播点播，支持H5免插件播放,支持PC/IOS/Android等多终端接收观看直播、点播/支持内外网访问，采用http/kms/rtmp/hls/http-flv等标准流传输协议、支持广域网、城域网、局域网等任何IP网络</w:t>
            </w:r>
          </w:p>
          <w:p w14:paraId="5FC19E0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3、支持在线点播、视频直播、视频流转播、文件广播等业务，支持网络摄像机信号无缝接入并录像点播，支持mp4本地文件流循环直播</w:t>
            </w:r>
          </w:p>
          <w:p w14:paraId="4B4ECF21">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4、WEB网站端、流服务端、远程管理端可以安装在一台服务上，或者分别独立部署，支持系统级联</w:t>
            </w:r>
          </w:p>
          <w:p w14:paraId="306A0926">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5、系统点播响应时间控制在100ms以内，支持暂停、拖动等操作，直播延时可自定义设置</w:t>
            </w:r>
          </w:p>
          <w:p w14:paraId="2689CBFE">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6、系统自主创建直播频道，点播节目分类、设置热点节目等</w:t>
            </w:r>
          </w:p>
          <w:p w14:paraId="17A8C673">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7、系统支持多种认证机制，可匿名登录/帐号登录/第三方认证登录</w:t>
            </w:r>
          </w:p>
          <w:p w14:paraId="22E7EAED">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8、支持远程管理端批量上传节目，后台自动截图在首页显示六个海报，并循环滚动显示</w:t>
            </w:r>
          </w:p>
          <w:p w14:paraId="3F8E597C">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9、系统在后台设置网站IP后可在前台首页自动生成二维码，移动终端（手机、IPAD)扫码后统一接入,同时支持微信公众号和APK/APP客户端</w:t>
            </w:r>
          </w:p>
          <w:p w14:paraId="4EC33409">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10、PC和移动终端（手机、IPAD)接入同一IP地址后，系统可自动判断识别，PC端为PHP页面,移动终端为html5页面</w:t>
            </w:r>
          </w:p>
          <w:p w14:paraId="50905E46">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11、系统支持标准的GMPlayer + H5播放器</w:t>
            </w:r>
          </w:p>
          <w:p w14:paraId="5C615B9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12、采用H5模式客户端无需下载插件，支持三种颜色显示模式（红、蓝、绿），支持定义修改banner和页脚信息</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4F05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9C02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5CF30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2E3E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5</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3653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视频编码器</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4FF8A">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分辨率支持 1920x1080p/1920x1080i/1280x720p/720*576i/720*576p/640*480i    等常规分辨率（可自定义）</w:t>
            </w:r>
          </w:p>
          <w:p w14:paraId="008715BA">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支持H.264   BASELINE PROFILE / MAIN PROFILE/ HIGH PROFILE</w:t>
            </w:r>
          </w:p>
          <w:p w14:paraId="64E5DA4A">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支持一台电脑多个设备同时使用显示</w:t>
            </w:r>
          </w:p>
          <w:p w14:paraId="0E1D74F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编码级别：1级、2级、3级、4级、5级（级别越高码流波动率越大）</w:t>
            </w:r>
          </w:p>
          <w:p w14:paraId="11F0DDB2">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码率控制CBR/VBR 16KBIT/S~12MBIT/S</w:t>
            </w:r>
          </w:p>
          <w:p w14:paraId="09DEC3FA">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网络接口采用1000M 全双工模式</w:t>
            </w:r>
          </w:p>
          <w:p w14:paraId="29D4AF97">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1通道HDMI输入，1通道3.5MM独立音频接口输入,支持SDI/VGA/CVBS转HDMI输入，支持音频增益，可单独调节音量大小</w:t>
            </w:r>
          </w:p>
          <w:p w14:paraId="1C742E6E">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支持高达720P，1080P的高清视频输入</w:t>
            </w:r>
          </w:p>
          <w:p w14:paraId="55C70FE1">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支持RTSP/RTP/RTMP/HTTP/UDP单播、组播等协议（RTMP支持添加用户及密码功能），支持DHCP协议，ONVIF协议，支持蓝光高清</w:t>
            </w:r>
          </w:p>
          <w:p w14:paraId="5524C0E6">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可与Wowza/FMS/RED5等流媒体服务器兼容，配合流媒体服务器推送直流，实现视频直播</w:t>
            </w:r>
          </w:p>
          <w:p w14:paraId="2D4083E8">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支持主、副等多协议多码流功能，主码流与副码流可采用不同的网络协议进行传输</w:t>
            </w:r>
          </w:p>
          <w:p w14:paraId="3FF440A5">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视频打包方式：A模式：FFMPEG，B模式：VLC</w:t>
            </w:r>
          </w:p>
          <w:p w14:paraId="6C1150D1">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支持流分辨率自定义输出设置</w:t>
            </w:r>
          </w:p>
          <w:p w14:paraId="46141795">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传输方式:TCP，UDP，1000M（RJ45双工网口）</w:t>
            </w:r>
          </w:p>
          <w:p w14:paraId="0FD648E8">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支持中英文OSD，支持OSD滚动，图片叠加,XY轴，字体可设置, 支持添加公司logo </w:t>
            </w:r>
          </w:p>
          <w:p w14:paraId="43D1D9DE">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支持WEB中英文网页访问，更改密码，支持广域网远程管理（WEB）</w:t>
            </w:r>
          </w:p>
          <w:p w14:paraId="47B80F91">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支持DHCP自动获取IP，支持一键还原及版本升级和远程维护。</w:t>
            </w:r>
          </w:p>
          <w:p w14:paraId="3C94487C">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图像设置：对比度、亮度、色调、饱和度、噪声检测、锐化度、滤波</w:t>
            </w:r>
          </w:p>
          <w:p w14:paraId="12F8CF9B">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支持内置及外接两种方式，支持左右声道。</w:t>
            </w:r>
          </w:p>
          <w:p w14:paraId="19998A13">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支持一键恢复默认配置</w:t>
            </w:r>
          </w:p>
          <w:p w14:paraId="38659649">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支持机顶盒解码</w:t>
            </w:r>
          </w:p>
          <w:p w14:paraId="2AA5E44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低功耗电源设计</w:t>
            </w:r>
          </w:p>
          <w:p w14:paraId="7C03AC0C">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支持无视频信号编码, 设置完成立即生效，无需重启</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CE8B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B54F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70339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289B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6</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8BE3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非线性编辑系统</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6F845">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1、英特尔 i9 十代以上处理器，睿频高达 3.6G。</w:t>
            </w:r>
          </w:p>
          <w:p w14:paraId="58F0AD3A">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2、2TB 企业级大容量硬盘储存，并支持扩展至 16TB</w:t>
            </w:r>
          </w:p>
          <w:p w14:paraId="4CA7D076">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3、32G 双通道工业内存。</w:t>
            </w:r>
          </w:p>
          <w:p w14:paraId="49E5922E">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4、12G/D6/192bit 四路高清接口，支持144Hz显示，专业三维图形渲染卡。</w:t>
            </w:r>
          </w:p>
          <w:p w14:paraId="3EFD66E0">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5、500GSSD高速固态硬盘，M.2接口。</w:t>
            </w:r>
          </w:p>
          <w:p w14:paraId="541C7E0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软件：</w:t>
            </w:r>
          </w:p>
          <w:p w14:paraId="23441785">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1.人性化软件界面设计: 操作者可以根据工作需要和个人喜好自由设置所有面板的位置、大小、模块以及模块中按键数量、布局，任意摆放界面。</w:t>
            </w:r>
          </w:p>
          <w:p w14:paraId="5BA1CBD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2.多用户管理:可以通过设置用户设置，建立多个用户多管 理，通过视频、音频、临时文件路径和用户路径对素材进行分类摆放；各个用户的素材都可以调用。</w:t>
            </w:r>
          </w:p>
          <w:p w14:paraId="79E8D228">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3.时间线编辑功能:支持轨间特技和轨内特技,自动添加轨 间特技,支持多机位编辑系统支持多机位编辑功能， 2 个机位或 4 个机位编辑，利用这一功能用户可方便快捷对不同机位素材进行编辑.支持素材场景自动分割，并提供最小分割帧数设置,通过简单分割、普通分割和精细分割素材可快速分割运动场景，并提供最小分割帧数设置为方便协作载片、编辑之用. 支持素材时间线自动变换, 素材在时间线上可以自动的适应高标清，自动拉伸、切边以适应不同的需要. 自动对位,素材在时间线上编辑自动对位并显示对位线。多故事板,时间线支持多故事板，最多可以 10 个故事板，不同故事板直接素材，节目可以拷贝，导入。</w:t>
            </w:r>
          </w:p>
          <w:p w14:paraId="521FD7B7">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4、支持三维场景：支持 3ds-max 导出的三维场景文件可以在非偏中对场景中的灯光，视角，大小，视点等参数进行调整。可以做为背景和摄录的前景扣像叠合，从而达到虚拟演播室的效果</w:t>
            </w:r>
          </w:p>
          <w:p w14:paraId="1F763459">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5.支持删除黑场,黑场自动检测，一键即可自动删除选中区域内所有存在的黑场。可以分区域删除，避免需要黑场部分被误删。支持带 Alpha 通道的 RGBA 视频文件，利用这一技术，用户可以方便地对带 Alpha 通道的 RGBA 视频文件进行编辑。导入 TGA 序列。</w:t>
            </w:r>
          </w:p>
          <w:p w14:paraId="34FF4CE3">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6.网络化非线性编辑,按照非编网络化工艺流程要求，以网络化数据库管理的节目及素材资源管理策略，全面解决集中式双采集，数据中心化的节目编辑及存储，组成非编节目制作网络。</w:t>
            </w:r>
          </w:p>
          <w:p w14:paraId="73F268CC">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7.输出：多格式的输出，支持输出 AVI，MPG，MOV，MXF，MP4 等多种格式。多项输出，可以把不同的时间</w:t>
            </w:r>
          </w:p>
          <w:p w14:paraId="7056BA9E">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线，不同的区域，不同的格式的项目输出技和在一起，一次性的输出。插件输出，可以使用 Premiere 的输出插件来输出项目。时间线 1394 直接回录 DV25、DV50， DVCPROHD ，可以把节目从时间线直接无损的通过1394 回写到录像机，可以设置写入的入点出点以及时间线入点出点。直接输出 P2，蓝光，MP4 文件，可以时间线直接输出</w:t>
            </w:r>
          </w:p>
          <w:p w14:paraId="1989FDA4">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P2，蓝光，MP4 等文件，直接拷贝到卡或介质上使用。8.特技编辑和模板：高级的色键、亮键、抠像。模板的应 用，所有的特技都可以存储为模板，多个特技也可以存储为模板，并且支持特技的先后顺序。实时特技，并且特技都以模板方式存在，可以直接调用。</w:t>
            </w:r>
          </w:p>
          <w:p w14:paraId="45252AB9">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9.字幕系统：字幕时序播出和手控结合，时间长度、图元次序，层次实时可调。也可用手控拍打控制播出和记录时间。可导入影片背景预览合成；可导入 TIMECODE 文本文件；可导出 TIMECODE 文本文件，支持 DVD 多国字幕制作。</w:t>
            </w:r>
          </w:p>
          <w:p w14:paraId="2A8D3DAB">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10.支持插件特技，支持Boris 特技作为插件使用，可通过 Boris 支持 AE 插件。通过插件方式支持 After Effect、 BORIS 等第三方特技，极大的丰富了特效创作空间；在系统中可以直接使用 BORIS 进行包装操作，实现漂亮的</w:t>
            </w:r>
          </w:p>
          <w:p w14:paraId="06E36A06">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3D 粒子特效，如：雨、雪、火花等多层效果。</w:t>
            </w:r>
          </w:p>
          <w:p w14:paraId="1A1A4B31">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11.非编内部支持 SQL  网络数据库(不需外部管理程序)。支持全网络路径管理。支持网络项目检索\文件检索\用户   检索,数据共享.支持自动用户目录共享。</w:t>
            </w:r>
          </w:p>
          <w:p w14:paraId="4DEF908C">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12.支持素材场景自动分割，并提供最小分割帧数设置通过简单分割、普通分割和精细分割素材可快速分割运动场景，并提供最小分割帧数。</w:t>
            </w:r>
          </w:p>
          <w:p w14:paraId="7D330A28">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13.支持速度工具调节速度，支持差值慢动作视频支持差值慢动作，并可以使用速度工具无级调节速度，使之和相应的位置对齐。</w:t>
            </w:r>
          </w:p>
          <w:p w14:paraId="0B7509C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14.自动添加轨间特技 可以选择自动添加轨间特技，选择自动添加轨间特技后，当移动或删除素材时，上下轨的特技都可以跟随特技的位置的改变而改变。</w:t>
            </w:r>
          </w:p>
          <w:p w14:paraId="305EE853">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15.支持基于时间线的拍打唱词, 唱词文字内容可以直接在时间线显示。</w:t>
            </w:r>
          </w:p>
          <w:p w14:paraId="173E24C7">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16.支持最新的文件格式-Sony XAVC（Intra / Long GOP）/ XAVC S / XDCAM，Panasonic AVC-Ultra / AVC-Intra / P2和Canon XF-AVC / XF-HEVC（仅导入），Sony RAW，Canon Cinema RAW / Cinema RAW Light（仅导入），RED RAW（仅导入），ProRes，DNxHD / HR（可选），静态图像RAW等</w:t>
            </w:r>
          </w:p>
          <w:p w14:paraId="4BD0AFE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17.支持Log和RAW文件的最新色彩空间-HLG / PQ，S-Log，Canon Log，V-Log / V-Log L，J-Log1，F-Log，Log C，D-Log，N -Log，OM-Log400和LUT（.cube）文件导入</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7163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2A94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0196B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FCFF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7</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9581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专业高清摄像机</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2F8F1">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产品类型：4K摄像机光学变焦：12倍最低照明度：1.7lux存储介质：MS/SD，SD传感器尺寸1英寸（13.2×8.8mm）最大像素2000万有效像素1420万光学变焦12倍纠错实际焦距f=9.3-111.6mm等效35mm焦距f=29.0-348.0mm最大光圈F2.8-4.5滤镜直径62mm液晶屏尺寸3.5英寸液晶屏像素156万取景器描述0.39英寸OLED，约144万像素对焦范围广角：10mm-无穷远，长焦：1000mm-无穷远[60i]：1/8-1/10000（以24p拍摄时为1/6-1/10000）</w:t>
            </w:r>
            <w:r>
              <w:rPr>
                <w:rStyle w:val="286"/>
                <w:rFonts w:hint="eastAsia" w:ascii="宋体" w:hAnsi="宋体" w:eastAsia="宋体" w:cs="宋体"/>
                <w:b w:val="0"/>
                <w:bCs w:val="0"/>
                <w:sz w:val="21"/>
                <w:szCs w:val="21"/>
                <w:highlight w:val="none"/>
                <w:lang w:val="en-US" w:eastAsia="zh-CN" w:bidi="ar"/>
              </w:rPr>
              <w:t xml:space="preserve"> </w:t>
            </w:r>
            <w:r>
              <w:rPr>
                <w:rStyle w:val="145"/>
                <w:rFonts w:hint="eastAsia" w:ascii="宋体" w:hAnsi="宋体" w:eastAsia="宋体" w:cs="宋体"/>
                <w:b w:val="0"/>
                <w:bCs w:val="0"/>
                <w:sz w:val="21"/>
                <w:szCs w:val="21"/>
                <w:highlight w:val="none"/>
                <w:lang w:val="en-US" w:eastAsia="zh-CN" w:bidi="ar"/>
              </w:rPr>
              <w:t>[50i]：1/6-1/10000最低照明度1.7lux白平衡自动，预设（室内：3200K，室外：5600K±7级，色温设置范围：2300-15000K），一键式A、B，自动可选麦克风内置全指向立体声驻极体电容无线性能WiFi：支持IEEE 802.11 b/g/n，2.4 GHz 带宽NFC功能支持其它功能工作温度：0-40℃储存温度：-20-60℃USB接口Micro USB2.0HDMI接口支持其它接口音频输入：XLR型3针（母头）(x2)，线路/麦克风/麦克风 +48 V 可选视频输出：已集成到 Multi/Micro USB 插孔 (x1)，RCA 针 (x1)，复合 1.0Vp-p，75Ω音频输出：已集成到 Multi/Micro USB 插孔 (x1)，RCA 针（单声道）(x1)SDI输出：BNC(x1)，3G/HD/SD SMPTE ST 424/ST 292-1/ST 259 标准耳机输出：立体声迷你插孔 (x1)扬声器输出：单声道DC输入：DC插孔远程控制：立体声迷你插孔（直径2.5mm）供电时间使用NP-F770电池时大约260分钟（录制时，带液晶屏，XAVC 1080/60i，50 Mbps）</w:t>
            </w:r>
            <w:r>
              <w:rPr>
                <w:rStyle w:val="286"/>
                <w:rFonts w:hint="eastAsia" w:ascii="宋体" w:hAnsi="宋体" w:eastAsia="宋体" w:cs="宋体"/>
                <w:b w:val="0"/>
                <w:bCs w:val="0"/>
                <w:sz w:val="21"/>
                <w:szCs w:val="21"/>
                <w:highlight w:val="none"/>
                <w:lang w:val="en-US" w:eastAsia="zh-CN" w:bidi="ar"/>
              </w:rPr>
              <w:t xml:space="preserve"> </w:t>
            </w:r>
            <w:r>
              <w:rPr>
                <w:rStyle w:val="145"/>
                <w:rFonts w:hint="eastAsia" w:ascii="宋体" w:hAnsi="宋体" w:eastAsia="宋体" w:cs="宋体"/>
                <w:b w:val="0"/>
                <w:bCs w:val="0"/>
                <w:sz w:val="21"/>
                <w:szCs w:val="21"/>
                <w:highlight w:val="none"/>
                <w:lang w:val="en-US" w:eastAsia="zh-CN" w:bidi="ar"/>
              </w:rPr>
              <w:t>使用NP-F970电池时大约400分钟（录制时，带液晶屏，XAVC 1080/60i，50 Mbps）耗电量约6.3W（录制时，带寻像器，XAVC HD 1080/60i 50 Mbps）</w:t>
            </w:r>
            <w:r>
              <w:rPr>
                <w:rStyle w:val="286"/>
                <w:rFonts w:hint="eastAsia" w:ascii="宋体" w:hAnsi="宋体" w:eastAsia="宋体" w:cs="宋体"/>
                <w:b w:val="0"/>
                <w:bCs w:val="0"/>
                <w:sz w:val="21"/>
                <w:szCs w:val="21"/>
                <w:highlight w:val="none"/>
                <w:lang w:val="en-US" w:eastAsia="zh-CN" w:bidi="ar"/>
              </w:rPr>
              <w:t xml:space="preserve"> </w:t>
            </w:r>
            <w:r>
              <w:rPr>
                <w:rStyle w:val="145"/>
                <w:rFonts w:hint="eastAsia" w:ascii="宋体" w:hAnsi="宋体" w:eastAsia="宋体" w:cs="宋体"/>
                <w:b w:val="0"/>
                <w:bCs w:val="0"/>
                <w:sz w:val="21"/>
                <w:szCs w:val="21"/>
                <w:highlight w:val="none"/>
                <w:lang w:val="en-US" w:eastAsia="zh-CN" w:bidi="ar"/>
              </w:rPr>
              <w:t>约6.6W（录制时，带液晶屏，XAVC HD 1080/60i 50 Mbps）</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EB07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C862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w:t>
            </w:r>
          </w:p>
        </w:tc>
      </w:tr>
      <w:tr w14:paraId="2B8DE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41CE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8</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AA8E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三角架</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2545E">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便于水平调整/采用三级圆形双管脚架,拍摄时能抗弯曲和拉伸/摄像机固定 采用快拆式固定板，只需一按一扳就能随意取放摄像机规格/摄像机固定：快拆式固定板/底座（爪球），含滑轮车</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A890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73A0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lang w:val="en-US" w:eastAsia="zh-CN"/>
              </w:rPr>
            </w:pPr>
            <w:r>
              <w:rPr>
                <w:rFonts w:hint="eastAsia" w:ascii="宋体" w:hAnsi="宋体" w:cs="宋体"/>
                <w:b w:val="0"/>
                <w:bCs w:val="0"/>
                <w:i w:val="0"/>
                <w:iCs w:val="0"/>
                <w:color w:val="000000"/>
                <w:sz w:val="21"/>
                <w:szCs w:val="21"/>
                <w:highlight w:val="none"/>
                <w:u w:val="none"/>
                <w:lang w:val="en-US" w:eastAsia="zh-CN"/>
              </w:rPr>
              <w:t>3</w:t>
            </w:r>
          </w:p>
        </w:tc>
      </w:tr>
      <w:tr w14:paraId="41F53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831F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9</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EEFE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显示器</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89303">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27英寸，带DVI、VGA视频接口</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C0F3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456F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5</w:t>
            </w:r>
          </w:p>
        </w:tc>
      </w:tr>
      <w:tr w14:paraId="2CF52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967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10</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51EC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无线麦克风</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1F096">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载波频率: UHF510-960 MHz ，振荡模式：PLL锁相环综合控制 ，频带宽度：25 MHz、50 MHz、100 MHz ，发射功率：5mW-30mW可调 ，频率调整：IRA红外线自动，操作显示：LCD液晶显示RF，接收方式：FM/IRA红外线自动锁频，±35KHz具有音响压缩扩展处理自动音量控制, 可切换频率数：100、200、400 , 预设频道：100、200、400, 综合T.H.D.：＞0.5%,综合频率响应：50Hz~16KHz±3dB;</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703C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F6DF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lang w:val="en-US" w:eastAsia="zh-CN"/>
              </w:rPr>
            </w:pPr>
            <w:r>
              <w:rPr>
                <w:rFonts w:hint="eastAsia" w:ascii="宋体" w:hAnsi="宋体" w:cs="宋体"/>
                <w:b w:val="0"/>
                <w:bCs w:val="0"/>
                <w:i w:val="0"/>
                <w:iCs w:val="0"/>
                <w:color w:val="000000"/>
                <w:sz w:val="21"/>
                <w:szCs w:val="21"/>
                <w:highlight w:val="none"/>
                <w:u w:val="none"/>
                <w:lang w:val="en-US" w:eastAsia="zh-CN"/>
              </w:rPr>
              <w:t>3</w:t>
            </w:r>
          </w:p>
        </w:tc>
      </w:tr>
      <w:tr w14:paraId="59CCD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A05B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11</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128C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调音台</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E139D">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频响：+0.5dB/-0.5dB（20Hz-20kHz）</w:t>
            </w:r>
          </w:p>
          <w:p w14:paraId="100FDAEA">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总谐波失真：0.03%@+14dBu（20 Hz-20kHz）</w:t>
            </w:r>
          </w:p>
          <w:p w14:paraId="507B1887">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输入通道：12通道：单声道：4；立体声：4</w:t>
            </w:r>
          </w:p>
          <w:p w14:paraId="46E37335">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母线：立体声：1；编组：2，AUX（包括FX）</w:t>
            </w:r>
          </w:p>
          <w:p w14:paraId="71554DD7">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USB音频：USB音频2.0兼容 采样率：最大192kHz，Bit深度：24-bit</w:t>
            </w:r>
          </w:p>
          <w:p w14:paraId="72CA2AC3">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内建数字效果：24编程</w:t>
            </w:r>
          </w:p>
          <w:p w14:paraId="5C29A682">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操作温度：0-40℃</w:t>
            </w:r>
          </w:p>
          <w:p w14:paraId="062C438B">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系统拥有十二路调音台系统，实时预览； 内置混音和音频跟随功能；</w:t>
            </w:r>
          </w:p>
          <w:p w14:paraId="78874032">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支持实时导等入MP3 音频文件播放；</w:t>
            </w:r>
          </w:p>
          <w:p w14:paraId="3CC5DF41">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每路音频轨均可单控制，包括：音量大小、静音和音量状态指示；</w:t>
            </w:r>
          </w:p>
          <w:p w14:paraId="0AEBB234">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八路通道中均可设置是否导入本地音频；</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E69F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71E5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2817D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43E1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12</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D1FA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功放</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7706E">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标准的 1U 高度适合于机柜安装放置。面板 LED 指示清晰明了，工作状态一目了然。专业的输入、输出接口，令您的使用更加方便。拥有完善的短路、过热、直流、过载等保护设施，令扬声器外接设备更安全。优秀的对流散热冷却系统，大大的提高了功放内部散热效率，确保设备能长期稳定的工作。功率输出水平：200Wx2，输出阻抗： 8Ω，频率响应：20Hz-20KHz，信噪比：＞90dB，输入阻抗：30KΩ/平衡 15KΩ/不平衡；</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2338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4BD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0E4E1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858F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13</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864C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音箱</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75723">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额定阻抗：8Ω </w:t>
            </w:r>
          </w:p>
          <w:p w14:paraId="657F6BBA">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灵敏度（1W@1m）：96dB</w:t>
            </w:r>
          </w:p>
          <w:p w14:paraId="0855DDE4">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最大声压级（峰值）：低音126dB</w:t>
            </w:r>
          </w:p>
          <w:p w14:paraId="738F3ED9">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覆盖角度(水平×垂直)：90°×75°</w:t>
            </w:r>
          </w:p>
          <w:p w14:paraId="3CAEC843">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频率响应：80Hz～20kHz（－10dB）, 100Hz～15kHz（－3dB）</w:t>
            </w:r>
          </w:p>
          <w:p w14:paraId="29BC688D">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承受功率：150W；峰值功率：300W；额定阻抗：8ohm 频率范围：70Hz-18KHz；灵敏度：96dB；最大声压级 126dB指向性：(H°xV°) 600×400；低音单元：8-in ×1；高音驱动：25mm×1；保护：Audio guard；</w:t>
            </w:r>
          </w:p>
          <w:p w14:paraId="0CC9AF25">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提供相关产品认证。</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439B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只</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7DDF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w:t>
            </w:r>
          </w:p>
        </w:tc>
      </w:tr>
      <w:tr w14:paraId="2F48E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7FA0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14</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0366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提词器</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BB540">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进口超薄镀膜单反射光学玻璃，具备一致性好，抗老化，寿命长，耐磨损，不易吸附静电等特点。显示器采用特殊控制电路，字符大，亮度高，文字清晰。整体支架采用专业设计，带有角轮，移动方便。采用全中文操作平台和专用的提词器软件。操作方式灵活方便。</w:t>
            </w:r>
          </w:p>
          <w:p w14:paraId="6BB12515">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2、高画质：提词器的反射屏为专业设计TFT液晶平板显示器。进口超薄介质光学玻璃。视距大于3米，图像鲜艳，分辨率高，1024x768像素。4、广视角：水平140°， 垂直130°。在很亮的演播室环境下图像也很清楚。高对比度视频电路设计，可达150：1。6、22寸液晶屏任意选择。</w:t>
            </w:r>
          </w:p>
          <w:p w14:paraId="3701DAE0">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3、高性能：1、对画面进行最适当的调节。2、软件与XP、W7兼容。应用方便，操作灵活。4、三脚架使用方便、灵巧。4、自检屏可以辅助播音员利用自己眼睛的余光来调整自己的状态。</w:t>
            </w:r>
          </w:p>
          <w:p w14:paraId="518B3A8E">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4、配备专业提词器软件：专业提词器软件，方便操作，具有多种功能，如镜像、A、B播音员分色播出、滚动速度任意调整，方便灵活；字号、字体任意设置，边缘锯齿，字色、背景色任意搭配等。操作便携，主要功能通过鼠标操作即可达成使要求。</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CFF2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D5DA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0DC6F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BE98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15</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1415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无线画面采集系统</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13B39">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频率 5.1-5.9(GHz)*根据不同地区的相关RF规定.</w:t>
            </w:r>
          </w:p>
          <w:p w14:paraId="163E0CF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带宽 50MHz</w:t>
            </w:r>
          </w:p>
          <w:p w14:paraId="3B5D3701">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视频格式支持 1080p 23.98/24/25/30/50/60</w:t>
            </w:r>
          </w:p>
          <w:p w14:paraId="4FD8DD15">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1080psf 23.98/24/25</w:t>
            </w:r>
          </w:p>
          <w:p w14:paraId="12BC36BC">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1080i 50/59.94/60</w:t>
            </w:r>
          </w:p>
          <w:p w14:paraId="2E694180">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720p 50/59.94/60</w:t>
            </w:r>
          </w:p>
          <w:p w14:paraId="6AC917FE">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576p 576i 480p 480i</w:t>
            </w:r>
          </w:p>
          <w:p w14:paraId="698CE3A4">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音频格式支持 PCM, DTS-HD, Dolby TrueHD</w:t>
            </w:r>
          </w:p>
          <w:p w14:paraId="4E5C3238">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传输范围 Max 2000m(可视范围内)</w:t>
            </w:r>
          </w:p>
          <w:p w14:paraId="1070AAB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发射端（TX）</w:t>
            </w:r>
          </w:p>
          <w:p w14:paraId="36A691C1">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天线 外接5G天线 × 2pcs</w:t>
            </w:r>
          </w:p>
          <w:p w14:paraId="03458B6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发射功率 17dBm</w:t>
            </w:r>
          </w:p>
          <w:p w14:paraId="0A4FDBA4">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功能接口 HDMI Input; SDI Input; SDI Loop Output; Mini USB; LEMO Power IN; Antenna RPSMA Socket; Power ON/OFF             </w:t>
            </w:r>
          </w:p>
          <w:p w14:paraId="2B480E1B">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安装结构 1/4热靴连接</w:t>
            </w:r>
          </w:p>
          <w:p w14:paraId="5EE74D79">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OLED屏幕显示 无线频道信息; 视频状态; 电池电量.</w:t>
            </w:r>
          </w:p>
          <w:p w14:paraId="744122DB">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工作电压 9-18V DC输入, F970 电池</w:t>
            </w:r>
          </w:p>
          <w:p w14:paraId="6FCC8487">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功率 7-8W</w:t>
            </w:r>
          </w:p>
          <w:p w14:paraId="0E75DF86">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温度 -10-50℃(操作); -40-80℃(储存)</w:t>
            </w:r>
          </w:p>
          <w:p w14:paraId="55A17571">
            <w:pPr>
              <w:pStyle w:val="18"/>
              <w:rPr>
                <w:rFonts w:hint="eastAsia"/>
                <w:highlight w:val="none"/>
                <w:lang w:val="en-US" w:eastAsia="zh-CN"/>
              </w:rPr>
            </w:pPr>
          </w:p>
          <w:p w14:paraId="74CA0B2A">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接收端（RX）</w:t>
            </w:r>
          </w:p>
          <w:p w14:paraId="446BE96D">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天线 外接5G天线 × 5pcs</w:t>
            </w:r>
          </w:p>
          <w:p w14:paraId="0CC7E936">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接收灵敏度 -70dBm</w:t>
            </w:r>
          </w:p>
          <w:p w14:paraId="79DA00B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功能接口 SDI Dual Output; HDMI Output; Mini USB; </w:t>
            </w:r>
          </w:p>
          <w:p w14:paraId="01C973E1">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LEMO Power IN; Antenna RPSMA Socket; </w:t>
            </w:r>
          </w:p>
          <w:p w14:paraId="7A99FD9A">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Power ON/OFF</w:t>
            </w:r>
          </w:p>
          <w:p w14:paraId="1A812DC8">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安装结构 1/4 热靴连接</w:t>
            </w:r>
          </w:p>
          <w:p w14:paraId="3D8599EE">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工作电压 9-18VDC输入；SONY V口电池</w:t>
            </w:r>
          </w:p>
          <w:p w14:paraId="614C1CF0">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功率 7-8W     </w:t>
            </w:r>
          </w:p>
          <w:p w14:paraId="4DCF83D1">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温度 -10-50℃(操作); -40-80℃(储存)</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6FD7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2B1B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488A9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9B1B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16</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B11B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通话系统</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1A651">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主机</w:t>
            </w:r>
          </w:p>
          <w:p w14:paraId="14530ADD">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电源开关</w:t>
            </w:r>
          </w:p>
          <w:p w14:paraId="49694ED9">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水晶控制键14个</w:t>
            </w:r>
          </w:p>
          <w:p w14:paraId="78D893D1">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音量旋钮</w:t>
            </w:r>
          </w:p>
          <w:p w14:paraId="2B4E6F92">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状态指示灯</w:t>
            </w:r>
          </w:p>
          <w:p w14:paraId="5F438D99">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3芯XLR母座鹅颈麦输入</w:t>
            </w:r>
          </w:p>
          <w:p w14:paraId="22A94A1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4芯XLR母座耳机输出</w:t>
            </w:r>
          </w:p>
          <w:p w14:paraId="7BC4350D">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扬声器</w:t>
            </w:r>
          </w:p>
          <w:p w14:paraId="70AD67D3">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天线接口 （ANT母座）</w:t>
            </w:r>
          </w:p>
          <w:p w14:paraId="2B249322">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DB25母座Tally接口</w:t>
            </w:r>
          </w:p>
          <w:p w14:paraId="6CDA37D1">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3芯AUX IN音频输入</w:t>
            </w:r>
          </w:p>
          <w:p w14:paraId="23E04B08">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3芯AUX OUT音频输出</w:t>
            </w:r>
          </w:p>
          <w:p w14:paraId="7E5A8393">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交流品型电源座AC输入</w:t>
            </w:r>
          </w:p>
          <w:p w14:paraId="30D44F4A">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100-240V AC输入 50/60Hz</w:t>
            </w:r>
          </w:p>
          <w:p w14:paraId="5B4F0E4B">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接收灵敏度≤-93dBm</w:t>
            </w:r>
          </w:p>
          <w:p w14:paraId="38DEAA99">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功耗＜1W</w:t>
            </w:r>
          </w:p>
          <w:p w14:paraId="62EA1E23">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482 x 45 x 215mm（含天线接口）</w:t>
            </w:r>
          </w:p>
          <w:p w14:paraId="66F1E132">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工作频率428-439MHz数字频率;</w:t>
            </w:r>
          </w:p>
          <w:p w14:paraId="20C842E4">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频率响应550~3.6KHz，＜+/-3dB</w:t>
            </w:r>
          </w:p>
          <w:p w14:paraId="45A4E792">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讯号噪声比&gt;50dB</w:t>
            </w:r>
          </w:p>
          <w:p w14:paraId="561E774C">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温度范围-20～60℃</w:t>
            </w:r>
          </w:p>
          <w:p w14:paraId="3860B808">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总谐波失真(THD＜3%</w:t>
            </w:r>
          </w:p>
          <w:p w14:paraId="4475E17E">
            <w:pPr>
              <w:pStyle w:val="18"/>
              <w:rPr>
                <w:rFonts w:hint="eastAsia"/>
                <w:highlight w:val="none"/>
                <w:lang w:val="en-US" w:eastAsia="zh-CN"/>
              </w:rPr>
            </w:pPr>
          </w:p>
          <w:p w14:paraId="2C99EF5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分机</w:t>
            </w:r>
          </w:p>
          <w:p w14:paraId="3582FEA2">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天线接口SMA-K母头</w:t>
            </w:r>
          </w:p>
          <w:p w14:paraId="661EC68E">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开关及音量旋钮</w:t>
            </w:r>
          </w:p>
          <w:p w14:paraId="0B6D8782">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6芯mini XLR耳机接口</w:t>
            </w:r>
          </w:p>
          <w:p w14:paraId="16D2E7D1">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3.5寸LED显示屏</w:t>
            </w:r>
          </w:p>
          <w:p w14:paraId="4EAD9A47">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状态指示灯</w:t>
            </w:r>
          </w:p>
          <w:p w14:paraId="2B9B3639">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分机设置按键</w:t>
            </w:r>
          </w:p>
          <w:p w14:paraId="310345BE">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mini usb充电口</w:t>
            </w:r>
          </w:p>
          <w:p w14:paraId="48DB52E7">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3.5 Tally输出口</w:t>
            </w:r>
          </w:p>
          <w:p w14:paraId="011885CC">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背夹</w:t>
            </w:r>
          </w:p>
          <w:p w14:paraId="01164999">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4000mah，聚合物锂电池</w:t>
            </w:r>
          </w:p>
          <w:p w14:paraId="5F67B02D">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接收灵敏度≤-93dBm</w:t>
            </w:r>
          </w:p>
          <w:p w14:paraId="0A32F4A8">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功耗 ＜1W</w:t>
            </w:r>
          </w:p>
          <w:p w14:paraId="173C6350">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通话距离 主机和子机间最大距离 1500 米（可视距离）</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7189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F29C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4CC0A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1C80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17</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E10D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运动相机</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05720">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总像素 1200万像素</w:t>
            </w:r>
          </w:p>
          <w:p w14:paraId="7647E5F2">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传感器类型 CMOS传感器</w:t>
            </w:r>
          </w:p>
          <w:p w14:paraId="66F9A2CB">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拍照功能描述 SuperPhoto智能照片+强化HDR</w:t>
            </w:r>
          </w:p>
          <w:p w14:paraId="1E27E552">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镜头描述 超广角/宽/线性/窄，数字镜头</w:t>
            </w:r>
          </w:p>
          <w:p w14:paraId="2F40D696">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视频拍摄 高清规格 4K 4096×2160</w:t>
            </w:r>
          </w:p>
          <w:p w14:paraId="20F3BB6E">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高清帧数 4K60短片</w:t>
            </w:r>
          </w:p>
          <w:p w14:paraId="59DA5A5C">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功能描述 8X慢动作</w:t>
            </w:r>
          </w:p>
          <w:p w14:paraId="3A4EBDA0">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TimeWarp2.0延时拍摄，夜景延时拍摄</w:t>
            </w:r>
          </w:p>
          <w:p w14:paraId="13ECDA28">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屏幕特性 触摸屏</w:t>
            </w:r>
          </w:p>
          <w:p w14:paraId="666185C9">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功能参数 扬声器 </w:t>
            </w:r>
          </w:p>
          <w:p w14:paraId="3F38A093">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内置扬声器四防功能 </w:t>
            </w:r>
          </w:p>
          <w:p w14:paraId="1D979349">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防水,10米</w:t>
            </w:r>
          </w:p>
          <w:p w14:paraId="78661A34">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附加功能 GPS</w:t>
            </w:r>
          </w:p>
          <w:p w14:paraId="28B6838C">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播放功能 1080P视频播放</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005F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114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4E6D1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B03F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18</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A7F8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手持云台相机</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7C71F">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麦克风：三阵列麦克风设计。</w:t>
            </w:r>
            <w:r>
              <w:rPr>
                <w:rStyle w:val="287"/>
                <w:rFonts w:hint="eastAsia" w:ascii="宋体" w:hAnsi="宋体" w:eastAsia="宋体" w:cs="宋体"/>
                <w:b w:val="0"/>
                <w:bCs w:val="0"/>
                <w:sz w:val="21"/>
                <w:szCs w:val="21"/>
                <w:highlight w:val="none"/>
                <w:lang w:val="en-US" w:eastAsia="zh-CN" w:bidi="ar"/>
              </w:rPr>
              <w:t>​</w:t>
            </w:r>
          </w:p>
          <w:p w14:paraId="2D6951B6">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触控屏：2.0 英寸，分辨率 314×556，亮度 700 尼特。</w:t>
            </w:r>
            <w:r>
              <w:rPr>
                <w:rStyle w:val="287"/>
                <w:rFonts w:hint="eastAsia" w:ascii="宋体" w:hAnsi="宋体" w:eastAsia="宋体" w:cs="宋体"/>
                <w:b w:val="0"/>
                <w:bCs w:val="0"/>
                <w:sz w:val="21"/>
                <w:szCs w:val="21"/>
                <w:highlight w:val="none"/>
                <w:lang w:val="en-US" w:eastAsia="zh-CN" w:bidi="ar"/>
              </w:rPr>
              <w:t>​</w:t>
            </w:r>
          </w:p>
          <w:p w14:paraId="473A8BDD">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存储介质：microSD 卡，最大支持 1TB。</w:t>
            </w:r>
            <w:r>
              <w:rPr>
                <w:rStyle w:val="287"/>
                <w:rFonts w:hint="eastAsia" w:ascii="宋体" w:hAnsi="宋体" w:eastAsia="宋体" w:cs="宋体"/>
                <w:b w:val="0"/>
                <w:bCs w:val="0"/>
                <w:sz w:val="21"/>
                <w:szCs w:val="21"/>
                <w:highlight w:val="none"/>
                <w:lang w:val="en-US" w:eastAsia="zh-CN" w:bidi="ar"/>
              </w:rPr>
              <w:t>​</w:t>
            </w:r>
          </w:p>
          <w:p w14:paraId="7E675845">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云台参数：</w:t>
            </w:r>
            <w:r>
              <w:rPr>
                <w:rStyle w:val="287"/>
                <w:rFonts w:hint="eastAsia" w:ascii="宋体" w:hAnsi="宋体" w:eastAsia="宋体" w:cs="宋体"/>
                <w:b w:val="0"/>
                <w:bCs w:val="0"/>
                <w:sz w:val="21"/>
                <w:szCs w:val="21"/>
                <w:highlight w:val="none"/>
                <w:lang w:val="en-US" w:eastAsia="zh-CN" w:bidi="ar"/>
              </w:rPr>
              <w:t>​</w:t>
            </w:r>
          </w:p>
          <w:p w14:paraId="2909FA6B">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可控转动范围：平移 - 235° 至 58°，俯仰 - 120° 至 70°，横滚 - 45° 至 45°。</w:t>
            </w:r>
            <w:r>
              <w:rPr>
                <w:rStyle w:val="287"/>
                <w:rFonts w:hint="eastAsia" w:ascii="宋体" w:hAnsi="宋体" w:eastAsia="宋体" w:cs="宋体"/>
                <w:b w:val="0"/>
                <w:bCs w:val="0"/>
                <w:sz w:val="21"/>
                <w:szCs w:val="21"/>
                <w:highlight w:val="none"/>
                <w:lang w:val="en-US" w:eastAsia="zh-CN" w:bidi="ar"/>
              </w:rPr>
              <w:t>​</w:t>
            </w:r>
          </w:p>
          <w:p w14:paraId="4A4A8F28">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结构转动范围：平移 - 240° 至 63°，俯仰 - 180° 至 98°，横滚 - 220° 至 63°。</w:t>
            </w:r>
            <w:r>
              <w:rPr>
                <w:rStyle w:val="287"/>
                <w:rFonts w:hint="eastAsia" w:ascii="宋体" w:hAnsi="宋体" w:eastAsia="宋体" w:cs="宋体"/>
                <w:b w:val="0"/>
                <w:bCs w:val="0"/>
                <w:sz w:val="21"/>
                <w:szCs w:val="21"/>
                <w:highlight w:val="none"/>
                <w:lang w:val="en-US" w:eastAsia="zh-CN" w:bidi="ar"/>
              </w:rPr>
              <w:t>​</w:t>
            </w:r>
          </w:p>
          <w:p w14:paraId="738C5D51">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最大控制转速：180°/ 秒。</w:t>
            </w:r>
            <w:r>
              <w:rPr>
                <w:rStyle w:val="287"/>
                <w:rFonts w:hint="eastAsia" w:ascii="宋体" w:hAnsi="宋体" w:eastAsia="宋体" w:cs="宋体"/>
                <w:b w:val="0"/>
                <w:bCs w:val="0"/>
                <w:sz w:val="21"/>
                <w:szCs w:val="21"/>
                <w:highlight w:val="none"/>
                <w:lang w:val="en-US" w:eastAsia="zh-CN" w:bidi="ar"/>
              </w:rPr>
              <w:t>​</w:t>
            </w:r>
          </w:p>
          <w:p w14:paraId="5546988D">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抖动抑制量：±0.005°。</w:t>
            </w:r>
            <w:r>
              <w:rPr>
                <w:rStyle w:val="287"/>
                <w:rFonts w:hint="eastAsia" w:ascii="宋体" w:hAnsi="宋体" w:eastAsia="宋体" w:cs="宋体"/>
                <w:b w:val="0"/>
                <w:bCs w:val="0"/>
                <w:sz w:val="21"/>
                <w:szCs w:val="21"/>
                <w:highlight w:val="none"/>
                <w:lang w:val="en-US" w:eastAsia="zh-CN" w:bidi="ar"/>
              </w:rPr>
              <w:t>​</w:t>
            </w:r>
          </w:p>
          <w:p w14:paraId="54859102">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相机参数：</w:t>
            </w:r>
            <w:r>
              <w:rPr>
                <w:rStyle w:val="287"/>
                <w:rFonts w:hint="eastAsia" w:ascii="宋体" w:hAnsi="宋体" w:eastAsia="宋体" w:cs="宋体"/>
                <w:b w:val="0"/>
                <w:bCs w:val="0"/>
                <w:sz w:val="21"/>
                <w:szCs w:val="21"/>
                <w:highlight w:val="none"/>
                <w:lang w:val="en-US" w:eastAsia="zh-CN" w:bidi="ar"/>
              </w:rPr>
              <w:t>​</w:t>
            </w:r>
          </w:p>
          <w:p w14:paraId="567C5001">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影像传感器：1 英寸 CMOS，有效像素 1200 万。</w:t>
            </w:r>
            <w:r>
              <w:rPr>
                <w:rStyle w:val="287"/>
                <w:rFonts w:hint="eastAsia" w:ascii="宋体" w:hAnsi="宋体" w:eastAsia="宋体" w:cs="宋体"/>
                <w:b w:val="0"/>
                <w:bCs w:val="0"/>
                <w:sz w:val="21"/>
                <w:szCs w:val="21"/>
                <w:highlight w:val="none"/>
                <w:lang w:val="en-US" w:eastAsia="zh-CN" w:bidi="ar"/>
              </w:rPr>
              <w:t>​</w:t>
            </w:r>
          </w:p>
          <w:p w14:paraId="4CAB5301">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镜头：等效焦距 20mm，光圈 f/2.0，焦点范围 0.2 米至无穷远。</w:t>
            </w:r>
            <w:r>
              <w:rPr>
                <w:rStyle w:val="287"/>
                <w:rFonts w:hint="eastAsia" w:ascii="宋体" w:hAnsi="宋体" w:eastAsia="宋体" w:cs="宋体"/>
                <w:b w:val="0"/>
                <w:bCs w:val="0"/>
                <w:sz w:val="21"/>
                <w:szCs w:val="21"/>
                <w:highlight w:val="none"/>
                <w:lang w:val="en-US" w:eastAsia="zh-CN" w:bidi="ar"/>
              </w:rPr>
              <w:t>​</w:t>
            </w:r>
          </w:p>
          <w:p w14:paraId="7F0CE9A0">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ISO 范围：拍照 50 至 6400，录像 50 至 6400，低光视频 50 至 16000，慢动作 50 至 6400。</w:t>
            </w:r>
            <w:r>
              <w:rPr>
                <w:rStyle w:val="287"/>
                <w:rFonts w:hint="eastAsia" w:ascii="宋体" w:hAnsi="宋体" w:eastAsia="宋体" w:cs="宋体"/>
                <w:b w:val="0"/>
                <w:bCs w:val="0"/>
                <w:sz w:val="21"/>
                <w:szCs w:val="21"/>
                <w:highlight w:val="none"/>
                <w:lang w:val="en-US" w:eastAsia="zh-CN" w:bidi="ar"/>
              </w:rPr>
              <w:t>​</w:t>
            </w:r>
          </w:p>
          <w:p w14:paraId="19F393D8">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电子快门速度：拍照为 1/8000 秒至 1 秒，录像为 1/8000 秒至帧率限制快门。</w:t>
            </w:r>
            <w:r>
              <w:rPr>
                <w:rStyle w:val="287"/>
                <w:rFonts w:hint="eastAsia" w:ascii="宋体" w:hAnsi="宋体" w:eastAsia="宋体" w:cs="宋体"/>
                <w:b w:val="0"/>
                <w:bCs w:val="0"/>
                <w:sz w:val="21"/>
                <w:szCs w:val="21"/>
                <w:highlight w:val="none"/>
                <w:lang w:val="en-US" w:eastAsia="zh-CN" w:bidi="ar"/>
              </w:rPr>
              <w:t>​</w:t>
            </w:r>
          </w:p>
          <w:p w14:paraId="160328D7">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照片最大分辨率：16:9 时为 3840×2160，1:1 时为 3072×3072。</w:t>
            </w:r>
            <w:r>
              <w:rPr>
                <w:rStyle w:val="287"/>
                <w:rFonts w:hint="eastAsia" w:ascii="宋体" w:hAnsi="宋体" w:eastAsia="宋体" w:cs="宋体"/>
                <w:b w:val="0"/>
                <w:bCs w:val="0"/>
                <w:sz w:val="21"/>
                <w:szCs w:val="21"/>
                <w:highlight w:val="none"/>
                <w:lang w:val="en-US" w:eastAsia="zh-CN" w:bidi="ar"/>
              </w:rPr>
              <w:t>​</w:t>
            </w:r>
          </w:p>
          <w:p w14:paraId="7745572A">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数码变焦：拍照在 3840×2160 分辨率下支持 2 倍，录像 1080p 下 4 倍、2.7K 下 3 倍、4K 下 2 倍。</w:t>
            </w:r>
            <w:r>
              <w:rPr>
                <w:rStyle w:val="287"/>
                <w:rFonts w:hint="eastAsia" w:ascii="宋体" w:hAnsi="宋体" w:eastAsia="宋体" w:cs="宋体"/>
                <w:b w:val="0"/>
                <w:bCs w:val="0"/>
                <w:sz w:val="21"/>
                <w:szCs w:val="21"/>
                <w:highlight w:val="none"/>
                <w:lang w:val="en-US" w:eastAsia="zh-CN" w:bidi="ar"/>
              </w:rPr>
              <w:t>​</w:t>
            </w:r>
          </w:p>
          <w:p w14:paraId="04A3D7CF">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拍摄模式：单张照片（约 940 万像素）、倒计时拍照（关闭 / 3/5/7 秒）、全景模式（180°，3×3）。</w:t>
            </w:r>
            <w:r>
              <w:rPr>
                <w:rStyle w:val="287"/>
                <w:rFonts w:hint="eastAsia" w:ascii="宋体" w:hAnsi="宋体" w:eastAsia="宋体" w:cs="宋体"/>
                <w:b w:val="0"/>
                <w:bCs w:val="0"/>
                <w:sz w:val="21"/>
                <w:szCs w:val="21"/>
                <w:highlight w:val="none"/>
                <w:lang w:val="en-US" w:eastAsia="zh-CN" w:bidi="ar"/>
              </w:rPr>
              <w:t>​</w:t>
            </w:r>
          </w:p>
          <w:p w14:paraId="3C477B9D">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录影模式：普通录影、慢动作、静止延时、轨迹延时、运动延时、低光视频。</w:t>
            </w:r>
            <w:r>
              <w:rPr>
                <w:rStyle w:val="287"/>
                <w:rFonts w:hint="eastAsia" w:ascii="宋体" w:hAnsi="宋体" w:eastAsia="宋体" w:cs="宋体"/>
                <w:b w:val="0"/>
                <w:bCs w:val="0"/>
                <w:sz w:val="21"/>
                <w:szCs w:val="21"/>
                <w:highlight w:val="none"/>
                <w:lang w:val="en-US" w:eastAsia="zh-CN" w:bidi="ar"/>
              </w:rPr>
              <w:t>​</w:t>
            </w:r>
          </w:p>
          <w:p w14:paraId="7FEF7BC3">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录影分辨率：支持 4K、2.7K、1080p 等多种分辨率，最高支持 4K（16:9）3840×2160@120fps。</w:t>
            </w:r>
            <w:r>
              <w:rPr>
                <w:rStyle w:val="287"/>
                <w:rFonts w:hint="eastAsia" w:ascii="宋体" w:hAnsi="宋体" w:eastAsia="宋体" w:cs="宋体"/>
                <w:b w:val="0"/>
                <w:bCs w:val="0"/>
                <w:sz w:val="21"/>
                <w:szCs w:val="21"/>
                <w:highlight w:val="none"/>
                <w:lang w:val="en-US" w:eastAsia="zh-CN" w:bidi="ar"/>
              </w:rPr>
              <w:t>​</w:t>
            </w:r>
          </w:p>
          <w:p w14:paraId="6FD51A4A">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视频存储最大码流：130Mbps。</w:t>
            </w:r>
            <w:r>
              <w:rPr>
                <w:rStyle w:val="287"/>
                <w:rFonts w:hint="eastAsia" w:ascii="宋体" w:hAnsi="宋体" w:eastAsia="宋体" w:cs="宋体"/>
                <w:b w:val="0"/>
                <w:bCs w:val="0"/>
                <w:sz w:val="21"/>
                <w:szCs w:val="21"/>
                <w:highlight w:val="none"/>
                <w:lang w:val="en-US" w:eastAsia="zh-CN" w:bidi="ar"/>
              </w:rPr>
              <w:t>​</w:t>
            </w:r>
          </w:p>
          <w:p w14:paraId="7E24CDC8">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图片格式：JPEG/JPEG + DNG。</w:t>
            </w:r>
            <w:r>
              <w:rPr>
                <w:rStyle w:val="287"/>
                <w:rFonts w:hint="eastAsia" w:ascii="宋体" w:hAnsi="宋体" w:eastAsia="宋体" w:cs="宋体"/>
                <w:b w:val="0"/>
                <w:bCs w:val="0"/>
                <w:sz w:val="21"/>
                <w:szCs w:val="21"/>
                <w:highlight w:val="none"/>
                <w:lang w:val="en-US" w:eastAsia="zh-CN" w:bidi="ar"/>
              </w:rPr>
              <w:t>​</w:t>
            </w:r>
          </w:p>
          <w:p w14:paraId="1C6DA71D">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视频格式：MP4（H.264/HEVC）。</w:t>
            </w:r>
            <w:r>
              <w:rPr>
                <w:rStyle w:val="287"/>
                <w:rFonts w:hint="eastAsia" w:ascii="宋体" w:hAnsi="宋体" w:eastAsia="宋体" w:cs="宋体"/>
                <w:b w:val="0"/>
                <w:bCs w:val="0"/>
                <w:sz w:val="21"/>
                <w:szCs w:val="21"/>
                <w:highlight w:val="none"/>
                <w:lang w:val="en-US" w:eastAsia="zh-CN" w:bidi="ar"/>
              </w:rPr>
              <w:t>​</w:t>
            </w:r>
          </w:p>
          <w:p w14:paraId="1458088F">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音频输出：48kHz 16-bit；AAC。</w:t>
            </w:r>
            <w:r>
              <w:rPr>
                <w:rStyle w:val="287"/>
                <w:rFonts w:hint="eastAsia" w:ascii="宋体" w:hAnsi="宋体" w:eastAsia="宋体" w:cs="宋体"/>
                <w:b w:val="0"/>
                <w:bCs w:val="0"/>
                <w:sz w:val="21"/>
                <w:szCs w:val="21"/>
                <w:highlight w:val="none"/>
                <w:lang w:val="en-US" w:eastAsia="zh-CN" w:bidi="ar"/>
              </w:rPr>
              <w:t>​</w:t>
            </w:r>
          </w:p>
          <w:p w14:paraId="5BB4F769">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工作时间：166分钟（25℃室温、录制规格 1080p/24fps（16：9）、关闭 Wi-Fi 且息屏时测得）。</w:t>
            </w:r>
            <w:r>
              <w:rPr>
                <w:rStyle w:val="287"/>
                <w:rFonts w:hint="eastAsia" w:ascii="宋体" w:hAnsi="宋体" w:eastAsia="宋体" w:cs="宋体"/>
                <w:b w:val="0"/>
                <w:bCs w:val="0"/>
                <w:sz w:val="21"/>
                <w:szCs w:val="21"/>
                <w:highlight w:val="none"/>
                <w:lang w:val="en-US" w:eastAsia="zh-CN" w:bidi="ar"/>
              </w:rPr>
              <w:t>​</w:t>
            </w:r>
          </w:p>
          <w:p w14:paraId="0DCA928E">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充电时间：16 分钟充满 80%，32 分钟充满 100%（使用 DJI 65 瓦 PD 快充测得）。</w:t>
            </w:r>
            <w:r>
              <w:rPr>
                <w:rStyle w:val="287"/>
                <w:rFonts w:hint="eastAsia" w:ascii="宋体" w:hAnsi="宋体" w:eastAsia="宋体" w:cs="宋体"/>
                <w:b w:val="0"/>
                <w:bCs w:val="0"/>
                <w:sz w:val="21"/>
                <w:szCs w:val="21"/>
                <w:highlight w:val="none"/>
                <w:lang w:val="en-US" w:eastAsia="zh-CN" w:bidi="ar"/>
              </w:rPr>
              <w:t>​</w:t>
            </w:r>
          </w:p>
          <w:p w14:paraId="331D1C3E">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连接参数：</w:t>
            </w:r>
            <w:r>
              <w:rPr>
                <w:rStyle w:val="287"/>
                <w:rFonts w:hint="eastAsia" w:ascii="宋体" w:hAnsi="宋体" w:eastAsia="宋体" w:cs="宋体"/>
                <w:b w:val="0"/>
                <w:bCs w:val="0"/>
                <w:sz w:val="21"/>
                <w:szCs w:val="21"/>
                <w:highlight w:val="none"/>
                <w:lang w:val="en-US" w:eastAsia="zh-CN" w:bidi="ar"/>
              </w:rPr>
              <w:t>​</w:t>
            </w:r>
          </w:p>
          <w:p w14:paraId="04C76799">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Wi-Fi 工作频率：2.400GHz 至 2.4835GHz、5.150GHz 至 5.250GHz、5.725GHz 至 5.850GHz。</w:t>
            </w:r>
            <w:r>
              <w:rPr>
                <w:rStyle w:val="287"/>
                <w:rFonts w:hint="eastAsia" w:ascii="宋体" w:hAnsi="宋体" w:eastAsia="宋体" w:cs="宋体"/>
                <w:b w:val="0"/>
                <w:bCs w:val="0"/>
                <w:sz w:val="21"/>
                <w:szCs w:val="21"/>
                <w:highlight w:val="none"/>
                <w:lang w:val="en-US" w:eastAsia="zh-CN" w:bidi="ar"/>
              </w:rPr>
              <w:t>​</w:t>
            </w:r>
          </w:p>
          <w:p w14:paraId="50B49429">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Wi-Fi 协议：802.11 a/b/g/n/ac。</w:t>
            </w:r>
            <w:r>
              <w:rPr>
                <w:rStyle w:val="287"/>
                <w:rFonts w:hint="eastAsia" w:ascii="宋体" w:hAnsi="宋体" w:eastAsia="宋体" w:cs="宋体"/>
                <w:b w:val="0"/>
                <w:bCs w:val="0"/>
                <w:sz w:val="21"/>
                <w:szCs w:val="21"/>
                <w:highlight w:val="none"/>
                <w:lang w:val="en-US" w:eastAsia="zh-CN" w:bidi="ar"/>
              </w:rPr>
              <w:t>​</w:t>
            </w:r>
          </w:p>
          <w:p w14:paraId="7FCC59FE">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蓝牙工作频率：2.400GHz 至 2.4835GHz。</w:t>
            </w:r>
            <w:r>
              <w:rPr>
                <w:rStyle w:val="287"/>
                <w:rFonts w:hint="eastAsia" w:ascii="宋体" w:hAnsi="宋体" w:eastAsia="宋体" w:cs="宋体"/>
                <w:b w:val="0"/>
                <w:bCs w:val="0"/>
                <w:sz w:val="21"/>
                <w:szCs w:val="21"/>
                <w:highlight w:val="none"/>
                <w:lang w:val="en-US" w:eastAsia="zh-CN" w:bidi="ar"/>
              </w:rPr>
              <w:t>​</w:t>
            </w:r>
          </w:p>
          <w:p w14:paraId="0A11C984">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Style w:val="145"/>
                <w:rFonts w:hint="eastAsia" w:ascii="宋体" w:hAnsi="宋体" w:eastAsia="宋体" w:cs="宋体"/>
                <w:b w:val="0"/>
                <w:bCs w:val="0"/>
                <w:sz w:val="21"/>
                <w:szCs w:val="21"/>
                <w:highlight w:val="none"/>
                <w:lang w:val="en-US" w:eastAsia="zh-CN" w:bidi="ar"/>
              </w:rPr>
              <w:t>蓝牙协议：BLE 5.2，BR/EDR。</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3C9B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0435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w:t>
            </w:r>
          </w:p>
        </w:tc>
      </w:tr>
      <w:tr w14:paraId="46400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DDE0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19</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BABB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微单相机</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3E565">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传感器</w:t>
            </w:r>
            <w:r>
              <w:rPr>
                <w:rStyle w:val="287"/>
                <w:rFonts w:hint="eastAsia" w:ascii="宋体" w:hAnsi="宋体" w:eastAsia="宋体" w:cs="宋体"/>
                <w:b w:val="0"/>
                <w:bCs w:val="0"/>
                <w:sz w:val="21"/>
                <w:szCs w:val="21"/>
                <w:highlight w:val="none"/>
                <w:lang w:val="en-US" w:eastAsia="zh-CN" w:bidi="ar"/>
              </w:rPr>
              <w:t>​</w:t>
            </w:r>
          </w:p>
          <w:p w14:paraId="609F5FEF">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类型：全画幅堆栈式 Exmor R CMOS 影像传感器。</w:t>
            </w:r>
            <w:r>
              <w:rPr>
                <w:rStyle w:val="287"/>
                <w:rFonts w:hint="eastAsia" w:ascii="宋体" w:hAnsi="宋体" w:eastAsia="宋体" w:cs="宋体"/>
                <w:b w:val="0"/>
                <w:bCs w:val="0"/>
                <w:sz w:val="21"/>
                <w:szCs w:val="21"/>
                <w:highlight w:val="none"/>
                <w:lang w:val="en-US" w:eastAsia="zh-CN" w:bidi="ar"/>
              </w:rPr>
              <w:t>​</w:t>
            </w:r>
          </w:p>
          <w:p w14:paraId="4E63C22E">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像素：3300 万像素及以上 ，背照式结构，具备出色光线捕捉能力，能以 36.6fps 速度全像素输出 3000 万像素照片。</w:t>
            </w:r>
            <w:r>
              <w:rPr>
                <w:rStyle w:val="287"/>
                <w:rFonts w:hint="eastAsia" w:ascii="宋体" w:hAnsi="宋体" w:eastAsia="宋体" w:cs="宋体"/>
                <w:b w:val="0"/>
                <w:bCs w:val="0"/>
                <w:sz w:val="21"/>
                <w:szCs w:val="21"/>
                <w:highlight w:val="none"/>
                <w:lang w:val="en-US" w:eastAsia="zh-CN" w:bidi="ar"/>
              </w:rPr>
              <w:t>​</w:t>
            </w:r>
          </w:p>
          <w:p w14:paraId="799314A4">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处理器：搭载 BIONZ XR 影像处理器，确保高效处理大量图像数据，为高像素拍摄与高质量视频提供有力支持。</w:t>
            </w:r>
            <w:r>
              <w:rPr>
                <w:rStyle w:val="287"/>
                <w:rFonts w:hint="eastAsia" w:ascii="宋体" w:hAnsi="宋体" w:eastAsia="宋体" w:cs="宋体"/>
                <w:b w:val="0"/>
                <w:bCs w:val="0"/>
                <w:sz w:val="21"/>
                <w:szCs w:val="21"/>
                <w:highlight w:val="none"/>
                <w:lang w:val="en-US" w:eastAsia="zh-CN" w:bidi="ar"/>
              </w:rPr>
              <w:t>​</w:t>
            </w:r>
          </w:p>
          <w:p w14:paraId="3B3857B0">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二、对焦与连拍参数</w:t>
            </w:r>
            <w:r>
              <w:rPr>
                <w:rStyle w:val="287"/>
                <w:rFonts w:hint="eastAsia" w:ascii="宋体" w:hAnsi="宋体" w:eastAsia="宋体" w:cs="宋体"/>
                <w:b w:val="0"/>
                <w:bCs w:val="0"/>
                <w:sz w:val="21"/>
                <w:szCs w:val="21"/>
                <w:highlight w:val="none"/>
                <w:lang w:val="en-US" w:eastAsia="zh-CN" w:bidi="ar"/>
              </w:rPr>
              <w:t>​</w:t>
            </w:r>
          </w:p>
          <w:p w14:paraId="256D21AB">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对焦系统</w:t>
            </w:r>
            <w:r>
              <w:rPr>
                <w:rStyle w:val="287"/>
                <w:rFonts w:hint="eastAsia" w:ascii="宋体" w:hAnsi="宋体" w:eastAsia="宋体" w:cs="宋体"/>
                <w:b w:val="0"/>
                <w:bCs w:val="0"/>
                <w:sz w:val="21"/>
                <w:szCs w:val="21"/>
                <w:highlight w:val="none"/>
                <w:lang w:val="en-US" w:eastAsia="zh-CN" w:bidi="ar"/>
              </w:rPr>
              <w:t>​</w:t>
            </w:r>
          </w:p>
          <w:p w14:paraId="318C358F">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对焦模式：焦平面相位检测对焦系统，覆盖成像范围不低于 94%。</w:t>
            </w:r>
            <w:r>
              <w:rPr>
                <w:rStyle w:val="287"/>
                <w:rFonts w:hint="eastAsia" w:ascii="宋体" w:hAnsi="宋体" w:eastAsia="宋体" w:cs="宋体"/>
                <w:b w:val="0"/>
                <w:bCs w:val="0"/>
                <w:sz w:val="21"/>
                <w:szCs w:val="21"/>
                <w:highlight w:val="none"/>
                <w:lang w:val="en-US" w:eastAsia="zh-CN" w:bidi="ar"/>
              </w:rPr>
              <w:t>​</w:t>
            </w:r>
          </w:p>
          <w:p w14:paraId="194C1AAA">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对焦点数量：相位检测对焦点不少于 759 个，具备出色实时追踪性能，支持照片及视频拍摄时人眼、动物眼睛、鸟眼实时追踪对焦。</w:t>
            </w:r>
            <w:r>
              <w:rPr>
                <w:rStyle w:val="287"/>
                <w:rFonts w:hint="eastAsia" w:ascii="宋体" w:hAnsi="宋体" w:eastAsia="宋体" w:cs="宋体"/>
                <w:b w:val="0"/>
                <w:bCs w:val="0"/>
                <w:sz w:val="21"/>
                <w:szCs w:val="21"/>
                <w:highlight w:val="none"/>
                <w:lang w:val="en-US" w:eastAsia="zh-CN" w:bidi="ar"/>
              </w:rPr>
              <w:t>​</w:t>
            </w:r>
          </w:p>
          <w:p w14:paraId="572C817D">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连拍能力：支持 10 张 / 秒及以上连拍速度，连拍过程中可实现 AF/AE 跟踪及计算，机身配备大缓存，保障连拍数据存储流畅，减少卡顿现象。</w:t>
            </w:r>
            <w:r>
              <w:rPr>
                <w:rStyle w:val="287"/>
                <w:rFonts w:hint="eastAsia" w:ascii="宋体" w:hAnsi="宋体" w:eastAsia="宋体" w:cs="宋体"/>
                <w:b w:val="0"/>
                <w:bCs w:val="0"/>
                <w:sz w:val="21"/>
                <w:szCs w:val="21"/>
                <w:highlight w:val="none"/>
                <w:lang w:val="en-US" w:eastAsia="zh-CN" w:bidi="ar"/>
              </w:rPr>
              <w:t>​</w:t>
            </w:r>
          </w:p>
          <w:p w14:paraId="20EBE359">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三、视频拍摄参数</w:t>
            </w:r>
            <w:r>
              <w:rPr>
                <w:rStyle w:val="287"/>
                <w:rFonts w:hint="eastAsia" w:ascii="宋体" w:hAnsi="宋体" w:eastAsia="宋体" w:cs="宋体"/>
                <w:b w:val="0"/>
                <w:bCs w:val="0"/>
                <w:sz w:val="21"/>
                <w:szCs w:val="21"/>
                <w:highlight w:val="none"/>
                <w:lang w:val="en-US" w:eastAsia="zh-CN" w:bidi="ar"/>
              </w:rPr>
              <w:t>​</w:t>
            </w:r>
          </w:p>
          <w:p w14:paraId="149A8D02">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视频规格</w:t>
            </w:r>
            <w:r>
              <w:rPr>
                <w:rStyle w:val="287"/>
                <w:rFonts w:hint="eastAsia" w:ascii="宋体" w:hAnsi="宋体" w:eastAsia="宋体" w:cs="宋体"/>
                <w:b w:val="0"/>
                <w:bCs w:val="0"/>
                <w:sz w:val="21"/>
                <w:szCs w:val="21"/>
                <w:highlight w:val="none"/>
                <w:lang w:val="en-US" w:eastAsia="zh-CN" w:bidi="ar"/>
              </w:rPr>
              <w:t>​</w:t>
            </w:r>
          </w:p>
          <w:p w14:paraId="0C9E8F65">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格式 1：支持 Super 35mm 模式下全像素 4K 60P 视频拍摄。</w:t>
            </w:r>
            <w:r>
              <w:rPr>
                <w:rStyle w:val="287"/>
                <w:rFonts w:hint="eastAsia" w:ascii="宋体" w:hAnsi="宋体" w:eastAsia="宋体" w:cs="宋体"/>
                <w:b w:val="0"/>
                <w:bCs w:val="0"/>
                <w:sz w:val="21"/>
                <w:szCs w:val="21"/>
                <w:highlight w:val="none"/>
                <w:lang w:val="en-US" w:eastAsia="zh-CN" w:bidi="ar"/>
              </w:rPr>
              <w:t>​</w:t>
            </w:r>
          </w:p>
          <w:p w14:paraId="30E32EB9">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格式 2：支持全画幅 7K 超采样 4K 30P 视频拍摄。</w:t>
            </w:r>
            <w:r>
              <w:rPr>
                <w:rStyle w:val="287"/>
                <w:rFonts w:hint="eastAsia" w:ascii="宋体" w:hAnsi="宋体" w:eastAsia="宋体" w:cs="宋体"/>
                <w:b w:val="0"/>
                <w:bCs w:val="0"/>
                <w:sz w:val="21"/>
                <w:szCs w:val="21"/>
                <w:highlight w:val="none"/>
                <w:lang w:val="en-US" w:eastAsia="zh-CN" w:bidi="ar"/>
              </w:rPr>
              <w:t>​</w:t>
            </w:r>
          </w:p>
          <w:p w14:paraId="33961BB3">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色深与采样：视频具备 10bit 色深与 4:2:2 色彩采样，呈现丰富色彩过渡与优秀色彩还原度、细节表现，加入焦点图功能辅助手动对焦。</w:t>
            </w:r>
            <w:r>
              <w:rPr>
                <w:rStyle w:val="287"/>
                <w:rFonts w:hint="eastAsia" w:ascii="宋体" w:hAnsi="宋体" w:eastAsia="宋体" w:cs="宋体"/>
                <w:b w:val="0"/>
                <w:bCs w:val="0"/>
                <w:sz w:val="21"/>
                <w:szCs w:val="21"/>
                <w:highlight w:val="none"/>
                <w:lang w:val="en-US" w:eastAsia="zh-CN" w:bidi="ar"/>
              </w:rPr>
              <w:t>​</w:t>
            </w:r>
          </w:p>
          <w:p w14:paraId="208E0BA2">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编码格式：支持常见视频格式如 MP4，采用 H.264/HEVC 等编码格式，平衡视频质量与文件大小，便于存储和传输 。</w:t>
            </w:r>
            <w:r>
              <w:rPr>
                <w:rStyle w:val="287"/>
                <w:rFonts w:hint="eastAsia" w:ascii="宋体" w:hAnsi="宋体" w:eastAsia="宋体" w:cs="宋体"/>
                <w:b w:val="0"/>
                <w:bCs w:val="0"/>
                <w:sz w:val="21"/>
                <w:szCs w:val="21"/>
                <w:highlight w:val="none"/>
                <w:lang w:val="en-US" w:eastAsia="zh-CN" w:bidi="ar"/>
              </w:rPr>
              <w:t>​</w:t>
            </w:r>
          </w:p>
          <w:p w14:paraId="14527CEA">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四、感光度与防抖参数</w:t>
            </w:r>
            <w:r>
              <w:rPr>
                <w:rStyle w:val="287"/>
                <w:rFonts w:hint="eastAsia" w:ascii="宋体" w:hAnsi="宋体" w:eastAsia="宋体" w:cs="宋体"/>
                <w:b w:val="0"/>
                <w:bCs w:val="0"/>
                <w:sz w:val="21"/>
                <w:szCs w:val="21"/>
                <w:highlight w:val="none"/>
                <w:lang w:val="en-US" w:eastAsia="zh-CN" w:bidi="ar"/>
              </w:rPr>
              <w:t>​</w:t>
            </w:r>
          </w:p>
          <w:p w14:paraId="6F1107E1">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感光度</w:t>
            </w:r>
            <w:r>
              <w:rPr>
                <w:rStyle w:val="287"/>
                <w:rFonts w:hint="eastAsia" w:ascii="宋体" w:hAnsi="宋体" w:eastAsia="宋体" w:cs="宋体"/>
                <w:b w:val="0"/>
                <w:bCs w:val="0"/>
                <w:sz w:val="21"/>
                <w:szCs w:val="21"/>
                <w:highlight w:val="none"/>
                <w:lang w:val="en-US" w:eastAsia="zh-CN" w:bidi="ar"/>
              </w:rPr>
              <w:t>​</w:t>
            </w:r>
          </w:p>
          <w:p w14:paraId="637E5065">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原生范围：原生感光度为 ISO 100 - 51200。</w:t>
            </w:r>
            <w:r>
              <w:rPr>
                <w:rStyle w:val="287"/>
                <w:rFonts w:hint="eastAsia" w:ascii="宋体" w:hAnsi="宋体" w:eastAsia="宋体" w:cs="宋体"/>
                <w:b w:val="0"/>
                <w:bCs w:val="0"/>
                <w:sz w:val="21"/>
                <w:szCs w:val="21"/>
                <w:highlight w:val="none"/>
                <w:lang w:val="en-US" w:eastAsia="zh-CN" w:bidi="ar"/>
              </w:rPr>
              <w:t>​</w:t>
            </w:r>
          </w:p>
          <w:p w14:paraId="397E10FD">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扩展范围：可扩展至 ISO 50 - 204800，在暗光环境下通过调整感光度获取明亮画面，配合传感器与影像处理器，在高感光度下能有效控制噪点。</w:t>
            </w:r>
            <w:r>
              <w:rPr>
                <w:rStyle w:val="287"/>
                <w:rFonts w:hint="eastAsia" w:ascii="宋体" w:hAnsi="宋体" w:eastAsia="宋体" w:cs="宋体"/>
                <w:b w:val="0"/>
                <w:bCs w:val="0"/>
                <w:sz w:val="21"/>
                <w:szCs w:val="21"/>
                <w:highlight w:val="none"/>
                <w:lang w:val="en-US" w:eastAsia="zh-CN" w:bidi="ar"/>
              </w:rPr>
              <w:t>​</w:t>
            </w:r>
          </w:p>
          <w:p w14:paraId="6BD001E9">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防抖系统：具备 5 轴机身防抖功能，最高实现 5.5 级防抖补偿效果 ，有效减少手持拍摄照片或视频时因手部抖动产生的模糊，提升拍摄成功率。</w:t>
            </w:r>
            <w:r>
              <w:rPr>
                <w:rStyle w:val="287"/>
                <w:rFonts w:hint="eastAsia" w:ascii="宋体" w:hAnsi="宋体" w:eastAsia="宋体" w:cs="宋体"/>
                <w:b w:val="0"/>
                <w:bCs w:val="0"/>
                <w:sz w:val="21"/>
                <w:szCs w:val="21"/>
                <w:highlight w:val="none"/>
                <w:lang w:val="en-US" w:eastAsia="zh-CN" w:bidi="ar"/>
              </w:rPr>
              <w:t>​</w:t>
            </w:r>
          </w:p>
          <w:p w14:paraId="579B2496">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五、其他重要参数</w:t>
            </w:r>
            <w:r>
              <w:rPr>
                <w:rStyle w:val="287"/>
                <w:rFonts w:hint="eastAsia" w:ascii="宋体" w:hAnsi="宋体" w:eastAsia="宋体" w:cs="宋体"/>
                <w:b w:val="0"/>
                <w:bCs w:val="0"/>
                <w:sz w:val="21"/>
                <w:szCs w:val="21"/>
                <w:highlight w:val="none"/>
                <w:lang w:val="en-US" w:eastAsia="zh-CN" w:bidi="ar"/>
              </w:rPr>
              <w:t>​</w:t>
            </w:r>
          </w:p>
          <w:p w14:paraId="69CD95D2">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显示屏：3 英寸及以上可旋转触摸屏，像素不低于 103 万像素，可翻开角度约 176 度，旋转角度 270 度，支持触摸对焦和菜单触摸操作功能。</w:t>
            </w:r>
            <w:r>
              <w:rPr>
                <w:rStyle w:val="287"/>
                <w:rFonts w:hint="eastAsia" w:ascii="宋体" w:hAnsi="宋体" w:eastAsia="宋体" w:cs="宋体"/>
                <w:b w:val="0"/>
                <w:bCs w:val="0"/>
                <w:sz w:val="21"/>
                <w:szCs w:val="21"/>
                <w:highlight w:val="none"/>
                <w:lang w:val="en-US" w:eastAsia="zh-CN" w:bidi="ar"/>
              </w:rPr>
              <w:t>​</w:t>
            </w:r>
          </w:p>
          <w:p w14:paraId="30774FE5">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取景器：采用 LED 电子取景器，像素 369 万及以上，视野率达 100%，放大倍率 0.78x 及以上，刷新率 120fps 及以上。</w:t>
            </w:r>
            <w:r>
              <w:rPr>
                <w:rStyle w:val="287"/>
                <w:rFonts w:hint="eastAsia" w:ascii="宋体" w:hAnsi="宋体" w:eastAsia="宋体" w:cs="宋体"/>
                <w:b w:val="0"/>
                <w:bCs w:val="0"/>
                <w:sz w:val="21"/>
                <w:szCs w:val="21"/>
                <w:highlight w:val="none"/>
                <w:lang w:val="en-US" w:eastAsia="zh-CN" w:bidi="ar"/>
              </w:rPr>
              <w:t>​</w:t>
            </w:r>
          </w:p>
          <w:p w14:paraId="64F85A76">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存储介质：采用双 SD 卡卡槽设计，其中卡槽 1 支持 CFexpress Type - A 型存储卡和 SD 卡两种卡 。</w:t>
            </w:r>
            <w:r>
              <w:rPr>
                <w:rStyle w:val="287"/>
                <w:rFonts w:hint="eastAsia" w:ascii="宋体" w:hAnsi="宋体" w:eastAsia="宋体" w:cs="宋体"/>
                <w:b w:val="0"/>
                <w:bCs w:val="0"/>
                <w:sz w:val="21"/>
                <w:szCs w:val="21"/>
                <w:highlight w:val="none"/>
                <w:lang w:val="en-US" w:eastAsia="zh-CN" w:bidi="ar"/>
              </w:rPr>
              <w:t>​</w:t>
            </w:r>
          </w:p>
          <w:p w14:paraId="26C68C3D">
            <w:pPr>
              <w:keepNext w:val="0"/>
              <w:keepLines w:val="0"/>
              <w:widowControl/>
              <w:suppressLineNumbers w:val="0"/>
              <w:jc w:val="left"/>
              <w:textAlignment w:val="center"/>
              <w:rPr>
                <w:rStyle w:val="287"/>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电池续航：满电状态下可拍摄照片数量不低于 580 张 。</w:t>
            </w:r>
            <w:r>
              <w:rPr>
                <w:rStyle w:val="287"/>
                <w:rFonts w:hint="eastAsia" w:ascii="宋体" w:hAnsi="宋体" w:eastAsia="宋体" w:cs="宋体"/>
                <w:b w:val="0"/>
                <w:bCs w:val="0"/>
                <w:sz w:val="21"/>
                <w:szCs w:val="21"/>
                <w:highlight w:val="none"/>
                <w:lang w:val="en-US" w:eastAsia="zh-CN" w:bidi="ar"/>
              </w:rPr>
              <w:t>​</w:t>
            </w:r>
          </w:p>
          <w:p w14:paraId="6D6CF1DD">
            <w:pPr>
              <w:keepNext w:val="0"/>
              <w:keepLines w:val="0"/>
              <w:widowControl/>
              <w:suppressLineNumbers w:val="0"/>
              <w:jc w:val="left"/>
              <w:textAlignment w:val="center"/>
              <w:rPr>
                <w:rStyle w:val="145"/>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五、镜头（与机身同一品牌）</w:t>
            </w:r>
          </w:p>
          <w:p w14:paraId="4DAEFEB7">
            <w:pPr>
              <w:keepNext w:val="0"/>
              <w:keepLines w:val="0"/>
              <w:widowControl/>
              <w:suppressLineNumbers w:val="0"/>
              <w:jc w:val="left"/>
              <w:textAlignment w:val="center"/>
              <w:rPr>
                <w:rStyle w:val="145"/>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16-35f2.8gm*1个</w:t>
            </w:r>
          </w:p>
          <w:p w14:paraId="7C70D0BB">
            <w:pPr>
              <w:keepNext w:val="0"/>
              <w:keepLines w:val="0"/>
              <w:widowControl/>
              <w:suppressLineNumbers w:val="0"/>
              <w:jc w:val="left"/>
              <w:textAlignment w:val="center"/>
              <w:rPr>
                <w:rStyle w:val="145"/>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 xml:space="preserve">28-70f2*1个    </w:t>
            </w:r>
          </w:p>
          <w:p w14:paraId="5A7F2EEF">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Style w:val="145"/>
                <w:rFonts w:hint="eastAsia" w:ascii="宋体" w:hAnsi="宋体" w:eastAsia="宋体" w:cs="宋体"/>
                <w:b w:val="0"/>
                <w:bCs w:val="0"/>
                <w:sz w:val="21"/>
                <w:szCs w:val="21"/>
                <w:highlight w:val="none"/>
                <w:lang w:val="en-US" w:eastAsia="zh-CN" w:bidi="ar"/>
              </w:rPr>
              <w:t>70-200f2.8gm*1个</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AAF4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335C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6E5F7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6277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20</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15C2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预览电视机</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5BBF9">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55寸，供直播画面现场预览使用，必须含网口、ＨＤＭＩ接口等，带吊架。</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6BE1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A47C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w:t>
            </w:r>
          </w:p>
        </w:tc>
      </w:tr>
      <w:tr w14:paraId="158DB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7051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21</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875D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笔记本</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8234E">
            <w:pPr>
              <w:keepNext w:val="0"/>
              <w:keepLines w:val="0"/>
              <w:widowControl/>
              <w:suppressLineNumbers w:val="0"/>
              <w:spacing w:after="200" w:afterAutospacing="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CPU：i5十四代及以上</w:t>
            </w:r>
          </w:p>
          <w:p w14:paraId="6934F565">
            <w:pPr>
              <w:keepNext w:val="0"/>
              <w:keepLines w:val="0"/>
              <w:widowControl/>
              <w:suppressLineNumbers w:val="0"/>
              <w:spacing w:after="200" w:afterAutospacing="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内存:≥16G DDR4内存 </w:t>
            </w:r>
          </w:p>
          <w:p w14:paraId="5501A2B6">
            <w:pPr>
              <w:keepNext w:val="0"/>
              <w:keepLines w:val="0"/>
              <w:widowControl/>
              <w:suppressLineNumbers w:val="0"/>
              <w:spacing w:after="200" w:afterAutospacing="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显卡：独立显卡显存≥4G</w:t>
            </w:r>
          </w:p>
          <w:p w14:paraId="65793DE6">
            <w:pPr>
              <w:keepNext w:val="0"/>
              <w:keepLines w:val="0"/>
              <w:widowControl/>
              <w:suppressLineNumbers w:val="0"/>
              <w:spacing w:after="200" w:afterAutospacing="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硬盘:≥1TBSSD</w:t>
            </w:r>
          </w:p>
          <w:p w14:paraId="3DF34114">
            <w:pPr>
              <w:keepNext w:val="0"/>
              <w:keepLines w:val="0"/>
              <w:widowControl/>
              <w:suppressLineNumbers w:val="0"/>
              <w:spacing w:after="200" w:afterAutospacing="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显示屏:≥14.0LED全高清防眩光屏；</w:t>
            </w:r>
          </w:p>
          <w:p w14:paraId="476F4141">
            <w:pPr>
              <w:keepNext w:val="0"/>
              <w:keepLines w:val="0"/>
              <w:widowControl/>
              <w:suppressLineNumbers w:val="0"/>
              <w:spacing w:after="200" w:afterAutospacing="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网卡千兆网卡以及802.11AC无线网卡，支持5.0G频段（集成BT4.1）</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99B5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CDB6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03F78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F0E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22</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ACFA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U型蓝箱</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F481F">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定制专业抠像蓝箱专业抠像地胶</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EDF5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FF0C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0EB5F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8AED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23</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0609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线材</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B6296">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所有设备需要线材HDMI/VGA/音频线/电源线等</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867A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批</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B82C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5FC04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A354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24</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9E2C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LED灯</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83473">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额定电压：AC220V</w:t>
            </w:r>
          </w:p>
          <w:p w14:paraId="22505D15">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频率：50/60Hz</w:t>
            </w:r>
          </w:p>
          <w:p w14:paraId="27EDDFC9">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显色指数：＞90</w:t>
            </w:r>
          </w:p>
          <w:p w14:paraId="65B7F522">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光通量：7800lm</w:t>
            </w:r>
          </w:p>
          <w:p w14:paraId="1BE51F20">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照度：2000Lux</w:t>
            </w:r>
          </w:p>
          <w:p w14:paraId="2BCEE014">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色温4900K-5100K</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AD21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99EE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21</w:t>
            </w:r>
          </w:p>
        </w:tc>
      </w:tr>
      <w:tr w14:paraId="5E5BB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BF32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25</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77D0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LED聚光灯</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84F41">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 、LED 聚光灯要求采用知名品牌高显色指数LED 作为发光元件，满足专业摄</w:t>
            </w:r>
          </w:p>
          <w:p w14:paraId="519183E5">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影、摄像要求，造型美观大方，MX512 信号控制；</w:t>
            </w:r>
          </w:p>
          <w:p w14:paraId="52E50E20">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2、功率≥100W；</w:t>
            </w:r>
          </w:p>
          <w:p w14:paraId="44E7AB07">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3、额定电压：220v（±20V）-50hz,功率因素：≥0.95；</w:t>
            </w:r>
          </w:p>
          <w:p w14:paraId="6AC7D403">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4、显色指数：Ra≥95；</w:t>
            </w:r>
          </w:p>
          <w:p w14:paraId="04D2F16B">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5、照度：≥3600lx（3m）；</w:t>
            </w:r>
          </w:p>
          <w:p w14:paraId="5D50C2BA">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6、色温：3200K.5600k可选；</w:t>
            </w:r>
          </w:p>
          <w:p w14:paraId="406DC7B9">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7、标准DMX512 调光控制；</w:t>
            </w:r>
          </w:p>
          <w:p w14:paraId="78BC90D6">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8、平均寿命：≥5 万小时；</w:t>
            </w:r>
          </w:p>
          <w:p w14:paraId="7246D365">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9、无风扇自然散热，连续工作24 小时表面温度≤55℃;</w:t>
            </w:r>
          </w:p>
          <w:p w14:paraId="48EBF34E">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10、DMX512 调光控制；</w:t>
            </w:r>
          </w:p>
          <w:p w14:paraId="31313F77">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11、采用独立散热器并优化电子组件在散热器下方；                                                              12、配备U型支架，可支持轨道/葡萄架吊装或灯架/地面安装</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8BBC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C72B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4</w:t>
            </w:r>
          </w:p>
        </w:tc>
      </w:tr>
      <w:tr w14:paraId="612CB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46C3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26</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B5BD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数字调光台</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834DE">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DMX512/1990标准，512个DMX控制通道。 </w:t>
            </w:r>
          </w:p>
          <w:p w14:paraId="1EAF74A4">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2个光隔离独立驱动信号输出端口。可抗2000Vrms电气冲击。独立插板结构，容易更换。 </w:t>
            </w:r>
          </w:p>
          <w:p w14:paraId="783AAFEA">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可控制32台16通道电脑灯。 </w:t>
            </w:r>
          </w:p>
          <w:p w14:paraId="7335FD5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带背光的大屏幕LCD显示运行参数。 </w:t>
            </w:r>
          </w:p>
          <w:p w14:paraId="78BA78ED">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16个通道推杆，1个速度控制推杆。 </w:t>
            </w:r>
          </w:p>
          <w:p w14:paraId="4EF15AE6">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1600个走灯程序步储存容量。48个走灯程序，每程序最多100步。每步速度、渐变参数独立设置。可选音乐同步或手动速率控制。 </w:t>
            </w:r>
          </w:p>
          <w:p w14:paraId="30DEB3C7">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可同时运行4个走灯程序、48个场景，并可同时对32台电脑灯进行提灯操作。 </w:t>
            </w:r>
          </w:p>
          <w:p w14:paraId="71CB83DB">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不同种类电脑灯的X/Y由穿梭轮统一控制。 </w:t>
            </w:r>
          </w:p>
          <w:p w14:paraId="69329CC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15个环境程序，快速调用不同的场景、走灯、手动运行（提灯）组合。 </w:t>
            </w:r>
          </w:p>
          <w:p w14:paraId="5BCF3920">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音乐触发信号源可取自音频线路输入或内置话筒拾音。 </w:t>
            </w:r>
          </w:p>
          <w:p w14:paraId="2FED4785">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关机数据保持。 </w:t>
            </w:r>
          </w:p>
          <w:p w14:paraId="084CE9A7">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内置高性能绿色开关电源，极低的电源谐波失真和极宽的电压适应范围，符合全世界各国电源要求。 </w:t>
            </w:r>
          </w:p>
          <w:p w14:paraId="4BA234AA">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高档进口耐用按键，特殊选灯按键功能。 </w:t>
            </w:r>
          </w:p>
          <w:p w14:paraId="767D1892">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DMX信号输出连接器：XLR-D3Fx2。 </w:t>
            </w:r>
          </w:p>
          <w:p w14:paraId="1ADF7C21">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音频线路输入连接器：1/4"单声道插座。 </w:t>
            </w:r>
          </w:p>
          <w:p w14:paraId="315B8F28">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可选配12V鹅颈工作灯。</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9351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2EB4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1D323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F8E6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27</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CD7C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灯光三脚架</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B4E63">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1.5M</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7116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0804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w:t>
            </w:r>
          </w:p>
        </w:tc>
      </w:tr>
      <w:tr w14:paraId="32303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BD2B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28</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DD4C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恒力铰链</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8AB00">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1.5M</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5092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8F6F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5</w:t>
            </w:r>
          </w:p>
        </w:tc>
      </w:tr>
      <w:tr w14:paraId="6ED01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5F67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29</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47A7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挂灯钩</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2D86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灯具安装配件</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2F69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34CE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19</w:t>
            </w:r>
          </w:p>
        </w:tc>
      </w:tr>
      <w:tr w14:paraId="28A78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8CF6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30</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1292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配件</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243CE">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所有设备安装备件如电视机挂架等</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1A59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项</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2FD3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2423A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043F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31</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0A1F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装修</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94912">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因不确定现场环境，按照标准教室做出预估价格</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3C15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项</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E171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2A31F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AF5F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32</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B97A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照相机</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DB241">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有效像素2420万像素</w:t>
            </w:r>
          </w:p>
          <w:p w14:paraId="74E08E91">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操作模式带全手动功能</w:t>
            </w:r>
          </w:p>
          <w:p w14:paraId="5F6775C3">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传感器类型CMOS传感器,Exmor CMOS</w:t>
            </w:r>
          </w:p>
          <w:p w14:paraId="763B0B2E">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传感器尺寸35.6×23.8mm</w:t>
            </w:r>
          </w:p>
          <w:p w14:paraId="19F3A402">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影像处理系统Bionz,X</w:t>
            </w:r>
          </w:p>
          <w:p w14:paraId="7471A91A">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镜头参数</w:t>
            </w:r>
          </w:p>
          <w:p w14:paraId="23E7AD4D">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镜头类型可更换镜头</w:t>
            </w:r>
          </w:p>
          <w:p w14:paraId="4751FB87">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镜头卡口索尼E卡口,可通过LA-EA1/LA-EA2适配器转接A卡口镜头</w:t>
            </w:r>
          </w:p>
          <w:p w14:paraId="2262E300">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实际焦距视镜头而定</w:t>
            </w:r>
          </w:p>
          <w:p w14:paraId="7B9DAB4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等效焦距视镜头而定</w:t>
            </w:r>
          </w:p>
          <w:p w14:paraId="41823920">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光圈范围视镜头而定</w:t>
            </w:r>
          </w:p>
          <w:p w14:paraId="638D9476">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对焦方式自动对焦,手动对焦,自动跟踪对焦,单点对焦,中央对焦,连续自动对焦</w:t>
            </w:r>
          </w:p>
          <w:p w14:paraId="77CB3B5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对焦系统混合式对焦系统，693点相位侦测对焦点及425个反差侦测对焦点，对焦点覆盖率达到93%</w:t>
            </w:r>
          </w:p>
          <w:p w14:paraId="4F1799A3">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屏幕参数</w:t>
            </w:r>
          </w:p>
          <w:p w14:paraId="598D2E11">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液晶屏尺寸3英寸</w:t>
            </w:r>
          </w:p>
          <w:p w14:paraId="71B2E60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液晶屏像素92万像素</w:t>
            </w:r>
          </w:p>
          <w:p w14:paraId="03E6DA5C">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液晶屏特性翻转屏,LCD显示屏</w:t>
            </w:r>
          </w:p>
          <w:p w14:paraId="636A4EDC">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取景器类型电子取景器</w:t>
            </w:r>
          </w:p>
          <w:p w14:paraId="0A26319A">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电子取景器像素236万像素</w:t>
            </w:r>
          </w:p>
          <w:p w14:paraId="6A32DD32">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取景器描述100%视野覆盖率，0.78x放大倍率</w:t>
            </w:r>
          </w:p>
          <w:p w14:paraId="0452CD3E">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曝光控制参数</w:t>
            </w:r>
          </w:p>
          <w:p w14:paraId="3386A432">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曝光模式全自动曝光,程序自动曝光(P),光圈优先曝光(A),快门优先(S),手动曝光(M)</w:t>
            </w:r>
          </w:p>
          <w:p w14:paraId="788E84EB">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曝光补偿±5级</w:t>
            </w:r>
          </w:p>
          <w:p w14:paraId="70F427CE">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测光方式点测光,中央重点测光,多重测光</w:t>
            </w:r>
          </w:p>
          <w:p w14:paraId="6BAE0600">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测光系统1200区评价测光</w:t>
            </w:r>
          </w:p>
          <w:p w14:paraId="4D0BD821">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ISO感光度自动,ISO 100-51200（可扩展至50-204800）</w:t>
            </w:r>
          </w:p>
          <w:p w14:paraId="51FF5CB2">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白平衡模式自动,晴天(日光),阴天,阴影,白炽灯,闪光灯,自定义</w:t>
            </w:r>
          </w:p>
          <w:p w14:paraId="7769DEB0">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场景模式全自动,肖像,风景,运动,微距,日落,夜晚风景,夜晚肖像,手持夜景</w:t>
            </w:r>
          </w:p>
          <w:p w14:paraId="779275E9">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视频拍摄参数</w:t>
            </w:r>
          </w:p>
          <w:p w14:paraId="1A14650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视频拍摄功能支持视频拍摄</w:t>
            </w:r>
          </w:p>
          <w:p w14:paraId="64EF858B">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麦克风内置麦克风</w:t>
            </w:r>
          </w:p>
          <w:p w14:paraId="750CED97">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扬声器内置扬声器</w:t>
            </w:r>
          </w:p>
          <w:p w14:paraId="3FC2AFC5">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视频分辨率3840×2160,1920×1080,1280×720</w:t>
            </w:r>
          </w:p>
          <w:p w14:paraId="2E4BCEF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视频拍摄帧数(fps)30帧/秒</w:t>
            </w:r>
          </w:p>
          <w:p w14:paraId="3CA4F571">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性能参数</w:t>
            </w:r>
          </w:p>
          <w:p w14:paraId="340ABD3C">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快门类型电子快门,B门</w:t>
            </w:r>
          </w:p>
          <w:p w14:paraId="5848ED9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快门速度30-1/8000s</w:t>
            </w:r>
          </w:p>
          <w:p w14:paraId="4E9670BA">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防抖功能机身防抖,五轴，可补偿5档快门速度</w:t>
            </w:r>
          </w:p>
          <w:p w14:paraId="3B5514F1">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遥控功能支持遥控功能</w:t>
            </w:r>
          </w:p>
          <w:p w14:paraId="09323C60">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连拍支持连拍功能,10fps</w:t>
            </w:r>
          </w:p>
          <w:p w14:paraId="01A8A936">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自拍支持自拍功能</w:t>
            </w:r>
          </w:p>
          <w:p w14:paraId="2A9E90BE">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功能及滤镜HDR(明暗对比优化),全景扫描</w:t>
            </w:r>
          </w:p>
          <w:p w14:paraId="0E5CE530">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WiFi内置WiFi</w:t>
            </w:r>
          </w:p>
          <w:p w14:paraId="296B5B9C">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蓝牙支持</w:t>
            </w:r>
          </w:p>
          <w:p w14:paraId="5F9B6294">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NFC支持</w:t>
            </w:r>
          </w:p>
          <w:p w14:paraId="255896F5">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闪光灯参数</w:t>
            </w:r>
          </w:p>
          <w:p w14:paraId="175FC06B">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机身闪光灯无机身闪光灯</w:t>
            </w:r>
          </w:p>
          <w:p w14:paraId="73FC46F3">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闪光灯控制闪光同步率：1/250s</w:t>
            </w:r>
          </w:p>
          <w:p w14:paraId="667E8438">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存储及连接参数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1685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6E4C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114E2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CF7E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33</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9165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稳定器</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1BB21">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Style w:val="145"/>
                <w:rFonts w:hint="eastAsia" w:ascii="宋体" w:hAnsi="宋体" w:eastAsia="宋体" w:cs="宋体"/>
                <w:b w:val="0"/>
                <w:bCs w:val="0"/>
                <w:sz w:val="21"/>
                <w:szCs w:val="21"/>
                <w:highlight w:val="none"/>
                <w:lang w:val="en-US" w:eastAsia="zh-CN" w:bidi="ar"/>
              </w:rPr>
              <w:t>云台类型三轴云台使用方式手持，桌面稳定器尺寸展开：航向范围平移轴无限位横滚范围-240°-95°俯仰范围-112°-214°最大控制转速平移方向：360°/s俯仰方向：360°/s</w:t>
            </w:r>
            <w:r>
              <w:rPr>
                <w:rStyle w:val="286"/>
                <w:rFonts w:hint="eastAsia" w:ascii="宋体" w:hAnsi="宋体" w:eastAsia="宋体" w:cs="宋体"/>
                <w:b w:val="0"/>
                <w:bCs w:val="0"/>
                <w:sz w:val="21"/>
                <w:szCs w:val="21"/>
                <w:highlight w:val="none"/>
                <w:lang w:val="en-US" w:eastAsia="zh-CN" w:bidi="ar"/>
              </w:rPr>
              <w:t xml:space="preserve"> </w:t>
            </w:r>
            <w:r>
              <w:rPr>
                <w:rStyle w:val="145"/>
                <w:rFonts w:hint="eastAsia" w:ascii="宋体" w:hAnsi="宋体" w:eastAsia="宋体" w:cs="宋体"/>
                <w:b w:val="0"/>
                <w:bCs w:val="0"/>
                <w:sz w:val="21"/>
                <w:szCs w:val="21"/>
                <w:highlight w:val="none"/>
                <w:lang w:val="en-US" w:eastAsia="zh-CN" w:bidi="ar"/>
              </w:rPr>
              <w:t>横滚方向：360°/s拓展功能蓝牙蓝牙5.0跟随模式智能跟随3.0一键切换横竖拍支持工作频率2.40GHz-2.4835GHzAPP安装要求iOS 11.0 及以上，Android 7.0及以上</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E039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7F74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27116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7445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34</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7B01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音频工作站</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77440">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1、处理器：≥2.9GHz 八核十六线程 Intel Core i7 处理器总线速度 8 GT/s DMI3，最大睿频频率 4.8GHz，三级缓存 16MB；</w:t>
            </w:r>
          </w:p>
          <w:p w14:paraId="20F3E454">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2、内存：≥32G 2400 DDR4 内存，可扩展至 64G；</w:t>
            </w:r>
          </w:p>
          <w:p w14:paraId="54F9D3FC">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3、数据盘：≥256SSD 固态系统盘+2T 7200rpm 高效能硬盘，缓存 256M；</w:t>
            </w:r>
          </w:p>
          <w:p w14:paraId="4D4671B2">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4、包含 27 寸显示器 2 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47AA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D463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178B2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3498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35</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8BE1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音频接口</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C6402">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产品类型：≥18 进（8 模拟/2 数字/8 扩展）20 出（10 模拟/2 数字/8 扩展）数据连接：USB2.0、 Type-C</w:t>
            </w:r>
          </w:p>
          <w:p w14:paraId="10106A83">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采样率：44.1 / 48 / 88.2 / 96 / 176.4 / 192 kHz</w:t>
            </w:r>
          </w:p>
          <w:p w14:paraId="553307B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动态范围：话筒输入:不劣于 111dB (A 加权)；线路输入: 110.5dB (A 加权)；乐器输入: 110dB (A 加权)；线路输出: 108.5dB (A 加权)；</w:t>
            </w:r>
          </w:p>
          <w:p w14:paraId="083E7C9A">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耳机:不劣于 104dB (A 加权)</w:t>
            </w:r>
          </w:p>
          <w:p w14:paraId="716B563A">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A/D 精度：不劣于 24-bit/192 kHz</w:t>
            </w:r>
          </w:p>
          <w:p w14:paraId="11245835">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频率响应：不劣于 20Hz 至 20kHz； ±0.1dB</w:t>
            </w:r>
          </w:p>
          <w:p w14:paraId="370813BC">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较大输入电平：话筒:不劣于 +9dB；线路: +22dB；乐器: +12.5dB较大输出电平：线路: 不劣于+15.5dB,平衡式；耳机: 7dB</w:t>
            </w:r>
          </w:p>
          <w:p w14:paraId="71C25714">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阻抗：话筒输入:不劣于 3kΩ；线路输入: 不劣于 60kΩ(1-4), 44kΩ(5-8)；乐器输入:不劣于 1.5MΩ；线路输出:不劣于 430Ω；耳机输出: &lt;1Ω</w:t>
            </w:r>
          </w:p>
          <w:p w14:paraId="39F94F3A">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增益范围：不劣于 56dB</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D879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ED5A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15D73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80CA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36</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760A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录音软件</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63EC4">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1、音频轨道：≥1024 轨道；</w:t>
            </w:r>
          </w:p>
          <w:p w14:paraId="317FE06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2、音频引擎：64bit 深度的浮点运算能力；</w:t>
            </w:r>
          </w:p>
          <w:p w14:paraId="7E8FA49A">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3、音频采样率：≥192khz；</w:t>
            </w:r>
          </w:p>
          <w:p w14:paraId="5EA0D660">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4、MIDI 轨道：≥1024 个；</w:t>
            </w:r>
          </w:p>
          <w:p w14:paraId="0D8BB606">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5、VST 轨道：≥1024 个；</w:t>
            </w:r>
          </w:p>
          <w:p w14:paraId="0A502554">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6、声音素材：≥ 3000 个；</w:t>
            </w:r>
          </w:p>
          <w:p w14:paraId="27D61673">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7、VST 音频效果插件：≥76 个；</w:t>
            </w:r>
          </w:p>
          <w:p w14:paraId="03A59A4A">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8、VSTMIDI 效应插件：≥18 个；</w:t>
            </w:r>
          </w:p>
          <w:p w14:paraId="542CFA68">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9、音频输入和输出：≥256 轨道；</w:t>
            </w:r>
          </w:p>
          <w:p w14:paraId="4C95F1F1">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10、音频通道插入槽：≥16 个；</w:t>
            </w:r>
          </w:p>
          <w:p w14:paraId="7FFCCB29">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11、MIDI 插入插槽&amp;发送：≥4 个； 12、Group channels：≥256 轨道；</w:t>
            </w:r>
          </w:p>
          <w:p w14:paraId="6805C86C">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13、功能：MPE 支持，≥20 个新的脉冲响应，人声音高修正，调音台快照，快速对轨功能，支持 32bit 深度的动态；</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04F7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1C5A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2B85B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F752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37</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D8F3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音频控制台</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E9BB2">
            <w:pPr>
              <w:keepNext w:val="0"/>
              <w:keepLines w:val="0"/>
              <w:widowControl/>
              <w:suppressLineNumbers w:val="0"/>
              <w:jc w:val="left"/>
              <w:textAlignment w:val="center"/>
              <w:rPr>
                <w:rStyle w:val="145"/>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w:t>
            </w:r>
            <w:r>
              <w:rPr>
                <w:rStyle w:val="288"/>
                <w:rFonts w:hint="eastAsia" w:ascii="宋体" w:hAnsi="宋体" w:eastAsia="宋体" w:cs="宋体"/>
                <w:b w:val="0"/>
                <w:bCs w:val="0"/>
                <w:sz w:val="21"/>
                <w:szCs w:val="21"/>
                <w:highlight w:val="none"/>
                <w:lang w:val="en-US" w:eastAsia="zh-CN" w:bidi="ar"/>
              </w:rPr>
              <w:t xml:space="preserve">8 + 1 </w:t>
            </w:r>
            <w:r>
              <w:rPr>
                <w:rStyle w:val="145"/>
                <w:rFonts w:hint="eastAsia" w:ascii="宋体" w:hAnsi="宋体" w:eastAsia="宋体" w:cs="宋体"/>
                <w:b w:val="0"/>
                <w:bCs w:val="0"/>
                <w:sz w:val="21"/>
                <w:szCs w:val="21"/>
                <w:highlight w:val="none"/>
                <w:lang w:val="en-US" w:eastAsia="zh-CN" w:bidi="ar"/>
              </w:rPr>
              <w:t>触摸式电动推子，≥</w:t>
            </w:r>
            <w:r>
              <w:rPr>
                <w:rStyle w:val="288"/>
                <w:rFonts w:hint="eastAsia" w:ascii="宋体" w:hAnsi="宋体" w:eastAsia="宋体" w:cs="宋体"/>
                <w:b w:val="0"/>
                <w:bCs w:val="0"/>
                <w:sz w:val="21"/>
                <w:szCs w:val="21"/>
                <w:highlight w:val="none"/>
                <w:lang w:val="en-US" w:eastAsia="zh-CN" w:bidi="ar"/>
              </w:rPr>
              <w:t xml:space="preserve">10 </w:t>
            </w:r>
            <w:r>
              <w:rPr>
                <w:rStyle w:val="145"/>
                <w:rFonts w:hint="eastAsia" w:ascii="宋体" w:hAnsi="宋体" w:eastAsia="宋体" w:cs="宋体"/>
                <w:b w:val="0"/>
                <w:bCs w:val="0"/>
                <w:sz w:val="21"/>
                <w:szCs w:val="21"/>
                <w:highlight w:val="none"/>
                <w:lang w:val="en-US" w:eastAsia="zh-CN" w:bidi="ar"/>
              </w:rPr>
              <w:t>位分辨率</w:t>
            </w:r>
          </w:p>
          <w:p w14:paraId="025F1D33">
            <w:pPr>
              <w:keepNext w:val="0"/>
              <w:keepLines w:val="0"/>
              <w:widowControl/>
              <w:suppressLineNumbers w:val="0"/>
              <w:jc w:val="left"/>
              <w:textAlignment w:val="center"/>
              <w:rPr>
                <w:rStyle w:val="145"/>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w:t>
            </w:r>
            <w:r>
              <w:rPr>
                <w:rStyle w:val="288"/>
                <w:rFonts w:hint="eastAsia" w:ascii="宋体" w:hAnsi="宋体" w:eastAsia="宋体" w:cs="宋体"/>
                <w:b w:val="0"/>
                <w:bCs w:val="0"/>
                <w:sz w:val="21"/>
                <w:szCs w:val="21"/>
                <w:highlight w:val="none"/>
                <w:lang w:val="en-US" w:eastAsia="zh-CN" w:bidi="ar"/>
              </w:rPr>
              <w:t xml:space="preserve">12 </w:t>
            </w:r>
            <w:r>
              <w:rPr>
                <w:rStyle w:val="145"/>
                <w:rFonts w:hint="eastAsia" w:ascii="宋体" w:hAnsi="宋体" w:eastAsia="宋体" w:cs="宋体"/>
                <w:b w:val="0"/>
                <w:bCs w:val="0"/>
                <w:sz w:val="21"/>
                <w:szCs w:val="21"/>
                <w:highlight w:val="none"/>
                <w:lang w:val="en-US" w:eastAsia="zh-CN" w:bidi="ar"/>
              </w:rPr>
              <w:t>段</w:t>
            </w:r>
            <w:r>
              <w:rPr>
                <w:rStyle w:val="288"/>
                <w:rFonts w:hint="eastAsia" w:ascii="宋体" w:hAnsi="宋体" w:eastAsia="宋体" w:cs="宋体"/>
                <w:b w:val="0"/>
                <w:bCs w:val="0"/>
                <w:sz w:val="21"/>
                <w:szCs w:val="21"/>
                <w:highlight w:val="none"/>
                <w:lang w:val="en-US" w:eastAsia="zh-CN" w:bidi="ar"/>
              </w:rPr>
              <w:t xml:space="preserve"> LED </w:t>
            </w:r>
            <w:r>
              <w:rPr>
                <w:rStyle w:val="145"/>
                <w:rFonts w:hint="eastAsia" w:ascii="宋体" w:hAnsi="宋体" w:eastAsia="宋体" w:cs="宋体"/>
                <w:b w:val="0"/>
                <w:bCs w:val="0"/>
                <w:sz w:val="21"/>
                <w:szCs w:val="21"/>
                <w:highlight w:val="none"/>
                <w:lang w:val="en-US" w:eastAsia="zh-CN" w:bidi="ar"/>
              </w:rPr>
              <w:t>电表桥</w:t>
            </w:r>
          </w:p>
          <w:p w14:paraId="1F2BB433">
            <w:pPr>
              <w:keepNext w:val="0"/>
              <w:keepLines w:val="0"/>
              <w:widowControl/>
              <w:suppressLineNumbers w:val="0"/>
              <w:jc w:val="left"/>
              <w:textAlignment w:val="center"/>
              <w:rPr>
                <w:rStyle w:val="145"/>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仪表桥上的立体声</w:t>
            </w:r>
            <w:r>
              <w:rPr>
                <w:rStyle w:val="288"/>
                <w:rFonts w:hint="eastAsia" w:ascii="宋体" w:hAnsi="宋体" w:eastAsia="宋体" w:cs="宋体"/>
                <w:b w:val="0"/>
                <w:bCs w:val="0"/>
                <w:sz w:val="21"/>
                <w:szCs w:val="21"/>
                <w:highlight w:val="none"/>
                <w:lang w:val="en-US" w:eastAsia="zh-CN" w:bidi="ar"/>
              </w:rPr>
              <w:t xml:space="preserve"> LED </w:t>
            </w:r>
            <w:r>
              <w:rPr>
                <w:rStyle w:val="145"/>
                <w:rFonts w:hint="eastAsia" w:ascii="宋体" w:hAnsi="宋体" w:eastAsia="宋体" w:cs="宋体"/>
                <w:b w:val="0"/>
                <w:bCs w:val="0"/>
                <w:sz w:val="21"/>
                <w:szCs w:val="21"/>
                <w:highlight w:val="none"/>
                <w:lang w:val="en-US" w:eastAsia="zh-CN" w:bidi="ar"/>
              </w:rPr>
              <w:t>主通道电平测量</w:t>
            </w:r>
          </w:p>
          <w:p w14:paraId="5581B298">
            <w:pPr>
              <w:keepNext w:val="0"/>
              <w:keepLines w:val="0"/>
              <w:widowControl/>
              <w:suppressLineNumbers w:val="0"/>
              <w:jc w:val="left"/>
              <w:textAlignment w:val="center"/>
              <w:rPr>
                <w:rStyle w:val="145"/>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w:t>
            </w:r>
            <w:r>
              <w:rPr>
                <w:rStyle w:val="288"/>
                <w:rFonts w:hint="eastAsia" w:ascii="宋体" w:hAnsi="宋体" w:eastAsia="宋体" w:cs="宋体"/>
                <w:b w:val="0"/>
                <w:bCs w:val="0"/>
                <w:sz w:val="21"/>
                <w:szCs w:val="21"/>
                <w:highlight w:val="none"/>
                <w:lang w:val="en-US" w:eastAsia="zh-CN" w:bidi="ar"/>
              </w:rPr>
              <w:t xml:space="preserve">8 </w:t>
            </w:r>
            <w:r>
              <w:rPr>
                <w:rStyle w:val="145"/>
                <w:rFonts w:hint="eastAsia" w:ascii="宋体" w:hAnsi="宋体" w:eastAsia="宋体" w:cs="宋体"/>
                <w:b w:val="0"/>
                <w:bCs w:val="0"/>
                <w:sz w:val="21"/>
                <w:szCs w:val="21"/>
                <w:highlight w:val="none"/>
                <w:lang w:val="en-US" w:eastAsia="zh-CN" w:bidi="ar"/>
              </w:rPr>
              <w:t>双功能编码器，带多色</w:t>
            </w:r>
            <w:r>
              <w:rPr>
                <w:rStyle w:val="288"/>
                <w:rFonts w:hint="eastAsia" w:ascii="宋体" w:hAnsi="宋体" w:eastAsia="宋体" w:cs="宋体"/>
                <w:b w:val="0"/>
                <w:bCs w:val="0"/>
                <w:sz w:val="21"/>
                <w:szCs w:val="21"/>
                <w:highlight w:val="none"/>
                <w:lang w:val="en-US" w:eastAsia="zh-CN" w:bidi="ar"/>
              </w:rPr>
              <w:t xml:space="preserve"> LED </w:t>
            </w:r>
            <w:r>
              <w:rPr>
                <w:rStyle w:val="145"/>
                <w:rFonts w:hint="eastAsia" w:ascii="宋体" w:hAnsi="宋体" w:eastAsia="宋体" w:cs="宋体"/>
                <w:b w:val="0"/>
                <w:bCs w:val="0"/>
                <w:sz w:val="21"/>
                <w:szCs w:val="21"/>
                <w:highlight w:val="none"/>
                <w:lang w:val="en-US" w:eastAsia="zh-CN" w:bidi="ar"/>
              </w:rPr>
              <w:t>指示环</w:t>
            </w:r>
          </w:p>
          <w:p w14:paraId="3D81CE4E">
            <w:pPr>
              <w:keepNext w:val="0"/>
              <w:keepLines w:val="0"/>
              <w:widowControl/>
              <w:suppressLineNumbers w:val="0"/>
              <w:jc w:val="left"/>
              <w:textAlignment w:val="center"/>
              <w:rPr>
                <w:rStyle w:val="145"/>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围绕编码器的</w:t>
            </w:r>
            <w:r>
              <w:rPr>
                <w:rStyle w:val="288"/>
                <w:rFonts w:hint="eastAsia" w:ascii="宋体" w:hAnsi="宋体" w:eastAsia="宋体" w:cs="宋体"/>
                <w:b w:val="0"/>
                <w:bCs w:val="0"/>
                <w:sz w:val="21"/>
                <w:szCs w:val="21"/>
                <w:highlight w:val="none"/>
                <w:lang w:val="en-US" w:eastAsia="zh-CN" w:bidi="ar"/>
              </w:rPr>
              <w:t xml:space="preserve"> 11 </w:t>
            </w:r>
            <w:r>
              <w:rPr>
                <w:rStyle w:val="145"/>
                <w:rFonts w:hint="eastAsia" w:ascii="宋体" w:hAnsi="宋体" w:eastAsia="宋体" w:cs="宋体"/>
                <w:b w:val="0"/>
                <w:bCs w:val="0"/>
                <w:sz w:val="21"/>
                <w:szCs w:val="21"/>
                <w:highlight w:val="none"/>
                <w:lang w:val="en-US" w:eastAsia="zh-CN" w:bidi="ar"/>
              </w:rPr>
              <w:t>段多色</w:t>
            </w:r>
            <w:r>
              <w:rPr>
                <w:rStyle w:val="288"/>
                <w:rFonts w:hint="eastAsia" w:ascii="宋体" w:hAnsi="宋体" w:eastAsia="宋体" w:cs="宋体"/>
                <w:b w:val="0"/>
                <w:bCs w:val="0"/>
                <w:sz w:val="21"/>
                <w:szCs w:val="21"/>
                <w:highlight w:val="none"/>
                <w:lang w:val="en-US" w:eastAsia="zh-CN" w:bidi="ar"/>
              </w:rPr>
              <w:t xml:space="preserve"> LED </w:t>
            </w:r>
            <w:r>
              <w:rPr>
                <w:rStyle w:val="145"/>
                <w:rFonts w:hint="eastAsia" w:ascii="宋体" w:hAnsi="宋体" w:eastAsia="宋体" w:cs="宋体"/>
                <w:b w:val="0"/>
                <w:bCs w:val="0"/>
                <w:sz w:val="21"/>
                <w:szCs w:val="21"/>
                <w:highlight w:val="none"/>
                <w:lang w:val="en-US" w:eastAsia="zh-CN" w:bidi="ar"/>
              </w:rPr>
              <w:t>指示旋转位置</w:t>
            </w:r>
          </w:p>
          <w:p w14:paraId="1F72CF99">
            <w:pPr>
              <w:keepNext w:val="0"/>
              <w:keepLines w:val="0"/>
              <w:widowControl/>
              <w:suppressLineNumbers w:val="0"/>
              <w:jc w:val="left"/>
              <w:textAlignment w:val="center"/>
              <w:rPr>
                <w:rStyle w:val="145"/>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双通道大背光液晶显示屏，可显示每个通道的通道名称，控制值等</w:t>
            </w:r>
          </w:p>
          <w:p w14:paraId="1B7A558E">
            <w:pPr>
              <w:keepNext w:val="0"/>
              <w:keepLines w:val="0"/>
              <w:widowControl/>
              <w:suppressLineNumbers w:val="0"/>
              <w:jc w:val="left"/>
              <w:textAlignment w:val="center"/>
              <w:rPr>
                <w:rStyle w:val="145"/>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w:t>
            </w:r>
            <w:r>
              <w:rPr>
                <w:rStyle w:val="288"/>
                <w:rFonts w:hint="eastAsia" w:ascii="宋体" w:hAnsi="宋体" w:eastAsia="宋体" w:cs="宋体"/>
                <w:b w:val="0"/>
                <w:bCs w:val="0"/>
                <w:sz w:val="21"/>
                <w:szCs w:val="21"/>
                <w:highlight w:val="none"/>
                <w:lang w:val="en-US" w:eastAsia="zh-CN" w:bidi="ar"/>
              </w:rPr>
              <w:t xml:space="preserve">12 </w:t>
            </w:r>
            <w:r>
              <w:rPr>
                <w:rStyle w:val="145"/>
                <w:rFonts w:hint="eastAsia" w:ascii="宋体" w:hAnsi="宋体" w:eastAsia="宋体" w:cs="宋体"/>
                <w:b w:val="0"/>
                <w:bCs w:val="0"/>
                <w:sz w:val="21"/>
                <w:szCs w:val="21"/>
                <w:highlight w:val="none"/>
                <w:lang w:val="en-US" w:eastAsia="zh-CN" w:bidi="ar"/>
              </w:rPr>
              <w:t>段</w:t>
            </w:r>
            <w:r>
              <w:rPr>
                <w:rStyle w:val="288"/>
                <w:rFonts w:hint="eastAsia" w:ascii="宋体" w:hAnsi="宋体" w:eastAsia="宋体" w:cs="宋体"/>
                <w:b w:val="0"/>
                <w:bCs w:val="0"/>
                <w:sz w:val="21"/>
                <w:szCs w:val="21"/>
                <w:highlight w:val="none"/>
                <w:lang w:val="en-US" w:eastAsia="zh-CN" w:bidi="ar"/>
              </w:rPr>
              <w:t xml:space="preserve"> LED </w:t>
            </w:r>
            <w:r>
              <w:rPr>
                <w:rStyle w:val="145"/>
                <w:rFonts w:hint="eastAsia" w:ascii="宋体" w:hAnsi="宋体" w:eastAsia="宋体" w:cs="宋体"/>
                <w:b w:val="0"/>
                <w:bCs w:val="0"/>
                <w:sz w:val="21"/>
                <w:szCs w:val="21"/>
                <w:highlight w:val="none"/>
                <w:lang w:val="en-US" w:eastAsia="zh-CN" w:bidi="ar"/>
              </w:rPr>
              <w:t>显示屏以</w:t>
            </w:r>
            <w:r>
              <w:rPr>
                <w:rStyle w:val="288"/>
                <w:rFonts w:hint="eastAsia" w:ascii="宋体" w:hAnsi="宋体" w:eastAsia="宋体" w:cs="宋体"/>
                <w:b w:val="0"/>
                <w:bCs w:val="0"/>
                <w:sz w:val="21"/>
                <w:szCs w:val="21"/>
                <w:highlight w:val="none"/>
                <w:lang w:val="en-US" w:eastAsia="zh-CN" w:bidi="ar"/>
              </w:rPr>
              <w:t xml:space="preserve"> SMPTE </w:t>
            </w:r>
            <w:r>
              <w:rPr>
                <w:rStyle w:val="145"/>
                <w:rFonts w:hint="eastAsia" w:ascii="宋体" w:hAnsi="宋体" w:eastAsia="宋体" w:cs="宋体"/>
                <w:b w:val="0"/>
                <w:bCs w:val="0"/>
                <w:sz w:val="21"/>
                <w:szCs w:val="21"/>
                <w:highlight w:val="none"/>
                <w:lang w:val="en-US" w:eastAsia="zh-CN" w:bidi="ar"/>
              </w:rPr>
              <w:t>或</w:t>
            </w:r>
            <w:r>
              <w:rPr>
                <w:rStyle w:val="288"/>
                <w:rFonts w:hint="eastAsia" w:ascii="宋体" w:hAnsi="宋体" w:eastAsia="宋体" w:cs="宋体"/>
                <w:b w:val="0"/>
                <w:bCs w:val="0"/>
                <w:sz w:val="21"/>
                <w:szCs w:val="21"/>
                <w:highlight w:val="none"/>
                <w:lang w:val="en-US" w:eastAsia="zh-CN" w:bidi="ar"/>
              </w:rPr>
              <w:t xml:space="preserve"> BBT </w:t>
            </w:r>
            <w:r>
              <w:rPr>
                <w:rStyle w:val="145"/>
                <w:rFonts w:hint="eastAsia" w:ascii="宋体" w:hAnsi="宋体" w:eastAsia="宋体" w:cs="宋体"/>
                <w:b w:val="0"/>
                <w:bCs w:val="0"/>
                <w:sz w:val="21"/>
                <w:szCs w:val="21"/>
                <w:highlight w:val="none"/>
                <w:lang w:val="en-US" w:eastAsia="zh-CN" w:bidi="ar"/>
              </w:rPr>
              <w:t>格式显示项目的时间位置</w:t>
            </w:r>
          </w:p>
          <w:p w14:paraId="4F39F067">
            <w:pPr>
              <w:keepNext w:val="0"/>
              <w:keepLines w:val="0"/>
              <w:widowControl/>
              <w:suppressLineNumbers w:val="0"/>
              <w:jc w:val="left"/>
              <w:textAlignment w:val="center"/>
              <w:rPr>
                <w:rStyle w:val="145"/>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w:t>
            </w:r>
            <w:r>
              <w:rPr>
                <w:rStyle w:val="288"/>
                <w:rFonts w:hint="eastAsia" w:ascii="宋体" w:hAnsi="宋体" w:eastAsia="宋体" w:cs="宋体"/>
                <w:b w:val="0"/>
                <w:bCs w:val="0"/>
                <w:sz w:val="21"/>
                <w:szCs w:val="21"/>
                <w:highlight w:val="none"/>
                <w:lang w:val="en-US" w:eastAsia="zh-CN" w:bidi="ar"/>
              </w:rPr>
              <w:t xml:space="preserve">18 </w:t>
            </w:r>
            <w:r>
              <w:rPr>
                <w:rStyle w:val="145"/>
                <w:rFonts w:hint="eastAsia" w:ascii="宋体" w:hAnsi="宋体" w:eastAsia="宋体" w:cs="宋体"/>
                <w:b w:val="0"/>
                <w:bCs w:val="0"/>
                <w:sz w:val="21"/>
                <w:szCs w:val="21"/>
                <w:highlight w:val="none"/>
                <w:lang w:val="en-US" w:eastAsia="zh-CN" w:bidi="ar"/>
              </w:rPr>
              <w:t>个可分配按钮</w:t>
            </w:r>
          </w:p>
          <w:p w14:paraId="4E4F2140">
            <w:pPr>
              <w:keepNext w:val="0"/>
              <w:keepLines w:val="0"/>
              <w:widowControl/>
              <w:suppressLineNumbers w:val="0"/>
              <w:jc w:val="left"/>
              <w:textAlignment w:val="center"/>
              <w:rPr>
                <w:rStyle w:val="145"/>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微动穿梭轮用于擦洗，快速搜索和控制</w:t>
            </w:r>
          </w:p>
          <w:p w14:paraId="0E8B1747">
            <w:pPr>
              <w:keepNext w:val="0"/>
              <w:keepLines w:val="0"/>
              <w:widowControl/>
              <w:suppressLineNumbers w:val="0"/>
              <w:jc w:val="left"/>
              <w:textAlignment w:val="center"/>
              <w:rPr>
                <w:rStyle w:val="145"/>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每个通道的照明按钮包括录音启用，独奏，静音，选择和监视</w:t>
            </w:r>
          </w:p>
          <w:p w14:paraId="7C35B1D3">
            <w:pPr>
              <w:keepNext w:val="0"/>
              <w:keepLines w:val="0"/>
              <w:widowControl/>
              <w:suppressLineNumbers w:val="0"/>
              <w:jc w:val="left"/>
              <w:textAlignment w:val="center"/>
              <w:rPr>
                <w:rStyle w:val="145"/>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w:t>
            </w:r>
            <w:r>
              <w:rPr>
                <w:rStyle w:val="288"/>
                <w:rFonts w:hint="eastAsia" w:ascii="宋体" w:hAnsi="宋体" w:eastAsia="宋体" w:cs="宋体"/>
                <w:b w:val="0"/>
                <w:bCs w:val="0"/>
                <w:sz w:val="21"/>
                <w:szCs w:val="21"/>
                <w:highlight w:val="none"/>
                <w:lang w:val="en-US" w:eastAsia="zh-CN" w:bidi="ar"/>
              </w:rPr>
              <w:t xml:space="preserve">6 </w:t>
            </w:r>
            <w:r>
              <w:rPr>
                <w:rStyle w:val="145"/>
                <w:rFonts w:hint="eastAsia" w:ascii="宋体" w:hAnsi="宋体" w:eastAsia="宋体" w:cs="宋体"/>
                <w:b w:val="0"/>
                <w:bCs w:val="0"/>
                <w:sz w:val="21"/>
                <w:szCs w:val="21"/>
                <w:highlight w:val="none"/>
                <w:lang w:val="en-US" w:eastAsia="zh-CN" w:bidi="ar"/>
              </w:rPr>
              <w:t>个照明传输按钮，包括播放，停止，录制，倒带，快进和循环带有</w:t>
            </w:r>
            <w:r>
              <w:rPr>
                <w:rStyle w:val="288"/>
                <w:rFonts w:hint="eastAsia" w:ascii="宋体" w:hAnsi="宋体" w:eastAsia="宋体" w:cs="宋体"/>
                <w:b w:val="0"/>
                <w:bCs w:val="0"/>
                <w:sz w:val="21"/>
                <w:szCs w:val="21"/>
                <w:highlight w:val="none"/>
                <w:lang w:val="en-US" w:eastAsia="zh-CN" w:bidi="ar"/>
              </w:rPr>
              <w:t xml:space="preserve"> 4 </w:t>
            </w:r>
            <w:r>
              <w:rPr>
                <w:rStyle w:val="145"/>
                <w:rFonts w:hint="eastAsia" w:ascii="宋体" w:hAnsi="宋体" w:eastAsia="宋体" w:cs="宋体"/>
                <w:b w:val="0"/>
                <w:bCs w:val="0"/>
                <w:sz w:val="21"/>
                <w:szCs w:val="21"/>
                <w:highlight w:val="none"/>
                <w:lang w:val="en-US" w:eastAsia="zh-CN" w:bidi="ar"/>
              </w:rPr>
              <w:t>个方向按钮的照明</w:t>
            </w:r>
            <w:r>
              <w:rPr>
                <w:rStyle w:val="288"/>
                <w:rFonts w:hint="eastAsia" w:ascii="宋体" w:hAnsi="宋体" w:eastAsia="宋体" w:cs="宋体"/>
                <w:b w:val="0"/>
                <w:bCs w:val="0"/>
                <w:sz w:val="21"/>
                <w:szCs w:val="21"/>
                <w:highlight w:val="none"/>
                <w:lang w:val="en-US" w:eastAsia="zh-CN" w:bidi="ar"/>
              </w:rPr>
              <w:t xml:space="preserve"> ZOOM </w:t>
            </w:r>
            <w:r>
              <w:rPr>
                <w:rStyle w:val="145"/>
                <w:rFonts w:hint="eastAsia" w:ascii="宋体" w:hAnsi="宋体" w:eastAsia="宋体" w:cs="宋体"/>
                <w:b w:val="0"/>
                <w:bCs w:val="0"/>
                <w:sz w:val="21"/>
                <w:szCs w:val="21"/>
                <w:highlight w:val="none"/>
                <w:lang w:val="en-US" w:eastAsia="zh-CN" w:bidi="ar"/>
              </w:rPr>
              <w:t>按钮</w:t>
            </w:r>
          </w:p>
          <w:p w14:paraId="17B406B1">
            <w:pPr>
              <w:keepNext w:val="0"/>
              <w:keepLines w:val="0"/>
              <w:widowControl/>
              <w:suppressLineNumbers w:val="0"/>
              <w:jc w:val="left"/>
              <w:textAlignment w:val="center"/>
              <w:rPr>
                <w:rStyle w:val="145"/>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w:t>
            </w:r>
            <w:r>
              <w:rPr>
                <w:rStyle w:val="288"/>
                <w:rFonts w:hint="eastAsia" w:ascii="宋体" w:hAnsi="宋体" w:eastAsia="宋体" w:cs="宋体"/>
                <w:b w:val="0"/>
                <w:bCs w:val="0"/>
                <w:sz w:val="21"/>
                <w:szCs w:val="21"/>
                <w:highlight w:val="none"/>
                <w:lang w:val="en-US" w:eastAsia="zh-CN" w:bidi="ar"/>
              </w:rPr>
              <w:t xml:space="preserve">9 </w:t>
            </w:r>
            <w:r>
              <w:rPr>
                <w:rStyle w:val="145"/>
                <w:rFonts w:hint="eastAsia" w:ascii="宋体" w:hAnsi="宋体" w:eastAsia="宋体" w:cs="宋体"/>
                <w:b w:val="0"/>
                <w:bCs w:val="0"/>
                <w:sz w:val="21"/>
                <w:szCs w:val="21"/>
                <w:highlight w:val="none"/>
                <w:lang w:val="en-US" w:eastAsia="zh-CN" w:bidi="ar"/>
              </w:rPr>
              <w:t>个可点亮的可分配</w:t>
            </w:r>
            <w:r>
              <w:rPr>
                <w:rStyle w:val="288"/>
                <w:rFonts w:hint="eastAsia" w:ascii="宋体" w:hAnsi="宋体" w:eastAsia="宋体" w:cs="宋体"/>
                <w:b w:val="0"/>
                <w:bCs w:val="0"/>
                <w:sz w:val="21"/>
                <w:szCs w:val="21"/>
                <w:highlight w:val="none"/>
                <w:lang w:val="en-US" w:eastAsia="zh-CN" w:bidi="ar"/>
              </w:rPr>
              <w:t xml:space="preserve"> MIDI </w:t>
            </w:r>
            <w:r>
              <w:rPr>
                <w:rStyle w:val="145"/>
                <w:rFonts w:hint="eastAsia" w:ascii="宋体" w:hAnsi="宋体" w:eastAsia="宋体" w:cs="宋体"/>
                <w:b w:val="0"/>
                <w:bCs w:val="0"/>
                <w:sz w:val="21"/>
                <w:szCs w:val="21"/>
                <w:highlight w:val="none"/>
                <w:lang w:val="en-US" w:eastAsia="zh-CN" w:bidi="ar"/>
              </w:rPr>
              <w:t>功能按钮</w:t>
            </w:r>
          </w:p>
          <w:p w14:paraId="4B6135E0">
            <w:pPr>
              <w:keepNext w:val="0"/>
              <w:keepLines w:val="0"/>
              <w:widowControl/>
              <w:suppressLineNumbers w:val="0"/>
              <w:jc w:val="left"/>
              <w:textAlignment w:val="center"/>
              <w:rPr>
                <w:rStyle w:val="145"/>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两个（</w:t>
            </w:r>
            <w:r>
              <w:rPr>
                <w:rStyle w:val="288"/>
                <w:rFonts w:hint="eastAsia" w:ascii="宋体" w:hAnsi="宋体" w:eastAsia="宋体" w:cs="宋体"/>
                <w:b w:val="0"/>
                <w:bCs w:val="0"/>
                <w:sz w:val="21"/>
                <w:szCs w:val="21"/>
                <w:highlight w:val="none"/>
                <w:lang w:val="en-US" w:eastAsia="zh-CN" w:bidi="ar"/>
              </w:rPr>
              <w:t>2</w:t>
            </w:r>
            <w:r>
              <w:rPr>
                <w:rStyle w:val="145"/>
                <w:rFonts w:hint="eastAsia" w:ascii="宋体" w:hAnsi="宋体" w:eastAsia="宋体" w:cs="宋体"/>
                <w:b w:val="0"/>
                <w:bCs w:val="0"/>
                <w:sz w:val="21"/>
                <w:szCs w:val="21"/>
                <w:highlight w:val="none"/>
                <w:lang w:val="en-US" w:eastAsia="zh-CN" w:bidi="ar"/>
              </w:rPr>
              <w:t>）</w:t>
            </w:r>
            <w:r>
              <w:rPr>
                <w:rStyle w:val="288"/>
                <w:rFonts w:hint="eastAsia" w:ascii="宋体" w:hAnsi="宋体" w:eastAsia="宋体" w:cs="宋体"/>
                <w:b w:val="0"/>
                <w:bCs w:val="0"/>
                <w:sz w:val="21"/>
                <w:szCs w:val="21"/>
                <w:highlight w:val="none"/>
                <w:lang w:val="en-US" w:eastAsia="zh-CN" w:bidi="ar"/>
              </w:rPr>
              <w:t>1/4“</w:t>
            </w:r>
            <w:r>
              <w:rPr>
                <w:rStyle w:val="145"/>
                <w:rFonts w:hint="eastAsia" w:ascii="宋体" w:hAnsi="宋体" w:eastAsia="宋体" w:cs="宋体"/>
                <w:b w:val="0"/>
                <w:bCs w:val="0"/>
                <w:sz w:val="21"/>
                <w:szCs w:val="21"/>
                <w:highlight w:val="none"/>
                <w:lang w:val="en-US" w:eastAsia="zh-CN" w:bidi="ar"/>
              </w:rPr>
              <w:t>连接器，用于脚踏开关和踏板自动和手动模式开关用于访问不同的</w:t>
            </w:r>
            <w:r>
              <w:rPr>
                <w:rStyle w:val="288"/>
                <w:rFonts w:hint="eastAsia" w:ascii="宋体" w:hAnsi="宋体" w:eastAsia="宋体" w:cs="宋体"/>
                <w:b w:val="0"/>
                <w:bCs w:val="0"/>
                <w:sz w:val="21"/>
                <w:szCs w:val="21"/>
                <w:highlight w:val="none"/>
                <w:lang w:val="en-US" w:eastAsia="zh-CN" w:bidi="ar"/>
              </w:rPr>
              <w:t xml:space="preserve"> DAW </w:t>
            </w:r>
            <w:r>
              <w:rPr>
                <w:rStyle w:val="145"/>
                <w:rFonts w:hint="eastAsia" w:ascii="宋体" w:hAnsi="宋体" w:eastAsia="宋体" w:cs="宋体"/>
                <w:b w:val="0"/>
                <w:bCs w:val="0"/>
                <w:sz w:val="21"/>
                <w:szCs w:val="21"/>
                <w:highlight w:val="none"/>
                <w:lang w:val="en-US" w:eastAsia="zh-CN" w:bidi="ar"/>
              </w:rPr>
              <w:t>模式</w:t>
            </w:r>
          </w:p>
          <w:p w14:paraId="5D984D31">
            <w:pPr>
              <w:keepNext w:val="0"/>
              <w:keepLines w:val="0"/>
              <w:widowControl/>
              <w:suppressLineNumbers w:val="0"/>
              <w:jc w:val="left"/>
              <w:textAlignment w:val="center"/>
              <w:rPr>
                <w:rStyle w:val="288"/>
                <w:rFonts w:hint="eastAsia" w:ascii="宋体" w:hAnsi="宋体" w:eastAsia="宋体" w:cs="宋体"/>
                <w:b w:val="0"/>
                <w:bCs w:val="0"/>
                <w:sz w:val="21"/>
                <w:szCs w:val="21"/>
                <w:highlight w:val="none"/>
                <w:lang w:val="en-US" w:eastAsia="zh-CN" w:bidi="ar"/>
              </w:rPr>
            </w:pPr>
            <w:r>
              <w:rPr>
                <w:rStyle w:val="145"/>
                <w:rFonts w:hint="eastAsia" w:ascii="宋体" w:hAnsi="宋体" w:eastAsia="宋体" w:cs="宋体"/>
                <w:b w:val="0"/>
                <w:bCs w:val="0"/>
                <w:sz w:val="21"/>
                <w:szCs w:val="21"/>
                <w:highlight w:val="none"/>
                <w:lang w:val="en-US" w:eastAsia="zh-CN" w:bidi="ar"/>
              </w:rPr>
              <w:t>符合</w:t>
            </w:r>
            <w:r>
              <w:rPr>
                <w:rStyle w:val="288"/>
                <w:rFonts w:hint="eastAsia" w:ascii="宋体" w:hAnsi="宋体" w:eastAsia="宋体" w:cs="宋体"/>
                <w:b w:val="0"/>
                <w:bCs w:val="0"/>
                <w:sz w:val="21"/>
                <w:szCs w:val="21"/>
                <w:highlight w:val="none"/>
                <w:lang w:val="en-US" w:eastAsia="zh-CN" w:bidi="ar"/>
              </w:rPr>
              <w:t xml:space="preserve"> Windows XP</w:t>
            </w:r>
            <w:r>
              <w:rPr>
                <w:rStyle w:val="145"/>
                <w:rFonts w:hint="eastAsia" w:ascii="宋体" w:hAnsi="宋体" w:eastAsia="宋体" w:cs="宋体"/>
                <w:b w:val="0"/>
                <w:bCs w:val="0"/>
                <w:sz w:val="21"/>
                <w:szCs w:val="21"/>
                <w:highlight w:val="none"/>
                <w:lang w:val="en-US" w:eastAsia="zh-CN" w:bidi="ar"/>
              </w:rPr>
              <w:t>，</w:t>
            </w:r>
            <w:r>
              <w:rPr>
                <w:rStyle w:val="288"/>
                <w:rFonts w:hint="eastAsia" w:ascii="宋体" w:hAnsi="宋体" w:eastAsia="宋体" w:cs="宋体"/>
                <w:b w:val="0"/>
                <w:bCs w:val="0"/>
                <w:sz w:val="21"/>
                <w:szCs w:val="21"/>
                <w:highlight w:val="none"/>
                <w:lang w:val="en-US" w:eastAsia="zh-CN" w:bidi="ar"/>
              </w:rPr>
              <w:t>Vista</w:t>
            </w:r>
            <w:r>
              <w:rPr>
                <w:rStyle w:val="145"/>
                <w:rFonts w:hint="eastAsia" w:ascii="宋体" w:hAnsi="宋体" w:eastAsia="宋体" w:cs="宋体"/>
                <w:b w:val="0"/>
                <w:bCs w:val="0"/>
                <w:sz w:val="21"/>
                <w:szCs w:val="21"/>
                <w:highlight w:val="none"/>
                <w:lang w:val="en-US" w:eastAsia="zh-CN" w:bidi="ar"/>
              </w:rPr>
              <w:t>（</w:t>
            </w:r>
            <w:r>
              <w:rPr>
                <w:rStyle w:val="288"/>
                <w:rFonts w:hint="eastAsia" w:ascii="宋体" w:hAnsi="宋体" w:eastAsia="宋体" w:cs="宋体"/>
                <w:b w:val="0"/>
                <w:bCs w:val="0"/>
                <w:sz w:val="21"/>
                <w:szCs w:val="21"/>
                <w:highlight w:val="none"/>
                <w:lang w:val="en-US" w:eastAsia="zh-CN" w:bidi="ar"/>
              </w:rPr>
              <w:t xml:space="preserve">32 </w:t>
            </w:r>
            <w:r>
              <w:rPr>
                <w:rStyle w:val="145"/>
                <w:rFonts w:hint="eastAsia" w:ascii="宋体" w:hAnsi="宋体" w:eastAsia="宋体" w:cs="宋体"/>
                <w:b w:val="0"/>
                <w:bCs w:val="0"/>
                <w:sz w:val="21"/>
                <w:szCs w:val="21"/>
                <w:highlight w:val="none"/>
                <w:lang w:val="en-US" w:eastAsia="zh-CN" w:bidi="ar"/>
              </w:rPr>
              <w:t>位），</w:t>
            </w:r>
            <w:r>
              <w:rPr>
                <w:rStyle w:val="288"/>
                <w:rFonts w:hint="eastAsia" w:ascii="宋体" w:hAnsi="宋体" w:eastAsia="宋体" w:cs="宋体"/>
                <w:b w:val="0"/>
                <w:bCs w:val="0"/>
                <w:sz w:val="21"/>
                <w:szCs w:val="21"/>
                <w:highlight w:val="none"/>
                <w:lang w:val="en-US" w:eastAsia="zh-CN" w:bidi="ar"/>
              </w:rPr>
              <w:t>Windows 7</w:t>
            </w:r>
            <w:r>
              <w:rPr>
                <w:rStyle w:val="145"/>
                <w:rFonts w:hint="eastAsia" w:ascii="宋体" w:hAnsi="宋体" w:eastAsia="宋体" w:cs="宋体"/>
                <w:b w:val="0"/>
                <w:bCs w:val="0"/>
                <w:sz w:val="21"/>
                <w:szCs w:val="21"/>
                <w:highlight w:val="none"/>
                <w:lang w:val="en-US" w:eastAsia="zh-CN" w:bidi="ar"/>
              </w:rPr>
              <w:t>（</w:t>
            </w:r>
            <w:r>
              <w:rPr>
                <w:rStyle w:val="288"/>
                <w:rFonts w:hint="eastAsia" w:ascii="宋体" w:hAnsi="宋体" w:eastAsia="宋体" w:cs="宋体"/>
                <w:b w:val="0"/>
                <w:bCs w:val="0"/>
                <w:sz w:val="21"/>
                <w:szCs w:val="21"/>
                <w:highlight w:val="none"/>
                <w:lang w:val="en-US" w:eastAsia="zh-CN" w:bidi="ar"/>
              </w:rPr>
              <w:t xml:space="preserve">32 </w:t>
            </w:r>
            <w:r>
              <w:rPr>
                <w:rStyle w:val="145"/>
                <w:rFonts w:hint="eastAsia" w:ascii="宋体" w:hAnsi="宋体" w:eastAsia="宋体" w:cs="宋体"/>
                <w:b w:val="0"/>
                <w:bCs w:val="0"/>
                <w:sz w:val="21"/>
                <w:szCs w:val="21"/>
                <w:highlight w:val="none"/>
                <w:lang w:val="en-US" w:eastAsia="zh-CN" w:bidi="ar"/>
              </w:rPr>
              <w:t>位和</w:t>
            </w:r>
            <w:r>
              <w:rPr>
                <w:rStyle w:val="288"/>
                <w:rFonts w:hint="eastAsia" w:ascii="宋体" w:hAnsi="宋体" w:eastAsia="宋体" w:cs="宋体"/>
                <w:b w:val="0"/>
                <w:bCs w:val="0"/>
                <w:sz w:val="21"/>
                <w:szCs w:val="21"/>
                <w:highlight w:val="none"/>
                <w:lang w:val="en-US" w:eastAsia="zh-CN" w:bidi="ar"/>
              </w:rPr>
              <w:t xml:space="preserve"> 64 </w:t>
            </w:r>
            <w:r>
              <w:rPr>
                <w:rStyle w:val="145"/>
                <w:rFonts w:hint="eastAsia" w:ascii="宋体" w:hAnsi="宋体" w:eastAsia="宋体" w:cs="宋体"/>
                <w:b w:val="0"/>
                <w:bCs w:val="0"/>
                <w:sz w:val="21"/>
                <w:szCs w:val="21"/>
                <w:highlight w:val="none"/>
                <w:lang w:val="en-US" w:eastAsia="zh-CN" w:bidi="ar"/>
              </w:rPr>
              <w:t>位），</w:t>
            </w:r>
            <w:r>
              <w:rPr>
                <w:rStyle w:val="288"/>
                <w:rFonts w:hint="eastAsia" w:ascii="宋体" w:hAnsi="宋体" w:eastAsia="宋体" w:cs="宋体"/>
                <w:b w:val="0"/>
                <w:bCs w:val="0"/>
                <w:sz w:val="21"/>
                <w:szCs w:val="21"/>
                <w:highlight w:val="none"/>
                <w:lang w:val="en-US" w:eastAsia="zh-CN" w:bidi="ar"/>
              </w:rPr>
              <w:t>Windows 8</w:t>
            </w:r>
            <w:r>
              <w:rPr>
                <w:rStyle w:val="145"/>
                <w:rFonts w:hint="eastAsia" w:ascii="宋体" w:hAnsi="宋体" w:eastAsia="宋体" w:cs="宋体"/>
                <w:b w:val="0"/>
                <w:bCs w:val="0"/>
                <w:sz w:val="21"/>
                <w:szCs w:val="21"/>
                <w:highlight w:val="none"/>
                <w:lang w:val="en-US" w:eastAsia="zh-CN" w:bidi="ar"/>
              </w:rPr>
              <w:t>（</w:t>
            </w:r>
            <w:r>
              <w:rPr>
                <w:rStyle w:val="288"/>
                <w:rFonts w:hint="eastAsia" w:ascii="宋体" w:hAnsi="宋体" w:eastAsia="宋体" w:cs="宋体"/>
                <w:b w:val="0"/>
                <w:bCs w:val="0"/>
                <w:sz w:val="21"/>
                <w:szCs w:val="21"/>
                <w:highlight w:val="none"/>
                <w:lang w:val="en-US" w:eastAsia="zh-CN" w:bidi="ar"/>
              </w:rPr>
              <w:t xml:space="preserve">32 </w:t>
            </w:r>
            <w:r>
              <w:rPr>
                <w:rStyle w:val="145"/>
                <w:rFonts w:hint="eastAsia" w:ascii="宋体" w:hAnsi="宋体" w:eastAsia="宋体" w:cs="宋体"/>
                <w:b w:val="0"/>
                <w:bCs w:val="0"/>
                <w:sz w:val="21"/>
                <w:szCs w:val="21"/>
                <w:highlight w:val="none"/>
                <w:lang w:val="en-US" w:eastAsia="zh-CN" w:bidi="ar"/>
              </w:rPr>
              <w:t>位和</w:t>
            </w:r>
            <w:r>
              <w:rPr>
                <w:rStyle w:val="288"/>
                <w:rFonts w:hint="eastAsia" w:ascii="宋体" w:hAnsi="宋体" w:eastAsia="宋体" w:cs="宋体"/>
                <w:b w:val="0"/>
                <w:bCs w:val="0"/>
                <w:sz w:val="21"/>
                <w:szCs w:val="21"/>
                <w:highlight w:val="none"/>
                <w:lang w:val="en-US" w:eastAsia="zh-CN" w:bidi="ar"/>
              </w:rPr>
              <w:t xml:space="preserve"> 64 </w:t>
            </w:r>
            <w:r>
              <w:rPr>
                <w:rStyle w:val="145"/>
                <w:rFonts w:hint="eastAsia" w:ascii="宋体" w:hAnsi="宋体" w:eastAsia="宋体" w:cs="宋体"/>
                <w:b w:val="0"/>
                <w:bCs w:val="0"/>
                <w:sz w:val="21"/>
                <w:szCs w:val="21"/>
                <w:highlight w:val="none"/>
                <w:lang w:val="en-US" w:eastAsia="zh-CN" w:bidi="ar"/>
              </w:rPr>
              <w:t>位），</w:t>
            </w:r>
            <w:r>
              <w:rPr>
                <w:rStyle w:val="288"/>
                <w:rFonts w:hint="eastAsia" w:ascii="宋体" w:hAnsi="宋体" w:eastAsia="宋体" w:cs="宋体"/>
                <w:b w:val="0"/>
                <w:bCs w:val="0"/>
                <w:sz w:val="21"/>
                <w:szCs w:val="21"/>
                <w:highlight w:val="none"/>
                <w:lang w:val="en-US" w:eastAsia="zh-CN" w:bidi="ar"/>
              </w:rPr>
              <w:t>Windows 10</w:t>
            </w:r>
            <w:r>
              <w:rPr>
                <w:rStyle w:val="145"/>
                <w:rFonts w:hint="eastAsia" w:ascii="宋体" w:hAnsi="宋体" w:eastAsia="宋体" w:cs="宋体"/>
                <w:b w:val="0"/>
                <w:bCs w:val="0"/>
                <w:sz w:val="21"/>
                <w:szCs w:val="21"/>
                <w:highlight w:val="none"/>
                <w:lang w:val="en-US" w:eastAsia="zh-CN" w:bidi="ar"/>
              </w:rPr>
              <w:t>（</w:t>
            </w:r>
            <w:r>
              <w:rPr>
                <w:rStyle w:val="288"/>
                <w:rFonts w:hint="eastAsia" w:ascii="宋体" w:hAnsi="宋体" w:eastAsia="宋体" w:cs="宋体"/>
                <w:b w:val="0"/>
                <w:bCs w:val="0"/>
                <w:sz w:val="21"/>
                <w:szCs w:val="21"/>
                <w:highlight w:val="none"/>
                <w:lang w:val="en-US" w:eastAsia="zh-CN" w:bidi="ar"/>
              </w:rPr>
              <w:t>32</w:t>
            </w:r>
            <w:r>
              <w:rPr>
                <w:rStyle w:val="145"/>
                <w:rFonts w:hint="eastAsia" w:ascii="宋体" w:hAnsi="宋体" w:eastAsia="宋体" w:cs="宋体"/>
                <w:b w:val="0"/>
                <w:bCs w:val="0"/>
                <w:sz w:val="21"/>
                <w:szCs w:val="21"/>
                <w:highlight w:val="none"/>
                <w:lang w:val="en-US" w:eastAsia="zh-CN" w:bidi="ar"/>
              </w:rPr>
              <w:t>位和</w:t>
            </w:r>
            <w:r>
              <w:rPr>
                <w:rStyle w:val="288"/>
                <w:rFonts w:hint="eastAsia" w:ascii="宋体" w:hAnsi="宋体" w:eastAsia="宋体" w:cs="宋体"/>
                <w:b w:val="0"/>
                <w:bCs w:val="0"/>
                <w:sz w:val="21"/>
                <w:szCs w:val="21"/>
                <w:highlight w:val="none"/>
                <w:lang w:val="en-US" w:eastAsia="zh-CN" w:bidi="ar"/>
              </w:rPr>
              <w:t xml:space="preserve"> 64 </w:t>
            </w:r>
            <w:r>
              <w:rPr>
                <w:rStyle w:val="145"/>
                <w:rFonts w:hint="eastAsia" w:ascii="宋体" w:hAnsi="宋体" w:eastAsia="宋体" w:cs="宋体"/>
                <w:b w:val="0"/>
                <w:bCs w:val="0"/>
                <w:sz w:val="21"/>
                <w:szCs w:val="21"/>
                <w:highlight w:val="none"/>
                <w:lang w:val="en-US" w:eastAsia="zh-CN" w:bidi="ar"/>
              </w:rPr>
              <w:t>位）和</w:t>
            </w:r>
            <w:r>
              <w:rPr>
                <w:rStyle w:val="288"/>
                <w:rFonts w:hint="eastAsia" w:ascii="宋体" w:hAnsi="宋体" w:eastAsia="宋体" w:cs="宋体"/>
                <w:b w:val="0"/>
                <w:bCs w:val="0"/>
                <w:sz w:val="21"/>
                <w:szCs w:val="21"/>
                <w:highlight w:val="none"/>
                <w:lang w:val="en-US" w:eastAsia="zh-CN" w:bidi="ar"/>
              </w:rPr>
              <w:t xml:space="preserve"> Mac OS X</w:t>
            </w:r>
          </w:p>
          <w:p w14:paraId="144DA336">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Style w:val="288"/>
                <w:rFonts w:hint="eastAsia" w:ascii="宋体" w:hAnsi="宋体" w:eastAsia="宋体" w:cs="宋体"/>
                <w:b w:val="0"/>
                <w:bCs w:val="0"/>
                <w:sz w:val="21"/>
                <w:szCs w:val="21"/>
                <w:highlight w:val="none"/>
                <w:lang w:val="en-US" w:eastAsia="zh-CN" w:bidi="ar"/>
              </w:rPr>
              <w:t xml:space="preserve">USB 2.0 </w:t>
            </w:r>
            <w:r>
              <w:rPr>
                <w:rStyle w:val="145"/>
                <w:rFonts w:hint="eastAsia" w:ascii="宋体" w:hAnsi="宋体" w:eastAsia="宋体" w:cs="宋体"/>
                <w:b w:val="0"/>
                <w:bCs w:val="0"/>
                <w:sz w:val="21"/>
                <w:szCs w:val="21"/>
                <w:highlight w:val="none"/>
                <w:lang w:val="en-US" w:eastAsia="zh-CN" w:bidi="ar"/>
              </w:rPr>
              <w:t>高速连接</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FD70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6817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60B1D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8A84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38</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1C55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大振膜电容话筒</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99BD8">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类型：工作原理压力梯度 1、电容式：传感器</w:t>
            </w:r>
          </w:p>
          <w:p w14:paraId="470FC6BC">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2、振膜：1.10“/ 28.0 毫米</w:t>
            </w:r>
          </w:p>
          <w:p w14:paraId="5B76D25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3、指向型：心型，8 字形，全向型</w:t>
            </w:r>
          </w:p>
          <w:p w14:paraId="5B670EC9">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4、模式选择：切换</w:t>
            </w:r>
          </w:p>
          <w:p w14:paraId="69C9CFA4">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5、频率范围：20 Hz 至 20 kHz</w:t>
            </w:r>
          </w:p>
          <w:p w14:paraId="1D3A3DC7">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6、等效噪声级别：17 dB A 加权</w:t>
            </w:r>
          </w:p>
          <w:p w14:paraId="5E434E5A">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7、最大声压级为：140 dB SPL THD1％</w:t>
            </w:r>
          </w:p>
          <w:p w14:paraId="4212DB5C">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8、阻抗：250 欧姆</w:t>
            </w:r>
          </w:p>
          <w:p w14:paraId="3A81A0FF">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9、负载阻抗：1000 欧姆</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9877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只</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8619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w:t>
            </w:r>
          </w:p>
        </w:tc>
      </w:tr>
      <w:tr w14:paraId="07A27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CC94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39</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9670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小振膜电容话筒</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4035A">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1、振膜：不劣于 0.79“/ 20 毫米</w:t>
            </w:r>
          </w:p>
          <w:p w14:paraId="5B306D6E">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2、指向性：心形指向性，超心形指向，全向指向</w:t>
            </w:r>
          </w:p>
          <w:p w14:paraId="21E2127D">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3、模式选择切换</w:t>
            </w:r>
          </w:p>
          <w:p w14:paraId="7144EC05">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4、频率范围不劣于 20 Hz 至 20 kHz</w:t>
            </w:r>
          </w:p>
          <w:p w14:paraId="5F6405CC">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5、等效噪声级别不劣于 17 dB A 加权</w:t>
            </w:r>
          </w:p>
          <w:p w14:paraId="092355D5">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6、最大声压级为不劣于 140 dB SPL</w:t>
            </w:r>
          </w:p>
          <w:p w14:paraId="40E58C0B">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7、垫-10 分贝 THD &lt;1％</w:t>
            </w:r>
          </w:p>
          <w:p w14:paraId="1960B341">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8、阻抗不劣于 250 欧姆</w:t>
            </w:r>
          </w:p>
          <w:p w14:paraId="3333DE6D">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9、负载阻抗不劣于 1000 欧姆</w:t>
            </w:r>
          </w:p>
          <w:p w14:paraId="308C8E96">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10、灵敏度不劣于 14.5 mV / Pa</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3C72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只</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1427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5E2DD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2B9E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40</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2AA4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数字人声混响</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2236D">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1.支持：24-bit A/D 和 D/A 转换器, 取样率 256/512 次</w:t>
            </w:r>
          </w:p>
          <w:p w14:paraId="3C934A7B">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2.内建 32-bit/44.1 kHz 处理器</w:t>
            </w:r>
          </w:p>
          <w:p w14:paraId="47BE714B">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3.逼真的三维效果和可变三维效果参数</w:t>
            </w:r>
          </w:p>
          <w:p w14:paraId="2D32855E">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4.效果：不低于 100 种厂家预设程序和 100 种用户自定程序</w:t>
            </w:r>
          </w:p>
          <w:p w14:paraId="5A18E915">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5.接口：MIDI 的实时程序选择和下载功能</w:t>
            </w:r>
          </w:p>
          <w:p w14:paraId="535915E5">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6.平衡式 XLR 和 1/4" TRS 输入和输出</w:t>
            </w:r>
          </w:p>
          <w:p w14:paraId="0B610799">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7.面板两列 10 段电平表；</w:t>
            </w:r>
          </w:p>
          <w:p w14:paraId="0F950E0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8.功能：独立选择输入和输出电平+4 dBu 和-10 dBV</w:t>
            </w:r>
          </w:p>
          <w:p w14:paraId="2D495A9D">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9.支持脚踏开关插座</w:t>
            </w:r>
          </w:p>
          <w:p w14:paraId="54C858F7">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10.旋钮杆控制和照明指示灯按钮</w:t>
            </w:r>
          </w:p>
          <w:p w14:paraId="00F5EBEE">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11.面板：液晶屏显示；</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0250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920C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78D2B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9777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41</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364E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乐器话筒放大器</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16C2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具有 48V 幻象电源、可选输入阻抗、24 位/192kHz A/D 转换器、模拟和数字输出、VU 计量和字时钟 I/O 的 2 通道电子管麦克风前置放大器</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5346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D7BE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56AF5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31C6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42</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F5FB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智能时序滤波器</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87AB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1.屏幕：≥双 2 寸液晶触控显示窗口；实时监控电压、时间、开关状态；</w:t>
            </w:r>
          </w:p>
          <w:p w14:paraId="14D202D7">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2.通道：≥8 通道开关输出，每个通道延时开启和关闭时间自由设置支持 8 路循环开关；</w:t>
            </w:r>
          </w:p>
          <w:p w14:paraId="518858CB">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3.功能：支持锁定功能，防止误操作带有外部触发；</w:t>
            </w:r>
          </w:p>
          <w:p w14:paraId="58523FC9">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4.噪音滤波：内置滤波器，EMI 多段滤波：消除电信号中的不同成分杂波；</w:t>
            </w:r>
          </w:p>
          <w:p w14:paraId="55B3DC6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5.控制：支持多台连接顺序控制；</w:t>
            </w:r>
          </w:p>
          <w:p w14:paraId="50CB6C4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6.接口：内置 485 接口、232 接口支持第三方中控设备操控；</w:t>
            </w:r>
          </w:p>
          <w:p w14:paraId="29F00A4A">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7.保护：电压保护：当遇到异常电压时自动保护后级器材；</w:t>
            </w:r>
          </w:p>
          <w:p w14:paraId="5F820C19">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8.软件：自带 APP 软件，可进行手机、电脑远程网络控制操作；</w:t>
            </w:r>
          </w:p>
          <w:p w14:paraId="6B191558">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9.额定输出电压：交流 100V - 240V.50Hz/60Hz；</w:t>
            </w:r>
          </w:p>
          <w:p w14:paraId="65C83DBD">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10.单路额定输出电流：13A，自带定时器功能；</w:t>
            </w:r>
          </w:p>
          <w:p w14:paraId="6E8318E6">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11.提供产品彩页；</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1895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15FC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19BEE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FF2C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43</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7058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主监听音箱</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CDA96">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类型：双向近场的工作室参考有源监听音箱； 高音驱动：3 寸 Ribbon Tweeter 带式高音单元；</w:t>
            </w:r>
          </w:p>
          <w:p w14:paraId="4EC25441">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低音驱动：8 英寸(203 毫米)voicecoil 凯夫拉尔弯锥阻尼橡胶环绕,磁 shieldedt；分频响应：不劣于 2.7khz；</w:t>
            </w:r>
          </w:p>
          <w:p w14:paraId="0CEFBE88">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频率范围：不劣于 45hz-22khz； 功率：不劣于高音 60W，低音 70W；</w:t>
            </w:r>
          </w:p>
          <w:p w14:paraId="4234E70C">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信噪比：&gt; 100db TypicalA-weighted；交叉频率：不劣于 2.6KHZ；</w:t>
            </w:r>
          </w:p>
          <w:p w14:paraId="5ECC01BB">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输入连接器：1 x XLR 平衡输入连接器/ 1 x TRS 平衡不平衡输入；极性：向外积极信号+输入产生低频锥位移；</w:t>
            </w:r>
          </w:p>
          <w:p w14:paraId="0BE6BB85">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输入阻抗：不劣于 20 KΩ平衡,10 KΩ平衡；</w:t>
            </w:r>
          </w:p>
          <w:p w14:paraId="463B2536">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指示器：电源开/关后面板指示器；</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3715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只</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CC68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w:t>
            </w:r>
          </w:p>
        </w:tc>
      </w:tr>
      <w:tr w14:paraId="02C42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55E4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44</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7F2A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监听控制器</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2FDE8">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频率响应：不劣于±0.5 dB, 20 Hz – 20 kHz 软件失真（THD + N）+4 dBu 输入@ 1 kHz：&lt;0.01%软件衰减：不劣于–60 dB 软件</w:t>
            </w:r>
          </w:p>
          <w:p w14:paraId="58F2CC1C">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信噪比：&lt;–100 dB 软件较高等级：+22 dBu 软件</w:t>
            </w:r>
          </w:p>
          <w:p w14:paraId="7043F319">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采样率：192kKz，24-bit 软件</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3C8D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32D3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3E304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7C2B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45</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9451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耳机分配放大器</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7FE16">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1、通道：≥18 通道；</w:t>
            </w:r>
          </w:p>
          <w:p w14:paraId="7FB38A7A">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2、控制：双功能盘/每通道混合控制；</w:t>
            </w:r>
          </w:p>
          <w:p w14:paraId="0E801DD0">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3、接口：前面板和后面板输出插口；</w:t>
            </w:r>
          </w:p>
          <w:p w14:paraId="41CD37E0">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4、平衡输入：XLR 和 1/4 英寸 TRS 平衡输入；</w:t>
            </w:r>
          </w:p>
          <w:p w14:paraId="6C600E1F">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5、功能：能以立体声、单声道（信号源左）、单声道（信号源右）或总单声道（信号源左和右）模式操作；</w:t>
            </w:r>
          </w:p>
          <w:p w14:paraId="4CBB7A86">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6、信号：辅助分离信号源输入；</w:t>
            </w:r>
          </w:p>
          <w:p w14:paraId="4776F392">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7、LED 电平：所有通道和总线带 8 段 LED 电平指示；</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3561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960A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09E5C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D43B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46</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72A4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录音师混音监听</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34A37">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频率范围不劣于 10Hz - 35 千赫阻抗（欧姆）不劣于 32</w:t>
            </w:r>
          </w:p>
          <w:p w14:paraId="1F924FCA">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最大输入（mW）不劣于 1500驱动器类型动态</w:t>
            </w:r>
          </w:p>
          <w:p w14:paraId="5DE3933C">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关闭/打开返回全关</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78E4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只</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0527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5D368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CEB2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47</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35A3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监听耳机</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A6442">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1.类型：封闭动圈式录音棚监听耳机；</w:t>
            </w:r>
          </w:p>
          <w:p w14:paraId="771C6E9D">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2.驱动单元：≥50 毫米钕铁硼磁铁；</w:t>
            </w:r>
          </w:p>
          <w:p w14:paraId="07CF9734">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3.频率响应：10Hz-32kHz；</w:t>
            </w:r>
          </w:p>
          <w:p w14:paraId="74461841">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4.灵敏度：98dB (+/-3dB 1mW @ 1kHz)；</w:t>
            </w:r>
          </w:p>
          <w:p w14:paraId="7BC08D51">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5.阻抗：32Ω(+/- 15% @1000Hz)；</w:t>
            </w:r>
          </w:p>
          <w:p w14:paraId="4A8448C0">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6.最大输入功率：≥1500mW；</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0FAD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只</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FC26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4</w:t>
            </w:r>
          </w:p>
        </w:tc>
      </w:tr>
      <w:tr w14:paraId="3540A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6164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48</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E580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乐器话筒支架</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7FDE2">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1.落地式话筒支架加固型；</w:t>
            </w:r>
          </w:p>
          <w:p w14:paraId="7646BF36">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2.采用出色加厚钢管，塑胶麦克风插入头；</w:t>
            </w:r>
          </w:p>
          <w:p w14:paraId="6986B822">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3.横杆部位采用铁和铝合金做支撑点,更加坚固；</w:t>
            </w:r>
          </w:p>
          <w:p w14:paraId="6D7E14D6">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4.话筒角度可调；手扭式高品质铁座支架；</w:t>
            </w:r>
          </w:p>
          <w:p w14:paraId="5957D188">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5.高度调节：1080-1750MM ；</w:t>
            </w:r>
          </w:p>
          <w:p w14:paraId="6EFAA1D4">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6.横杆长度：700-1300MM ；</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C5BE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支</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D9C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w:t>
            </w:r>
          </w:p>
        </w:tc>
      </w:tr>
      <w:tr w14:paraId="4E475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C4B5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49</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83F1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乐谱支架</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C558E">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1、折叠方式：整体可折叠，</w:t>
            </w:r>
          </w:p>
          <w:p w14:paraId="27DEC3F2">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2、配置：不低于两处三节调节高度，分铝合金接头与塑料接头两种。</w:t>
            </w:r>
          </w:p>
          <w:p w14:paraId="2F829250">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3、材质：优质钢管、冷轧钢板</w:t>
            </w:r>
          </w:p>
          <w:p w14:paraId="0C5B6E7C">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4、高度调节：930mm-1350mm</w:t>
            </w:r>
          </w:p>
          <w:p w14:paraId="191F3484">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5、谱台尺寸：≥475*340mm</w:t>
            </w:r>
          </w:p>
          <w:p w14:paraId="29B17B55">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6、配置防滑脚垫</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8D48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只</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D232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w:t>
            </w:r>
          </w:p>
        </w:tc>
      </w:tr>
      <w:tr w14:paraId="33D0D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BBD1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50</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252E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专业防喷罩</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E2FAA">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1.兼容任意话筒的放噗音滤网；</w:t>
            </w:r>
          </w:p>
          <w:p w14:paraId="3756CA81">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2.颈管：≥45cm 长鹅颈管；</w:t>
            </w:r>
          </w:p>
          <w:p w14:paraId="06F175FF">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3.材质：透声率高，不会造成任何高频衰减</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ACA4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副</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7E8E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w:t>
            </w:r>
          </w:p>
        </w:tc>
      </w:tr>
      <w:tr w14:paraId="69D66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C961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51</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9812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控制台机柜</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850F7">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1、配置：不低于 12U 机柜，钢木拼装结构，标准１９英寸机架</w:t>
            </w:r>
          </w:p>
          <w:p w14:paraId="690E731C">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2、配件：盲板不低于 12 个。 组装螺丝一套。机柜钥匙 3 把</w:t>
            </w:r>
          </w:p>
          <w:p w14:paraId="3E012ABB">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3、生产工艺：采用数控设备，经剪切，冲压，折弯，焊接加工，最后静电喷塑。</w:t>
            </w:r>
          </w:p>
          <w:p w14:paraId="70B80BA6">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4、材质：优质冷轧钢板；主框架不低于 2.0mm 宽度不低于 90cm。</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1CE5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2D61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2BC28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0253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52</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0BC4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耳分支架</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63362">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1.活动耳机放大器支架，可放标准１９英寸设备，</w:t>
            </w:r>
          </w:p>
          <w:p w14:paraId="71B6FA38">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2.前后可以多种结构组合，门板，盲板均可内置托架，托板.安装方便快捷，</w:t>
            </w:r>
          </w:p>
          <w:p w14:paraId="357BF1A8">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3.采用国内先进数控设备，经剪切，冲压，折弯，焊接等加工过程，</w:t>
            </w:r>
          </w:p>
          <w:p w14:paraId="125D2956">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4.全部采用优质冷轧Ａ３钢板；主框架全为 ≥2.0mm 优质冷轧钢板，其它装饰件为 ≥1.2 mm 优质冷轧钢板.木制部分：优质高密度板材</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38C3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支</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A146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2688F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D96D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53</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7445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线材</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63335">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XLR 线缆连接器特征：</w:t>
            </w:r>
          </w:p>
          <w:p w14:paraId="031FC5F3">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高质量公/母插头，机械性能和电气性能符合国家标准，可与符合国家标准的任何一款阳/阴性 XLR 相匹配锌合金压铸外壳，造型美观，电镀方式可供选择，如镀镍、镀黑，防锈、防尘</w:t>
            </w:r>
          </w:p>
          <w:p w14:paraId="532BEDF5">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外形设计弧线优美，手感好触点材料为黄铜，传导性能强，并能很好屏蔽</w:t>
            </w:r>
          </w:p>
          <w:p w14:paraId="2F5DB40A">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噪音，电镀方式可供选择，如镀金、银、锡铈合金母插头直插式单键锁定功能符合 ROHS 认证</w:t>
            </w:r>
          </w:p>
          <w:p w14:paraId="57D073C5">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全新无螺钉安装金属和塑料套圈可供选择</w:t>
            </w:r>
          </w:p>
          <w:p w14:paraId="5E7C8F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穿线直径为Ф3-7.5 触点有 3、4、5、7 针，护线套的尾孔大小可供选择拥有独特的夹线套设计</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591F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B6DE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r w14:paraId="44784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0789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54</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C227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接插件</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73252">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设备连接辅料专业大三芯插头</w:t>
            </w:r>
          </w:p>
          <w:p w14:paraId="63F060EA">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工程项目常用的带弹簧单、双声道（大两、三芯）插头高品质的接插件保证完美的信号传送符合国家各种相关标准</w:t>
            </w:r>
          </w:p>
          <w:p w14:paraId="57DEA703">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新工艺：为满足不同客户的需求，运用彩色电镀，有红黄绿蓝紫五种不同颜色可供选择带柔韧较强的弹簧，保护线</w:t>
            </w:r>
          </w:p>
          <w:p w14:paraId="08E9223A">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缆，以免刮伤</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672C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批</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497A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r>
    </w:tbl>
    <w:p w14:paraId="1FE02E85">
      <w:pPr>
        <w:rPr>
          <w:rFonts w:ascii="仿宋" w:hAnsi="仿宋" w:eastAsia="仿宋"/>
          <w:highlight w:val="none"/>
        </w:rPr>
      </w:pPr>
      <w:r>
        <w:rPr>
          <w:rFonts w:ascii="仿宋" w:hAnsi="仿宋" w:eastAsia="仿宋"/>
          <w:highlight w:val="none"/>
        </w:rPr>
        <w:br w:type="page"/>
      </w:r>
    </w:p>
    <w:p w14:paraId="5271AE5B">
      <w:pPr>
        <w:rPr>
          <w:rFonts w:hint="eastAsia" w:ascii="宋体" w:hAnsi="宋体"/>
          <w:b/>
          <w:bCs w:val="0"/>
          <w:sz w:val="32"/>
          <w:szCs w:val="32"/>
          <w:highlight w:val="none"/>
          <w:lang w:val="en-US" w:eastAsia="zh-CN"/>
        </w:rPr>
      </w:pPr>
      <w:r>
        <w:rPr>
          <w:rFonts w:hint="eastAsia" w:ascii="宋体" w:hAnsi="宋体"/>
          <w:b/>
          <w:bCs w:val="0"/>
          <w:sz w:val="32"/>
          <w:szCs w:val="32"/>
          <w:highlight w:val="none"/>
          <w:lang w:eastAsia="zh-CN"/>
        </w:rPr>
        <w:t>标项</w:t>
      </w:r>
      <w:r>
        <w:rPr>
          <w:rFonts w:hint="eastAsia" w:ascii="宋体" w:hAnsi="宋体"/>
          <w:b/>
          <w:bCs w:val="0"/>
          <w:sz w:val="32"/>
          <w:szCs w:val="32"/>
          <w:highlight w:val="none"/>
          <w:lang w:val="en-US" w:eastAsia="zh-CN"/>
        </w:rPr>
        <w:t>5：</w:t>
      </w:r>
    </w:p>
    <w:p w14:paraId="07112093">
      <w:pPr>
        <w:jc w:val="center"/>
        <w:rPr>
          <w:rFonts w:hint="eastAsia"/>
          <w:b/>
          <w:bCs/>
          <w:sz w:val="36"/>
          <w:szCs w:val="44"/>
          <w:highlight w:val="none"/>
          <w:lang w:eastAsia="zh-CN"/>
        </w:rPr>
      </w:pPr>
      <w:r>
        <w:rPr>
          <w:rFonts w:hint="eastAsia"/>
          <w:b/>
          <w:bCs/>
          <w:sz w:val="36"/>
          <w:szCs w:val="44"/>
          <w:highlight w:val="none"/>
          <w:lang w:eastAsia="zh-CN"/>
        </w:rPr>
        <w:t>计算机教室</w:t>
      </w:r>
    </w:p>
    <w:tbl>
      <w:tblPr>
        <w:tblStyle w:val="4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9"/>
        <w:gridCol w:w="1597"/>
        <w:gridCol w:w="10003"/>
        <w:gridCol w:w="850"/>
        <w:gridCol w:w="861"/>
      </w:tblGrid>
      <w:tr w14:paraId="4DC83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EEECE1"/>
            <w:vAlign w:val="center"/>
          </w:tcPr>
          <w:p w14:paraId="3302735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计算机教室（3间）</w:t>
            </w:r>
          </w:p>
        </w:tc>
      </w:tr>
      <w:tr w14:paraId="37D9D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0" w:type="pct"/>
            <w:tcBorders>
              <w:top w:val="single" w:color="000000" w:sz="4" w:space="0"/>
              <w:left w:val="single" w:color="000000" w:sz="4" w:space="0"/>
              <w:bottom w:val="single" w:color="000000" w:sz="4" w:space="0"/>
              <w:right w:val="single" w:color="000000" w:sz="4" w:space="0"/>
            </w:tcBorders>
            <w:shd w:val="clear" w:color="auto" w:fill="EEECE1"/>
            <w:vAlign w:val="center"/>
          </w:tcPr>
          <w:p w14:paraId="63E0F7E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序号</w:t>
            </w:r>
          </w:p>
        </w:tc>
        <w:tc>
          <w:tcPr>
            <w:tcW w:w="564" w:type="pct"/>
            <w:tcBorders>
              <w:top w:val="single" w:color="000000" w:sz="4" w:space="0"/>
              <w:left w:val="single" w:color="000000" w:sz="4" w:space="0"/>
              <w:bottom w:val="single" w:color="000000" w:sz="4" w:space="0"/>
              <w:right w:val="single" w:color="000000" w:sz="4" w:space="0"/>
            </w:tcBorders>
            <w:shd w:val="clear" w:color="auto" w:fill="EEECE1"/>
            <w:vAlign w:val="center"/>
          </w:tcPr>
          <w:p w14:paraId="70484DE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分项名称</w:t>
            </w:r>
          </w:p>
        </w:tc>
        <w:tc>
          <w:tcPr>
            <w:tcW w:w="3532" w:type="pct"/>
            <w:tcBorders>
              <w:top w:val="single" w:color="000000" w:sz="4" w:space="0"/>
              <w:left w:val="single" w:color="000000" w:sz="4" w:space="0"/>
              <w:bottom w:val="single" w:color="000000" w:sz="4" w:space="0"/>
              <w:right w:val="single" w:color="000000" w:sz="4" w:space="0"/>
            </w:tcBorders>
            <w:shd w:val="clear" w:color="auto" w:fill="EEECE1"/>
            <w:vAlign w:val="center"/>
          </w:tcPr>
          <w:p w14:paraId="3CD2D4D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参数配置</w:t>
            </w:r>
          </w:p>
        </w:tc>
        <w:tc>
          <w:tcPr>
            <w:tcW w:w="300" w:type="pct"/>
            <w:tcBorders>
              <w:top w:val="single" w:color="000000" w:sz="4" w:space="0"/>
              <w:left w:val="single" w:color="000000" w:sz="4" w:space="0"/>
              <w:bottom w:val="single" w:color="000000" w:sz="4" w:space="0"/>
              <w:right w:val="single" w:color="000000" w:sz="4" w:space="0"/>
            </w:tcBorders>
            <w:shd w:val="clear" w:color="auto" w:fill="EEECE1"/>
            <w:vAlign w:val="center"/>
          </w:tcPr>
          <w:p w14:paraId="4E3BB9E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单位</w:t>
            </w:r>
          </w:p>
        </w:tc>
        <w:tc>
          <w:tcPr>
            <w:tcW w:w="302" w:type="pct"/>
            <w:tcBorders>
              <w:top w:val="single" w:color="000000" w:sz="4" w:space="0"/>
              <w:left w:val="single" w:color="000000" w:sz="4" w:space="0"/>
              <w:bottom w:val="single" w:color="000000" w:sz="4" w:space="0"/>
              <w:right w:val="single" w:color="000000" w:sz="4" w:space="0"/>
            </w:tcBorders>
            <w:shd w:val="clear" w:color="auto" w:fill="EEECE1"/>
            <w:vAlign w:val="center"/>
          </w:tcPr>
          <w:p w14:paraId="534B7C5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数量</w:t>
            </w:r>
          </w:p>
        </w:tc>
      </w:tr>
      <w:tr w14:paraId="2D07D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5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0C9C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3945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云机房服务器</w:t>
            </w:r>
          </w:p>
        </w:tc>
        <w:tc>
          <w:tcPr>
            <w:tcW w:w="3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63F7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硬件配置</w:t>
            </w:r>
          </w:p>
          <w:p w14:paraId="1B51E4B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1、要求采用1U机架式服务器、非刀片架构</w:t>
            </w:r>
          </w:p>
          <w:p w14:paraId="184C3C6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2、★CPU：采用国产化自主品牌CPU，CPU≥8核心16线程，主频≥3.0GHz</w:t>
            </w:r>
          </w:p>
          <w:p w14:paraId="3A3A5D4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3、内存：实配内存≥32GB，整机最大支持内存256GB，整机最大支持内存带宽≥41.65 GB/s</w:t>
            </w:r>
          </w:p>
          <w:p w14:paraId="74DBD84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4、SSD：整机配置≥1块480G 固态硬盘≥1块 240G M.2 SSD</w:t>
            </w:r>
          </w:p>
          <w:p w14:paraId="35B3829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5、硬盘：集成SATA硬盘控制器，整机配置硬盘≥2块3.5寸 4TB 7200转 SATA III硬盘</w:t>
            </w:r>
          </w:p>
          <w:p w14:paraId="4C6B70A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6、网口：提供不少于4个千兆网口</w:t>
            </w:r>
          </w:p>
          <w:p w14:paraId="1C2BDD0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7、电源：提供≥350W电源不少于1块。</w:t>
            </w:r>
          </w:p>
          <w:p w14:paraId="0FE0CB3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8、为了保证产品质量，所投云服务器需要具备CCC认证并提供证书的复印件</w:t>
            </w:r>
          </w:p>
          <w:p w14:paraId="0AFB472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9、为了保证产品质量，所投云服务器需要具备节能认证并提供证书的复印件</w:t>
            </w:r>
          </w:p>
          <w:p w14:paraId="41409AB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为保证平台联动时的兼容性和可靠性，统一提供售后服务：要求云办公服务器、云桌面管理计算平台、云办公终端、终端管理授权、显示器、键鼠、网络连通设备为同一品牌或提供不同品牌产品能够兼容的证明材料，提供厂商官网产品截图证明或产品彩页或有效的检测报告。</w:t>
            </w:r>
          </w:p>
          <w:p w14:paraId="28045F2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11、★为保障所投设备质量优异，可靠性高，要求所投设备平均故障间隔时间（MTBF）≥200000小时，提供厂商官网产品截图证明或产品彩页或有效的检测报告。。</w:t>
            </w:r>
          </w:p>
          <w:p w14:paraId="59FBB31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软件配置</w:t>
            </w:r>
          </w:p>
          <w:p w14:paraId="1ED04E1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1、要求采用超融合基础架构，在同一管理平台内至少包含计算资源、存储资源、网络资源等功能管理模块。</w:t>
            </w:r>
          </w:p>
          <w:p w14:paraId="6E7AC4E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2、管理平台采用B/S（Broswer/Server）架构，支持中文图形化操作界面，同一管理界面中可实现对计算、存储、网络等功能的配置和操作。</w:t>
            </w:r>
          </w:p>
          <w:p w14:paraId="60B0A0F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3、软件平台支持添加、移除服务器主机节点，支持添加主机节点数≥44个。</w:t>
            </w:r>
          </w:p>
          <w:p w14:paraId="7049CBE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4、为降低部署难度缩短业务上线时间，支持向导式添加主机节点，为降低部署难度，支持精简纳管主机节点，仅需输入主机节点名称、主机IP地址即可完成主机节点添加。</w:t>
            </w:r>
          </w:p>
          <w:p w14:paraId="0F39EE9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5、支持主机性能状态监控，能以小时、天、周、月、季度、半年、一年或自定义时间维度，对主机CPU使用率、内存使用率、磁盘速率、磁盘IOPS、网卡错误数、丢包率、网卡带宽等性能进行监控记录。</w:t>
            </w:r>
          </w:p>
          <w:p w14:paraId="634BB9F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6、为提供强大的横向扩展能力，需支持在集群中添加、移除服务器主机节点。</w:t>
            </w:r>
          </w:p>
          <w:p w14:paraId="331BC11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7、支持将服务器主机节点添加为计算集群，为上层业务平台提供统一的计算、存储、网络资源调度，形成基础计算平台支撑。</w:t>
            </w:r>
          </w:p>
          <w:p w14:paraId="383E6A9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8、支持虚拟机性能状态监控，能以小时、天、周、月、季度、半年、一年或自定义时间维度，对主机CPU使用率、内存使用率、磁盘IOPS等性能进行监控记录。</w:t>
            </w:r>
          </w:p>
          <w:p w14:paraId="4C18FA1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9、为提供更高的得盘率及更优的访问速度，需采用分布式存储架构，可以将服务器集群中多个节点的本地磁盘融合为统一存储资源空间；具备在线横向扩展能力，任一节点故障，都不会影响数据的正常访问。</w:t>
            </w:r>
          </w:p>
          <w:p w14:paraId="6A71F27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 支持按需创建多个存储池，支持配置每个存储池所需使用的冗余策略，每个存储池的容量盘可从服务器集群中任意几个节点中的一块或多块磁盘中选择，要求提供实际界面截图证明。</w:t>
            </w:r>
          </w:p>
          <w:p w14:paraId="0663364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存储池可以设置的冗余策略至少包括：单副本、2副本、3副本、纠删码等冗余策略，纠删码可以按照2数据1校验的方案部署并实际使用，磁盘空间的利用率≥66%，提供厂商官网产品截图证明或产品彩页或有效的检测报告。</w:t>
            </w:r>
          </w:p>
          <w:p w14:paraId="5BEC71A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12、支持数据均衡负载策略，当存储池扩容或者节点/容量盘出现故障时可以触发数据重分布，数据均衡的过程不会导致业务中断、也无需人工干预。</w:t>
            </w:r>
          </w:p>
          <w:p w14:paraId="33F0E69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13、★为保证云桌面的使用体验，要求三节点集群模式下4KB块大小全随机100%读IOPS&gt;170万。提供厂商官网产品截图证明或产品彩页或有效的检测报告。</w:t>
            </w:r>
          </w:p>
          <w:p w14:paraId="2659EA4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14、★为保证硬盘故障后，数据可以快速重构，要求所投产品在分布式存储的方案下，1T数据重构时间≤15分钟，提供厂商官网产品截图证明或产品彩页或有效的检测报告。</w:t>
            </w:r>
          </w:p>
          <w:p w14:paraId="32E1B71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15、★、 在硬盘故障维修等需要交出硬盘的场景，为避免用户数据外泄，要求分布式存储采用块虚拟化技术。需要提供产品功能截图。</w:t>
            </w:r>
          </w:p>
          <w:p w14:paraId="5FA3217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16、支持创建虚拟交换机，支持FLAT虚拟机交换机，支持VLAN虚拟交换机。</w:t>
            </w:r>
          </w:p>
          <w:p w14:paraId="26A8A15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17、要求提供对应型号的软件著作权证书扫描件。</w:t>
            </w:r>
          </w:p>
          <w:p w14:paraId="5EE6D52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 ★为保证平台联动时的兼容性和可靠性，统一提供售后服务：要求云办公服务器、云桌面管理计算平台、云办公终端、云终端控制软件、显示器、键鼠、网络连通设备为同一品牌或提供不同品牌产品能够兼容的证明材料，提供厂商官网产品截图证明或产品彩页或有效的检测报告。</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DAAC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90DF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56456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1"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D22D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BE462">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教学终端</w:t>
            </w:r>
          </w:p>
          <w:p w14:paraId="54F38B9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highlight w:val="none"/>
                <w:u w:val="none"/>
                <w:lang w:val="en-US" w:eastAsia="zh-CN" w:bidi="ar"/>
              </w:rPr>
              <w:t>（核心产品）</w:t>
            </w:r>
          </w:p>
        </w:tc>
        <w:tc>
          <w:tcPr>
            <w:tcW w:w="3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34189">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硬件配置</w:t>
            </w:r>
          </w:p>
          <w:p w14:paraId="229C0055">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1、为保证云桌面软件系统的兼容效果和稳定运行，所有终端均需采用x86架构，且为国内自主品牌。</w:t>
            </w:r>
          </w:p>
          <w:p w14:paraId="4319D9DC">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2、配置国产高性能8核心16线程处理器（X86架构，处理器主频≥3.0GHz）或更优配置，提供作证材料证明。</w:t>
            </w:r>
          </w:p>
          <w:p w14:paraId="6EA102BB">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3、配置内存容量≥8GB；本地存储容量≥256 GB（NVME SSD）</w:t>
            </w:r>
          </w:p>
          <w:p w14:paraId="1D348D56">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4、为减少桌面空间的占用，产品非PC电脑，终端主体体积≤11L，提供作证材料证明。</w:t>
            </w:r>
          </w:p>
          <w:p w14:paraId="5E698D8C">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5、USB3.0接口≥8个，USB2.0接口≥2个，TypeC接口≥1，千兆网口≥2个，VGA接口≥1个，HDMI接口≥1个。</w:t>
            </w:r>
          </w:p>
          <w:p w14:paraId="4B75FBFC">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6、为了外设扩展要求，配置PCIEx8插槽≥1个、PCIEx1插槽≥1个。</w:t>
            </w:r>
          </w:p>
          <w:p w14:paraId="21CC56CD">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7、为确保原有数据有足够空间进行迁移，支持SATA硬盘接口≥1个进行扩展，M.2插槽≥1个进行扩展；支持内存扩展槽位≥1个，针对此参数需提供清晰的产品图片证明。</w:t>
            </w:r>
          </w:p>
          <w:p w14:paraId="2C20A6FF">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8、★配置独立显卡，显存≥2GB，提供作证材料证明。</w:t>
            </w:r>
          </w:p>
          <w:p w14:paraId="0612DD03">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9、★为保障所投设备质量优异、可靠性高，要求所投设备平均故障间隔时间（MTBF）≥30万小时，提供有效的检测报告证明。</w:t>
            </w:r>
          </w:p>
          <w:p w14:paraId="09E7AA57">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10、为避免设备运行时产生噪声污染，干扰办公、学习人员，要求设备满载噪声指标≤33dB。</w:t>
            </w:r>
          </w:p>
          <w:p w14:paraId="2813ADE1">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11、需具备3C证书及节能证书，提供证书复印件。</w:t>
            </w:r>
          </w:p>
          <w:p w14:paraId="0659C6DA">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12、★为保证平台联动时的兼容性和可靠性，统一提供售后服务：要求云机房服务器、教学终端、显示器、键鼠、教学管理软件、网络连通设备为同一品牌，提供厂商官网产品截图证明或产品彩页证明。</w:t>
            </w:r>
          </w:p>
          <w:p w14:paraId="6963946D">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软件配置</w:t>
            </w:r>
          </w:p>
          <w:p w14:paraId="3F3366F3">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1、采用B/S软件架构，中文图形化管理页面。</w:t>
            </w:r>
          </w:p>
          <w:p w14:paraId="2DBE9644">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2、为了方便管理和使用，管理平台要包括镜像管理、教室管理、用户管理等关键功能模块。</w:t>
            </w:r>
          </w:p>
          <w:p w14:paraId="2ED1F620">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3、★为了方便后期的扩展性，要求一台终端即可支持VDI、IDV、TCI三类桌面的使用，在镜像选择页面同时提供3种镜像，根据用户选择的镜像进入系统的同时自动判断使用哪种类型的桌面启动，要求提供实际界面截图证明。</w:t>
            </w:r>
          </w:p>
          <w:p w14:paraId="4E9E9B1A">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4、为满足基本教学的使用需求，要求镜像模版可以使用多种类型的操作系统，包括且不限于：win7 、win 10、win server 2008、win server 2012、Redhat、Ubuntu、UOS、Kylin等操作系统版本。</w:t>
            </w:r>
          </w:p>
          <w:p w14:paraId="3813E7C3">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5、终端支持完全离线模式，即在云终端控制器连接中断时，依然可使用当前正在使用的镜像环境，保障业务连续性。</w:t>
            </w:r>
          </w:p>
          <w:p w14:paraId="6CCEF468">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6、支持虚拟教室功能：支持按照教室规模创建不同的虚拟教室，支持每个虚拟教室独立管理和配置，在云终端控制器管理页面能够实现对独立教室的学生终端、教师云终端分别进行配置和管理。</w:t>
            </w:r>
          </w:p>
          <w:p w14:paraId="77E5BE74">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7、为了方便后期的扩展性，要求同一虚拟教室的学生机可以按需工作在IDV、TCI、VDI任意一种模式下，要求提供实际界面截图证明。</w:t>
            </w:r>
          </w:p>
          <w:p w14:paraId="03C1E504">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8、★提供教学镜像隐藏功能，在云桌面控制器后台可实现针对指定教室的部分教学镜像对学生可见，部分镜像（如考试镜像）对学生不可见，当需要使用的时候，只需一键设置学生即可看到镜像，保证重要镜像的安全性，要求提供实际界面截图证明。</w:t>
            </w:r>
          </w:p>
          <w:p w14:paraId="2FB59217">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9、★要求可以通过LDAP协议对接学校的统一身份平台，让用户也可以使用统一身份平台的用户信息，无需重新创建一个全新的用户体系，要求提供实际界面截图证明。</w:t>
            </w:r>
          </w:p>
          <w:p w14:paraId="7B44E686">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10、★支持分级分权管理，可以按需自定义不同角色用户对应的管理权限：</w:t>
            </w:r>
          </w:p>
          <w:p w14:paraId="169EAF32">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a)可以针对角色指定其可以操作的功能菜单，至少包括镜像管理、教室管理、用户管理、系统设置等权限设置；</w:t>
            </w:r>
          </w:p>
          <w:p w14:paraId="298A95B7">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b)可以针对角色指定其可以操作的具体功能按钮，至少包括镜像模版的删除、创建、复制、快照管理等权限设置；</w:t>
            </w:r>
          </w:p>
          <w:p w14:paraId="1D59440A">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c)可以针对用户指定其具体可以管理的哪几个镜像模版、哪几间教室。</w:t>
            </w:r>
          </w:p>
          <w:p w14:paraId="2D04374E">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要求提供实际界面截图证明。</w:t>
            </w:r>
          </w:p>
          <w:p w14:paraId="54E48EAB">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11、为满足操作系统、安卓编程等课程的使用需求，支持嵌套虚拟化功能，可与在VDI、IDV、TCI桌面上均可以正常使用VMware、android studio等需要运行虚拟机的软件，要求提供厂商官网产品截图证明或产品彩页或有效的检测报告。</w:t>
            </w:r>
          </w:p>
          <w:p w14:paraId="5EC3CF71">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12、为方便正版软件的部署和使用，支持个性化配置保存功能。首次完成软件的注册激活后，之后更新镜像模版也无需重新激活。提供厂商官网产品截图证明或产品彩页或有效的检测报告</w:t>
            </w:r>
          </w:p>
          <w:p w14:paraId="5CE3DC87">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13、支持镜像模版自动快照，每次镜像发布时可以自动为镜像模版打快照，支持的最大快照数量≥8个，提供实际界面截图证明。</w:t>
            </w:r>
          </w:p>
          <w:p w14:paraId="0B792813">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14、★为了管理的便捷性，支持管理员可以通过服务器集群的web管理平台唤醒远程不同网段的终端，中间无需使用跳板机转发，整个过程一键操作无需在web管理平台反复启动和关闭虚拟机，提供实际界面截图证明。</w:t>
            </w:r>
          </w:p>
          <w:p w14:paraId="37F1327D">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15、为确保英语听说软件兼容性，要求提供和市面主流语音听说软件兼容。</w:t>
            </w:r>
          </w:p>
          <w:p w14:paraId="50F14799">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16、为更快捷安装应用软件，支持软件安装包以文件、文件夹等形式上传，要求提供实际上传界面截图。</w:t>
            </w:r>
          </w:p>
          <w:p w14:paraId="69A3B132">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17、提供对应型号的软件著作权证书复印件。</w:t>
            </w:r>
          </w:p>
          <w:p w14:paraId="18C42659">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18、★为保证平台联动时的兼容性和可靠性，统一提供售后服务：要求云机房服务器、教学终端、显示器、键鼠、教学管理软件、网络连通设备为同一品牌，提供厂商官网产品截图证明或产品彩页证明。</w:t>
            </w:r>
          </w:p>
          <w:p w14:paraId="6AD43F65">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键盘：</w:t>
            </w:r>
          </w:p>
          <w:p w14:paraId="43397AA8">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1. 连接方式：有线</w:t>
            </w:r>
          </w:p>
          <w:p w14:paraId="6B563F20">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2. 键盘接口：USB</w:t>
            </w:r>
          </w:p>
          <w:p w14:paraId="2A898C8C">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3. 键盘按键数：104键</w:t>
            </w:r>
          </w:p>
          <w:p w14:paraId="07AC98DB">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4. 防水功能：防泼溅</w:t>
            </w:r>
          </w:p>
          <w:p w14:paraId="1A07AAEC">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5. 人体工学：支持，键盘水滴字键</w:t>
            </w:r>
          </w:p>
          <w:p w14:paraId="7D683676">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6. 线长：1m以上</w:t>
            </w:r>
          </w:p>
          <w:p w14:paraId="56D5A676">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鼠标：</w:t>
            </w:r>
          </w:p>
          <w:p w14:paraId="680C59B0">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1. 工作方式：光电（针光）</w:t>
            </w:r>
          </w:p>
          <w:p w14:paraId="5BB6C0DB">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2. 鼠标分辨率：1000DPI</w:t>
            </w:r>
          </w:p>
          <w:p w14:paraId="4B469FF1">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3. 鼠标接口：USB</w:t>
            </w:r>
          </w:p>
          <w:p w14:paraId="3F371F20">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4. 人体工学：鼠标对称设计</w:t>
            </w:r>
          </w:p>
          <w:p w14:paraId="245B6741">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5. 按键数：3键</w:t>
            </w:r>
          </w:p>
          <w:p w14:paraId="4AFBE2AC">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6. 滚轮方向：双向滚轮</w:t>
            </w:r>
          </w:p>
          <w:p w14:paraId="5D5903AD">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7. 线长：1m以上</w:t>
            </w:r>
          </w:p>
          <w:p w14:paraId="56E1CEB7">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显示器</w:t>
            </w:r>
          </w:p>
          <w:p w14:paraId="15D067FE">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1、配置WLED尺寸≥23.8英寸，分辨率≥1920×1080，刷新率≥75Hz(HDMI)，VGA接口≥1个，HDMI接口≥1个。</w:t>
            </w:r>
          </w:p>
          <w:p w14:paraId="2D32429A">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2、硬件形态：为保障使用时的动态清晰度、色彩还原准确、可视角度等方面的体验，需采用IPS屏，窄边框设计，水平及垂直可视角度≥178°，亮度≥250 cd/m</w:t>
            </w:r>
            <w:r>
              <w:rPr>
                <w:rStyle w:val="160"/>
                <w:rFonts w:hint="eastAsia" w:ascii="宋体" w:hAnsi="宋体" w:eastAsia="宋体" w:cs="宋体"/>
                <w:sz w:val="21"/>
                <w:szCs w:val="21"/>
                <w:highlight w:val="none"/>
                <w:lang w:val="en-US" w:eastAsia="zh-CN" w:bidi="ar"/>
              </w:rPr>
              <w:t>²</w:t>
            </w:r>
            <w:r>
              <w:rPr>
                <w:rStyle w:val="287"/>
                <w:rFonts w:hint="eastAsia" w:ascii="宋体" w:hAnsi="宋体" w:eastAsia="宋体" w:cs="宋体"/>
                <w:sz w:val="21"/>
                <w:szCs w:val="21"/>
                <w:highlight w:val="none"/>
                <w:lang w:val="en-US" w:eastAsia="zh-CN" w:bidi="ar"/>
              </w:rPr>
              <w:t>，对比度≥1,000:1，原生8bit色深。</w:t>
            </w:r>
          </w:p>
          <w:p w14:paraId="435DF79E">
            <w:pPr>
              <w:keepNext w:val="0"/>
              <w:keepLines w:val="0"/>
              <w:widowControl/>
              <w:suppressLineNumbers w:val="0"/>
              <w:jc w:val="left"/>
              <w:textAlignment w:val="center"/>
              <w:rPr>
                <w:rStyle w:val="287"/>
                <w:rFonts w:hint="eastAsia" w:ascii="宋体" w:hAnsi="宋体" w:eastAsia="宋体" w:cs="宋体"/>
                <w:sz w:val="21"/>
                <w:szCs w:val="21"/>
                <w:highlight w:val="none"/>
                <w:lang w:val="en-US" w:eastAsia="zh-CN" w:bidi="ar"/>
              </w:rPr>
            </w:pPr>
            <w:r>
              <w:rPr>
                <w:rStyle w:val="287"/>
                <w:rFonts w:hint="eastAsia" w:ascii="宋体" w:hAnsi="宋体" w:eastAsia="宋体" w:cs="宋体"/>
                <w:sz w:val="21"/>
                <w:szCs w:val="21"/>
                <w:highlight w:val="none"/>
                <w:lang w:val="en-US" w:eastAsia="zh-CN" w:bidi="ar"/>
              </w:rPr>
              <w:t>3、为了拓宽产品的使用场景，支持壁挂以及背挂终端。</w:t>
            </w:r>
          </w:p>
          <w:p w14:paraId="20EF845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Style w:val="287"/>
                <w:rFonts w:hint="eastAsia" w:ascii="宋体" w:hAnsi="宋体" w:eastAsia="宋体" w:cs="宋体"/>
                <w:sz w:val="21"/>
                <w:szCs w:val="21"/>
                <w:highlight w:val="none"/>
                <w:lang w:val="en-US" w:eastAsia="zh-CN" w:bidi="ar"/>
              </w:rPr>
              <w:t>4、为了保证产品质量，所投设备提供三年质保。</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1912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6FC6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168</w:t>
            </w:r>
          </w:p>
        </w:tc>
      </w:tr>
      <w:tr w14:paraId="6CC31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B1F2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4DC5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教学管理软件</w:t>
            </w:r>
          </w:p>
        </w:tc>
        <w:tc>
          <w:tcPr>
            <w:tcW w:w="3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20EA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1、提供多种教学模式以匹配不同的教学需求，支持老师通过教学管理软件对学生一键切换教学镜像；切换镜像时，云终端硬件无需重新启动。</w:t>
            </w:r>
          </w:p>
          <w:p w14:paraId="7DE65DF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2、支持通过教学管理软件一键开启所有云终端，终端启动后进入对应的课程镜像桌面。要求提供厂商官网产品截图证明或产品彩页或有效的检测报告件。</w:t>
            </w:r>
          </w:p>
          <w:p w14:paraId="1A319CA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3、为简化教学、方便上课前的学生点名，教学管理软件远程终端编号功能，并与云桌面编号一一对应，提供产品功能截图证明，并要求提供厂商官网产品截图证明或产品彩页或有效的检测报告</w:t>
            </w:r>
          </w:p>
          <w:p w14:paraId="0B87AB3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4、支持老师对单一、部分或全体学生进行黑屏操作，黑屏状态下，学生的机器被锁定。</w:t>
            </w:r>
          </w:p>
          <w:p w14:paraId="2C080E3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为保证正常教学使用，在教师机可以实现屏幕广播；学生可以调整老师广播屏幕大小；老师可以选择是否广播声音给学生；以上功能提供产品功能截图证明，并要求提供提供厂商官网产品截图证明或产品彩页或有效的检测报告</w:t>
            </w:r>
          </w:p>
          <w:p w14:paraId="32D35FC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6、★为方便教学控制，支持通过教学管理软件实现一键禁止任意学生上网，禁网的同时仍需要支持屏幕广播、屏幕查看等正常教学应用。</w:t>
            </w:r>
          </w:p>
          <w:p w14:paraId="0FF03F1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教学管理软件默认提供作业布置、批改、管理和成绩统计功能组件，提供学生作业的归档和下载；支持老师在作业空间为多个或单个班级的学生布置作业，布置内容可支持word等文件格式；支持老师对作业上交截止时间进行设置。</w:t>
            </w:r>
          </w:p>
          <w:p w14:paraId="6D87C8B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8、支持老师在个人空间选择要布置作业的班级和年级，支持附件上传；完成作业布置后，学生账号登陆后可立即能收到老师布置的作业。</w:t>
            </w:r>
          </w:p>
          <w:p w14:paraId="1C72A0D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9、★支持老师在线打开学生作业；支持txt、图片等学生作业格式。在线查看学生作业后，可以在个人空间中打分，提供产品功能截图证明。</w:t>
            </w:r>
          </w:p>
          <w:p w14:paraId="1461E74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10、支持老师将学生作业标记为公开作业；支持学生通过学生端软件查看本年级所有老师标记的公开作业；提供产品功能截图证明。</w:t>
            </w:r>
          </w:p>
          <w:p w14:paraId="5AA7E02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11、支持老师对学生分组功能；支持根据学生姓名手动分组或随机分组；支持老师和组长对组名重命名功能；支持小组总得分记录、支持各学生组员对小组贡献值记录；支持组内文件互传功能</w:t>
            </w:r>
          </w:p>
          <w:p w14:paraId="4691ED2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12、支持自主注册账号、支持管理员统一账号导入；老师账号仅支持密码登陆个人空间；学生账号支持密码登陆和无密码登陆；提供产品功能截图证明。</w:t>
            </w:r>
          </w:p>
          <w:p w14:paraId="7F02283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13、★支持老师对选中文件的分发和回收；支持老师对文件分发学生范围设置，支持老师根据姓名、小组、班级、年级或全员进行分发；支持考试对单独文件或文件夹形式分发；支持老师设置文件回收截至时间；支持老师设置回收后的文件存储位置；支持学生一键文件提交。要求提供厂商官网产品截图证明或产品彩页或有效的检测报告。</w:t>
            </w:r>
          </w:p>
          <w:p w14:paraId="183A85B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14、个人空间内置网盘功能，学生可通过作业空间账号直接登录，学生没有做完的作业或文件，可以上传到在作业空间中独立的存储空间中，方便下次上课使用，网盘文件支持上传和下载。</w:t>
            </w:r>
          </w:p>
          <w:p w14:paraId="1F7A464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15、为简化班级管理维护工作，支持通过标识码邀请方式来创建班级，即老师通过唯一的标识码邀请学生加入，针对此功能需提供产品功能截图证明。</w:t>
            </w:r>
          </w:p>
          <w:p w14:paraId="4CA7222A">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随堂测试：为方便老师快速出题，支持老师通过教师端导入word、pdf、txt等题库文件，也可以通过截屏方式快速出题。老师可以通过全班答题、抢答、随机答题多种方式发起测试，发起测试时为防止作弊老师可选择全屏答题或窗口答题。针对此功能需提供产品功能截图证明。</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B370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80F3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r>
      <w:tr w14:paraId="4F006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C179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6B48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48口千兆交换机</w:t>
            </w:r>
          </w:p>
        </w:tc>
        <w:tc>
          <w:tcPr>
            <w:tcW w:w="3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96B8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1、交换容量≥430Gbps，包转发率≥85Mpps，以官网最小值为准，提供厂商官网产品截图证明或产品彩页或有效的检测报告。</w:t>
            </w:r>
          </w:p>
          <w:p w14:paraId="06C1F6E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2、固化10/100/1000M以太网端口≥48个，固化1G SFP光接口≥4个。</w:t>
            </w:r>
          </w:p>
          <w:p w14:paraId="68791E9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3、★为保证设备在受到外界机械碰撞时能够正常运行，要求所投交换机IK防护测试级别至少达到IK05，提供厂商官网产品截图证明或产品彩页或有效的检测报告。</w:t>
            </w:r>
          </w:p>
          <w:p w14:paraId="0D36441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4、支持生成树协议STP(IEEE 802.1d)，RSTP(IEEE 802.1w)和MSTP(IEEE 802.1s)</w:t>
            </w:r>
          </w:p>
          <w:p w14:paraId="22FCF8A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5、支持IPV4/IPV6静态路由，RIP、RIPng</w:t>
            </w:r>
          </w:p>
          <w:p w14:paraId="71CDC9C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6、支持特有的CPU保护策略，对发往CPU的数据流，进行流区分和优先级队列分级处理，并根据需要实施带宽限速，充分保护CPU不被非法流量占用、恶意攻击和资源消耗</w:t>
            </w:r>
          </w:p>
          <w:p w14:paraId="7D0CDB9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7、设备自带云管理功能，即插即用，可随时查看网络健康度，告警及时推送，有日记事件供回溯</w:t>
            </w:r>
          </w:p>
          <w:p w14:paraId="0C27654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8、要求所投设备遵守国家标准的设计规则，并提供中国质量认证中心出具的《中国国家强制性产品认证证书》复印件。</w:t>
            </w:r>
          </w:p>
          <w:p w14:paraId="6A5F95A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9、本次配置2个千兆单模光模块。</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5C57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1E74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r>
      <w:tr w14:paraId="0DD2D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E7D8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1A9F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24口交换机</w:t>
            </w:r>
          </w:p>
        </w:tc>
        <w:tc>
          <w:tcPr>
            <w:tcW w:w="3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1F03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1、交换容量≥330Gbps，包转发率≥50Mpps，以官网最小值为准，提供厂商官网产品截图证明或产品彩页或有效的检测报告。</w:t>
            </w:r>
          </w:p>
          <w:p w14:paraId="6E0B279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2、固化10\100\1000M以太网端口≥24个，固化1G SFP光接口≥4个。</w:t>
            </w:r>
          </w:p>
          <w:p w14:paraId="0547275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3、★为保证设备在受到外界机械碰撞时能够正常运行，要求所投交换机IK防护测试级别至少达到IK05，提供厂商官网产品截图证明或产品彩页或有效的检测报告。</w:t>
            </w:r>
          </w:p>
          <w:p w14:paraId="7BA7094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4、支持生成树协议STP(IEEE 802.1d)，RSTP(IEEE 802.1w)和MSTP(IEEE 802.1s)。</w:t>
            </w:r>
          </w:p>
          <w:p w14:paraId="5408DFE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5、支持IPV4IPV6静态路由，RIP、RIPng。</w:t>
            </w:r>
          </w:p>
          <w:p w14:paraId="7EE1FA3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6、设备自带云管理功能，即插即用，可随时查看网络健康度，告警及时推送，有日记事件供回溯。</w:t>
            </w:r>
          </w:p>
          <w:p w14:paraId="39AD93A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7、要求所投设备遵守国家标准的设计规则，并提供中国质量认证中心出具的《中国国家强制性产品认证证书》复印件。</w:t>
            </w:r>
          </w:p>
          <w:p w14:paraId="595F6634">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8、本次配置2个千兆单模光模块。</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A68E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C05B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r>
      <w:tr w14:paraId="69C8D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7BA1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D819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智慧黑板</w:t>
            </w:r>
          </w:p>
        </w:tc>
        <w:tc>
          <w:tcPr>
            <w:tcW w:w="3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6E369">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一、整机参数</w:t>
            </w:r>
          </w:p>
          <w:p w14:paraId="4448807C">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1.设备整体采用坚固耐用的全金属材质打造外壳，并通过三段式平面拼接工艺实现一体化成型。其尺寸规格为：宽度不小于4200毫米，高度不低于1200毫米，厚度则控制在117毫米以内。</w:t>
            </w:r>
          </w:p>
          <w:p w14:paraId="638B9CA2">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2.设备配备了一块86英寸的液晶显示屏，采用超高清LED背光技术，屏幕显示比例为16:9，分辨率为3840j×2160h像素。</w:t>
            </w:r>
          </w:p>
          <w:p w14:paraId="678A2FFC">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★3.设备搭载的嵌入式系统版本不低于Android 14，处理器主频至少为1.8GHz，配备不低于2GB的运行内存和至少8GB的存储空间。其内置的嵌入式芯片具备2TOPS的AI算力，能够支持AI图像和音频处理功能。</w:t>
            </w:r>
          </w:p>
          <w:p w14:paraId="4D0DB56E">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4.钢化玻璃表面硬度≥9H。钢化玻璃硬度莫氏7级，可达到石英抗划等级，屏体表面强度100MPa。</w:t>
            </w:r>
          </w:p>
          <w:p w14:paraId="7E636DA2">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5.支持双系统中进行40点或以上触控。</w:t>
            </w:r>
          </w:p>
          <w:p w14:paraId="48BAFBDB">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★6.内置2.2声道扬声器，额定总功率60W，全部扬声器均采用模块化设计，无需打开背板即可单独拆卸，便于维护。</w:t>
            </w:r>
          </w:p>
          <w:p w14:paraId="4CD57E0F">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★7.内置非独立外扩展的8阵列麦克风，拾音角度≥180°，拾音距离≥12m。</w:t>
            </w:r>
          </w:p>
          <w:p w14:paraId="6C0022E7">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★8.支持AI空间音频感知，可通过内置麦克风采集教室物理环境声音，自动生成符合当前教室物理环境的频段、音量、音效。</w:t>
            </w:r>
          </w:p>
          <w:p w14:paraId="4A78A117">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9.背光系统支持DC调光方式，支持色彩空间可选，包含标准模式和sRGB模式，在sRGB模式下可做到高色准△E≤1。</w:t>
            </w:r>
          </w:p>
          <w:p w14:paraId="70D58A5C">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★10.系统支持AI画质调节模式，自动调整对比度、饱和度、锐利度、色调色相值、高光/阴影。</w:t>
            </w:r>
          </w:p>
          <w:p w14:paraId="76E396BA">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11.整机具备至少6个前置按键，至少支持5个自定义前置按键。</w:t>
            </w:r>
          </w:p>
          <w:p w14:paraId="11E26CEB">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★12.支持蓝牙Bluetooth 5.4标准，内置双WiFi6无线网卡（不接受外接），在Android下支持无线设备同时连接数量≥32个，在Windows系统下支持无线设备同时连接≥8个。</w:t>
            </w:r>
          </w:p>
          <w:p w14:paraId="5832E7C4">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★13.支持超声波快速物联功能，智能设备通过麦克风接收后，与整机无需在同一局域网内，可实现配对，一键投屏，用户无需手动输入投屏码或扫码获取投屏码。</w:t>
            </w:r>
          </w:p>
          <w:p w14:paraId="6491AB87">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14.内置非独立摄像头≥5000万像素数，视场角≥150度。</w:t>
            </w:r>
          </w:p>
          <w:p w14:paraId="539C0A99">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★15.支持单笔双色书写，同一支笔头、笔尾设定不同的颜色进行书写，颜色可自定义，实现讲解内容差异化标注。支持提笔书写，支持手笔分离，支持动态压力感应。</w:t>
            </w:r>
          </w:p>
          <w:p w14:paraId="71025F87">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16.侧边栏内置朗读工具，通过整机麦克风内置音频检测算法监测教室中学生的朗读情况。同时通过实时录制了老师朗读内容，可识别用户声纹并进行统一身份登录操作，登录后自动获取个人云端教学课件列表，打开教学白板软件时可跳过软件自带登录步骤。</w:t>
            </w:r>
          </w:p>
          <w:p w14:paraId="2AE0A996">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★17.整机设备自带地震预警软件，可在地震预警界面中开启和关闭地震预警服务。</w:t>
            </w:r>
          </w:p>
          <w:p w14:paraId="7992A163">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二、ops模块</w:t>
            </w:r>
          </w:p>
          <w:p w14:paraId="13A09E1D">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1.处理器：Intel Core i5 12代及以上。</w:t>
            </w:r>
          </w:p>
          <w:p w14:paraId="5465ED59">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2.内存：8G DDR4 笔记本内存或以上配置。</w:t>
            </w:r>
          </w:p>
          <w:p w14:paraId="552DFB50">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3.硬盘≥256G SSD 固态硬盘</w:t>
            </w:r>
          </w:p>
          <w:p w14:paraId="6E2CD4D2">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4.具有独立非外扩展的电脑USB接口：≥3路USB。≥1 路 HDMI ；</w:t>
            </w:r>
          </w:p>
          <w:p w14:paraId="02A5F2B1">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5.为保证设备使用稳定性及兼容性，要求班班通与OPS模块必须为同一品牌。</w:t>
            </w:r>
          </w:p>
          <w:p w14:paraId="740BD37F">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三、教学软件</w:t>
            </w:r>
          </w:p>
          <w:p w14:paraId="7B4BA3F7">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1.互动教学课件支持定向精准分享：分享者可将互动课件、课件组精准推送至指定接收方账号云空间，接收方可在云空间接收并打开分享课件；</w:t>
            </w:r>
          </w:p>
          <w:p w14:paraId="6F7EE2CA">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2.具有互动式教学课件资源，包含学科教育各学段各地区教材版本 100个。具有互动式教学课件资源，包含学科教育各学段教材版本全部教学章节、专题教育多个主题教育、特殊教育 不少于3 大分类的 100000 份的互动课件。课件支持教师在线评分。</w:t>
            </w:r>
          </w:p>
          <w:p w14:paraId="7CD2737A">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★3.具备AI智能备课助手：能按照教学环节筛选对应课件页一键插入课件中，可导入新课、作者简介。能按照元素类型思维导图、课堂活动选取需要的部分补充课件缺失的部分。</w:t>
            </w:r>
          </w:p>
          <w:p w14:paraId="4FB97B22">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4.AI智能纠错：软件内置的AI智能语义分析模块，可对输入的英文文本的拼写、句型、语法进行错误检查，并支持一键纠错。</w:t>
            </w:r>
          </w:p>
          <w:p w14:paraId="3268F5F0">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4.AI音标助手：支持浏览和插入国际音标表，可直接点击发音，支持已整表和单个音标卡片插入。支持智能将字母、单词、句子转写为音标，并可一键插入到备课课件中形成文本。</w:t>
            </w:r>
          </w:p>
          <w:p w14:paraId="5E033B8F">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5.党建微课视频：提供100节党建微课视频，包含革命篇、建设篇、改革篇、复兴篇4个篇章。微课内容可在线点播，下载至课件播放。微课视频支持视频关键帧打点标记，播放过程中可一键跳转至标记位置，同时支持一键对视频内容进行截图插入课件。</w:t>
            </w:r>
          </w:p>
          <w:p w14:paraId="4286C26C">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6.支持NFC一碰投屏或直播。在局域网环境或无网环境下，可将移动端屏幕实时同步至授课显示端，同屏窗口、全屏显示方式根据移动端界面自动适配。</w:t>
            </w:r>
          </w:p>
          <w:p w14:paraId="62E8FB3B">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7.提供互动课件资源库，包含学科教育、专题教育、特殊教育类课件。可获取到个人云空间，课件资源数量不低于15万份。</w:t>
            </w:r>
          </w:p>
          <w:p w14:paraId="4EF653F1">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8.提供将Word转换为云教案的能力，支持解析文本、表格等通用元素，方便老师迁移旧教案</w:t>
            </w:r>
          </w:p>
          <w:p w14:paraId="63A3BDE6">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★9.提供教案模板，方便老师撰写教案，预置模板包含表格式、提纲式、集备式、多课时式、单元设计式等不少于7个。支持校本模板，管理员在教研管理后台设置校本模板后，老师可在云教案模板调用。</w:t>
            </w:r>
          </w:p>
          <w:p w14:paraId="131A0AA8">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10.支持实现信息化集体备课。可选择教案、课件上传发起集备研讨，能够设置多重访问权限，可通过手机号搜索邀请外校老师，用于跨校教研场景。</w:t>
            </w:r>
          </w:p>
          <w:p w14:paraId="3ADB8B1E">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11.参备人可在线对教案进行随文式批注，追加批注，回复以及查看实时批注消息。</w:t>
            </w:r>
          </w:p>
          <w:p w14:paraId="6871CFE9">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12.研讨发起人在研讨过程中支持在线发起多人音视频研讨在线讨论，研讨内容自动形成音视频记录。</w:t>
            </w:r>
          </w:p>
          <w:p w14:paraId="736A7FA6">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13.支持通过实时音视频技术，将课堂教学现场进行实况直播，实现异地听课、评课，直播听评课结束后生成直播回放，为用户提供稳定快速的直播服务，使课堂教学研究与课堂教学同步进行，促进参与听课、评课教师的业务能力提升。</w:t>
            </w:r>
          </w:p>
          <w:p w14:paraId="0D130DD4">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四、集中控制管理平台</w:t>
            </w:r>
          </w:p>
          <w:p w14:paraId="48F39E89">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1.采用一校一码的认证机制，为学校提供专属识别码，通过学校代码进行设备与管理平台之间的关联，保证管理的私密和安全。</w:t>
            </w:r>
          </w:p>
          <w:p w14:paraId="4D1AD441">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2.冰点还原：支持创设系统还原点，实现磁盘级的系统还原保护，可根据教学需要自由选择磁盘分区设立还原点、取消还原点。</w:t>
            </w:r>
          </w:p>
          <w:p w14:paraId="70BBAE19">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3.用户无法通过传统方法（卸载或者关闭程序）来终止软件的运行，从而保护管理员可有效的管控设备</w:t>
            </w:r>
          </w:p>
          <w:p w14:paraId="79CF6790">
            <w:pPr>
              <w:keepNext w:val="0"/>
              <w:keepLines w:val="0"/>
              <w:widowControl/>
              <w:suppressLineNumbers w:val="0"/>
              <w:jc w:val="left"/>
              <w:textAlignment w:val="center"/>
              <w:rPr>
                <w:rStyle w:val="289"/>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4.</w:t>
            </w:r>
            <w:r>
              <w:rPr>
                <w:rStyle w:val="289"/>
                <w:rFonts w:hint="eastAsia" w:ascii="宋体" w:hAnsi="宋体" w:eastAsia="宋体" w:cs="宋体"/>
                <w:sz w:val="21"/>
                <w:szCs w:val="21"/>
                <w:highlight w:val="none"/>
                <w:lang w:val="en-US" w:eastAsia="zh-CN" w:bidi="ar"/>
              </w:rPr>
              <w:t>系统采用B/S混合云架构设计，支持在多种操作系统通过网页浏览器登录使用。</w:t>
            </w:r>
          </w:p>
          <w:p w14:paraId="6D7520B6">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5.支持自定义循环周期设置锁屏周期指令，并支持一键下课锁屏、开机即锁屏、长时未使用自动锁屏等智能锁屏管理，以及可支持无网络激活码认证解锁、密码解锁，有网络场景下扫码快速解锁。</w:t>
            </w:r>
          </w:p>
          <w:p w14:paraId="6FC62093">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6.看班：支持普通老师在移动端查看教室的实时摄像头画面、设备屏幕画面，发现有违规违纪行为时，可远程发消息、发语音直接干预；普通老师的权限由管理员统一分配，人员权限精准管理。</w:t>
            </w:r>
          </w:p>
          <w:p w14:paraId="50516832">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7.音视频直播：支持多位老师同时向不同设备发起直播，直播方式包含纯桌面直播、视频直播、音频直播、桌面+视频直播方式；直播过程中支持增、删接收直播观看的班班通设备；支持实时查看收看端教室画面；支持切换直播画质清晰度；</w:t>
            </w:r>
          </w:p>
          <w:p w14:paraId="1B5D9903">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8.支持一键开启全校班班通设备的不良弹窗AI拦截过滤能力，设备辅助管理软件实时监测弹出窗口，当有窗口弹出时，会自动使用“不良弹窗AI模型”判断，判断为不良弹窗时，自动拦截该窗口，以保证课堂教学稳定进行。</w:t>
            </w:r>
          </w:p>
          <w:p w14:paraId="08E3EE91">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9.支持查看并导出设备使用数据、软件活跃数据、教学应用数据、健康度分析数据。</w:t>
            </w:r>
          </w:p>
          <w:p w14:paraId="598792F5">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10.支持教室的实时摄像头画面、设备屏幕画面；单台设备巡视时，发现有违规违纪行为时，可远程发消息、发语音直接干预，也可记录备注，事后教育。支持记录所有管理员的巡视记录，方便回溯。</w:t>
            </w:r>
          </w:p>
          <w:p w14:paraId="36B5FDC8">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11.</w:t>
            </w:r>
            <w:r>
              <w:rPr>
                <w:rStyle w:val="289"/>
                <w:rFonts w:hint="eastAsia" w:ascii="宋体" w:hAnsi="宋体" w:eastAsia="宋体" w:cs="宋体"/>
                <w:sz w:val="21"/>
                <w:szCs w:val="21"/>
                <w:highlight w:val="none"/>
                <w:lang w:val="en-US" w:eastAsia="zh-CN" w:bidi="ar"/>
              </w:rPr>
              <w:t>移动系统采用Mini Program设计，无需下载单独安装APP即可使用；兼容Android、IOS等多种移动操作系统，便于远程管理及告警信息通知</w:t>
            </w:r>
            <w:r>
              <w:rPr>
                <w:rStyle w:val="286"/>
                <w:rFonts w:hint="eastAsia" w:ascii="宋体" w:hAnsi="宋体" w:eastAsia="宋体" w:cs="宋体"/>
                <w:sz w:val="21"/>
                <w:szCs w:val="21"/>
                <w:highlight w:val="none"/>
                <w:lang w:val="en-US" w:eastAsia="zh-CN" w:bidi="ar"/>
              </w:rPr>
              <w:t>。</w:t>
            </w:r>
          </w:p>
          <w:p w14:paraId="650AA12E">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12.支持查看不同类型设备的在线率、异常指令数、异常设备数及设备详情。</w:t>
            </w:r>
          </w:p>
          <w:p w14:paraId="331497F9">
            <w:pPr>
              <w:keepNext w:val="0"/>
              <w:keepLines w:val="0"/>
              <w:widowControl/>
              <w:suppressLineNumbers w:val="0"/>
              <w:jc w:val="left"/>
              <w:textAlignment w:val="center"/>
              <w:rPr>
                <w:rStyle w:val="286"/>
                <w:rFonts w:hint="eastAsia" w:ascii="宋体" w:hAnsi="宋体" w:eastAsia="宋体" w:cs="宋体"/>
                <w:sz w:val="21"/>
                <w:szCs w:val="21"/>
                <w:highlight w:val="none"/>
                <w:lang w:val="en-US" w:eastAsia="zh-CN" w:bidi="ar"/>
              </w:rPr>
            </w:pPr>
            <w:r>
              <w:rPr>
                <w:rStyle w:val="286"/>
                <w:rFonts w:hint="eastAsia" w:ascii="宋体" w:hAnsi="宋体" w:eastAsia="宋体" w:cs="宋体"/>
                <w:sz w:val="21"/>
                <w:szCs w:val="21"/>
                <w:highlight w:val="none"/>
                <w:lang w:val="en-US" w:eastAsia="zh-CN" w:bidi="ar"/>
              </w:rPr>
              <w:t>13.支持实时查看设备当前状态及实时画面，并可进行实时远程开机、关机、重启、锁屏、消息推送功能。</w:t>
            </w:r>
          </w:p>
          <w:p w14:paraId="0ED1981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Style w:val="286"/>
                <w:rFonts w:hint="eastAsia" w:ascii="宋体" w:hAnsi="宋体" w:eastAsia="宋体" w:cs="宋体"/>
                <w:sz w:val="21"/>
                <w:szCs w:val="21"/>
                <w:highlight w:val="none"/>
                <w:lang w:val="en-US" w:eastAsia="zh-CN" w:bidi="ar"/>
              </w:rPr>
              <w:t>★项为核心参数，需提供厂商官网产品截图证明或产品彩页或有效的检测报告。</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46B5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67FB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r>
      <w:tr w14:paraId="65464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D8F5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A33D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教师讲桌</w:t>
            </w:r>
          </w:p>
        </w:tc>
        <w:tc>
          <w:tcPr>
            <w:tcW w:w="3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2017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钢架构桌身、三聚氰胺板桌面，厚度≥2.5cm高密度板防火板，贴面鸭嘴边，尺寸：140×70×75(cm)，配五轮转椅一个，符合国家标准。</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FE86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E462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r>
      <w:tr w14:paraId="1FCAB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1362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CF37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学生课桌椅</w:t>
            </w:r>
          </w:p>
        </w:tc>
        <w:tc>
          <w:tcPr>
            <w:tcW w:w="3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EDB6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钢架构桌身、三聚氰胺板桌面，厚度≥2.5cm高密度板防火板，贴面鸭嘴边，尺寸：120×60×75(cm)，双人电脑桌，一桌配钢制方凳两个，符合国家标准。</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F4EB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FD14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84</w:t>
            </w:r>
          </w:p>
        </w:tc>
      </w:tr>
      <w:tr w14:paraId="6DCC8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6A4B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CCEC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防静电地板</w:t>
            </w:r>
          </w:p>
        </w:tc>
        <w:tc>
          <w:tcPr>
            <w:tcW w:w="3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14F3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陶瓷面防静电地板</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BAA4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平方米</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9579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300</w:t>
            </w:r>
          </w:p>
        </w:tc>
      </w:tr>
      <w:tr w14:paraId="00A04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9748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DC4F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空调</w:t>
            </w:r>
          </w:p>
        </w:tc>
        <w:tc>
          <w:tcPr>
            <w:tcW w:w="3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CD7D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5P柜式</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7F7E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77F9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r>
      <w:tr w14:paraId="5F09C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33A1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FE68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机柜</w:t>
            </w:r>
          </w:p>
        </w:tc>
        <w:tc>
          <w:tcPr>
            <w:tcW w:w="3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93A4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24U服务器机柜，含PDU、托盘</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DF4B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3E6F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r>
      <w:tr w14:paraId="0A1DF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C89A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4C7F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线缆及辅材</w:t>
            </w:r>
          </w:p>
        </w:tc>
        <w:tc>
          <w:tcPr>
            <w:tcW w:w="3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75C4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桥架、电源线、网线、理线器、水晶头、插线板等</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ED41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批</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2D27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7B0EB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E1C6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0B4F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系统集成费</w:t>
            </w:r>
          </w:p>
        </w:tc>
        <w:tc>
          <w:tcPr>
            <w:tcW w:w="35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40F7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依据现场情况定制（三间教室）</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D58B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w:t>
            </w: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0047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bl>
    <w:p w14:paraId="75CC8AE0">
      <w:pPr>
        <w:rPr>
          <w:rFonts w:hint="eastAsia"/>
          <w:highlight w:val="none"/>
          <w:lang w:eastAsia="zh-CN"/>
        </w:rPr>
      </w:pPr>
    </w:p>
    <w:p w14:paraId="0897DE43">
      <w:pPr>
        <w:rPr>
          <w:rFonts w:hint="eastAsia"/>
          <w:highlight w:val="none"/>
        </w:rPr>
      </w:pPr>
      <w:r>
        <w:rPr>
          <w:rFonts w:hint="eastAsia" w:ascii="宋体" w:hAnsi="宋体"/>
          <w:bCs/>
          <w:szCs w:val="21"/>
          <w:highlight w:val="none"/>
        </w:rPr>
        <w:br w:type="page"/>
      </w:r>
    </w:p>
    <w:p w14:paraId="23CE3B4F">
      <w:pPr>
        <w:pStyle w:val="18"/>
        <w:keepNext w:val="0"/>
        <w:keepLines w:val="0"/>
        <w:pageBreakBefore w:val="0"/>
        <w:widowControl w:val="0"/>
        <w:kinsoku/>
        <w:wordWrap/>
        <w:overflowPunct/>
        <w:topLinePunct w:val="0"/>
        <w:autoSpaceDE/>
        <w:autoSpaceDN/>
        <w:bidi w:val="0"/>
        <w:adjustRightInd/>
        <w:snapToGrid/>
        <w:spacing w:line="240" w:lineRule="auto"/>
        <w:textAlignment w:val="auto"/>
        <w:rPr>
          <w:b/>
          <w:bCs/>
          <w:sz w:val="32"/>
          <w:szCs w:val="40"/>
          <w:highlight w:val="none"/>
        </w:rPr>
      </w:pPr>
      <w:r>
        <w:rPr>
          <w:rFonts w:hint="eastAsia"/>
          <w:b/>
          <w:bCs/>
          <w:sz w:val="32"/>
          <w:szCs w:val="40"/>
          <w:highlight w:val="none"/>
        </w:rPr>
        <w:t>标项</w:t>
      </w:r>
      <w:r>
        <w:rPr>
          <w:rFonts w:hint="eastAsia"/>
          <w:b/>
          <w:bCs/>
          <w:sz w:val="32"/>
          <w:szCs w:val="40"/>
          <w:highlight w:val="none"/>
          <w:lang w:val="en-US" w:eastAsia="zh-CN"/>
        </w:rPr>
        <w:t>6</w:t>
      </w:r>
      <w:r>
        <w:rPr>
          <w:rFonts w:hint="eastAsia"/>
          <w:b/>
          <w:bCs/>
          <w:sz w:val="32"/>
          <w:szCs w:val="40"/>
          <w:highlight w:val="none"/>
        </w:rPr>
        <w:t>：</w:t>
      </w:r>
    </w:p>
    <w:tbl>
      <w:tblPr>
        <w:tblStyle w:val="46"/>
        <w:tblW w:w="536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40"/>
        <w:gridCol w:w="1156"/>
        <w:gridCol w:w="10807"/>
        <w:gridCol w:w="874"/>
        <w:gridCol w:w="1103"/>
      </w:tblGrid>
      <w:tr w14:paraId="60316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807E60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创客教室、化学吊装实验室、虚拟现实教室配置清单</w:t>
            </w:r>
          </w:p>
        </w:tc>
      </w:tr>
      <w:tr w14:paraId="4148D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E0E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750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分项名称</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BFF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参数配置</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B23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8DC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r>
      <w:tr w14:paraId="4098A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33402">
            <w:pPr>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创客教室</w:t>
            </w:r>
          </w:p>
        </w:tc>
      </w:tr>
      <w:tr w14:paraId="244B0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A84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81E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创意操作桌</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36B3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1.尺寸：≥1800*1300*750mm；</w:t>
            </w:r>
          </w:p>
          <w:p w14:paraId="6AABF3B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2.材质：橡胶木实木+优质钢架 提供《橡胶木》依据为GB 18584关于甲醛释放量≤1.5mg/L的检测报告，提供第三方检测机构出具的检验检测报告；</w:t>
            </w:r>
          </w:p>
          <w:p w14:paraId="3D6CA44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3.工艺：桌面采用优质实木，使用天然植物精炼木蜡油经反复打磨、浸润、擦拭、上光制成，不含甲醛；提供《木蜡油》依据为GB 18581-2020关于VOC含量≤450g/L；苯含量≤0.1%；甲苯与二甲苯（含乙苯）总和含量≤5%；多环芳径总含量（限萘、蒽）≤200mg/kg；卤代烃总和含量≤0.1%的检测报告。提供第三方检测机构出具的检验检测报告。桌架横梁:25*50*1.5mm，桌腿： 30*60*1.5mm，采用优质钢架，金属接头，满焊焊接而成，表面采用高温粉体烤漆，耐腐蚀，不易生锈质；</w:t>
            </w:r>
          </w:p>
          <w:p w14:paraId="641420D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4.功能：天然实木。</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57D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F06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14:paraId="2B6E0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82B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7F0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悬挂凳</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D29A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1.尺寸：≥290*450mm;</w:t>
            </w:r>
          </w:p>
          <w:p w14:paraId="055FC2A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2.材质：ABS+钢管</w:t>
            </w:r>
          </w:p>
          <w:p w14:paraId="35CD6E9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工艺：面板采用ABS新料一体注塑成型，面板直径≥290mm±10mm，坐垫下带有防滑凸条和防滑垫的塑料背盖，以便于悬挂，尺寸：≥125*125*35mm±5mm。中间有內弧造型，深度为8mm。椅腿钢管尺寸：≥30*20*1.5mm，采用鱼眼形钢管满焊焊接，表面采用高温粉体烤漆。提供《烤漆粉》依据为HG/T 2006-2022关于铅笔硬度（内聚破坏中擦伤）≥H；耐磨性小于等于50mg；耐乙酸盐雾的检测报告，提供第三方检测机构出具的检验检测报告；</w:t>
            </w:r>
          </w:p>
          <w:p w14:paraId="4B5480D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5.脚垫：采用PP纤维质塑胶一体成型，凳子底部加黑色护垫。</w:t>
            </w:r>
          </w:p>
          <w:p w14:paraId="6F50BF9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4.功能：凳子可悬挂于桌子上方便收纳及打扫卫生。</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795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FC5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r>
      <w:tr w14:paraId="64274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DD6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659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储物柜</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top"/>
          </w:tcPr>
          <w:p w14:paraId="37112592">
            <w:pPr>
              <w:keepNext w:val="0"/>
              <w:keepLines w:val="0"/>
              <w:widowControl/>
              <w:suppressLineNumbers w:val="0"/>
              <w:jc w:val="left"/>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1.尺寸：W1340*D450*H900mm；                                            </w:t>
            </w:r>
          </w:p>
          <w:p w14:paraId="308BB81F">
            <w:pPr>
              <w:keepNext w:val="0"/>
              <w:keepLines w:val="0"/>
              <w:widowControl/>
              <w:suppressLineNumbers w:val="0"/>
              <w:jc w:val="left"/>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2.材质：颗粒板；</w:t>
            </w:r>
          </w:p>
          <w:p w14:paraId="62AEECDC">
            <w:pPr>
              <w:keepNext w:val="0"/>
              <w:keepLines w:val="0"/>
              <w:widowControl/>
              <w:suppressLineNumbers w:val="0"/>
              <w:jc w:val="left"/>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3.工艺：采用国家标准E1级板，厚度≥18mm,基材采用优质颗粒板，面贴优质三聚氰胺纸，PVC直封边制作。导轨尺寸：300*15*25mm。材质：ABS，收纳盒尺寸：≥430*305*100mm ，材质：PP新料，五金件采用液压铰链；</w:t>
            </w:r>
          </w:p>
          <w:p w14:paraId="7BAF8BB2">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4.功能：配置PP收纳盒，可收纳各种教学用具。</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DCE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组</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7E4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14:paraId="2118D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FD2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C66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创意设计主机</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09A4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满足学生日常编程及平面设计需求</w:t>
            </w:r>
          </w:p>
          <w:p w14:paraId="40A8267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CPU：≥主频3.0G；固态硬盘512G，内存16GB及以上</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719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895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r>
      <w:tr w14:paraId="044EB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713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BCF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氛围营造</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DFCD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含设计、吊顶、地板处理、洗手池、强弱电源、垃圾处理、施工等。</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5A2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间</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705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30F65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12C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BAB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中小学创新实践活动器材</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DCBF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【简介】</w:t>
            </w:r>
          </w:p>
          <w:p w14:paraId="6206477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中小学创新实践活动器材入门版是一款专为中小学创新实践类型的比赛活动而设计的套件，含有不少于35种电子模块，可以满足制作人工智能计算机视觉、物联网、智能家居、智慧校园、智慧交通等相关技术领域的项目。</w:t>
            </w:r>
          </w:p>
          <w:p w14:paraId="5587ED6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不少于3种不同特色的主控板，稳定性最强的UNO与体积小巧的microbit，mega与微型电脑；</w:t>
            </w:r>
          </w:p>
          <w:p w14:paraId="6977033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不少于2种通讯模块，物联网通信模块与红外通讯模块；</w:t>
            </w:r>
          </w:p>
          <w:p w14:paraId="17B1722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不少于20种传感器及执行器，含有人工智能视觉传感器、按钮模块、DHT11温湿度传感器、超声波传感器、舵机等模块；</w:t>
            </w:r>
          </w:p>
          <w:p w14:paraId="257453F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材料包包含KT板、雪糕棒、扭扭棒、粘土等耗材，以及提供魔术贴、扎带等固定工具。</w:t>
            </w:r>
          </w:p>
          <w:p w14:paraId="62224E1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适用比赛：</w:t>
            </w:r>
          </w:p>
          <w:p w14:paraId="4706E3F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全国师生信息素养提升实践活动</w:t>
            </w:r>
          </w:p>
          <w:p w14:paraId="171EB41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全国青少年人工智能创新挑战赛</w:t>
            </w:r>
          </w:p>
          <w:p w14:paraId="265ECFB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全国青少年科技创新大赛</w:t>
            </w:r>
          </w:p>
          <w:p w14:paraId="34E8B92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各地区中小学创客及人工智能比赛</w:t>
            </w:r>
          </w:p>
          <w:p w14:paraId="1342D86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【技术参数】</w:t>
            </w:r>
          </w:p>
          <w:p w14:paraId="6777FF4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1.主控：UNO R3主控板,I/O传感器扩展板，micro:bit，两用扩展板；Python学习主控板，</w:t>
            </w:r>
          </w:p>
          <w:p w14:paraId="5493514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2.通信模块：物联网模块、红外遥控器、红外接收模块；NFC 通信模块、蓝牙通信模块、蓝牙适配器、射频通信模块；</w:t>
            </w:r>
          </w:p>
          <w:p w14:paraId="13B64D8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3.人工智能模块：人工智能视觉传感器 ，语音识别模块、语音合成模块</w:t>
            </w:r>
          </w:p>
          <w:p w14:paraId="7288842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输入设备：黄色数字大按钮模块，红色数字大按钮模块，光线传感器，角度传感器，声音传感器，土壤湿度传感器，温湿度传感器，超声波传感器，晃动传感器，运动传感器，烟雾传感器，TDS传感器；ADkey按钮模块、紫外线传感器、颜色识别传感器、红外避障传感器、手势传感器、分贝计、6轴惯性运动传感器、空气质量传感器、浊度传感器、USB摄像头</w:t>
            </w:r>
          </w:p>
          <w:p w14:paraId="04F7E0E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5.输出设备：红色LED模块，绿色LED模块，9g离合舵机*2，减速电机，灯带，显示屏，双路电机驱动模块，电机驱动扩展板；白色LED灯、灯环、水泵、风扇、继电器、喇叭</w:t>
            </w:r>
          </w:p>
          <w:p w14:paraId="4ABA0A7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6.配件：轮子，支撑轮，传感器线若干、数据线若干、螺丝刀，胶枪、公公头杜邦线、母母头杜邦线、电池盒、18650锂电池、18650电池座</w:t>
            </w:r>
          </w:p>
          <w:p w14:paraId="0F1D83C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【人工智能摄像头】（提供检测报告）</w:t>
            </w:r>
          </w:p>
          <w:p w14:paraId="39008F5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1.处理器：400MHz 64位双核处理器Kendryte K210</w:t>
            </w:r>
          </w:p>
          <w:p w14:paraId="1AA19B0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2.供电电压：4-pin防呆接口：3.3~5.0V</w:t>
            </w:r>
          </w:p>
          <w:p w14:paraId="0FF5855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MicoUSB接口：5.0V</w:t>
            </w:r>
          </w:p>
          <w:p w14:paraId="17168C9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3.电流消耗（典型值）：320mA@3.3V，230mA@5.0V等 </w:t>
            </w:r>
          </w:p>
          <w:p w14:paraId="590770A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4.通信协议：UART ,I2C(可自动识别)</w:t>
            </w:r>
          </w:p>
          <w:p w14:paraId="574532E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5.通信接口：PH2.0 4-pin或microUSB接口</w:t>
            </w:r>
          </w:p>
          <w:p w14:paraId="4983FA6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6.调试接口：microUSB接口</w:t>
            </w:r>
          </w:p>
          <w:p w14:paraId="6B27E54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7.尺寸：52mm*44.5mm±0.5mm</w:t>
            </w:r>
          </w:p>
          <w:p w14:paraId="2602043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8.基础功能：物体追踪（可学习追踪物体并返回坐标值），人脸识别(可分辨不同人脸)，物体识别（不学习可直接识别20种以上物体），巡线追踪，颜色识别，标签识别</w:t>
            </w:r>
          </w:p>
          <w:p w14:paraId="677A9CA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9.高级功能：深度神经网络分类器(可实现标志识别、手写数字识别、口罩识别、物体分类等1000种以上分类)</w:t>
            </w:r>
          </w:p>
          <w:p w14:paraId="7417321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10.特殊功能：USB串口通信、拍照保存、屏幕显示自定义字符、可用基于mind+图形化软件进行编程控制、可兼容python编程</w:t>
            </w:r>
          </w:p>
          <w:p w14:paraId="4C41498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11.固件：内置固件，可通过USB接口更新</w:t>
            </w:r>
          </w:p>
          <w:p w14:paraId="36213C2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12.按键：1个功能按键，1个学习按键</w:t>
            </w:r>
          </w:p>
          <w:p w14:paraId="19FC86A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13.平台支持：Arduino、micro:bit、掌控、树莓派、LattePanda等</w:t>
            </w:r>
          </w:p>
          <w:p w14:paraId="5F80AF5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14.其他：2颗LED高亮补光灯；1颗RGB指示灯；1个TF卡座；1个可插拔摄像头；</w:t>
            </w:r>
          </w:p>
          <w:p w14:paraId="65C688F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15.摄像头规格</w:t>
            </w:r>
          </w:p>
          <w:p w14:paraId="1E63AD6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像素：500万以上</w:t>
            </w:r>
          </w:p>
          <w:p w14:paraId="7058618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屏幕规格</w:t>
            </w:r>
          </w:p>
          <w:p w14:paraId="1CF4758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类型：2.0寸 TFT</w:t>
            </w:r>
          </w:p>
          <w:p w14:paraId="549C1A0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分辨率：320*240以上</w:t>
            </w:r>
          </w:p>
          <w:p w14:paraId="78F33EC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视角：&gt;170°</w:t>
            </w:r>
          </w:p>
          <w:p w14:paraId="28B3296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面板：IPS</w:t>
            </w:r>
          </w:p>
          <w:p w14:paraId="7D8531C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背光：白光LED灯，亮度可调</w:t>
            </w:r>
          </w:p>
          <w:p w14:paraId="5663751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shd w:val="clear"/>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auto"/>
                <w:kern w:val="0"/>
                <w:sz w:val="21"/>
                <w:szCs w:val="21"/>
                <w:highlight w:val="none"/>
                <w:u w:val="none"/>
                <w:shd w:val="clear"/>
                <w:lang w:val="en-US" w:eastAsia="zh-CN" w:bidi="ar"/>
              </w:rPr>
              <w:t xml:space="preserve"> 外观特性：黑色排线，黑色金属保护框【Python编程学习主控板】（提供第三方检测机构出具的检测报告原件扫描件。）</w:t>
            </w:r>
          </w:p>
          <w:p w14:paraId="12F168A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Python编程学习主控板是一款拥有自主知识产权的国产教学用开源硬件，采用单板计算机架构（4核CPU、板载内存和硬盘）能够运行完整Python而不是MicroPython，集成LCD彩屏、WiFi蓝牙、多种常用传感器和丰富的拓展接口方便教学。同时，其自带Linux操作系统和python环境，支持多种编程方式（图形化编程、Jupyter编程、Thonny编程、SSH远程访问、VScode编程）可以随时编程，让广大师生只需两步就能开始python教学。另外，还预装了常用的python库，轻松胜任各种编程相关的开发场景，如搭建物联网系统、体验人工智能应用、编写电子游戏、进行科学实验、设计声光互动、开发可穿戴设备等。</w:t>
            </w:r>
          </w:p>
          <w:p w14:paraId="2BA0DE1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技术规格</w:t>
            </w:r>
          </w:p>
          <w:p w14:paraId="384332D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1.CPU: 国产 4核 1.2GHz</w:t>
            </w:r>
          </w:p>
          <w:p w14:paraId="3602DDC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2.内存: 512MB DDR3</w:t>
            </w:r>
          </w:p>
          <w:p w14:paraId="1FC188E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3.硬盘: 16GB </w:t>
            </w:r>
          </w:p>
          <w:p w14:paraId="45CEB8AC">
            <w:pPr>
              <w:keepNext w:val="0"/>
              <w:keepLines w:val="0"/>
              <w:widowControl/>
              <w:suppressLineNumbers w:val="0"/>
              <w:jc w:val="left"/>
              <w:textAlignment w:val="center"/>
              <w:rPr>
                <w:rFonts w:hint="eastAsia" w:ascii="宋体" w:hAnsi="宋体" w:eastAsia="宋体" w:cs="宋体"/>
                <w:i w:val="0"/>
                <w:iCs w:val="0"/>
                <w:strike w:val="0"/>
                <w:dstrike w:val="0"/>
                <w:color w:val="auto"/>
                <w:kern w:val="0"/>
                <w:sz w:val="21"/>
                <w:szCs w:val="21"/>
                <w:highlight w:val="none"/>
                <w:u w:val="none"/>
                <w:lang w:val="en-US" w:eastAsia="zh-CN" w:bidi="ar"/>
              </w:rPr>
            </w:pPr>
            <w:r>
              <w:rPr>
                <w:rFonts w:hint="eastAsia" w:ascii="宋体" w:hAnsi="宋体" w:eastAsia="宋体" w:cs="宋体"/>
                <w:i w:val="0"/>
                <w:iCs w:val="0"/>
                <w:strike w:val="0"/>
                <w:dstrike w:val="0"/>
                <w:color w:val="auto"/>
                <w:kern w:val="0"/>
                <w:sz w:val="21"/>
                <w:szCs w:val="21"/>
                <w:highlight w:val="none"/>
                <w:u w:val="none"/>
                <w:lang w:val="en-US" w:eastAsia="zh-CN" w:bidi="ar"/>
              </w:rPr>
              <w:t>4.内置操作系统</w:t>
            </w:r>
          </w:p>
          <w:p w14:paraId="5A179591">
            <w:pPr>
              <w:keepNext w:val="0"/>
              <w:keepLines w:val="0"/>
              <w:widowControl/>
              <w:suppressLineNumbers w:val="0"/>
              <w:jc w:val="left"/>
              <w:textAlignment w:val="center"/>
              <w:rPr>
                <w:rFonts w:hint="eastAsia" w:ascii="宋体" w:hAnsi="宋体" w:eastAsia="宋体" w:cs="宋体"/>
                <w:i w:val="0"/>
                <w:iCs w:val="0"/>
                <w:strike w:val="0"/>
                <w:dstrike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5.Wi-Fi:</w:t>
            </w:r>
            <w:r>
              <w:rPr>
                <w:rFonts w:hint="eastAsia" w:ascii="宋体" w:hAnsi="宋体" w:eastAsia="宋体" w:cs="宋体"/>
                <w:i w:val="0"/>
                <w:iCs w:val="0"/>
                <w:strike w:val="0"/>
                <w:dstrike w:val="0"/>
                <w:color w:val="auto"/>
                <w:kern w:val="0"/>
                <w:sz w:val="21"/>
                <w:szCs w:val="21"/>
                <w:highlight w:val="none"/>
                <w:u w:val="none"/>
                <w:lang w:val="en-US" w:eastAsia="zh-CN" w:bidi="ar"/>
              </w:rPr>
              <w:t>支持</w:t>
            </w:r>
          </w:p>
          <w:p w14:paraId="57DC603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6.蓝牙:  4.0</w:t>
            </w:r>
          </w:p>
          <w:p w14:paraId="5887289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7.板载元件:</w:t>
            </w:r>
          </w:p>
          <w:p w14:paraId="2DE6C53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实体按键：Home按键，A/B按键</w:t>
            </w:r>
          </w:p>
          <w:p w14:paraId="31A4448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屏幕：不小于2.8寸240*320 TFT彩屏</w:t>
            </w:r>
          </w:p>
          <w:p w14:paraId="1BD0F4A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麦克风传感器</w:t>
            </w:r>
          </w:p>
          <w:p w14:paraId="395B34C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光线传感器</w:t>
            </w:r>
          </w:p>
          <w:p w14:paraId="09D203F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加速度传感器</w:t>
            </w:r>
          </w:p>
          <w:p w14:paraId="78E8E73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蜂鸣器</w:t>
            </w:r>
          </w:p>
          <w:p w14:paraId="5FE32F8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8.接口:</w:t>
            </w:r>
          </w:p>
          <w:p w14:paraId="09203C1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USB  Type-C *1</w:t>
            </w:r>
          </w:p>
          <w:p w14:paraId="1A52D36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USB  TYPE-A *1(可外接USB设备，如摄像头等)</w:t>
            </w:r>
          </w:p>
          <w:p w14:paraId="6E2EA06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microSD卡接口 *1</w:t>
            </w:r>
          </w:p>
          <w:p w14:paraId="290AF18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3Pin I/O *4  (其中支持3路PWM 2路ADC)</w:t>
            </w:r>
          </w:p>
          <w:p w14:paraId="0F69160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4Pin I2C *2</w:t>
            </w:r>
          </w:p>
          <w:p w14:paraId="453D536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金手指: 19路无冲突I/O（支持I2C、UART、SPI、ADC、PWM）</w:t>
            </w:r>
          </w:p>
          <w:p w14:paraId="571715A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9.供电: Type-C 5V供电</w:t>
            </w:r>
          </w:p>
          <w:p w14:paraId="76010E9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10.工作电压： 3.3V</w:t>
            </w:r>
          </w:p>
          <w:p w14:paraId="53B11F9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11.最大工作电流: 2000mA</w:t>
            </w:r>
          </w:p>
          <w:p w14:paraId="2D28C34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【语音识别模块】</w:t>
            </w:r>
          </w:p>
          <w:p w14:paraId="08C4578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无需联网即可实现语音识别功能；内置不少于150条常用命令词条，且具有新增命令词自学习功能，共支持不少于17条自学习命令词。采用双麦克风收音使模块有更好的抗噪音能力和更远的识别距离；板载一个喇叭和外接喇叭的接口，能实时语音反馈识别结果，同时支持I2C和UART两种通讯方式，兼容常规主流触控板。</w:t>
            </w:r>
          </w:p>
          <w:p w14:paraId="76CC1B3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技术参数：</w:t>
            </w:r>
          </w:p>
          <w:p w14:paraId="59AE29C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1.工作电压：3.3~5V</w:t>
            </w:r>
          </w:p>
          <w:p w14:paraId="01B0439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2.工作电流：25 ~ 40 mA</w:t>
            </w:r>
          </w:p>
          <w:p w14:paraId="299D6D4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3.通信方式：I2C/UART</w:t>
            </w:r>
          </w:p>
          <w:p w14:paraId="7F9D54D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4.板载麦克风灵敏度：-28db</w:t>
            </w:r>
          </w:p>
          <w:p w14:paraId="27B17DD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5.模块尺寸：≥45*30mm±0.5mm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8B7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294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r w14:paraId="6F4D5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EF6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1B0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中小学人工智能比赛套件(专业版)</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34B2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简介：人工智能初级比赛套件是一款专为人工智能比赛而生的套件，含有不少于25种电子模块，可以满足制作人工智能计算机视觉、自然语音处理等相关技术领域的项目。</w:t>
            </w:r>
          </w:p>
          <w:p w14:paraId="786370C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不少于3种不同特色的主控板，稳定性最强的UNO与体积小巧的microbit、掌控板控制器；</w:t>
            </w:r>
          </w:p>
          <w:p w14:paraId="30E51B5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不少于2种通讯模块，蓝牙通讯与无线适配模块，实现无线蓝牙功能；</w:t>
            </w:r>
          </w:p>
          <w:p w14:paraId="570EF0B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不少于15种输入设备，含有视觉识别传感器、语音识别传感器、姿态传感器、颜色识别等模块；</w:t>
            </w:r>
          </w:p>
          <w:p w14:paraId="2327032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不少于8种执行器，含有灯带、显示屏、舵机等；</w:t>
            </w:r>
          </w:p>
          <w:p w14:paraId="767F00F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不少于2种结构，夹持器与移动机器人平台；</w:t>
            </w:r>
          </w:p>
          <w:p w14:paraId="40B0016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适用比赛：</w:t>
            </w:r>
          </w:p>
          <w:p w14:paraId="408B01C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全国中小学电脑制作大赛人工智能项目；</w:t>
            </w:r>
          </w:p>
          <w:p w14:paraId="656252A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全国青少年人工智能创新挑战赛；</w:t>
            </w:r>
          </w:p>
          <w:p w14:paraId="79489CD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各地区中小学人工智能比赛；</w:t>
            </w:r>
          </w:p>
          <w:p w14:paraId="0B0C673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主控：UNO R3主控板,I/O传感器扩展板，micro:bit，掌控板、两用扩展板；</w:t>
            </w:r>
          </w:p>
          <w:p w14:paraId="4D4B89F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编程软件：Ardublock，mixly，IDE，mind+、PythonIDLE；</w:t>
            </w:r>
          </w:p>
          <w:p w14:paraId="7BA6F45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通信模块：蓝牙通讯模块、无线下载适配器；</w:t>
            </w:r>
          </w:p>
          <w:p w14:paraId="7E9D3ED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输入设备： 人工智能视觉传感器（可学习并区分不同人脸并实时返回坐标，支持二维码识别、apriltag标签识别、KNN物体分类、颜色识别、物体追踪、物体识别功能）， 语音识别模块（无需提前学习可直接识别语音，无需联网），颜色识别传感器，NFC近场通讯模块， 指纹识别传感器（IIC接口，可录入不少于80枚指纹），数字大按钮模块，红外避障传感器，光线传感器，角度传感器，声音传感器，红外遥控器，红外接收模块，土壤湿度传感器，温湿度传感器， 姿态传感器；</w:t>
            </w:r>
          </w:p>
          <w:p w14:paraId="0CD1C19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输出设备：LED模块，9g离合舵机（运动中堵转能自动复位并继续工作），减速电机，灯带， 语音合成模块（无需联网），显示屏，双路电机驱动模块；</w:t>
            </w:r>
          </w:p>
          <w:p w14:paraId="4C662C2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结构件：金属夹持器、金属移动机器人平台；</w:t>
            </w:r>
          </w:p>
          <w:p w14:paraId="0C429C1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配件：传感器线若干、数据线若干、杜邦线若干、螺丝刀、电池盒；</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233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C89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r w14:paraId="4E04A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CBD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A77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信息科技初中基础教学套件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606E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【套件介绍】</w:t>
            </w:r>
          </w:p>
          <w:p w14:paraId="11C43A7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信息科技初中基础教学套件是一款适用于初中阶段的套件，结合课标中 7~9 年级跨学科主题案例，帮助学生了解物联网、互联网和人工智能等知识。</w:t>
            </w:r>
          </w:p>
          <w:p w14:paraId="551217B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套件配有主控板，可直接运行 SIoT 本地物联网平台，轻松搭建物联网系统。</w:t>
            </w:r>
          </w:p>
          <w:p w14:paraId="6167EE9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件配置了丰富的硬件模块，能实现环境探测和生物识别等智能感应场景，并进行丰富的反馈控制。能实现的智能感应包括空气温湿度探测、气压探测、手势识别、土壤湿度探测、水分探测、二维码识别、语音识别等，能实现的反馈控制包括舵机控制、水泵控制等。</w:t>
            </w:r>
          </w:p>
          <w:p w14:paraId="330B1B3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【套件课程】</w:t>
            </w:r>
          </w:p>
          <w:p w14:paraId="76D9DD4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课程采用 Python 图形化编程，提供有校园气象站、智慧农业温室等案例，共计 16 课时（每课时不少于45分钟）。</w:t>
            </w:r>
          </w:p>
          <w:p w14:paraId="50C7305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课程提供 4 个课程单元，4 个课程单元的项目均来源于新课标跨学科案例，帮助老师落实跨学科教学。</w:t>
            </w:r>
          </w:p>
          <w:p w14:paraId="419660E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课程提供 16 个趣味项目，满足老师将开源硬件结合课标和教材知识点，教授物联网、互联网和人工智能知识。</w:t>
            </w:r>
          </w:p>
          <w:p w14:paraId="7A17028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课程配有丰富的教学资源，每个项目的纸质书籍包括 学生活动手册书 x1、项目实操手册书 x1，电子资源包括教 教师教案用书 x1、师教学PPT x1，满足老师快速开展信息技术课程。</w:t>
            </w:r>
          </w:p>
          <w:p w14:paraId="13443F1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课程具备以下特点：采用Python图形化编程，降低使用门槛；通过传感器采集数据，实现数据可视化分析；主控板一键运行SIoT，轻松搭建物联网系统；体验机器学习算法，感受人工智能应用。</w:t>
            </w:r>
          </w:p>
          <w:p w14:paraId="67E170D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【套件器材】</w:t>
            </w:r>
          </w:p>
          <w:p w14:paraId="03F62B1C">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主控板：主控板 x1</w:t>
            </w:r>
          </w:p>
          <w:p w14:paraId="0B1FEF23">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 xml:space="preserve">  传感器：USB摄像头 x1、温湿度传感器 x1、气压温度传感器 x1、土壤  湿度传感器 x1、水分传感器  x1、语音识别模块 x1、手势识别传感器 x1</w:t>
            </w:r>
          </w:p>
          <w:p w14:paraId="1B6CC5A6">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 xml:space="preserve">  执行器：舵机 x1、水泵 x1、继电器 x1</w:t>
            </w:r>
          </w:p>
          <w:p w14:paraId="0ED72F56">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 xml:space="preserve">  其他配件：电池盒 x1、3P白色硅胶线 x8、4P白色硅胶线 x4、type-c安卓两用USB线 x1</w:t>
            </w:r>
          </w:p>
          <w:p w14:paraId="3A2A3F02">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【编程软件】</w:t>
            </w:r>
          </w:p>
          <w:p w14:paraId="4F02C736">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编程软件：python Mind+采用单板计算机架构（4核CPU、板载内存和硬盘）能够运行完整Python而不是MicroPython，集成LCD彩屏、WiFi蓝牙、多种常用传感器和丰富的拓展接口方便教学。同时，其自带Linux操作系统和python环境，支持多种编程方式（Mind+编程、Jupyter编程、Thonny编程、SSH远程访问、VScode编程）可以随时编程，让广大师生只需两步就能开始python教学。另外，还预装了常用的python库，轻松胜任各种编程相关的开发场景，如搭建物联网系统、体验人工智能应用、编写电子游戏、进行科学实验、设计声光互动、开发可穿戴设备等。</w:t>
            </w:r>
          </w:p>
          <w:p w14:paraId="4AF0F192">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技术规格</w:t>
            </w:r>
          </w:p>
          <w:p w14:paraId="7E59A746">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1.CPU: 国产 4核 1.2GHz</w:t>
            </w:r>
          </w:p>
          <w:p w14:paraId="4C6A754D">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2.内存: 512MB DDR3</w:t>
            </w:r>
          </w:p>
          <w:p w14:paraId="2E60E1DB">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3.硬盘: 16GB eMMC</w:t>
            </w:r>
          </w:p>
          <w:p w14:paraId="17ADF1E9">
            <w:pPr>
              <w:keepNext w:val="0"/>
              <w:keepLines w:val="0"/>
              <w:widowControl/>
              <w:suppressLineNumbers w:val="0"/>
              <w:jc w:val="left"/>
              <w:textAlignment w:val="center"/>
              <w:rPr>
                <w:rStyle w:val="295"/>
                <w:rFonts w:hint="eastAsia" w:ascii="宋体" w:hAnsi="宋体" w:eastAsia="宋体" w:cs="宋体"/>
                <w:strike w:val="0"/>
                <w:dstrike w:val="0"/>
                <w:color w:val="auto"/>
                <w:sz w:val="21"/>
                <w:szCs w:val="21"/>
                <w:highlight w:val="none"/>
                <w:lang w:val="en-US" w:eastAsia="zh-CN" w:bidi="ar"/>
              </w:rPr>
            </w:pPr>
            <w:r>
              <w:rPr>
                <w:rStyle w:val="295"/>
                <w:rFonts w:hint="eastAsia" w:ascii="宋体" w:hAnsi="宋体" w:eastAsia="宋体" w:cs="宋体"/>
                <w:strike w:val="0"/>
                <w:dstrike w:val="0"/>
                <w:color w:val="auto"/>
                <w:sz w:val="21"/>
                <w:szCs w:val="21"/>
                <w:highlight w:val="none"/>
                <w:lang w:val="en-US" w:eastAsia="zh-CN" w:bidi="ar"/>
              </w:rPr>
              <w:t>4.内置操作系统</w:t>
            </w:r>
          </w:p>
          <w:p w14:paraId="510833C5">
            <w:pPr>
              <w:keepNext w:val="0"/>
              <w:keepLines w:val="0"/>
              <w:widowControl/>
              <w:suppressLineNumbers w:val="0"/>
              <w:jc w:val="left"/>
              <w:textAlignment w:val="center"/>
              <w:rPr>
                <w:rStyle w:val="295"/>
                <w:rFonts w:hint="eastAsia" w:ascii="宋体" w:hAnsi="宋体" w:eastAsia="宋体" w:cs="宋体"/>
                <w:strike w:val="0"/>
                <w:dstrike w:val="0"/>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5.Wi-Fi:</w:t>
            </w:r>
            <w:r>
              <w:rPr>
                <w:rStyle w:val="295"/>
                <w:rFonts w:hint="eastAsia" w:ascii="宋体" w:hAnsi="宋体" w:eastAsia="宋体" w:cs="宋体"/>
                <w:strike w:val="0"/>
                <w:dstrike w:val="0"/>
                <w:color w:val="auto"/>
                <w:sz w:val="21"/>
                <w:szCs w:val="21"/>
                <w:highlight w:val="none"/>
                <w:lang w:val="en-US" w:eastAsia="zh-CN" w:bidi="ar"/>
              </w:rPr>
              <w:t>支持</w:t>
            </w:r>
          </w:p>
          <w:p w14:paraId="2B323731">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6.蓝牙:  4.0</w:t>
            </w:r>
          </w:p>
          <w:p w14:paraId="6105C736">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7.板载元件:</w:t>
            </w:r>
          </w:p>
          <w:p w14:paraId="5CEFC9A2">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 xml:space="preserve">    实体按键：Home按键，A/B按键</w:t>
            </w:r>
          </w:p>
          <w:p w14:paraId="6CCAFFBC">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 xml:space="preserve">    屏幕：不小于2.8寸240*320 TFT彩屏</w:t>
            </w:r>
          </w:p>
          <w:p w14:paraId="597A7315">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 xml:space="preserve">    麦克风传感器</w:t>
            </w:r>
          </w:p>
          <w:p w14:paraId="1BE10DAE">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 xml:space="preserve">    光线传感器</w:t>
            </w:r>
          </w:p>
          <w:p w14:paraId="43591F1F">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 xml:space="preserve">    加速度传感器</w:t>
            </w:r>
          </w:p>
          <w:p w14:paraId="3E7F9FAA">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 xml:space="preserve">    蜂鸣器</w:t>
            </w:r>
          </w:p>
          <w:p w14:paraId="7A7CF367">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8.接口:</w:t>
            </w:r>
          </w:p>
          <w:p w14:paraId="28638EE4">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 xml:space="preserve">    USB  Type-C *1</w:t>
            </w:r>
          </w:p>
          <w:p w14:paraId="014CA7AD">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 xml:space="preserve">    USB  TYPE-A *1(可外接USB设备，如摄像头等)</w:t>
            </w:r>
          </w:p>
          <w:p w14:paraId="0AF75499">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 xml:space="preserve">    microSD卡接口 *1</w:t>
            </w:r>
          </w:p>
          <w:p w14:paraId="46C04028">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 xml:space="preserve">    3Pin I/O *4  (其中支持3路PWM 2路ADC)</w:t>
            </w:r>
          </w:p>
          <w:p w14:paraId="57AD5DAA">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 xml:space="preserve">    4Pin I2C *2</w:t>
            </w:r>
          </w:p>
          <w:p w14:paraId="30BF11C5">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 xml:space="preserve">    金手指: ≥19路无冲突I/O（支持I2C、UART、SPI、ADC、PWM）</w:t>
            </w:r>
          </w:p>
          <w:p w14:paraId="4D1F58AA">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9.供电: Type-C 5V供电</w:t>
            </w:r>
          </w:p>
          <w:p w14:paraId="697C8D38">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10.工作电压： 3.3V</w:t>
            </w:r>
          </w:p>
          <w:p w14:paraId="44E522D3">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11.最大工作电流: 2000mA</w:t>
            </w:r>
          </w:p>
          <w:p w14:paraId="3045EE24">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【语音识别模块】</w:t>
            </w:r>
          </w:p>
          <w:p w14:paraId="3175FDBA">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无需联网即可实现语音识别功能；内置150条常用命令词条，且具有新增命令词自学习功能，共支持17条自学习命令词。采用双麦克风收音使模块有更好的抗噪音能力和更远的识别距离；板载一个喇叭和外接喇叭的接口，能实时语音反馈识别结果，同时支持I2C和UART两种通讯方式，兼容常规主流触控板。</w:t>
            </w:r>
          </w:p>
          <w:p w14:paraId="2557ED33">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技术参数：</w:t>
            </w:r>
          </w:p>
          <w:p w14:paraId="7BD1350F">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1.工作电压：3.3~5V</w:t>
            </w:r>
          </w:p>
          <w:p w14:paraId="73755ACF">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2.工作电流：25 ~ 40 mA</w:t>
            </w:r>
          </w:p>
          <w:p w14:paraId="23AD5312">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3.通信方式：I2C/UART</w:t>
            </w:r>
          </w:p>
          <w:p w14:paraId="34CDABDF">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4.板载麦克风灵敏度：-28db</w:t>
            </w:r>
          </w:p>
          <w:p w14:paraId="61EA2837">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5.模块尺寸：≥45* 30mm</w:t>
            </w:r>
          </w:p>
          <w:p w14:paraId="670BC942">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【继电器】</w:t>
            </w:r>
          </w:p>
          <w:p w14:paraId="77643877">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使用高品质欧姆龙透明外壳的继电器模块，可清晰观察到继电器内部的触点工作状态；开关量控制，使用简单，采用防反插接口，无需繁琐的接线和焊接，只需数字信号即可控制继电器的吸合与释放；继电器触点采用银镍合金材质，对电感性的负载有优良的支持，触点寿命更加长久。可应用于自动浇花、物联网控制等项目；</w:t>
            </w:r>
          </w:p>
          <w:p w14:paraId="211D4352">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技术参数：</w:t>
            </w:r>
          </w:p>
          <w:p w14:paraId="019DE288">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1.信号接口：PH2.0-3P</w:t>
            </w:r>
          </w:p>
          <w:p w14:paraId="73FE0BBA">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2.控制信号：数字信号（高电平吸合，低电平释放）</w:t>
            </w:r>
          </w:p>
          <w:p w14:paraId="5F2EE715">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3.信号电平：3.3V、5V</w:t>
            </w:r>
          </w:p>
          <w:p w14:paraId="4120496F">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 xml:space="preserve">4.供电电压：DC 3.3V~5V </w:t>
            </w:r>
          </w:p>
          <w:p w14:paraId="6183E5DC">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5.VIN：输入电压端口（小于DC 30V）</w:t>
            </w:r>
          </w:p>
          <w:p w14:paraId="013F2BD8">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6.VOUT：输出电压端口</w:t>
            </w:r>
          </w:p>
          <w:p w14:paraId="1E093E2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295"/>
                <w:rFonts w:hint="eastAsia" w:ascii="宋体" w:hAnsi="宋体" w:eastAsia="宋体" w:cs="宋体"/>
                <w:color w:val="auto"/>
                <w:sz w:val="21"/>
                <w:szCs w:val="21"/>
                <w:highlight w:val="none"/>
                <w:lang w:val="en-US" w:eastAsia="zh-CN" w:bidi="ar"/>
              </w:rPr>
              <w:t>7.信号输入、输出接口：DC 2.1电源插座</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92A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D6D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0C877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4B3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708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初中信息科技基础教学实践项目手册</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1C85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【课程介绍】</w:t>
            </w:r>
          </w:p>
          <w:p w14:paraId="3ACE18A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本课程是信息科技初中基础教学套件的配套课程。课程采用 Python 图形化编程，提供有校园气象站、智慧农业温室等案例，共计 16 课时（每课时不少于45分钟）。</w:t>
            </w:r>
          </w:p>
          <w:p w14:paraId="64BFD36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课程提供 4 个课程单元，4 个课程单元的项目均来源于新课标跨学科案例，帮助老师落实跨学科教学。</w:t>
            </w:r>
          </w:p>
          <w:p w14:paraId="03A7BAF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课程提供 16 个趣味项目，满足老师将开源硬件结合课标和教材知识点，教授物联网、互联网和人工智能知识。</w:t>
            </w:r>
          </w:p>
          <w:p w14:paraId="3CAC5BC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课程配有丰富的教学资源，每个项目的纸质书籍包括 学生活动手册书 x1、项目实操手册书 x1，电子资源包括 教师教案用书 x1、教师教学PPT x1，满足老师快速开展信息技术课程。</w:t>
            </w:r>
          </w:p>
          <w:p w14:paraId="2D06EF3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课程具备以下特点：采用Python图形化编程，降低使用门槛；通过传感器采集数据，实现数据可视化分析；主控板一键运行SIoT，轻松搭建物联网系统；体验机器学习算法，感受人工智能应用。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9B4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71D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14:paraId="5E8BC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5BE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1F3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信息技术高中基础教学套件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FDB9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【套件介绍】</w:t>
            </w:r>
          </w:p>
          <w:p w14:paraId="11FD373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信息技术高中基础教学套件是一款适用于高中阶段的套件，结合必修 2 教材中“信息系统”的教学案例，带领学生掌握信息系统的组成与工作原理。</w:t>
            </w:r>
          </w:p>
          <w:p w14:paraId="67AEF5F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套件配有主控板等十几种开源硬件模块，采用 Python 代码组建小型无线网络，实现数据的采集、输入、存储、处理、传输和输出的过程。传感部分包括气压探测、超声波距离探测、土壤湿度探测、电流、电压、功率检测、语音识别、空气温湿度探测、光线感应、NFC识别、二维码识别等。控制部分包括舵机控制、水泵控、 灯环控制、小音箱控制等。</w:t>
            </w:r>
          </w:p>
          <w:p w14:paraId="7BF4F1E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【套件课程】</w:t>
            </w:r>
          </w:p>
          <w:p w14:paraId="49B3126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配套课程采用Python代码编程语言，项目选自普通高中信息技术必修2教材，包括智能停车系统、智能家居等，共计 18 课时（每课时不少于45分钟），带领学生认识信息系统的组成与功能，体验信息系统的工作过程。运用常见的传感与控制模块，组建小型无线网络，稳定实现信息系统知识教学。</w:t>
            </w:r>
          </w:p>
          <w:p w14:paraId="58C32E7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课程提供 4 个课程单元，4 个课程单元的项目均来源于信息技术新教材，每个单元围绕一个精选自教材的项目展开，帮助老师落实教材项目教学。</w:t>
            </w:r>
          </w:p>
          <w:p w14:paraId="34DC464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课程提供 18 个趣味项目，课程项目全部采用Python代码编程，满足高中课标要求，帮助老师将开源硬件结合课标和教材知识点，教授信息系统知识。</w:t>
            </w:r>
          </w:p>
          <w:p w14:paraId="2F60FBB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有针对性的教师教案和学生实操用书，帮助老师快速落地信息系统教学，帮助学生实现主题项目。</w:t>
            </w:r>
          </w:p>
          <w:p w14:paraId="6E1BD0C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课程具备以下特点：采用Pyhton代码编程，学习Python知识；主控板自带Wi-Fi热点，快速组建小型无线网络；使用Web框架和数据库，设计可视化交互界面；借助软硬件工具，搭建完整信息系统。</w:t>
            </w:r>
          </w:p>
          <w:p w14:paraId="0398F10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【套件器材】</w:t>
            </w:r>
          </w:p>
          <w:p w14:paraId="41FDB759">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w:t>
            </w:r>
            <w:r>
              <w:rPr>
                <w:rStyle w:val="295"/>
                <w:rFonts w:hint="eastAsia" w:ascii="宋体" w:hAnsi="宋体" w:eastAsia="宋体" w:cs="宋体"/>
                <w:color w:val="auto"/>
                <w:sz w:val="21"/>
                <w:szCs w:val="21"/>
                <w:highlight w:val="none"/>
                <w:lang w:val="en-US" w:eastAsia="zh-CN" w:bidi="ar"/>
              </w:rPr>
              <w:t>主控板：主控板x1</w:t>
            </w:r>
          </w:p>
          <w:p w14:paraId="0AAC0D00">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 xml:space="preserve"> 传感器：USB摄像头x1、温湿度传感器 x1、气压温度传感器 x1、超声波传感器 x1、土壤湿度传感器 x1、光线传感器 x1、语音识别模块 x1、数字功率计 x1</w:t>
            </w:r>
          </w:p>
          <w:p w14:paraId="2DCBBBF6">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 xml:space="preserve"> 通信模块：NFC通讯模块 x1、NFC标签纸 x2、NFC标签圆形挂件 x2</w:t>
            </w:r>
          </w:p>
          <w:p w14:paraId="405E57D2">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 xml:space="preserve"> 执行器：RGB16灯珠灯环 x1、舵机 x1、水泵 x1、继电器 x1、USB小音箱 x1、</w:t>
            </w:r>
          </w:p>
          <w:p w14:paraId="786B3910">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 xml:space="preserve"> 其他配件：电池盒 x1、3P白色硅胶线 x8、4P白色硅胶线 x4、type-c安卓两用USB线 x1</w:t>
            </w:r>
          </w:p>
          <w:p w14:paraId="758C441F">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【编程软件】</w:t>
            </w:r>
          </w:p>
          <w:p w14:paraId="63E52C6B">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编程软件：pyhton Mind+</w:t>
            </w:r>
          </w:p>
          <w:p w14:paraId="08ABE07C">
            <w:pPr>
              <w:keepNext w:val="0"/>
              <w:keepLines w:val="0"/>
              <w:widowControl/>
              <w:suppressLineNumbers w:val="0"/>
              <w:jc w:val="left"/>
              <w:textAlignment w:val="center"/>
              <w:rPr>
                <w:rStyle w:val="295"/>
                <w:rFonts w:hint="eastAsia" w:ascii="宋体" w:hAnsi="宋体" w:eastAsia="宋体" w:cs="宋体"/>
                <w:strike w:val="0"/>
                <w:dstrike w:val="0"/>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拥有自主知识产权的国产教学用开源硬件，采用单板计算机架构（4核CPU、板载内存和硬盘）能够运行完整Python而不是MicroPython，集成LCD彩屏、WiFi蓝牙、多种常用传感器和丰富的拓展接口方便教学。同时，其自带Linux操作系统和python环境，支持多种编程方式（Mind+编程、Jupyter编程、Thonny编程、SSH远程访问、VScode编程）可以随时编程，让广大师生只需两步就能开始python教学。另外，还预装了常用的python库，轻松胜任各种编程相关的开发场景，如搭建物联网系统、体验人工智能应用、编写电子游戏、进行科学实验、设计声光互动、</w:t>
            </w:r>
            <w:r>
              <w:rPr>
                <w:rStyle w:val="295"/>
                <w:rFonts w:hint="eastAsia" w:ascii="宋体" w:hAnsi="宋体" w:eastAsia="宋体" w:cs="宋体"/>
                <w:strike w:val="0"/>
                <w:dstrike w:val="0"/>
                <w:color w:val="auto"/>
                <w:sz w:val="21"/>
                <w:szCs w:val="21"/>
                <w:highlight w:val="none"/>
                <w:lang w:val="en-US" w:eastAsia="zh-CN" w:bidi="ar"/>
              </w:rPr>
              <w:t>开发可穿戴设备等。</w:t>
            </w:r>
          </w:p>
          <w:p w14:paraId="5AB139DF">
            <w:pPr>
              <w:keepNext w:val="0"/>
              <w:keepLines w:val="0"/>
              <w:widowControl/>
              <w:suppressLineNumbers w:val="0"/>
              <w:jc w:val="left"/>
              <w:textAlignment w:val="center"/>
              <w:rPr>
                <w:rStyle w:val="295"/>
                <w:rFonts w:hint="eastAsia" w:ascii="宋体" w:hAnsi="宋体" w:eastAsia="宋体" w:cs="宋体"/>
                <w:strike w:val="0"/>
                <w:dstrike w:val="0"/>
                <w:color w:val="auto"/>
                <w:sz w:val="21"/>
                <w:szCs w:val="21"/>
                <w:highlight w:val="none"/>
                <w:lang w:val="en-US" w:eastAsia="zh-CN" w:bidi="ar"/>
              </w:rPr>
            </w:pPr>
            <w:r>
              <w:rPr>
                <w:rStyle w:val="295"/>
                <w:rFonts w:hint="eastAsia" w:ascii="宋体" w:hAnsi="宋体" w:eastAsia="宋体" w:cs="宋体"/>
                <w:strike w:val="0"/>
                <w:dstrike w:val="0"/>
                <w:color w:val="auto"/>
                <w:sz w:val="21"/>
                <w:szCs w:val="21"/>
                <w:highlight w:val="none"/>
                <w:lang w:val="en-US" w:eastAsia="zh-CN" w:bidi="ar"/>
              </w:rPr>
              <w:t>技术规格</w:t>
            </w:r>
          </w:p>
          <w:p w14:paraId="647D78C9">
            <w:pPr>
              <w:keepNext w:val="0"/>
              <w:keepLines w:val="0"/>
              <w:widowControl/>
              <w:suppressLineNumbers w:val="0"/>
              <w:jc w:val="left"/>
              <w:textAlignment w:val="center"/>
              <w:rPr>
                <w:rStyle w:val="295"/>
                <w:rFonts w:hint="eastAsia" w:ascii="宋体" w:hAnsi="宋体" w:eastAsia="宋体" w:cs="宋体"/>
                <w:strike w:val="0"/>
                <w:dstrike w:val="0"/>
                <w:color w:val="auto"/>
                <w:sz w:val="21"/>
                <w:szCs w:val="21"/>
                <w:highlight w:val="none"/>
                <w:lang w:val="en-US" w:eastAsia="zh-CN" w:bidi="ar"/>
              </w:rPr>
            </w:pPr>
            <w:r>
              <w:rPr>
                <w:rStyle w:val="295"/>
                <w:rFonts w:hint="eastAsia" w:ascii="宋体" w:hAnsi="宋体" w:eastAsia="宋体" w:cs="宋体"/>
                <w:strike w:val="0"/>
                <w:dstrike w:val="0"/>
                <w:color w:val="auto"/>
                <w:sz w:val="21"/>
                <w:szCs w:val="21"/>
                <w:highlight w:val="none"/>
                <w:lang w:val="en-US" w:eastAsia="zh-CN" w:bidi="ar"/>
              </w:rPr>
              <w:t>1.CPU: 国产 4核 1.2GHz</w:t>
            </w:r>
          </w:p>
          <w:p w14:paraId="63A87978">
            <w:pPr>
              <w:keepNext w:val="0"/>
              <w:keepLines w:val="0"/>
              <w:widowControl/>
              <w:suppressLineNumbers w:val="0"/>
              <w:jc w:val="left"/>
              <w:textAlignment w:val="center"/>
              <w:rPr>
                <w:rStyle w:val="295"/>
                <w:rFonts w:hint="eastAsia" w:ascii="宋体" w:hAnsi="宋体" w:eastAsia="宋体" w:cs="宋体"/>
                <w:strike w:val="0"/>
                <w:dstrike w:val="0"/>
                <w:color w:val="auto"/>
                <w:sz w:val="21"/>
                <w:szCs w:val="21"/>
                <w:highlight w:val="none"/>
                <w:lang w:val="en-US" w:eastAsia="zh-CN" w:bidi="ar"/>
              </w:rPr>
            </w:pPr>
            <w:r>
              <w:rPr>
                <w:rStyle w:val="295"/>
                <w:rFonts w:hint="eastAsia" w:ascii="宋体" w:hAnsi="宋体" w:eastAsia="宋体" w:cs="宋体"/>
                <w:strike w:val="0"/>
                <w:dstrike w:val="0"/>
                <w:color w:val="auto"/>
                <w:sz w:val="21"/>
                <w:szCs w:val="21"/>
                <w:highlight w:val="none"/>
                <w:lang w:val="en-US" w:eastAsia="zh-CN" w:bidi="ar"/>
              </w:rPr>
              <w:t>2.内存: 512MB DDR3</w:t>
            </w:r>
          </w:p>
          <w:p w14:paraId="7A228F74">
            <w:pPr>
              <w:keepNext w:val="0"/>
              <w:keepLines w:val="0"/>
              <w:widowControl/>
              <w:suppressLineNumbers w:val="0"/>
              <w:jc w:val="left"/>
              <w:textAlignment w:val="center"/>
              <w:rPr>
                <w:rStyle w:val="295"/>
                <w:rFonts w:hint="eastAsia" w:ascii="宋体" w:hAnsi="宋体" w:eastAsia="宋体" w:cs="宋体"/>
                <w:strike w:val="0"/>
                <w:dstrike w:val="0"/>
                <w:color w:val="auto"/>
                <w:sz w:val="21"/>
                <w:szCs w:val="21"/>
                <w:highlight w:val="none"/>
                <w:lang w:val="en-US" w:eastAsia="zh-CN" w:bidi="ar"/>
              </w:rPr>
            </w:pPr>
            <w:r>
              <w:rPr>
                <w:rStyle w:val="295"/>
                <w:rFonts w:hint="eastAsia" w:ascii="宋体" w:hAnsi="宋体" w:eastAsia="宋体" w:cs="宋体"/>
                <w:strike w:val="0"/>
                <w:dstrike w:val="0"/>
                <w:color w:val="auto"/>
                <w:sz w:val="21"/>
                <w:szCs w:val="21"/>
                <w:highlight w:val="none"/>
                <w:lang w:val="en-US" w:eastAsia="zh-CN" w:bidi="ar"/>
              </w:rPr>
              <w:t xml:space="preserve">3.硬盘: 16GB </w:t>
            </w:r>
          </w:p>
          <w:p w14:paraId="3321D45A">
            <w:pPr>
              <w:keepNext w:val="0"/>
              <w:keepLines w:val="0"/>
              <w:widowControl/>
              <w:suppressLineNumbers w:val="0"/>
              <w:jc w:val="left"/>
              <w:textAlignment w:val="center"/>
              <w:rPr>
                <w:rStyle w:val="295"/>
                <w:rFonts w:hint="eastAsia" w:ascii="宋体" w:hAnsi="宋体" w:eastAsia="宋体" w:cs="宋体"/>
                <w:strike w:val="0"/>
                <w:dstrike w:val="0"/>
                <w:color w:val="auto"/>
                <w:sz w:val="21"/>
                <w:szCs w:val="21"/>
                <w:highlight w:val="none"/>
                <w:lang w:val="en-US" w:eastAsia="zh-CN" w:bidi="ar"/>
              </w:rPr>
            </w:pPr>
            <w:r>
              <w:rPr>
                <w:rStyle w:val="295"/>
                <w:rFonts w:hint="eastAsia" w:ascii="宋体" w:hAnsi="宋体" w:eastAsia="宋体" w:cs="宋体"/>
                <w:strike w:val="0"/>
                <w:dstrike w:val="0"/>
                <w:color w:val="auto"/>
                <w:sz w:val="21"/>
                <w:szCs w:val="21"/>
                <w:highlight w:val="none"/>
                <w:lang w:val="en-US" w:eastAsia="zh-CN" w:bidi="ar"/>
              </w:rPr>
              <w:t>4.内置操作系统：Debian</w:t>
            </w:r>
          </w:p>
          <w:p w14:paraId="0ED8991B">
            <w:pPr>
              <w:keepNext w:val="0"/>
              <w:keepLines w:val="0"/>
              <w:widowControl/>
              <w:suppressLineNumbers w:val="0"/>
              <w:jc w:val="left"/>
              <w:textAlignment w:val="center"/>
              <w:rPr>
                <w:rStyle w:val="295"/>
                <w:rFonts w:hint="eastAsia" w:ascii="宋体" w:hAnsi="宋体" w:eastAsia="宋体" w:cs="宋体"/>
                <w:strike w:val="0"/>
                <w:dstrike w:val="0"/>
                <w:color w:val="auto"/>
                <w:sz w:val="21"/>
                <w:szCs w:val="21"/>
                <w:highlight w:val="none"/>
                <w:lang w:val="en-US" w:eastAsia="zh-CN" w:bidi="ar"/>
              </w:rPr>
            </w:pPr>
            <w:r>
              <w:rPr>
                <w:rStyle w:val="295"/>
                <w:rFonts w:hint="eastAsia" w:ascii="宋体" w:hAnsi="宋体" w:eastAsia="宋体" w:cs="宋体"/>
                <w:strike w:val="0"/>
                <w:dstrike w:val="0"/>
                <w:color w:val="auto"/>
                <w:sz w:val="21"/>
                <w:szCs w:val="21"/>
                <w:highlight w:val="none"/>
                <w:lang w:val="en-US" w:eastAsia="zh-CN" w:bidi="ar"/>
              </w:rPr>
              <w:t>5.Wi-Fi: 支持</w:t>
            </w:r>
          </w:p>
          <w:p w14:paraId="72D3CF00">
            <w:pPr>
              <w:keepNext w:val="0"/>
              <w:keepLines w:val="0"/>
              <w:widowControl/>
              <w:suppressLineNumbers w:val="0"/>
              <w:jc w:val="left"/>
              <w:textAlignment w:val="center"/>
              <w:rPr>
                <w:rStyle w:val="295"/>
                <w:rFonts w:hint="eastAsia" w:ascii="宋体" w:hAnsi="宋体" w:eastAsia="宋体" w:cs="宋体"/>
                <w:strike w:val="0"/>
                <w:dstrike w:val="0"/>
                <w:color w:val="auto"/>
                <w:sz w:val="21"/>
                <w:szCs w:val="21"/>
                <w:highlight w:val="none"/>
                <w:lang w:val="en-US" w:eastAsia="zh-CN" w:bidi="ar"/>
              </w:rPr>
            </w:pPr>
            <w:r>
              <w:rPr>
                <w:rStyle w:val="295"/>
                <w:rFonts w:hint="eastAsia" w:ascii="宋体" w:hAnsi="宋体" w:eastAsia="宋体" w:cs="宋体"/>
                <w:strike w:val="0"/>
                <w:dstrike w:val="0"/>
                <w:color w:val="auto"/>
                <w:sz w:val="21"/>
                <w:szCs w:val="21"/>
                <w:highlight w:val="none"/>
                <w:lang w:val="en-US" w:eastAsia="zh-CN" w:bidi="ar"/>
              </w:rPr>
              <w:t>6.蓝牙:  4.0</w:t>
            </w:r>
          </w:p>
          <w:p w14:paraId="70EDC618">
            <w:pPr>
              <w:keepNext w:val="0"/>
              <w:keepLines w:val="0"/>
              <w:widowControl/>
              <w:suppressLineNumbers w:val="0"/>
              <w:jc w:val="left"/>
              <w:textAlignment w:val="center"/>
              <w:rPr>
                <w:rStyle w:val="295"/>
                <w:rFonts w:hint="eastAsia" w:ascii="宋体" w:hAnsi="宋体" w:eastAsia="宋体" w:cs="宋体"/>
                <w:strike w:val="0"/>
                <w:dstrike w:val="0"/>
                <w:color w:val="auto"/>
                <w:sz w:val="21"/>
                <w:szCs w:val="21"/>
                <w:highlight w:val="none"/>
                <w:lang w:val="en-US" w:eastAsia="zh-CN" w:bidi="ar"/>
              </w:rPr>
            </w:pPr>
            <w:r>
              <w:rPr>
                <w:rStyle w:val="295"/>
                <w:rFonts w:hint="eastAsia" w:ascii="宋体" w:hAnsi="宋体" w:eastAsia="宋体" w:cs="宋体"/>
                <w:strike w:val="0"/>
                <w:dstrike w:val="0"/>
                <w:color w:val="auto"/>
                <w:sz w:val="21"/>
                <w:szCs w:val="21"/>
                <w:highlight w:val="none"/>
                <w:lang w:val="en-US" w:eastAsia="zh-CN" w:bidi="ar"/>
              </w:rPr>
              <w:t>7.板载元件:</w:t>
            </w:r>
          </w:p>
          <w:p w14:paraId="404B9618">
            <w:pPr>
              <w:keepNext w:val="0"/>
              <w:keepLines w:val="0"/>
              <w:widowControl/>
              <w:suppressLineNumbers w:val="0"/>
              <w:jc w:val="left"/>
              <w:textAlignment w:val="center"/>
              <w:rPr>
                <w:rStyle w:val="295"/>
                <w:rFonts w:hint="eastAsia" w:ascii="宋体" w:hAnsi="宋体" w:eastAsia="宋体" w:cs="宋体"/>
                <w:strike w:val="0"/>
                <w:dstrike w:val="0"/>
                <w:color w:val="auto"/>
                <w:sz w:val="21"/>
                <w:szCs w:val="21"/>
                <w:highlight w:val="none"/>
                <w:lang w:val="en-US" w:eastAsia="zh-CN" w:bidi="ar"/>
              </w:rPr>
            </w:pPr>
            <w:r>
              <w:rPr>
                <w:rStyle w:val="295"/>
                <w:rFonts w:hint="eastAsia" w:ascii="宋体" w:hAnsi="宋体" w:eastAsia="宋体" w:cs="宋体"/>
                <w:strike w:val="0"/>
                <w:dstrike w:val="0"/>
                <w:color w:val="auto"/>
                <w:sz w:val="21"/>
                <w:szCs w:val="21"/>
                <w:highlight w:val="none"/>
                <w:lang w:val="en-US" w:eastAsia="zh-CN" w:bidi="ar"/>
              </w:rPr>
              <w:t xml:space="preserve">    实体按键：Home按键，A/B按键</w:t>
            </w:r>
          </w:p>
          <w:p w14:paraId="0B24201B">
            <w:pPr>
              <w:keepNext w:val="0"/>
              <w:keepLines w:val="0"/>
              <w:widowControl/>
              <w:suppressLineNumbers w:val="0"/>
              <w:jc w:val="left"/>
              <w:textAlignment w:val="center"/>
              <w:rPr>
                <w:rStyle w:val="295"/>
                <w:rFonts w:hint="eastAsia" w:ascii="宋体" w:hAnsi="宋体" w:eastAsia="宋体" w:cs="宋体"/>
                <w:strike w:val="0"/>
                <w:dstrike w:val="0"/>
                <w:color w:val="auto"/>
                <w:sz w:val="21"/>
                <w:szCs w:val="21"/>
                <w:highlight w:val="none"/>
                <w:lang w:val="en-US" w:eastAsia="zh-CN" w:bidi="ar"/>
              </w:rPr>
            </w:pPr>
            <w:r>
              <w:rPr>
                <w:rStyle w:val="295"/>
                <w:rFonts w:hint="eastAsia" w:ascii="宋体" w:hAnsi="宋体" w:eastAsia="宋体" w:cs="宋体"/>
                <w:strike w:val="0"/>
                <w:dstrike w:val="0"/>
                <w:color w:val="auto"/>
                <w:sz w:val="21"/>
                <w:szCs w:val="21"/>
                <w:highlight w:val="none"/>
                <w:lang w:val="en-US" w:eastAsia="zh-CN" w:bidi="ar"/>
              </w:rPr>
              <w:t xml:space="preserve">    屏幕：不小于2.8寸240*320 TFT彩屏</w:t>
            </w:r>
          </w:p>
          <w:p w14:paraId="33BEC38F">
            <w:pPr>
              <w:keepNext w:val="0"/>
              <w:keepLines w:val="0"/>
              <w:widowControl/>
              <w:suppressLineNumbers w:val="0"/>
              <w:jc w:val="left"/>
              <w:textAlignment w:val="center"/>
              <w:rPr>
                <w:rStyle w:val="295"/>
                <w:rFonts w:hint="eastAsia" w:ascii="宋体" w:hAnsi="宋体" w:eastAsia="宋体" w:cs="宋体"/>
                <w:strike w:val="0"/>
                <w:dstrike w:val="0"/>
                <w:color w:val="auto"/>
                <w:sz w:val="21"/>
                <w:szCs w:val="21"/>
                <w:highlight w:val="none"/>
                <w:lang w:val="en-US" w:eastAsia="zh-CN" w:bidi="ar"/>
              </w:rPr>
            </w:pPr>
            <w:r>
              <w:rPr>
                <w:rStyle w:val="295"/>
                <w:rFonts w:hint="eastAsia" w:ascii="宋体" w:hAnsi="宋体" w:eastAsia="宋体" w:cs="宋体"/>
                <w:strike w:val="0"/>
                <w:dstrike w:val="0"/>
                <w:color w:val="auto"/>
                <w:sz w:val="21"/>
                <w:szCs w:val="21"/>
                <w:highlight w:val="none"/>
                <w:lang w:val="en-US" w:eastAsia="zh-CN" w:bidi="ar"/>
              </w:rPr>
              <w:t xml:space="preserve">    麦克风传感器</w:t>
            </w:r>
          </w:p>
          <w:p w14:paraId="16DD35D6">
            <w:pPr>
              <w:keepNext w:val="0"/>
              <w:keepLines w:val="0"/>
              <w:widowControl/>
              <w:suppressLineNumbers w:val="0"/>
              <w:jc w:val="left"/>
              <w:textAlignment w:val="center"/>
              <w:rPr>
                <w:rStyle w:val="295"/>
                <w:rFonts w:hint="eastAsia" w:ascii="宋体" w:hAnsi="宋体" w:eastAsia="宋体" w:cs="宋体"/>
                <w:strike w:val="0"/>
                <w:dstrike w:val="0"/>
                <w:color w:val="auto"/>
                <w:sz w:val="21"/>
                <w:szCs w:val="21"/>
                <w:highlight w:val="none"/>
                <w:lang w:val="en-US" w:eastAsia="zh-CN" w:bidi="ar"/>
              </w:rPr>
            </w:pPr>
            <w:r>
              <w:rPr>
                <w:rStyle w:val="295"/>
                <w:rFonts w:hint="eastAsia" w:ascii="宋体" w:hAnsi="宋体" w:eastAsia="宋体" w:cs="宋体"/>
                <w:strike w:val="0"/>
                <w:dstrike w:val="0"/>
                <w:color w:val="auto"/>
                <w:sz w:val="21"/>
                <w:szCs w:val="21"/>
                <w:highlight w:val="none"/>
                <w:lang w:val="en-US" w:eastAsia="zh-CN" w:bidi="ar"/>
              </w:rPr>
              <w:t xml:space="preserve">    光线传感器</w:t>
            </w:r>
          </w:p>
          <w:p w14:paraId="2B447E4C">
            <w:pPr>
              <w:keepNext w:val="0"/>
              <w:keepLines w:val="0"/>
              <w:widowControl/>
              <w:suppressLineNumbers w:val="0"/>
              <w:jc w:val="left"/>
              <w:textAlignment w:val="center"/>
              <w:rPr>
                <w:rStyle w:val="295"/>
                <w:rFonts w:hint="eastAsia" w:ascii="宋体" w:hAnsi="宋体" w:eastAsia="宋体" w:cs="宋体"/>
                <w:strike w:val="0"/>
                <w:dstrike w:val="0"/>
                <w:color w:val="auto"/>
                <w:sz w:val="21"/>
                <w:szCs w:val="21"/>
                <w:highlight w:val="none"/>
                <w:lang w:val="en-US" w:eastAsia="zh-CN" w:bidi="ar"/>
              </w:rPr>
            </w:pPr>
            <w:r>
              <w:rPr>
                <w:rStyle w:val="295"/>
                <w:rFonts w:hint="eastAsia" w:ascii="宋体" w:hAnsi="宋体" w:eastAsia="宋体" w:cs="宋体"/>
                <w:strike w:val="0"/>
                <w:dstrike w:val="0"/>
                <w:color w:val="auto"/>
                <w:sz w:val="21"/>
                <w:szCs w:val="21"/>
                <w:highlight w:val="none"/>
                <w:lang w:val="en-US" w:eastAsia="zh-CN" w:bidi="ar"/>
              </w:rPr>
              <w:t xml:space="preserve">    加速度传感器</w:t>
            </w:r>
          </w:p>
          <w:p w14:paraId="22A23F33">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 xml:space="preserve">    蜂鸣器</w:t>
            </w:r>
          </w:p>
          <w:p w14:paraId="2C25BAE0">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8.接口:</w:t>
            </w:r>
          </w:p>
          <w:p w14:paraId="1E1BAAEF">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 xml:space="preserve">    USB  Type-C *1</w:t>
            </w:r>
          </w:p>
          <w:p w14:paraId="4CD9347E">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 xml:space="preserve">    USB  TYPE-A *1(可外接USB设备，如摄像头等)</w:t>
            </w:r>
          </w:p>
          <w:p w14:paraId="5EBC49FC">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 xml:space="preserve">    microSD卡接口 *1</w:t>
            </w:r>
          </w:p>
          <w:p w14:paraId="33807B43">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 xml:space="preserve">    3Pin I/O *4  (其中支持3路PWM 2路ADC)</w:t>
            </w:r>
          </w:p>
          <w:p w14:paraId="5D3FF79B">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 xml:space="preserve">    4Pin I2C *2</w:t>
            </w:r>
          </w:p>
          <w:p w14:paraId="76F75AFB">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 xml:space="preserve">    金手指: ≥19路无冲突I/O（支持I2C、UART、SPI、ADC、PWM）</w:t>
            </w:r>
          </w:p>
          <w:p w14:paraId="10838563">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9.供电: Type-C 5V供电</w:t>
            </w:r>
          </w:p>
          <w:p w14:paraId="0F369432">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10.工作电压： 3.3V</w:t>
            </w:r>
          </w:p>
          <w:p w14:paraId="677AD4FF">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11.最大工作电流: 2000mA</w:t>
            </w:r>
          </w:p>
          <w:p w14:paraId="140245BF">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【语音识别模块】</w:t>
            </w:r>
          </w:p>
          <w:p w14:paraId="04F728EE">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无需联网即可实现语音识别功能；内置150条常用命令词条，且具有新增命令词自学习功能，共支持17条自学习命令词。采用双麦克风收音使模块有更好的抗噪音能力和更远的识别距离；板载一个喇叭和外接喇叭的接口，能实时语音反馈识别结果，同时支持I2C和UART两种通讯方式，兼容常规主流触控板。</w:t>
            </w:r>
          </w:p>
          <w:p w14:paraId="000B7D28">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技术参数：</w:t>
            </w:r>
          </w:p>
          <w:p w14:paraId="654631A2">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1.工作电压：3.3~5V</w:t>
            </w:r>
          </w:p>
          <w:p w14:paraId="00C1993E">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2.工作电流：25 ~ 40 mA</w:t>
            </w:r>
          </w:p>
          <w:p w14:paraId="56BEA270">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3.通信方式：I2C/UART</w:t>
            </w:r>
          </w:p>
          <w:p w14:paraId="2EC2477F">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4.板载麦克风灵敏度：-28db</w:t>
            </w:r>
          </w:p>
          <w:p w14:paraId="53BD30AD">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5.模块尺寸：≥45* 30</w:t>
            </w:r>
            <w:r>
              <w:rPr>
                <w:rStyle w:val="296"/>
                <w:rFonts w:hint="eastAsia" w:ascii="宋体" w:hAnsi="宋体" w:eastAsia="宋体" w:cs="宋体"/>
                <w:color w:val="auto"/>
                <w:sz w:val="21"/>
                <w:szCs w:val="21"/>
                <w:highlight w:val="none"/>
                <w:lang w:val="en-US" w:eastAsia="zh-CN" w:bidi="ar"/>
              </w:rPr>
              <w:t xml:space="preserve"> </w:t>
            </w:r>
            <w:r>
              <w:rPr>
                <w:rStyle w:val="295"/>
                <w:rFonts w:hint="eastAsia" w:ascii="宋体" w:hAnsi="宋体" w:eastAsia="宋体" w:cs="宋体"/>
                <w:color w:val="auto"/>
                <w:sz w:val="21"/>
                <w:szCs w:val="21"/>
                <w:highlight w:val="none"/>
                <w:lang w:val="en-US" w:eastAsia="zh-CN" w:bidi="ar"/>
              </w:rPr>
              <w:t>mm±0.5mm</w:t>
            </w:r>
          </w:p>
          <w:p w14:paraId="3DF076D0">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【数字功率计】</w:t>
            </w:r>
          </w:p>
          <w:p w14:paraId="767DB4A7">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可测量各种传感器、执行器的工作电流、电压以及功率,支持I2C通讯方式，并配置不少于2个通道地址开关，可设置不少于4个不同的I2C地址，满足多路数据测量的需求。</w:t>
            </w:r>
          </w:p>
          <w:p w14:paraId="0508B7A8">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技术参数：</w:t>
            </w:r>
          </w:p>
          <w:p w14:paraId="0EBA8C7E">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1.支持3.3V和5V电平</w:t>
            </w:r>
          </w:p>
          <w:p w14:paraId="22FE80EA">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2.电压量程：0~26V</w:t>
            </w:r>
          </w:p>
          <w:p w14:paraId="2E9BD041">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3.电流量程：0~500mA</w:t>
            </w:r>
          </w:p>
          <w:p w14:paraId="0B2A9344">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4.同时测量电压、电流、功率</w:t>
            </w:r>
          </w:p>
          <w:p w14:paraId="34617C6A">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【继电器】</w:t>
            </w:r>
          </w:p>
          <w:p w14:paraId="651AF12E">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使用高品质欧姆龙透明外壳的继电器模块，可清晰观察到继电器内部的触点工作状态；开关量控制，使用简单，采用防反插接口，无需繁琐的接线和焊接，只需数字信号即可控制继电器的吸合与释放；继电器触点采用银镍合金材质，对电感性的负载有优良的支持，触点寿命更加长久。可应用于自动浇花、物联网控制等项目；</w:t>
            </w:r>
          </w:p>
          <w:p w14:paraId="04122A6E">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技术参数：</w:t>
            </w:r>
          </w:p>
          <w:p w14:paraId="49ACBAA2">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1.信号接口：PH2.0-3P</w:t>
            </w:r>
          </w:p>
          <w:p w14:paraId="02AD715A">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2.控制信号：数字信号（高电平吸合，低电平释放）</w:t>
            </w:r>
          </w:p>
          <w:p w14:paraId="724033D1">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3.信号电平：3.3V、5V</w:t>
            </w:r>
          </w:p>
          <w:p w14:paraId="52AC4C3E">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 xml:space="preserve">4.供电电压：DC 3.3V~5V </w:t>
            </w:r>
          </w:p>
          <w:p w14:paraId="30BD231F">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5.VIN：输入电压端口（小于DC 30V）</w:t>
            </w:r>
          </w:p>
          <w:p w14:paraId="67E1550A">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6.VOUT：输出电压端口</w:t>
            </w:r>
          </w:p>
          <w:p w14:paraId="41F67A2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295"/>
                <w:rFonts w:hint="eastAsia" w:ascii="宋体" w:hAnsi="宋体" w:eastAsia="宋体" w:cs="宋体"/>
                <w:color w:val="auto"/>
                <w:sz w:val="21"/>
                <w:szCs w:val="21"/>
                <w:highlight w:val="none"/>
                <w:lang w:val="en-US" w:eastAsia="zh-CN" w:bidi="ar"/>
              </w:rPr>
              <w:t>7.信号输入、输出接口：DC 2.1电源插座</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E1F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767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29051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DA5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990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高中信息科技基础教学实践项目手册</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5B28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【课程介绍】</w:t>
            </w:r>
          </w:p>
          <w:p w14:paraId="28236BF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本课程是信息技术高中基础教学套件的配套课程。课程采用Python代码编程语言，项目选自普通高中信息技术必修2教材，包括智能停车系统、智能家居等，共计 18 课时（每课时不少于45分钟），带领学生认识信息系统的组成与功能，体验信息系统的工作过程。运用常见的传感与控制模块，组建小型无线网络，稳定实现信息系统知识教学。</w:t>
            </w:r>
          </w:p>
          <w:p w14:paraId="30D8661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课程提供 4 个课程单元，4 个课程单元的项目均来源于信息技术新教材，每个单元围绕一个精选自教材的项目展开，帮助老师落实教材项目教学。</w:t>
            </w:r>
          </w:p>
          <w:p w14:paraId="14DCED9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课程提供 18 个趣味项目，课程项目全部采用Python代码编程，满足高中课标要求，帮助老师将开源硬件结合课标和教材知识点，教授信息系统知识。</w:t>
            </w:r>
          </w:p>
          <w:p w14:paraId="616458A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有针对性的教师教案和学生实操用书，帮助老师快速落地信息系统教学，帮助学生实现主题项目。</w:t>
            </w:r>
          </w:p>
          <w:p w14:paraId="0581F1D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课程具备以下特点：采用Pyhton代码编程，学习Python知识；主控板自带Wi-Fi热点，快速组建小型无线网络；使用Web框架和数据库，设计可视化交互界面；借助软硬件工具，搭建完整信息系统。</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A2D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8D1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14:paraId="6A70B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BA6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238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创意设计编程套件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E2C7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处理器：搭载基于 ESP32微处理器（MCU）。</w:t>
            </w:r>
          </w:p>
          <w:p w14:paraId="42FBC26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输入电压：Type-C 接口输入电压为 5V，电池输入电压为 3.7V-12.6V。</w:t>
            </w:r>
          </w:p>
          <w:p w14:paraId="537AC33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接口：具备邮票口用于焊接自定义电路，有 Type-C 接口用于连接 PC 编程和烧录程序，还有排针用于连接扩展板。</w:t>
            </w:r>
          </w:p>
          <w:p w14:paraId="58969E7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指示灯：开机但未连接时绿灯常亮；蓝牙已连接时蓝灯常亮；主从机 2.4G 连接时黄色常亮；蓝牙与主从机 2.4G 均连接时蓝黄交替闪烁；发送与更新配置时绿灯闪烁，频率 2Hz 持续至传输结束；识别灯效为绿灯闪烁，频率 1Hz，持续 5s；固件升级错误时红灯常亮；固件升级中白灯快速闪烁。</w:t>
            </w:r>
          </w:p>
          <w:p w14:paraId="1F2D743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发射终端</w:t>
            </w:r>
          </w:p>
          <w:p w14:paraId="599FA8E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输入电压：4.5V-12.6V。</w:t>
            </w:r>
          </w:p>
          <w:p w14:paraId="5717780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作电流：65mA。</w:t>
            </w:r>
          </w:p>
          <w:p w14:paraId="7EADBBA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通道：左右分别有 不少于3 个模拟量输入通道，下方有 不少于4 个开关输入通道，共 6 个模拟量通道和 4 个数字量通道。</w:t>
            </w:r>
          </w:p>
          <w:p w14:paraId="4237A8F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电源接口：可连接 4.5V-12.6V 锂电或干电池盒子。</w:t>
            </w:r>
          </w:p>
          <w:p w14:paraId="5BB5592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接收终端</w:t>
            </w:r>
          </w:p>
          <w:p w14:paraId="3675DD8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输入电压：7.4V-12.6V。</w:t>
            </w:r>
          </w:p>
          <w:p w14:paraId="566E456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最大工作电流：3A。</w:t>
            </w:r>
          </w:p>
          <w:p w14:paraId="04623E4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通道：左右分别有 1 个直流电机接口，中央有 不少于4 个舵机接口，还有 不少于2 个 LED 灯接口。</w:t>
            </w:r>
          </w:p>
          <w:p w14:paraId="17449BD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可连接 7.4V-12.6V 锂电或干电池盒。</w:t>
            </w:r>
          </w:p>
          <w:p w14:paraId="7C1B34E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电机配置：</w:t>
            </w:r>
          </w:p>
          <w:p w14:paraId="09BDF6F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直流有刷电机 ：小尺寸有刷电机，可搭配不同减速比的减速齿轮包，适用于模型底盘驱动等场景。</w:t>
            </w:r>
          </w:p>
          <w:p w14:paraId="4CC8758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直流减速电机：有刷电机，有 150RPM、400RPM、1000RPM 等多种转速型号。</w:t>
            </w:r>
          </w:p>
          <w:p w14:paraId="72D4A4A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控制模块：</w:t>
            </w:r>
          </w:p>
          <w:p w14:paraId="02A0BAA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单通道摇杆 ：单通道模拟量输入模组，无操作时自动回中。</w:t>
            </w:r>
          </w:p>
          <w:p w14:paraId="4583B39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双通道摇杆 ：双通道模拟量输入模组，无操作时自动回中。</w:t>
            </w:r>
          </w:p>
          <w:p w14:paraId="0379D72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三档开关 ：单通道模拟量输入模组，有三段位置，适合作为状态开关。</w:t>
            </w:r>
          </w:p>
          <w:p w14:paraId="26CF4A7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LED 灯珠 ：RGBW 灯珠，可发出多种颜色的光。</w:t>
            </w:r>
          </w:p>
          <w:p w14:paraId="0909188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工具包</w:t>
            </w:r>
          </w:p>
          <w:p w14:paraId="233FAB0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包含减速齿轮套件</w:t>
            </w:r>
          </w:p>
          <w:p w14:paraId="7C371CF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电池包</w:t>
            </w:r>
          </w:p>
          <w:p w14:paraId="699379A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数据线</w:t>
            </w:r>
          </w:p>
          <w:p w14:paraId="7950B7D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舵机套件</w:t>
            </w:r>
          </w:p>
          <w:p w14:paraId="0C37F02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电池盒</w:t>
            </w:r>
          </w:p>
          <w:p w14:paraId="1B7D149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轮胎套装</w:t>
            </w:r>
          </w:p>
          <w:p w14:paraId="6E57946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多用途线材</w:t>
            </w:r>
          </w:p>
          <w:p w14:paraId="2487D09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点动开关</w:t>
            </w:r>
          </w:p>
          <w:p w14:paraId="095A789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拨动开关</w:t>
            </w:r>
          </w:p>
          <w:p w14:paraId="2800ED5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通用耗材包（木板、亚克力、纸板等）</w:t>
            </w:r>
          </w:p>
          <w:p w14:paraId="28467F6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配套资源</w:t>
            </w:r>
          </w:p>
          <w:p w14:paraId="7737D33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不少于300套配套图纸，配套详细课程及安装调试教程</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72A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3C1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0C549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61E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E9F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创意设计软件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5D0A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创意设计切片软件是专门针对3D打印机自主研发的国产三维设计软件。</w:t>
            </w:r>
          </w:p>
          <w:p w14:paraId="58FDEE2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软件功能（提供1-4项软件功能运行截图）</w:t>
            </w:r>
          </w:p>
          <w:p w14:paraId="3ADE27B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1.stl模型编辑：可以实现STL模型和实体模型、STL模型和STL模型之间的布尔运算，并生成新的STL模型。（提供软件运行截图）</w:t>
            </w:r>
          </w:p>
          <w:p w14:paraId="65FC1BE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2.积木/Python编程建模：在同一软件内可以直接用积木编程和Python编程进行建模，并且两类编程内容可以时时互换。（提供软件运行截图）</w:t>
            </w:r>
          </w:p>
          <w:p w14:paraId="62F92D3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3.矢量图生成：可以直接将*.jpg、*.png、*.gif、*.bmp、*.tif等格式的图片自动转换成二维草图。（提供软件运行截图）</w:t>
            </w:r>
          </w:p>
          <w:p w14:paraId="060140F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4.3D打印：具备切片功能，可输出打印文件;内置不少于7家国内外3D打印设备厂商切片软件接口，可以一键导入切片软件中，无需格式转换。（提供软件运行截图）</w:t>
            </w:r>
          </w:p>
          <w:p w14:paraId="2D884B2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5.资源与管理：软件和网络资源社区无缝连接，提供免费的个人云盘和学校云盘。用户可直接在软件里拖曳下载社区内以及云盘中的三维模型，也可以将软件中模型直接上传到云盘和社区。</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A6A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节点</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196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0292D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0E7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43C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创意设计切片软件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D1C2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创意设计切片软件是专门针对激光切割机应用自主研发的国产三维设计软件。</w:t>
            </w:r>
          </w:p>
          <w:p w14:paraId="138484F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软件功能（提供1-4项软件功能运行截图）</w:t>
            </w:r>
          </w:p>
          <w:p w14:paraId="18F7F45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 矢量图生成：可以直接将 .jpg、 .png、 .gif、 .bmp、 .tif等格式的图片自动转换成二维草图。（提供软件运行截图）</w:t>
            </w:r>
          </w:p>
          <w:p w14:paraId="09EF5B0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 拼插槽：在板材侧边添加可互相拼插的插槽且可以调整长度、数量以及深度。（提供软件运行截图）</w:t>
            </w:r>
          </w:p>
          <w:p w14:paraId="416481B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 板材投影：无需转动板材，可以直接对面或实体进行投影生成二维图。（提供软件运行截图）</w:t>
            </w:r>
          </w:p>
          <w:p w14:paraId="51F418E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 结构转换：将任何实体造型转换成拼插或堆叠结构并自动排版布局，生成二维图形。（提供软件运行截图）</w:t>
            </w:r>
          </w:p>
          <w:p w14:paraId="3489C30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5．设计功能：可实现实体设计、草图绘制和模型编辑功能。 </w:t>
            </w:r>
          </w:p>
          <w:p w14:paraId="3B7E781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6．附着在实体表面上，可通过草图进行描绘。</w:t>
            </w:r>
          </w:p>
          <w:p w14:paraId="5B5ECE0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7．导出激光切割文件：二维图形输出，支持任何激光切割机使用的DWG/DXF等格式文件。</w:t>
            </w:r>
          </w:p>
          <w:p w14:paraId="2A44426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 资源与管理：软件和网络资源社区无缝连接，提供免费的个人云盘和学校云盘。用户可直接在软件里拖曳下载社区内以及云盘中的三维模型，也可以将软件中模型直接上传到云盘和社区。</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723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节点</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F73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3A1C6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E07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6DE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三维高速打印机</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55BEE">
            <w:pPr>
              <w:keepNext w:val="0"/>
              <w:keepLines w:val="0"/>
              <w:widowControl/>
              <w:suppressLineNumbers w:val="0"/>
              <w:jc w:val="left"/>
              <w:textAlignment w:val="center"/>
              <w:rPr>
                <w:rStyle w:val="286"/>
                <w:rFonts w:hint="eastAsia" w:ascii="宋体" w:hAnsi="宋体" w:eastAsia="宋体" w:cs="宋体"/>
                <w:color w:val="auto"/>
                <w:sz w:val="21"/>
                <w:szCs w:val="21"/>
                <w:highlight w:val="none"/>
                <w:lang w:val="en-US" w:eastAsia="zh-CN" w:bidi="ar"/>
              </w:rPr>
            </w:pPr>
            <w:r>
              <w:rPr>
                <w:rStyle w:val="286"/>
                <w:rFonts w:hint="eastAsia" w:ascii="宋体" w:hAnsi="宋体" w:eastAsia="宋体" w:cs="宋体"/>
                <w:color w:val="auto"/>
                <w:sz w:val="21"/>
                <w:szCs w:val="21"/>
                <w:highlight w:val="none"/>
                <w:lang w:val="en-US" w:eastAsia="zh-CN" w:bidi="ar"/>
              </w:rPr>
              <w:t>1、成型技术：熔融沉积成型；</w:t>
            </w:r>
          </w:p>
          <w:p w14:paraId="26D8C49A">
            <w:pPr>
              <w:keepNext w:val="0"/>
              <w:keepLines w:val="0"/>
              <w:widowControl/>
              <w:suppressLineNumbers w:val="0"/>
              <w:jc w:val="left"/>
              <w:textAlignment w:val="center"/>
              <w:rPr>
                <w:rStyle w:val="297"/>
                <w:rFonts w:hint="eastAsia" w:ascii="宋体" w:hAnsi="宋体" w:eastAsia="宋体" w:cs="宋体"/>
                <w:color w:val="auto"/>
                <w:sz w:val="21"/>
                <w:szCs w:val="21"/>
                <w:highlight w:val="none"/>
                <w:lang w:val="en-US" w:eastAsia="zh-CN" w:bidi="ar"/>
              </w:rPr>
            </w:pPr>
            <w:r>
              <w:rPr>
                <w:rStyle w:val="286"/>
                <w:rFonts w:hint="eastAsia" w:ascii="宋体" w:hAnsi="宋体" w:eastAsia="宋体" w:cs="宋体"/>
                <w:color w:val="auto"/>
                <w:sz w:val="21"/>
                <w:szCs w:val="21"/>
                <w:highlight w:val="none"/>
                <w:lang w:val="en-US" w:eastAsia="zh-CN" w:bidi="ar"/>
              </w:rPr>
              <w:t>2、机身最大尺寸(长×宽×高)490×510×620 mm</w:t>
            </w:r>
            <w:r>
              <w:rPr>
                <w:rStyle w:val="297"/>
                <w:rFonts w:hint="eastAsia" w:ascii="宋体" w:hAnsi="宋体" w:eastAsia="宋体" w:cs="宋体"/>
                <w:color w:val="auto"/>
                <w:sz w:val="21"/>
                <w:szCs w:val="21"/>
                <w:highlight w:val="none"/>
                <w:lang w:val="en-US" w:eastAsia="zh-CN" w:bidi="ar"/>
              </w:rPr>
              <w:t>³</w:t>
            </w:r>
            <w:r>
              <w:rPr>
                <w:rStyle w:val="286"/>
                <w:rFonts w:hint="eastAsia" w:ascii="宋体" w:hAnsi="宋体" w:eastAsia="宋体" w:cs="宋体"/>
                <w:color w:val="auto"/>
                <w:sz w:val="21"/>
                <w:szCs w:val="21"/>
                <w:highlight w:val="none"/>
                <w:lang w:val="en-US" w:eastAsia="zh-CN" w:bidi="ar"/>
              </w:rPr>
              <w:t>，最大打印尺寸(长×宽×高)：320×320×320 mm</w:t>
            </w:r>
            <w:r>
              <w:rPr>
                <w:rStyle w:val="297"/>
                <w:rFonts w:hint="eastAsia" w:ascii="宋体" w:hAnsi="宋体" w:eastAsia="宋体" w:cs="宋体"/>
                <w:color w:val="auto"/>
                <w:sz w:val="21"/>
                <w:szCs w:val="21"/>
                <w:highlight w:val="none"/>
                <w:lang w:val="en-US" w:eastAsia="zh-CN" w:bidi="ar"/>
              </w:rPr>
              <w:t>³</w:t>
            </w:r>
          </w:p>
          <w:p w14:paraId="2C336963">
            <w:pPr>
              <w:keepNext w:val="0"/>
              <w:keepLines w:val="0"/>
              <w:widowControl/>
              <w:suppressLineNumbers w:val="0"/>
              <w:jc w:val="left"/>
              <w:textAlignment w:val="center"/>
              <w:rPr>
                <w:rStyle w:val="286"/>
                <w:rFonts w:hint="eastAsia" w:ascii="宋体" w:hAnsi="宋体" w:eastAsia="宋体" w:cs="宋体"/>
                <w:strike w:val="0"/>
                <w:dstrike w:val="0"/>
                <w:color w:val="auto"/>
                <w:sz w:val="21"/>
                <w:szCs w:val="21"/>
                <w:highlight w:val="none"/>
                <w:lang w:val="en-US" w:eastAsia="zh-CN" w:bidi="ar"/>
              </w:rPr>
            </w:pPr>
            <w:r>
              <w:rPr>
                <w:rStyle w:val="286"/>
                <w:rFonts w:hint="eastAsia" w:ascii="宋体" w:hAnsi="宋体" w:eastAsia="宋体" w:cs="宋体"/>
                <w:strike w:val="0"/>
                <w:dstrike w:val="0"/>
                <w:color w:val="auto"/>
                <w:sz w:val="21"/>
                <w:szCs w:val="21"/>
                <w:highlight w:val="none"/>
                <w:lang w:val="en-US" w:eastAsia="zh-CN" w:bidi="ar"/>
              </w:rPr>
              <w:t>3、框架为铝材构成；</w:t>
            </w:r>
          </w:p>
          <w:p w14:paraId="5349B811">
            <w:pPr>
              <w:keepNext w:val="0"/>
              <w:keepLines w:val="0"/>
              <w:widowControl/>
              <w:suppressLineNumbers w:val="0"/>
              <w:jc w:val="left"/>
              <w:textAlignment w:val="center"/>
              <w:rPr>
                <w:rStyle w:val="286"/>
                <w:rFonts w:hint="eastAsia" w:ascii="宋体" w:hAnsi="宋体" w:eastAsia="宋体" w:cs="宋体"/>
                <w:color w:val="auto"/>
                <w:sz w:val="21"/>
                <w:szCs w:val="21"/>
                <w:highlight w:val="none"/>
                <w:lang w:val="en-US" w:eastAsia="zh-CN" w:bidi="ar"/>
              </w:rPr>
            </w:pPr>
            <w:r>
              <w:rPr>
                <w:rStyle w:val="286"/>
                <w:rFonts w:hint="eastAsia" w:ascii="宋体" w:hAnsi="宋体" w:eastAsia="宋体" w:cs="宋体"/>
                <w:color w:val="auto"/>
                <w:sz w:val="21"/>
                <w:szCs w:val="21"/>
                <w:highlight w:val="none"/>
                <w:lang w:val="en-US" w:eastAsia="zh-CN" w:bidi="ar"/>
              </w:rPr>
              <w:t>4、工具头：全金属热端、硬化钢挤出机齿轮、硬化钢喷嘴，内置工具头切刀，喷嘴最高温度不低于350 ℃、喷嘴直径自带0.4 mm，可选0.2 mm，0.6 mm，0.8 mm；</w:t>
            </w:r>
          </w:p>
          <w:p w14:paraId="1BA91BC1">
            <w:pPr>
              <w:keepNext w:val="0"/>
              <w:keepLines w:val="0"/>
              <w:widowControl/>
              <w:suppressLineNumbers w:val="0"/>
              <w:jc w:val="left"/>
              <w:textAlignment w:val="center"/>
              <w:rPr>
                <w:rStyle w:val="286"/>
                <w:rFonts w:hint="eastAsia" w:ascii="宋体" w:hAnsi="宋体" w:eastAsia="宋体" w:cs="宋体"/>
                <w:color w:val="auto"/>
                <w:sz w:val="21"/>
                <w:szCs w:val="21"/>
                <w:highlight w:val="none"/>
                <w:lang w:val="en-US" w:eastAsia="zh-CN" w:bidi="ar"/>
              </w:rPr>
            </w:pPr>
            <w:r>
              <w:rPr>
                <w:rStyle w:val="286"/>
                <w:rFonts w:hint="eastAsia" w:ascii="宋体" w:hAnsi="宋体" w:eastAsia="宋体" w:cs="宋体"/>
                <w:color w:val="auto"/>
                <w:sz w:val="21"/>
                <w:szCs w:val="21"/>
                <w:highlight w:val="none"/>
                <w:lang w:val="en-US" w:eastAsia="zh-CN" w:bidi="ar"/>
              </w:rPr>
              <w:t>5、机器标配双面纹理PEI打印面板，可扩展光面打印面板，热床最高温度不低于120℃；</w:t>
            </w:r>
          </w:p>
          <w:p w14:paraId="55D18322">
            <w:pPr>
              <w:keepNext w:val="0"/>
              <w:keepLines w:val="0"/>
              <w:widowControl/>
              <w:suppressLineNumbers w:val="0"/>
              <w:jc w:val="left"/>
              <w:textAlignment w:val="center"/>
              <w:rPr>
                <w:rStyle w:val="286"/>
                <w:rFonts w:hint="eastAsia" w:ascii="宋体" w:hAnsi="宋体" w:eastAsia="宋体" w:cs="宋体"/>
                <w:color w:val="auto"/>
                <w:sz w:val="21"/>
                <w:szCs w:val="21"/>
                <w:highlight w:val="none"/>
                <w:lang w:val="en-US" w:eastAsia="zh-CN" w:bidi="ar"/>
              </w:rPr>
            </w:pPr>
            <w:r>
              <w:rPr>
                <w:rStyle w:val="286"/>
                <w:rFonts w:hint="eastAsia" w:ascii="宋体" w:hAnsi="宋体" w:eastAsia="宋体" w:cs="宋体"/>
                <w:color w:val="auto"/>
                <w:sz w:val="21"/>
                <w:szCs w:val="21"/>
                <w:highlight w:val="none"/>
                <w:lang w:val="en-US" w:eastAsia="zh-CN" w:bidi="ar"/>
              </w:rPr>
              <w:t>6、工具头最大移动速度不低于1000 mm/s，工具头最大移动加速度不低于20000 mm/s</w:t>
            </w:r>
            <w:r>
              <w:rPr>
                <w:rStyle w:val="297"/>
                <w:rFonts w:hint="eastAsia" w:ascii="宋体" w:hAnsi="宋体" w:eastAsia="宋体" w:cs="宋体"/>
                <w:color w:val="auto"/>
                <w:sz w:val="21"/>
                <w:szCs w:val="21"/>
                <w:highlight w:val="none"/>
                <w:lang w:val="en-US" w:eastAsia="zh-CN" w:bidi="ar"/>
              </w:rPr>
              <w:t>²</w:t>
            </w:r>
            <w:r>
              <w:rPr>
                <w:rStyle w:val="286"/>
                <w:rFonts w:hint="eastAsia" w:ascii="宋体" w:hAnsi="宋体" w:eastAsia="宋体" w:cs="宋体"/>
                <w:color w:val="auto"/>
                <w:sz w:val="21"/>
                <w:szCs w:val="21"/>
                <w:highlight w:val="none"/>
                <w:lang w:val="en-US" w:eastAsia="zh-CN" w:bidi="ar"/>
              </w:rPr>
              <w:t>，热端最大流速不低于65 mm</w:t>
            </w:r>
            <w:r>
              <w:rPr>
                <w:rStyle w:val="297"/>
                <w:rFonts w:hint="eastAsia" w:ascii="宋体" w:hAnsi="宋体" w:eastAsia="宋体" w:cs="宋体"/>
                <w:color w:val="auto"/>
                <w:sz w:val="21"/>
                <w:szCs w:val="21"/>
                <w:highlight w:val="none"/>
                <w:lang w:val="en-US" w:eastAsia="zh-CN" w:bidi="ar"/>
              </w:rPr>
              <w:t>³</w:t>
            </w:r>
            <w:r>
              <w:rPr>
                <w:rStyle w:val="286"/>
                <w:rFonts w:hint="eastAsia" w:ascii="宋体" w:hAnsi="宋体" w:eastAsia="宋体" w:cs="宋体"/>
                <w:color w:val="auto"/>
                <w:sz w:val="21"/>
                <w:szCs w:val="21"/>
                <w:highlight w:val="none"/>
                <w:lang w:val="en-US" w:eastAsia="zh-CN" w:bidi="ar"/>
              </w:rPr>
              <w:t>/s；</w:t>
            </w:r>
          </w:p>
          <w:p w14:paraId="1B5E932C">
            <w:pPr>
              <w:keepNext w:val="0"/>
              <w:keepLines w:val="0"/>
              <w:widowControl/>
              <w:suppressLineNumbers w:val="0"/>
              <w:jc w:val="left"/>
              <w:textAlignment w:val="center"/>
              <w:rPr>
                <w:rStyle w:val="286"/>
                <w:rFonts w:hint="eastAsia" w:ascii="宋体" w:hAnsi="宋体" w:eastAsia="宋体" w:cs="宋体"/>
                <w:color w:val="auto"/>
                <w:sz w:val="21"/>
                <w:szCs w:val="21"/>
                <w:highlight w:val="none"/>
                <w:lang w:val="en-US" w:eastAsia="zh-CN" w:bidi="ar"/>
              </w:rPr>
            </w:pPr>
            <w:r>
              <w:rPr>
                <w:rStyle w:val="286"/>
                <w:rFonts w:hint="eastAsia" w:ascii="宋体" w:hAnsi="宋体" w:eastAsia="宋体" w:cs="宋体"/>
                <w:color w:val="auto"/>
                <w:sz w:val="21"/>
                <w:szCs w:val="21"/>
                <w:highlight w:val="none"/>
                <w:lang w:val="en-US" w:eastAsia="zh-CN" w:bidi="ar"/>
              </w:rPr>
              <w:t>7、支持耗材类型：PLA、PETG、TPU、ABS、ASA、PVA、PET、尼龙线材（PA)、聚碳酸酯线材（PC)、PPA-CF/GF、PPS、PPS-CF/GF、碳/玻璃纤维增强线材及相关支撑隔离材料等；</w:t>
            </w:r>
          </w:p>
          <w:p w14:paraId="6F7C02A0">
            <w:pPr>
              <w:keepNext w:val="0"/>
              <w:keepLines w:val="0"/>
              <w:widowControl/>
              <w:suppressLineNumbers w:val="0"/>
              <w:jc w:val="left"/>
              <w:textAlignment w:val="center"/>
              <w:rPr>
                <w:rStyle w:val="286"/>
                <w:rFonts w:hint="eastAsia" w:ascii="宋体" w:hAnsi="宋体" w:eastAsia="宋体" w:cs="宋体"/>
                <w:color w:val="auto"/>
                <w:sz w:val="21"/>
                <w:szCs w:val="21"/>
                <w:highlight w:val="none"/>
                <w:lang w:val="en-US" w:eastAsia="zh-CN" w:bidi="ar"/>
              </w:rPr>
            </w:pPr>
            <w:r>
              <w:rPr>
                <w:rStyle w:val="286"/>
                <w:rFonts w:hint="eastAsia" w:ascii="宋体" w:hAnsi="宋体" w:eastAsia="宋体" w:cs="宋体"/>
                <w:color w:val="auto"/>
                <w:sz w:val="21"/>
                <w:szCs w:val="21"/>
                <w:highlight w:val="none"/>
                <w:lang w:val="en-US" w:eastAsia="zh-CN" w:bidi="ar"/>
              </w:rPr>
              <w:t>8、支持热端快拆、主动振动补偿、全自动双喷嘴偏移校准、自动热床调平、自动皮带张紧；</w:t>
            </w:r>
          </w:p>
          <w:p w14:paraId="6AB857B2">
            <w:pPr>
              <w:keepNext w:val="0"/>
              <w:keepLines w:val="0"/>
              <w:widowControl/>
              <w:suppressLineNumbers w:val="0"/>
              <w:jc w:val="left"/>
              <w:textAlignment w:val="center"/>
              <w:rPr>
                <w:rStyle w:val="286"/>
                <w:rFonts w:hint="eastAsia" w:ascii="宋体" w:hAnsi="宋体" w:eastAsia="宋体" w:cs="宋体"/>
                <w:color w:val="auto"/>
                <w:sz w:val="21"/>
                <w:szCs w:val="21"/>
                <w:highlight w:val="none"/>
                <w:lang w:val="en-US" w:eastAsia="zh-CN" w:bidi="ar"/>
              </w:rPr>
            </w:pPr>
            <w:r>
              <w:rPr>
                <w:rStyle w:val="286"/>
                <w:rFonts w:hint="eastAsia" w:ascii="宋体" w:hAnsi="宋体" w:eastAsia="宋体" w:cs="宋体"/>
                <w:color w:val="auto"/>
                <w:sz w:val="21"/>
                <w:szCs w:val="21"/>
                <w:highlight w:val="none"/>
                <w:lang w:val="en-US" w:eastAsia="zh-CN" w:bidi="ar"/>
              </w:rPr>
              <w:t>9、配备四摄像头计算机视觉系统，实现微米级测量精度，支持AI首层检测、炒面检测；</w:t>
            </w:r>
          </w:p>
          <w:p w14:paraId="50191B4E">
            <w:pPr>
              <w:keepNext w:val="0"/>
              <w:keepLines w:val="0"/>
              <w:widowControl/>
              <w:suppressLineNumbers w:val="0"/>
              <w:jc w:val="left"/>
              <w:textAlignment w:val="center"/>
              <w:rPr>
                <w:rStyle w:val="286"/>
                <w:rFonts w:hint="eastAsia" w:ascii="宋体" w:hAnsi="宋体" w:eastAsia="宋体" w:cs="宋体"/>
                <w:color w:val="auto"/>
                <w:sz w:val="21"/>
                <w:szCs w:val="21"/>
                <w:highlight w:val="none"/>
                <w:lang w:val="en-US" w:eastAsia="zh-CN" w:bidi="ar"/>
              </w:rPr>
            </w:pPr>
            <w:r>
              <w:rPr>
                <w:rStyle w:val="286"/>
                <w:rFonts w:hint="eastAsia" w:ascii="宋体" w:hAnsi="宋体" w:eastAsia="宋体" w:cs="宋体"/>
                <w:color w:val="auto"/>
                <w:sz w:val="21"/>
                <w:szCs w:val="21"/>
                <w:highlight w:val="none"/>
                <w:lang w:val="en-US" w:eastAsia="zh-CN" w:bidi="ar"/>
              </w:rPr>
              <w:t>10、配备喷嘴摄像头、工具头摄像头，支持开门检测；</w:t>
            </w:r>
          </w:p>
          <w:p w14:paraId="6693EDB8">
            <w:pPr>
              <w:keepNext w:val="0"/>
              <w:keepLines w:val="0"/>
              <w:widowControl/>
              <w:suppressLineNumbers w:val="0"/>
              <w:jc w:val="left"/>
              <w:textAlignment w:val="center"/>
              <w:rPr>
                <w:rStyle w:val="286"/>
                <w:rFonts w:hint="eastAsia" w:ascii="宋体" w:hAnsi="宋体" w:eastAsia="宋体" w:cs="宋体"/>
                <w:color w:val="auto"/>
                <w:sz w:val="21"/>
                <w:szCs w:val="21"/>
                <w:highlight w:val="none"/>
                <w:lang w:val="en-US" w:eastAsia="zh-CN" w:bidi="ar"/>
              </w:rPr>
            </w:pPr>
            <w:r>
              <w:rPr>
                <w:rStyle w:val="286"/>
                <w:rFonts w:hint="eastAsia" w:ascii="宋体" w:hAnsi="宋体" w:eastAsia="宋体" w:cs="宋体"/>
                <w:color w:val="auto"/>
                <w:sz w:val="21"/>
                <w:szCs w:val="21"/>
                <w:highlight w:val="none"/>
                <w:lang w:val="en-US" w:eastAsia="zh-CN" w:bidi="ar"/>
              </w:rPr>
              <w:t>11、支持断料检测、缠料检测、断电续打，具备监控打印机状态的健康管理系统；</w:t>
            </w:r>
          </w:p>
          <w:p w14:paraId="1BCED9BC">
            <w:pPr>
              <w:keepNext w:val="0"/>
              <w:keepLines w:val="0"/>
              <w:widowControl/>
              <w:suppressLineNumbers w:val="0"/>
              <w:jc w:val="left"/>
              <w:textAlignment w:val="center"/>
              <w:rPr>
                <w:rStyle w:val="286"/>
                <w:rFonts w:hint="eastAsia" w:ascii="宋体" w:hAnsi="宋体" w:eastAsia="宋体" w:cs="宋体"/>
                <w:color w:val="auto"/>
                <w:sz w:val="21"/>
                <w:szCs w:val="21"/>
                <w:highlight w:val="none"/>
                <w:lang w:val="en-US" w:eastAsia="zh-CN" w:bidi="ar"/>
              </w:rPr>
            </w:pPr>
            <w:r>
              <w:rPr>
                <w:rStyle w:val="286"/>
                <w:rFonts w:hint="eastAsia" w:ascii="宋体" w:hAnsi="宋体" w:eastAsia="宋体" w:cs="宋体"/>
                <w:color w:val="auto"/>
                <w:sz w:val="21"/>
                <w:szCs w:val="21"/>
                <w:highlight w:val="none"/>
                <w:lang w:val="en-US" w:eastAsia="zh-CN" w:bidi="ar"/>
              </w:rPr>
              <w:t>12、支持耗材用量及余料检测，支持多色打印，最多支持不少于25色；</w:t>
            </w:r>
          </w:p>
          <w:p w14:paraId="56400D23">
            <w:pPr>
              <w:keepNext w:val="0"/>
              <w:keepLines w:val="0"/>
              <w:widowControl/>
              <w:suppressLineNumbers w:val="0"/>
              <w:jc w:val="left"/>
              <w:textAlignment w:val="center"/>
              <w:rPr>
                <w:rStyle w:val="286"/>
                <w:rFonts w:hint="eastAsia" w:ascii="宋体" w:hAnsi="宋体" w:eastAsia="宋体" w:cs="宋体"/>
                <w:color w:val="auto"/>
                <w:sz w:val="21"/>
                <w:szCs w:val="21"/>
                <w:highlight w:val="none"/>
                <w:lang w:val="en-US" w:eastAsia="zh-CN" w:bidi="ar"/>
              </w:rPr>
            </w:pPr>
            <w:r>
              <w:rPr>
                <w:rStyle w:val="286"/>
                <w:rFonts w:hint="eastAsia" w:ascii="宋体" w:hAnsi="宋体" w:eastAsia="宋体" w:cs="宋体"/>
                <w:color w:val="auto"/>
                <w:sz w:val="21"/>
                <w:szCs w:val="21"/>
                <w:highlight w:val="none"/>
                <w:lang w:val="en-US" w:eastAsia="zh-CN" w:bidi="ar"/>
              </w:rPr>
              <w:t>13、自带空气过滤系统，支持自适应空气循环，配备椰壳活性炭滤芯，初级过滤等级G3，HEPA滤网等级H12；</w:t>
            </w:r>
          </w:p>
          <w:p w14:paraId="456374AD">
            <w:pPr>
              <w:keepNext w:val="0"/>
              <w:keepLines w:val="0"/>
              <w:widowControl/>
              <w:suppressLineNumbers w:val="0"/>
              <w:jc w:val="left"/>
              <w:textAlignment w:val="center"/>
              <w:rPr>
                <w:rStyle w:val="286"/>
                <w:rFonts w:hint="eastAsia" w:ascii="宋体" w:hAnsi="宋体" w:eastAsia="宋体" w:cs="宋体"/>
                <w:color w:val="auto"/>
                <w:sz w:val="21"/>
                <w:szCs w:val="21"/>
                <w:highlight w:val="none"/>
                <w:lang w:val="en-US" w:eastAsia="zh-CN" w:bidi="ar"/>
              </w:rPr>
            </w:pPr>
            <w:r>
              <w:rPr>
                <w:rStyle w:val="286"/>
                <w:rFonts w:hint="eastAsia" w:ascii="宋体" w:hAnsi="宋体" w:eastAsia="宋体" w:cs="宋体"/>
                <w:color w:val="auto"/>
                <w:sz w:val="21"/>
                <w:szCs w:val="21"/>
                <w:highlight w:val="none"/>
                <w:lang w:val="en-US" w:eastAsia="zh-CN" w:bidi="ar"/>
              </w:rPr>
              <w:t>14、支持Wi-Fi通讯；</w:t>
            </w:r>
          </w:p>
          <w:p w14:paraId="7FF7C918">
            <w:pPr>
              <w:keepNext w:val="0"/>
              <w:keepLines w:val="0"/>
              <w:widowControl/>
              <w:suppressLineNumbers w:val="0"/>
              <w:jc w:val="left"/>
              <w:textAlignment w:val="center"/>
              <w:rPr>
                <w:rStyle w:val="286"/>
                <w:rFonts w:hint="eastAsia" w:ascii="宋体" w:hAnsi="宋体" w:eastAsia="宋体" w:cs="宋体"/>
                <w:color w:val="auto"/>
                <w:sz w:val="21"/>
                <w:szCs w:val="21"/>
                <w:highlight w:val="none"/>
                <w:lang w:val="en-US" w:eastAsia="zh-CN" w:bidi="ar"/>
              </w:rPr>
            </w:pPr>
            <w:r>
              <w:rPr>
                <w:rStyle w:val="286"/>
                <w:rFonts w:hint="eastAsia" w:ascii="宋体" w:hAnsi="宋体" w:eastAsia="宋体" w:cs="宋体"/>
                <w:color w:val="auto"/>
                <w:sz w:val="21"/>
                <w:szCs w:val="21"/>
                <w:highlight w:val="none"/>
                <w:lang w:val="en-US" w:eastAsia="zh-CN" w:bidi="ar"/>
              </w:rPr>
              <w:t>15、配备触摸显示屏，屏幕尺寸≥5英寸，内置高清相机，支持实时监控及延时摄影；</w:t>
            </w:r>
          </w:p>
          <w:p w14:paraId="1F45E7F3">
            <w:pPr>
              <w:keepNext w:val="0"/>
              <w:keepLines w:val="0"/>
              <w:widowControl/>
              <w:suppressLineNumbers w:val="0"/>
              <w:jc w:val="left"/>
              <w:textAlignment w:val="center"/>
              <w:rPr>
                <w:rStyle w:val="286"/>
                <w:rFonts w:hint="eastAsia" w:ascii="宋体" w:hAnsi="宋体" w:eastAsia="宋体" w:cs="宋体"/>
                <w:color w:val="auto"/>
                <w:sz w:val="21"/>
                <w:szCs w:val="21"/>
                <w:highlight w:val="none"/>
                <w:lang w:val="en-US" w:eastAsia="zh-CN" w:bidi="ar"/>
              </w:rPr>
            </w:pPr>
            <w:r>
              <w:rPr>
                <w:rStyle w:val="286"/>
                <w:rFonts w:hint="eastAsia" w:ascii="宋体" w:hAnsi="宋体" w:eastAsia="宋体" w:cs="宋体"/>
                <w:color w:val="auto"/>
                <w:sz w:val="21"/>
                <w:szCs w:val="21"/>
                <w:highlight w:val="none"/>
                <w:lang w:val="en-US" w:eastAsia="zh-CN" w:bidi="ar"/>
              </w:rPr>
              <w:t>16、支持通过触摸显示屏、手机端APP、电脑端应用三种操作界面控制；</w:t>
            </w:r>
          </w:p>
          <w:p w14:paraId="5CC08CAD">
            <w:pPr>
              <w:keepNext w:val="0"/>
              <w:keepLines w:val="0"/>
              <w:widowControl/>
              <w:suppressLineNumbers w:val="0"/>
              <w:jc w:val="left"/>
              <w:textAlignment w:val="center"/>
              <w:rPr>
                <w:rStyle w:val="286"/>
                <w:rFonts w:hint="eastAsia" w:ascii="宋体" w:hAnsi="宋体" w:eastAsia="宋体" w:cs="宋体"/>
                <w:color w:val="auto"/>
                <w:sz w:val="21"/>
                <w:szCs w:val="21"/>
                <w:highlight w:val="none"/>
                <w:lang w:val="en-US" w:eastAsia="zh-CN" w:bidi="ar"/>
              </w:rPr>
            </w:pPr>
            <w:r>
              <w:rPr>
                <w:rStyle w:val="286"/>
                <w:rFonts w:hint="eastAsia" w:ascii="宋体" w:hAnsi="宋体" w:eastAsia="宋体" w:cs="宋体"/>
                <w:color w:val="auto"/>
                <w:sz w:val="21"/>
                <w:szCs w:val="21"/>
                <w:highlight w:val="none"/>
                <w:lang w:val="en-US" w:eastAsia="zh-CN" w:bidi="ar"/>
              </w:rPr>
              <w:t>17、配备全闭环控制风扇系统；</w:t>
            </w:r>
          </w:p>
          <w:p w14:paraId="61F46394">
            <w:pPr>
              <w:keepNext w:val="0"/>
              <w:keepLines w:val="0"/>
              <w:widowControl/>
              <w:suppressLineNumbers w:val="0"/>
              <w:jc w:val="left"/>
              <w:textAlignment w:val="center"/>
              <w:rPr>
                <w:rStyle w:val="286"/>
                <w:rFonts w:hint="eastAsia" w:ascii="宋体" w:hAnsi="宋体" w:eastAsia="宋体" w:cs="宋体"/>
                <w:color w:val="auto"/>
                <w:sz w:val="21"/>
                <w:szCs w:val="21"/>
                <w:highlight w:val="none"/>
                <w:lang w:val="en-US" w:eastAsia="zh-CN" w:bidi="ar"/>
              </w:rPr>
            </w:pPr>
            <w:r>
              <w:rPr>
                <w:rStyle w:val="286"/>
                <w:rFonts w:hint="eastAsia" w:ascii="宋体" w:hAnsi="宋体" w:eastAsia="宋体" w:cs="宋体"/>
                <w:color w:val="auto"/>
                <w:sz w:val="21"/>
                <w:szCs w:val="21"/>
                <w:highlight w:val="none"/>
                <w:lang w:val="en-US" w:eastAsia="zh-CN" w:bidi="ar"/>
              </w:rPr>
              <w:t>18、支持主动腔热控制，多传感器闭环温控，最大加热腔温不低于65℃；</w:t>
            </w:r>
          </w:p>
          <w:p w14:paraId="50BEFABC">
            <w:pPr>
              <w:keepNext w:val="0"/>
              <w:keepLines w:val="0"/>
              <w:widowControl/>
              <w:suppressLineNumbers w:val="0"/>
              <w:jc w:val="left"/>
              <w:textAlignment w:val="center"/>
              <w:rPr>
                <w:rStyle w:val="286"/>
                <w:rFonts w:hint="eastAsia" w:ascii="宋体" w:hAnsi="宋体" w:eastAsia="宋体" w:cs="宋体"/>
                <w:color w:val="auto"/>
                <w:sz w:val="21"/>
                <w:szCs w:val="21"/>
                <w:highlight w:val="none"/>
                <w:lang w:val="en-US" w:eastAsia="zh-CN" w:bidi="ar"/>
              </w:rPr>
            </w:pPr>
            <w:r>
              <w:rPr>
                <w:rStyle w:val="286"/>
                <w:rFonts w:hint="eastAsia" w:ascii="宋体" w:hAnsi="宋体" w:eastAsia="宋体" w:cs="宋体"/>
                <w:color w:val="auto"/>
                <w:sz w:val="21"/>
                <w:szCs w:val="21"/>
                <w:highlight w:val="none"/>
                <w:lang w:val="en-US" w:eastAsia="zh-CN" w:bidi="ar"/>
              </w:rPr>
              <w:t>19、配备半导体激光器，最大功率不低于10瓦，最大雕刻速度不低于400 mm/s，最大雕刻面积不低于310×260 mm</w:t>
            </w:r>
            <w:r>
              <w:rPr>
                <w:rStyle w:val="297"/>
                <w:rFonts w:hint="eastAsia" w:ascii="宋体" w:hAnsi="宋体" w:eastAsia="宋体" w:cs="宋体"/>
                <w:color w:val="auto"/>
                <w:sz w:val="21"/>
                <w:szCs w:val="21"/>
                <w:highlight w:val="none"/>
                <w:lang w:val="en-US" w:eastAsia="zh-CN" w:bidi="ar"/>
              </w:rPr>
              <w:t>²</w:t>
            </w:r>
            <w:r>
              <w:rPr>
                <w:rStyle w:val="286"/>
                <w:rFonts w:hint="eastAsia" w:ascii="宋体" w:hAnsi="宋体" w:eastAsia="宋体" w:cs="宋体"/>
                <w:color w:val="auto"/>
                <w:sz w:val="21"/>
                <w:szCs w:val="21"/>
                <w:highlight w:val="none"/>
                <w:lang w:val="en-US" w:eastAsia="zh-CN" w:bidi="ar"/>
              </w:rPr>
              <w:t>，最大切割厚度不低于5 mm；</w:t>
            </w:r>
          </w:p>
          <w:p w14:paraId="671BAC53">
            <w:pPr>
              <w:keepNext w:val="0"/>
              <w:keepLines w:val="0"/>
              <w:widowControl/>
              <w:suppressLineNumbers w:val="0"/>
              <w:jc w:val="left"/>
              <w:textAlignment w:val="center"/>
              <w:rPr>
                <w:rStyle w:val="286"/>
                <w:rFonts w:hint="eastAsia" w:ascii="宋体" w:hAnsi="宋体" w:eastAsia="宋体" w:cs="宋体"/>
                <w:color w:val="auto"/>
                <w:sz w:val="21"/>
                <w:szCs w:val="21"/>
                <w:highlight w:val="none"/>
                <w:lang w:val="en-US" w:eastAsia="zh-CN" w:bidi="ar"/>
              </w:rPr>
            </w:pPr>
            <w:r>
              <w:rPr>
                <w:rStyle w:val="286"/>
                <w:rFonts w:hint="eastAsia" w:ascii="宋体" w:hAnsi="宋体" w:eastAsia="宋体" w:cs="宋体"/>
                <w:color w:val="auto"/>
                <w:sz w:val="21"/>
                <w:szCs w:val="21"/>
                <w:highlight w:val="none"/>
                <w:lang w:val="en-US" w:eastAsia="zh-CN" w:bidi="ar"/>
              </w:rPr>
              <w:t>20、配备刀切模块，最大切割面积不低于300×285 mm</w:t>
            </w:r>
            <w:r>
              <w:rPr>
                <w:rStyle w:val="297"/>
                <w:rFonts w:hint="eastAsia" w:ascii="宋体" w:hAnsi="宋体" w:eastAsia="宋体" w:cs="宋体"/>
                <w:color w:val="auto"/>
                <w:sz w:val="21"/>
                <w:szCs w:val="21"/>
                <w:highlight w:val="none"/>
                <w:lang w:val="en-US" w:eastAsia="zh-CN" w:bidi="ar"/>
              </w:rPr>
              <w:t>²</w:t>
            </w:r>
            <w:r>
              <w:rPr>
                <w:rStyle w:val="286"/>
                <w:rFonts w:hint="eastAsia" w:ascii="宋体" w:hAnsi="宋体" w:eastAsia="宋体" w:cs="宋体"/>
                <w:color w:val="auto"/>
                <w:sz w:val="21"/>
                <w:szCs w:val="21"/>
                <w:highlight w:val="none"/>
                <w:lang w:val="en-US" w:eastAsia="zh-CN" w:bidi="ar"/>
              </w:rPr>
              <w:t>；支持火焰检测、激光模组在位检测，配备俯视摄像头、激光防护视窗、激光气流辅助气泵；</w:t>
            </w:r>
          </w:p>
          <w:p w14:paraId="3819A8E8">
            <w:pPr>
              <w:keepNext w:val="0"/>
              <w:keepLines w:val="0"/>
              <w:widowControl/>
              <w:suppressLineNumbers w:val="0"/>
              <w:jc w:val="left"/>
              <w:textAlignment w:val="center"/>
              <w:rPr>
                <w:rStyle w:val="286"/>
                <w:rFonts w:hint="eastAsia" w:ascii="宋体" w:hAnsi="宋体" w:eastAsia="宋体" w:cs="宋体"/>
                <w:color w:val="auto"/>
                <w:sz w:val="21"/>
                <w:szCs w:val="21"/>
                <w:highlight w:val="none"/>
                <w:lang w:val="en-US" w:eastAsia="zh-CN" w:bidi="ar"/>
              </w:rPr>
            </w:pPr>
            <w:r>
              <w:rPr>
                <w:rStyle w:val="286"/>
                <w:rFonts w:hint="eastAsia" w:ascii="宋体" w:hAnsi="宋体" w:eastAsia="宋体" w:cs="宋体"/>
                <w:color w:val="auto"/>
                <w:sz w:val="21"/>
                <w:szCs w:val="21"/>
                <w:highlight w:val="none"/>
                <w:lang w:val="en-US" w:eastAsia="zh-CN" w:bidi="ar"/>
              </w:rPr>
              <w:t>21、支持切割材料类型：木材、橡胶、金属片、皮革、深色亚克力、石材等；</w:t>
            </w:r>
          </w:p>
          <w:p w14:paraId="66D54246">
            <w:pPr>
              <w:keepNext w:val="0"/>
              <w:keepLines w:val="0"/>
              <w:widowControl/>
              <w:suppressLineNumbers w:val="0"/>
              <w:jc w:val="left"/>
              <w:textAlignment w:val="center"/>
              <w:rPr>
                <w:rStyle w:val="286"/>
                <w:rFonts w:hint="eastAsia" w:ascii="宋体" w:hAnsi="宋体" w:eastAsia="宋体" w:cs="宋体"/>
                <w:color w:val="auto"/>
                <w:sz w:val="21"/>
                <w:szCs w:val="21"/>
                <w:highlight w:val="none"/>
                <w:lang w:val="en-US" w:eastAsia="zh-CN" w:bidi="ar"/>
              </w:rPr>
            </w:pPr>
            <w:r>
              <w:rPr>
                <w:rStyle w:val="286"/>
                <w:rFonts w:hint="eastAsia" w:ascii="宋体" w:hAnsi="宋体" w:eastAsia="宋体" w:cs="宋体"/>
                <w:color w:val="auto"/>
                <w:sz w:val="21"/>
                <w:szCs w:val="21"/>
                <w:highlight w:val="none"/>
                <w:lang w:val="en-US" w:eastAsia="zh-CN" w:bidi="ar"/>
              </w:rPr>
              <w:t>22、支持火焰检测、激光模组在位检测，配备俯视摄像头、激光防护视窗、激光气流辅助气泵；</w:t>
            </w:r>
          </w:p>
          <w:p w14:paraId="68AEB058">
            <w:pPr>
              <w:keepNext w:val="0"/>
              <w:keepLines w:val="0"/>
              <w:widowControl/>
              <w:suppressLineNumbers w:val="0"/>
              <w:jc w:val="left"/>
              <w:textAlignment w:val="center"/>
              <w:rPr>
                <w:rStyle w:val="286"/>
                <w:rFonts w:hint="eastAsia" w:ascii="宋体" w:hAnsi="宋体" w:eastAsia="宋体" w:cs="宋体"/>
                <w:color w:val="auto"/>
                <w:sz w:val="21"/>
                <w:szCs w:val="21"/>
                <w:highlight w:val="none"/>
                <w:lang w:val="en-US" w:eastAsia="zh-CN" w:bidi="ar"/>
              </w:rPr>
            </w:pPr>
            <w:r>
              <w:rPr>
                <w:rStyle w:val="286"/>
                <w:rFonts w:hint="eastAsia" w:ascii="宋体" w:hAnsi="宋体" w:eastAsia="宋体" w:cs="宋体"/>
                <w:color w:val="auto"/>
                <w:sz w:val="21"/>
                <w:szCs w:val="21"/>
                <w:highlight w:val="none"/>
                <w:lang w:val="en-US" w:eastAsia="zh-CN" w:bidi="ar"/>
              </w:rPr>
              <w:t>23、可拓展画笔模块，支持画笔直径10.5-12.5 mm，最大绘画面积不低于300×250mm</w:t>
            </w:r>
            <w:r>
              <w:rPr>
                <w:rStyle w:val="297"/>
                <w:rFonts w:hint="eastAsia" w:ascii="宋体" w:hAnsi="宋体" w:eastAsia="宋体" w:cs="宋体"/>
                <w:color w:val="auto"/>
                <w:sz w:val="21"/>
                <w:szCs w:val="21"/>
                <w:highlight w:val="none"/>
                <w:lang w:val="en-US" w:eastAsia="zh-CN" w:bidi="ar"/>
              </w:rPr>
              <w:t>²</w:t>
            </w:r>
            <w:r>
              <w:rPr>
                <w:rStyle w:val="286"/>
                <w:rFonts w:hint="eastAsia" w:ascii="宋体" w:hAnsi="宋体" w:eastAsia="宋体" w:cs="宋体"/>
                <w:color w:val="auto"/>
                <w:sz w:val="21"/>
                <w:szCs w:val="21"/>
                <w:highlight w:val="none"/>
                <w:lang w:val="en-US" w:eastAsia="zh-CN" w:bidi="ar"/>
              </w:rPr>
              <w:t>；</w:t>
            </w:r>
          </w:p>
          <w:p w14:paraId="397C3F02">
            <w:pPr>
              <w:keepNext w:val="0"/>
              <w:keepLines w:val="0"/>
              <w:widowControl/>
              <w:suppressLineNumbers w:val="0"/>
              <w:jc w:val="left"/>
              <w:textAlignment w:val="center"/>
              <w:rPr>
                <w:rStyle w:val="286"/>
                <w:rFonts w:hint="eastAsia" w:ascii="宋体" w:hAnsi="宋体" w:eastAsia="宋体" w:cs="宋体"/>
                <w:color w:val="auto"/>
                <w:sz w:val="21"/>
                <w:szCs w:val="21"/>
                <w:highlight w:val="none"/>
                <w:shd w:val="clear"/>
                <w:lang w:val="en-US" w:eastAsia="zh-CN" w:bidi="ar"/>
              </w:rPr>
            </w:pPr>
            <w:r>
              <w:rPr>
                <w:rStyle w:val="286"/>
                <w:rFonts w:hint="eastAsia" w:ascii="宋体" w:hAnsi="宋体" w:cs="宋体"/>
                <w:color w:val="auto"/>
                <w:sz w:val="21"/>
                <w:szCs w:val="21"/>
                <w:highlight w:val="none"/>
                <w:shd w:val="clear"/>
                <w:lang w:val="en-US" w:eastAsia="zh-CN" w:bidi="ar"/>
              </w:rPr>
              <w:t>★</w:t>
            </w:r>
            <w:r>
              <w:rPr>
                <w:rStyle w:val="286"/>
                <w:rFonts w:hint="eastAsia" w:ascii="宋体" w:hAnsi="宋体" w:eastAsia="宋体" w:cs="宋体"/>
                <w:color w:val="auto"/>
                <w:sz w:val="21"/>
                <w:szCs w:val="21"/>
                <w:highlight w:val="none"/>
                <w:shd w:val="clear"/>
                <w:lang w:val="en-US" w:eastAsia="zh-CN" w:bidi="ar"/>
              </w:rPr>
              <w:t>24、自动供料系统（供第三方检测机构出具检验报告扫描件。）</w:t>
            </w:r>
          </w:p>
          <w:p w14:paraId="101507D6">
            <w:pPr>
              <w:keepNext w:val="0"/>
              <w:keepLines w:val="0"/>
              <w:widowControl/>
              <w:suppressLineNumbers w:val="0"/>
              <w:jc w:val="left"/>
              <w:textAlignment w:val="center"/>
              <w:rPr>
                <w:rStyle w:val="286"/>
                <w:rFonts w:hint="eastAsia" w:ascii="宋体" w:hAnsi="宋体" w:eastAsia="宋体" w:cs="宋体"/>
                <w:color w:val="auto"/>
                <w:sz w:val="21"/>
                <w:szCs w:val="21"/>
                <w:highlight w:val="none"/>
                <w:lang w:val="en-US" w:eastAsia="zh-CN" w:bidi="ar"/>
              </w:rPr>
            </w:pPr>
            <w:r>
              <w:rPr>
                <w:rStyle w:val="286"/>
                <w:rFonts w:hint="eastAsia" w:ascii="宋体" w:hAnsi="宋体" w:eastAsia="宋体" w:cs="宋体"/>
                <w:color w:val="auto"/>
                <w:sz w:val="21"/>
                <w:szCs w:val="21"/>
                <w:highlight w:val="none"/>
                <w:lang w:val="en-US" w:eastAsia="zh-CN" w:bidi="ar"/>
              </w:rPr>
              <w:t>每台自动供料系统最多可放置4卷耗材，具备耗材烘干功能，烘干最高温度：≤65℃，配有湿度传感器和密封外壳，配合干燥剂使用可以保证耗材干燥，并显示内部的湿度状态。通过进料缓冲器智能调节送料速度，确保送料和挤出机出料节奏保持同步。内置里程轮，可以统计从送出的耗材的长度。</w:t>
            </w:r>
          </w:p>
          <w:p w14:paraId="576924ED">
            <w:pPr>
              <w:keepNext w:val="0"/>
              <w:keepLines w:val="0"/>
              <w:widowControl/>
              <w:suppressLineNumbers w:val="0"/>
              <w:jc w:val="left"/>
              <w:textAlignment w:val="center"/>
              <w:rPr>
                <w:rStyle w:val="286"/>
                <w:rFonts w:hint="eastAsia" w:ascii="宋体" w:hAnsi="宋体" w:eastAsia="宋体" w:cs="宋体"/>
                <w:color w:val="auto"/>
                <w:sz w:val="21"/>
                <w:szCs w:val="21"/>
                <w:highlight w:val="none"/>
                <w:lang w:val="en-US" w:eastAsia="zh-CN" w:bidi="ar"/>
              </w:rPr>
            </w:pPr>
            <w:r>
              <w:rPr>
                <w:rStyle w:val="286"/>
                <w:rFonts w:hint="eastAsia" w:ascii="宋体" w:hAnsi="宋体" w:cs="宋体"/>
                <w:color w:val="auto"/>
                <w:sz w:val="21"/>
                <w:szCs w:val="21"/>
                <w:highlight w:val="none"/>
                <w:lang w:val="en-US" w:eastAsia="zh-CN" w:bidi="ar"/>
              </w:rPr>
              <w:t>★</w:t>
            </w:r>
            <w:r>
              <w:rPr>
                <w:rStyle w:val="286"/>
                <w:rFonts w:hint="eastAsia" w:ascii="宋体" w:hAnsi="宋体" w:eastAsia="宋体" w:cs="宋体"/>
                <w:color w:val="auto"/>
                <w:sz w:val="21"/>
                <w:szCs w:val="21"/>
                <w:highlight w:val="none"/>
                <w:lang w:val="en-US" w:eastAsia="zh-CN" w:bidi="ar"/>
              </w:rPr>
              <w:t>24、需配套3D打印切片软件，全中文界面，切片、控制打印、操作一体；（提供功能截图证明，提供注有切片软件的软件著作权证书）</w:t>
            </w:r>
          </w:p>
          <w:p w14:paraId="59618D43">
            <w:pPr>
              <w:keepNext w:val="0"/>
              <w:keepLines w:val="0"/>
              <w:widowControl/>
              <w:suppressLineNumbers w:val="0"/>
              <w:jc w:val="left"/>
              <w:textAlignment w:val="center"/>
              <w:rPr>
                <w:rStyle w:val="286"/>
                <w:rFonts w:hint="eastAsia" w:ascii="宋体" w:hAnsi="宋体" w:eastAsia="宋体" w:cs="宋体"/>
                <w:color w:val="auto"/>
                <w:sz w:val="21"/>
                <w:szCs w:val="21"/>
                <w:highlight w:val="none"/>
                <w:lang w:val="en-US" w:eastAsia="zh-CN" w:bidi="ar"/>
              </w:rPr>
            </w:pPr>
            <w:r>
              <w:rPr>
                <w:rStyle w:val="286"/>
                <w:rFonts w:hint="eastAsia" w:ascii="宋体" w:hAnsi="宋体" w:eastAsia="宋体" w:cs="宋体"/>
                <w:color w:val="auto"/>
                <w:sz w:val="21"/>
                <w:szCs w:val="21"/>
                <w:highlight w:val="none"/>
                <w:lang w:val="en-US" w:eastAsia="zh-CN" w:bidi="ar"/>
              </w:rPr>
              <w:t>1.操作界面为视窗式界面，载入模型数据后可直观的观看模型</w:t>
            </w:r>
          </w:p>
          <w:p w14:paraId="00719120">
            <w:pPr>
              <w:keepNext w:val="0"/>
              <w:keepLines w:val="0"/>
              <w:widowControl/>
              <w:suppressLineNumbers w:val="0"/>
              <w:jc w:val="left"/>
              <w:textAlignment w:val="center"/>
              <w:rPr>
                <w:rStyle w:val="286"/>
                <w:rFonts w:hint="eastAsia" w:ascii="宋体" w:hAnsi="宋体" w:eastAsia="宋体" w:cs="宋体"/>
                <w:color w:val="auto"/>
                <w:sz w:val="21"/>
                <w:szCs w:val="21"/>
                <w:highlight w:val="none"/>
                <w:lang w:val="en-US" w:eastAsia="zh-CN" w:bidi="ar"/>
              </w:rPr>
            </w:pPr>
            <w:r>
              <w:rPr>
                <w:rStyle w:val="286"/>
                <w:rFonts w:hint="eastAsia" w:ascii="宋体" w:hAnsi="宋体" w:eastAsia="宋体" w:cs="宋体"/>
                <w:color w:val="auto"/>
                <w:sz w:val="21"/>
                <w:szCs w:val="21"/>
                <w:highlight w:val="none"/>
                <w:lang w:val="en-US" w:eastAsia="zh-CN" w:bidi="ar"/>
              </w:rPr>
              <w:t>2.具有一键自动打印布局功能，具有旋转、移动、缩放模型功能，缩放功能支持三轴一起整体缩放，也支持单轴(XYZ中任一轴)的局部缩放</w:t>
            </w:r>
          </w:p>
          <w:p w14:paraId="25A893AE">
            <w:pPr>
              <w:keepNext w:val="0"/>
              <w:keepLines w:val="0"/>
              <w:widowControl/>
              <w:suppressLineNumbers w:val="0"/>
              <w:jc w:val="left"/>
              <w:textAlignment w:val="center"/>
              <w:rPr>
                <w:rStyle w:val="286"/>
                <w:rFonts w:hint="eastAsia" w:ascii="宋体" w:hAnsi="宋体" w:eastAsia="宋体" w:cs="宋体"/>
                <w:color w:val="auto"/>
                <w:sz w:val="21"/>
                <w:szCs w:val="21"/>
                <w:highlight w:val="none"/>
                <w:lang w:val="en-US" w:eastAsia="zh-CN" w:bidi="ar"/>
              </w:rPr>
            </w:pPr>
            <w:r>
              <w:rPr>
                <w:rStyle w:val="286"/>
                <w:rFonts w:hint="eastAsia" w:ascii="宋体" w:hAnsi="宋体" w:eastAsia="宋体" w:cs="宋体"/>
                <w:color w:val="auto"/>
                <w:sz w:val="21"/>
                <w:szCs w:val="21"/>
                <w:highlight w:val="none"/>
                <w:lang w:val="en-US" w:eastAsia="zh-CN" w:bidi="ar"/>
              </w:rPr>
              <w:t>3.可对模型进行错误自动修复，对两个以上的模型进行合并</w:t>
            </w:r>
          </w:p>
          <w:p w14:paraId="0E51D5F4">
            <w:pPr>
              <w:keepNext w:val="0"/>
              <w:keepLines w:val="0"/>
              <w:widowControl/>
              <w:suppressLineNumbers w:val="0"/>
              <w:jc w:val="left"/>
              <w:textAlignment w:val="center"/>
              <w:rPr>
                <w:rStyle w:val="286"/>
                <w:rFonts w:hint="eastAsia" w:ascii="宋体" w:hAnsi="宋体" w:eastAsia="宋体" w:cs="宋体"/>
                <w:color w:val="auto"/>
                <w:sz w:val="21"/>
                <w:szCs w:val="21"/>
                <w:highlight w:val="none"/>
                <w:lang w:val="en-US" w:eastAsia="zh-CN" w:bidi="ar"/>
              </w:rPr>
            </w:pPr>
            <w:r>
              <w:rPr>
                <w:rStyle w:val="286"/>
                <w:rFonts w:hint="eastAsia" w:ascii="宋体" w:hAnsi="宋体" w:eastAsia="宋体" w:cs="宋体"/>
                <w:color w:val="auto"/>
                <w:sz w:val="21"/>
                <w:szCs w:val="21"/>
                <w:highlight w:val="none"/>
                <w:lang w:val="en-US" w:eastAsia="zh-CN" w:bidi="ar"/>
              </w:rPr>
              <w:t>4.具有打印预览功能，载入模型后一键显示模型打印 时间及消耗材料重量，预览可看每一层面的成型、支撑结构</w:t>
            </w:r>
          </w:p>
          <w:p w14:paraId="2E4AE8D2">
            <w:pPr>
              <w:keepNext w:val="0"/>
              <w:keepLines w:val="0"/>
              <w:widowControl/>
              <w:suppressLineNumbers w:val="0"/>
              <w:jc w:val="left"/>
              <w:textAlignment w:val="center"/>
              <w:rPr>
                <w:rStyle w:val="286"/>
                <w:rFonts w:hint="eastAsia" w:ascii="宋体" w:hAnsi="宋体" w:eastAsia="宋体" w:cs="宋体"/>
                <w:color w:val="auto"/>
                <w:sz w:val="21"/>
                <w:szCs w:val="21"/>
                <w:highlight w:val="none"/>
                <w:lang w:val="en-US" w:eastAsia="zh-CN" w:bidi="ar"/>
              </w:rPr>
            </w:pPr>
            <w:r>
              <w:rPr>
                <w:rStyle w:val="286"/>
                <w:rFonts w:hint="eastAsia" w:ascii="宋体" w:hAnsi="宋体" w:eastAsia="宋体" w:cs="宋体"/>
                <w:color w:val="auto"/>
                <w:sz w:val="21"/>
                <w:szCs w:val="21"/>
                <w:highlight w:val="none"/>
                <w:lang w:val="en-US" w:eastAsia="zh-CN" w:bidi="ar"/>
              </w:rPr>
              <w:t>5.具有一键调整工作台与喷嘴高度(即对高) 功能， 具备一键调整工作台相对喷头的水平(即调平)功能；具有模型打印自动生成支撑结构功能，并可手动增 减支撑</w:t>
            </w:r>
          </w:p>
          <w:p w14:paraId="008264A2">
            <w:pPr>
              <w:keepNext w:val="0"/>
              <w:keepLines w:val="0"/>
              <w:widowControl/>
              <w:suppressLineNumbers w:val="0"/>
              <w:jc w:val="left"/>
              <w:textAlignment w:val="center"/>
              <w:rPr>
                <w:rStyle w:val="286"/>
                <w:rFonts w:hint="eastAsia" w:ascii="宋体" w:hAnsi="宋体" w:eastAsia="宋体" w:cs="宋体"/>
                <w:color w:val="auto"/>
                <w:sz w:val="21"/>
                <w:szCs w:val="21"/>
                <w:highlight w:val="none"/>
                <w:lang w:val="en-US" w:eastAsia="zh-CN" w:bidi="ar"/>
              </w:rPr>
            </w:pPr>
            <w:r>
              <w:rPr>
                <w:rStyle w:val="286"/>
                <w:rFonts w:hint="eastAsia" w:ascii="宋体" w:hAnsi="宋体" w:eastAsia="宋体" w:cs="宋体"/>
                <w:color w:val="auto"/>
                <w:sz w:val="21"/>
                <w:szCs w:val="21"/>
                <w:highlight w:val="none"/>
                <w:lang w:val="en-US" w:eastAsia="zh-CN" w:bidi="ar"/>
              </w:rPr>
              <w:t>6.具有动态层厚打印功能，对同一个模型不同部位使用不同的层厚进行打印，多个模型同时打印时可对各模型独立进行打印参数设置</w:t>
            </w:r>
          </w:p>
          <w:p w14:paraId="1970D1BE">
            <w:pPr>
              <w:keepNext w:val="0"/>
              <w:keepLines w:val="0"/>
              <w:widowControl/>
              <w:suppressLineNumbers w:val="0"/>
              <w:jc w:val="left"/>
              <w:textAlignment w:val="center"/>
              <w:rPr>
                <w:rStyle w:val="286"/>
                <w:rFonts w:hint="eastAsia" w:ascii="宋体" w:hAnsi="宋体" w:eastAsia="宋体" w:cs="宋体"/>
                <w:color w:val="auto"/>
                <w:sz w:val="21"/>
                <w:szCs w:val="21"/>
                <w:highlight w:val="none"/>
                <w:lang w:val="en-US" w:eastAsia="zh-CN" w:bidi="ar"/>
              </w:rPr>
            </w:pPr>
            <w:r>
              <w:rPr>
                <w:rStyle w:val="286"/>
                <w:rFonts w:hint="eastAsia" w:ascii="宋体" w:hAnsi="宋体" w:eastAsia="宋体" w:cs="宋体"/>
                <w:color w:val="auto"/>
                <w:sz w:val="21"/>
                <w:szCs w:val="21"/>
                <w:highlight w:val="none"/>
                <w:lang w:val="en-US" w:eastAsia="zh-CN" w:bidi="ar"/>
              </w:rPr>
              <w:t>7.具有局部填充密度功能，可以根据模型受力不同， 在不同区域选择不同的填充密度, 提高打印模型综合性能</w:t>
            </w:r>
          </w:p>
          <w:p w14:paraId="7FFBA2B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286"/>
                <w:rFonts w:hint="eastAsia" w:ascii="宋体" w:hAnsi="宋体" w:eastAsia="宋体" w:cs="宋体"/>
                <w:color w:val="auto"/>
                <w:sz w:val="21"/>
                <w:szCs w:val="21"/>
                <w:highlight w:val="none"/>
                <w:lang w:val="en-US" w:eastAsia="zh-CN" w:bidi="ar"/>
              </w:rPr>
              <w:t>8.具有自动或手动裁切处理功能，手动裁切方式可通过鼠标实现裁切位置的选择</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836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1A3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32965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A26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81C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基础款单色耗材</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0169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单色3D打印耗材 内置RFID智能识别颜色 含料盘 1KG</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E52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卷</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604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14:paraId="6D1BB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2F9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F35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双色渐变耗材</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1C2C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多色3D打印耗材 内置RFID智能识别颜色 含料盘 1KG</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9AB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卷</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943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14:paraId="18F26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BFD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919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桌面式激光切割机</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5B37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1、产品名称：桌面式激光切割机；</w:t>
            </w:r>
          </w:p>
          <w:p w14:paraId="6BAD5AA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2、产品尺寸：长*宽*高（mm）850*600*300±2mm。</w:t>
            </w:r>
          </w:p>
          <w:p w14:paraId="2197AEB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3、加工幅面：长*宽*高（mm）600*380；最大可加工高度不小于28mm；</w:t>
            </w:r>
          </w:p>
          <w:p w14:paraId="68735AC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电气参数</w:t>
            </w:r>
          </w:p>
          <w:p w14:paraId="68D3040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4、运行速度及精度：不小于600mm/s；加工精度小于0.05mm；</w:t>
            </w:r>
          </w:p>
          <w:p w14:paraId="728CF67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5、运动系统及工作平台：基于嵌入式的高性能多轴运动控制系统； </w:t>
            </w:r>
          </w:p>
          <w:p w14:paraId="1236DBF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6、激光类型与功率：40w二氧化碳激光管；</w:t>
            </w:r>
          </w:p>
          <w:p w14:paraId="76DA4B3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7、供电方式与功率：220V，50Hz~60Hz，平均功率为0.6kw；</w:t>
            </w:r>
          </w:p>
          <w:p w14:paraId="0F3BE81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功能参数</w:t>
            </w:r>
          </w:p>
          <w:p w14:paraId="2609246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8、加工属性与能力：支持纸张、木材、塑料、皮革等多种耗材的雕刻与切割，支持金属打标，切割厚度不小于15mm（桐木板）；</w:t>
            </w:r>
          </w:p>
          <w:p w14:paraId="3459A9E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摄像系统：内置高清广角摄像头，支持摄像头图像定位，支持摄像头拍照矢量化加工，摄像头图像定位精度小于2mm；（提供实物图片及软件运行截图）</w:t>
            </w:r>
          </w:p>
          <w:p w14:paraId="0AAC4F7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10、辅助系统：内置水冷系统，水温自动监控与报警；内置自动喷气系统；内置激光对焦系统，可自动升降对焦系统，能实现激光焦距自动校准；</w:t>
            </w:r>
          </w:p>
          <w:p w14:paraId="04E9B3C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11、抽屉式加工平台：安全可拆卸，内置安全状态门智能检测与智能锁功能。安全门敞开激光不工作；激光工作安全门自锁；</w:t>
            </w:r>
          </w:p>
          <w:p w14:paraId="66F6DDE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12、照明系统与状态灯：支持工作区全局照明，工作状态灯指示运行状态。</w:t>
            </w:r>
          </w:p>
          <w:p w14:paraId="25BC8D7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相关配套</w:t>
            </w:r>
          </w:p>
          <w:p w14:paraId="54268A0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13、安全配套：配备高温探测报警器、燃烧报警系统、水温安全控制系统；</w:t>
            </w:r>
          </w:p>
          <w:p w14:paraId="36C2F55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14、配套软件：搭配轻量级激光软件，软件支持多系统平台；软件内包含布尔运算、形状偏移、阵列等便于设计的基础设计功能；支持激光刀具补偿；支持图片矢量化；</w:t>
            </w:r>
          </w:p>
          <w:p w14:paraId="7D39E28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15、配套智能烟雾净化系统：烟雾净化随加工控制，滤芯寿命预警；净化器尺寸：长宽高（mm）450*250*300；</w:t>
            </w:r>
          </w:p>
          <w:p w14:paraId="44C2233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16、</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配套课程与教学资源：网上教学资源库，拥有海量教学资源。配备操作入门教学课程，初阶、中阶、高阶等教学课程，；不少于20种材料认知AR体验APP；课程包括且不限于：认识激光、3D动物制作、动漫大集合、木纹眼镜的制作、笔筒的制作、手绘勋章的制作、木艺花盆的制作、激光定制画、激光名片的制作、大作品骰子的制作等课程内容（提供课程证明文件）。</w:t>
            </w:r>
          </w:p>
          <w:p w14:paraId="1F7EC1A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17、</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 xml:space="preserve">提供所投产品桌面式激光切割机产品CE认证证书。 </w:t>
            </w:r>
          </w:p>
          <w:p w14:paraId="281033A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提供所投产品桌面式激光切割机符合国家标准的第三方检测报告。</w:t>
            </w:r>
          </w:p>
          <w:p w14:paraId="15998D7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提供桌面式激光切割机辅助制造软件计算机软件著作权证书。</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D75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59B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7D2F3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037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466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激光切割机配套课程</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4763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配套课程与教学资源：网上教学资源库，视频教学课程，拥有海量教学资源。配备操作入门教学课程，初阶、中阶、高阶等教学课程，提供不少于30个案例的制作过程；</w:t>
            </w:r>
          </w:p>
          <w:p w14:paraId="10B1DCC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课程包括且不限于：认识激光、3D动物制作、动漫大集合、木纹眼镜的制作、笔筒的制作、手绘勋章的制作、木艺花盆的制作、激光定制画、激光名片的制作、大作品骰子的制作、激光书签的制作、激光剪纸画的制作、存钱罐的制作、牛顿摆的制作、木陀螺的制作、测距机器人的制作、日地月场景的制作、AJ鞋子的制作、大作品VR眼镜的制作、玉兔捣药的制作、磁悬浮笔芯的制作、国旗升的制作、光影小夜灯的制作、伸缩抓的制作、密码箱的制作、吸烟报警器的制作、手持风扇的制作、天空之城的制作、流浪地球加湿器的制作。</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E31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8C3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586FB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3F6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07A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激光切割机耗材包</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F9E8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1.椴木板尺寸：3mm*210*300  共25件</w:t>
            </w:r>
          </w:p>
          <w:p w14:paraId="491A9BF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2.椴木板尺寸：5mm*210*300 共10件</w:t>
            </w:r>
          </w:p>
          <w:p w14:paraId="38B6426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3.奥松板尺寸：3mm*210*300 共25件</w:t>
            </w:r>
          </w:p>
          <w:p w14:paraId="1DBC6CC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4.奥松板尺寸：5mm*210*300 共10件</w:t>
            </w:r>
          </w:p>
          <w:p w14:paraId="6829684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5.牛皮纸尺寸：0.5mm*210*290 共20件</w:t>
            </w:r>
          </w:p>
          <w:p w14:paraId="6FC7584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6.瓦楞纸尺寸：3mm*200*300 共30件</w:t>
            </w:r>
          </w:p>
          <w:p w14:paraId="7C97104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7.瓦楞纸尺寸：6mm*200*300 共10件</w:t>
            </w:r>
          </w:p>
          <w:p w14:paraId="7E5A0FB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8.榉木板尺寸：3mm*100*200 共4件</w:t>
            </w:r>
          </w:p>
          <w:p w14:paraId="7243B2E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9.透明亚克力尺寸：3mm*200*270 共4件</w:t>
            </w:r>
          </w:p>
          <w:p w14:paraId="270CF4B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合计耗材数量超过120件</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2F1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箱</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8F9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r w14:paraId="1428C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25C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8A8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智能无人机</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B30E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产品功能：</w:t>
            </w:r>
          </w:p>
          <w:p w14:paraId="5297E4E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1.兼容积木机械组件</w:t>
            </w:r>
          </w:p>
          <w:p w14:paraId="347CDD3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2.基于图形化编程、python编程</w:t>
            </w:r>
          </w:p>
          <w:p w14:paraId="53503D9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3.支持手机APP遥控及编程界面</w:t>
            </w:r>
          </w:p>
          <w:p w14:paraId="6A2D1F9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4.支持蜂鸣器，LED灯多种传感器</w:t>
            </w:r>
          </w:p>
          <w:p w14:paraId="169FCF8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产品技术参数：</w:t>
            </w:r>
          </w:p>
          <w:p w14:paraId="56D07C6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1.轴距：148mm</w:t>
            </w:r>
          </w:p>
          <w:p w14:paraId="3CD3E52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2.桨叶：76mm双叶桨</w:t>
            </w:r>
          </w:p>
          <w:p w14:paraId="64029FB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3.电机：1020/32000rpm@7.4V</w:t>
            </w:r>
          </w:p>
          <w:p w14:paraId="3C5D4CD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4.电池：2S/7.4V/600 mAh</w:t>
            </w:r>
          </w:p>
          <w:p w14:paraId="2C731C9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5.充电时间：≤60min</w:t>
            </w:r>
          </w:p>
          <w:p w14:paraId="4A561DF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6.遥控距离：100m</w:t>
            </w:r>
          </w:p>
          <w:p w14:paraId="3541DE9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7.最长飞行时间：10分钟</w:t>
            </w:r>
          </w:p>
          <w:p w14:paraId="00B98B4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8.摄像头：≥800万像素</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F03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43B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14:paraId="315F8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15D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720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智能无人机赛事配件包</w:t>
            </w:r>
          </w:p>
        </w:tc>
        <w:tc>
          <w:tcPr>
            <w:tcW w:w="3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E314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产品功能：</w:t>
            </w:r>
          </w:p>
          <w:p w14:paraId="2CADD62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比赛备用配件套装，快速充电套装</w:t>
            </w:r>
          </w:p>
          <w:p w14:paraId="269664A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充电器技术参数：</w:t>
            </w:r>
          </w:p>
          <w:p w14:paraId="29AFF52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1.输入电压：AC 100-240V/50-60Hz </w:t>
            </w:r>
          </w:p>
          <w:p w14:paraId="60BD01B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2.输出电压：8.4V </w:t>
            </w:r>
          </w:p>
          <w:p w14:paraId="5997811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3.输出电流：1.5A </w:t>
            </w:r>
          </w:p>
          <w:p w14:paraId="108982C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4.充电功率：4*15W </w:t>
            </w:r>
          </w:p>
          <w:p w14:paraId="2EA757D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5.电池类型：锂电池 </w:t>
            </w:r>
          </w:p>
          <w:p w14:paraId="33AA2FD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6.充电时间：约28分钟 </w:t>
            </w:r>
          </w:p>
          <w:p w14:paraId="5D9AC42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产品清单：锂电池4个；电机套件配件包2套；硬桨叶配件包4套；四路锂电池充电器 1个</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57C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464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14:paraId="087DA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916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A3A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夹取搬运功能模块</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E522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产品功能：</w:t>
            </w:r>
          </w:p>
          <w:p w14:paraId="61A9330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信息素养提升实践活动赛项传感器模块及赛事套装</w:t>
            </w:r>
          </w:p>
          <w:p w14:paraId="761695C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产品技术参数：</w:t>
            </w:r>
          </w:p>
          <w:p w14:paraId="56C6889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定位辅助：位置标签</w:t>
            </w:r>
          </w:p>
          <w:p w14:paraId="5DD8507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编程LED： RGB</w:t>
            </w:r>
          </w:p>
          <w:p w14:paraId="490605E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颜色识别：黑红绿蓝</w:t>
            </w:r>
          </w:p>
          <w:p w14:paraId="64BBAC7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舵机控制：180°数字舵机</w:t>
            </w:r>
          </w:p>
          <w:p w14:paraId="2B4B6C1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工作电压：4.8-6.0V</w:t>
            </w:r>
          </w:p>
          <w:p w14:paraId="65B0296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扭力：0.3Kg-cm</w:t>
            </w:r>
          </w:p>
          <w:p w14:paraId="679CB2B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速度：0.09 sec/60°</w:t>
            </w:r>
          </w:p>
          <w:p w14:paraId="185DEDB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机械臂最大张开角度：180°</w:t>
            </w:r>
          </w:p>
          <w:p w14:paraId="244D304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最大被夹取物直径：80mm</w:t>
            </w:r>
          </w:p>
          <w:p w14:paraId="04B1B7F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最大夹取重量：8g</w:t>
            </w:r>
          </w:p>
          <w:p w14:paraId="3B368FE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套装清单：                                                       夹取模块1个；辅助标识4个；</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475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525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3551B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244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AB9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道具地图套装</w:t>
            </w:r>
          </w:p>
        </w:tc>
        <w:tc>
          <w:tcPr>
            <w:tcW w:w="3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1273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满足全国师生信息素养提升实践活动</w:t>
            </w:r>
          </w:p>
          <w:p w14:paraId="7899D68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智能机器人-挑战赛C类竞赛需求</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7FE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495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69514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F0A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DCB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无人机足球</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EDDB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无人机参数：</w:t>
            </w:r>
          </w:p>
          <w:p w14:paraId="68CF8E8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外径：205mm </w:t>
            </w:r>
          </w:p>
          <w:p w14:paraId="68C81AA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轴距：110mm</w:t>
            </w:r>
          </w:p>
          <w:p w14:paraId="678B240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起飞重量：200g</w:t>
            </w:r>
          </w:p>
          <w:p w14:paraId="49B1904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电池：3s 1150mah</w:t>
            </w:r>
          </w:p>
          <w:p w14:paraId="151CF78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电机：1205 4300kv</w:t>
            </w:r>
          </w:p>
          <w:p w14:paraId="4B5D1AC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螺旋桨：专用BF2.8英寸</w:t>
            </w:r>
          </w:p>
          <w:p w14:paraId="0747A8A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飞控：BF/F4</w:t>
            </w:r>
          </w:p>
          <w:p w14:paraId="72615DF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电调：20Ax4</w:t>
            </w:r>
          </w:p>
          <w:p w14:paraId="499032B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LED：板载可编程 5+尾灯4共9颗（可遥控5色变化）</w:t>
            </w:r>
          </w:p>
          <w:p w14:paraId="3C69510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高分贝蜂鸣器：有</w:t>
            </w:r>
          </w:p>
          <w:p w14:paraId="2D27FF2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机身材料：碳纤维核心、塑料外壳，tpu悬置</w:t>
            </w:r>
          </w:p>
          <w:p w14:paraId="14C6A46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遥控器</w:t>
            </w:r>
          </w:p>
          <w:p w14:paraId="6D0C832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手柄控160x80x120mm折叠T天线</w:t>
            </w:r>
          </w:p>
          <w:p w14:paraId="6A79F0F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无线电：ELRS 2.4G竞赛级低延迟100mw</w:t>
            </w:r>
          </w:p>
          <w:p w14:paraId="64E5704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摇杆：双轴承可更换摇杆头</w:t>
            </w:r>
          </w:p>
          <w:p w14:paraId="5115DB7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电池：双18650电池仓可切换</w:t>
            </w:r>
          </w:p>
          <w:p w14:paraId="63F154E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显示屏：128x64 OLED</w:t>
            </w:r>
          </w:p>
          <w:p w14:paraId="6791AF6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功能：无线蓝牙模拟器、usb模拟器、128x64点阵屏、单键切换7色灯、BB响控制</w:t>
            </w:r>
          </w:p>
          <w:p w14:paraId="536B919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飞行模式：手动ACRO、自稳ANGLE、定高ALTHOLD（需定制）、限高功能ALTLIMIT（需定制）</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84A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156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r w14:paraId="372EB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352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516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无人机足球电池</w:t>
            </w:r>
          </w:p>
        </w:tc>
        <w:tc>
          <w:tcPr>
            <w:tcW w:w="3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5C12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1150mah3s锂电池 （标准配置）700mah3s 75c锂电池（轻量化，起飞重量170g）各一块</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2B1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5FF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r w14:paraId="3FE5B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680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C45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无人机足球赛竞赛专用场地</w:t>
            </w:r>
          </w:p>
        </w:tc>
        <w:tc>
          <w:tcPr>
            <w:tcW w:w="3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FFF8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场地尺寸：5×2.5×2.5米</w:t>
            </w:r>
          </w:p>
          <w:p w14:paraId="2266CBE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该场地适用性广，适合多轴无人机足球（无刷）、多轴无人机足球（空心杯组）等竞赛。搭建场地灵活，在教室、地下车位（1个车位大小）、校园走廊等多个场所均可搭建。同时搭拆简易，含电动充气泵，充气时间约5分钟  （隔1周适当补气）。高密度纤维材质，耐用可靠含，含修补工具包。</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FA9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4E0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57E76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AC8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1B4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编队无人机</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33042">
            <w:pPr>
              <w:keepNext w:val="0"/>
              <w:keepLines w:val="0"/>
              <w:widowControl/>
              <w:suppressLineNumbers w:val="0"/>
              <w:jc w:val="left"/>
              <w:textAlignment w:val="center"/>
              <w:rPr>
                <w:rFonts w:hint="eastAsia" w:ascii="宋体" w:hAnsi="宋体" w:eastAsia="宋体" w:cs="宋体"/>
                <w:i w:val="0"/>
                <w:iCs w:val="0"/>
                <w:strike w:val="0"/>
                <w:dstrike w:val="0"/>
                <w:color w:val="auto"/>
                <w:kern w:val="0"/>
                <w:sz w:val="21"/>
                <w:szCs w:val="21"/>
                <w:highlight w:val="none"/>
                <w:u w:val="none"/>
                <w:lang w:val="en-US" w:eastAsia="zh-CN" w:bidi="ar"/>
              </w:rPr>
            </w:pPr>
            <w:r>
              <w:rPr>
                <w:rFonts w:hint="eastAsia" w:ascii="宋体" w:hAnsi="宋体" w:eastAsia="宋体" w:cs="宋体"/>
                <w:i w:val="0"/>
                <w:iCs w:val="0"/>
                <w:strike w:val="0"/>
                <w:dstrike w:val="0"/>
                <w:color w:val="auto"/>
                <w:kern w:val="0"/>
                <w:sz w:val="21"/>
                <w:szCs w:val="21"/>
                <w:highlight w:val="none"/>
                <w:u w:val="none"/>
                <w:lang w:val="en-US" w:eastAsia="zh-CN" w:bidi="ar"/>
              </w:rPr>
              <w:t>重量  (包含电池和保护罩)  ≤ 190g</w:t>
            </w:r>
          </w:p>
          <w:p w14:paraId="515E14E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最大下降速度 2.5m/s  (表演飞行为1m/s)，最大上升速度 2.5m/s  (表演飞行为1m/s)</w:t>
            </w:r>
          </w:p>
          <w:p w14:paraId="6884394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最大水平速度 5m/s  (表演飞行为2m/s)；最大飞行定位高度 10m</w:t>
            </w:r>
          </w:p>
          <w:p w14:paraId="7105DBD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续航时间  12min，工作温度  -10℃ ~ +40℃</w:t>
            </w:r>
          </w:p>
          <w:p w14:paraId="05F350F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定位模式 UWB基站定位</w:t>
            </w:r>
          </w:p>
          <w:p w14:paraId="24BBD26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最大旋转角速度  俯仰轴：  180°/ 秒 航向轴：  30°/秒</w:t>
            </w:r>
          </w:p>
          <w:p w14:paraId="59737AE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悬浮精度  垂直:±0.3m  (室内)   水平:±0.3m  (室内)</w:t>
            </w:r>
          </w:p>
          <w:p w14:paraId="1CC75DD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抗风等级 3级风  (3.4 ~ 5.4 m/s)</w:t>
            </w:r>
          </w:p>
          <w:p w14:paraId="6ED965E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轴距 ≥165mm</w:t>
            </w:r>
          </w:p>
          <w:p w14:paraId="29385AD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螺旋桨规格 75mm，无刷电机动力强劲 1104  (5500KV)</w:t>
            </w:r>
          </w:p>
          <w:p w14:paraId="63BA40B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灯光 5W炫彩高亮LED灯，  颜色可设变</w:t>
            </w:r>
          </w:p>
          <w:p w14:paraId="0434710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安全性堵转保护、低电量保护、失控保护、物理防护</w:t>
            </w:r>
          </w:p>
          <w:p w14:paraId="0C1CA53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使用说明书</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DB7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97E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5BD6C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D52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60B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模拟器</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1964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飞行前的必要训练项目，满足自治区模拟遥控竞赛要求</w:t>
            </w:r>
          </w:p>
          <w:p w14:paraId="1560BEC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1.软件需支持主流品牌遥控器，通过USB或无线加密狗方式连接。</w:t>
            </w:r>
          </w:p>
          <w:p w14:paraId="7CB8838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2.软件内不少于12中飞行场景，其中包含室内赛道、山地、森林、城市建筑等场景。可实现不同时段及天气效果。</w:t>
            </w:r>
          </w:p>
          <w:p w14:paraId="7307D87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3.提供专业练习赛道，计时系统可自动生成圈速及排名情况。</w:t>
            </w:r>
          </w:p>
          <w:p w14:paraId="6F83055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4.拥有不少于10节的培训课程，有详细的中文介引导界面，掌握基本航模性能和飞行技巧。</w:t>
            </w:r>
          </w:p>
          <w:p w14:paraId="04C4606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5.软件支持自建赛道功能，可编辑3D场景赛道，包含赛道障碍、建筑物、地面材质及植物、几何体障碍、标识物及灯光等。</w:t>
            </w:r>
          </w:p>
          <w:p w14:paraId="77E04EB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6.支持多玩家联机比赛。 </w:t>
            </w:r>
          </w:p>
          <w:p w14:paraId="41A9808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（提供1-6项软件功能运行截图）</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A83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0A1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0596E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996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B3C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工具套装</w:t>
            </w:r>
          </w:p>
        </w:tc>
        <w:tc>
          <w:tcPr>
            <w:tcW w:w="3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38F6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螺丝刀套装 电烙铁 扎带 胶带等</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363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3D0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3CEC2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B4A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BA9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机器狗</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E9B4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1.可伸缩电机驱动式卷线器：更好的运输物品体验。</w:t>
            </w:r>
          </w:p>
          <w:p w14:paraId="4F1B849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2.高性能八核处理器</w:t>
            </w:r>
          </w:p>
          <w:p w14:paraId="7732C50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3.载荷：约8kg(极限~10kg)</w:t>
            </w:r>
          </w:p>
          <w:p w14:paraId="07C3555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4.运动速度：0~3.5m/s</w:t>
            </w:r>
          </w:p>
          <w:p w14:paraId="6A6E157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5.最大攀爬落差高度：约16cm</w:t>
            </w:r>
          </w:p>
          <w:p w14:paraId="0F8A64E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6.最大攀爬斜坡角度：40°</w:t>
            </w:r>
          </w:p>
          <w:p w14:paraId="7123883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7.基础算力：8核高性能CPU</w:t>
            </w:r>
          </w:p>
          <w:p w14:paraId="34940E0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8.最大关节扭矩：约45N.m</w:t>
            </w:r>
          </w:p>
          <w:p w14:paraId="491FB93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9.4G模组 内置eSIM</w:t>
            </w:r>
          </w:p>
          <w:p w14:paraId="622FB6A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10.语音交互及指令</w:t>
            </w:r>
          </w:p>
          <w:p w14:paraId="1F7968F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11.语音对讲</w:t>
            </w:r>
          </w:p>
          <w:p w14:paraId="2E30646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12.音乐播放（喇叭3W）</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CF9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985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008FD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BB1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127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机械臂</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3D0B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1.5KG负载</w:t>
            </w:r>
          </w:p>
          <w:p w14:paraId="3DFD48C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0.1mm精度定位</w:t>
            </w:r>
          </w:p>
          <w:p w14:paraId="103FDD9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620mm工作半径</w:t>
            </w:r>
          </w:p>
          <w:p w14:paraId="7883C80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轻量化6轴设计，铝合金骨架，树脂外壳。</w:t>
            </w:r>
          </w:p>
          <w:p w14:paraId="640D609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集成式控制器，搭配CAN通讯接口，与多种智能系统无缝对接。兼容python/ROS/ROS2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23D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015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1C185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CE9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99C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多足拟态机器人套装</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5878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一、功能描述</w:t>
            </w:r>
          </w:p>
          <w:p w14:paraId="17C5DA1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1、学习套装产品一款多拟态AI机器人，产品包含结构件、执行件和主控。配合3D动态图纸和可视化编程，趣味性的学习加动手操作，让学生从零基础轻松进入机器人世界。</w:t>
            </w:r>
          </w:p>
          <w:p w14:paraId="5A87810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2、要求平台同时能运行多个算法模型，并提供算法并行运行的证明录屏。</w:t>
            </w:r>
          </w:p>
          <w:p w14:paraId="2D04319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二、配置要求</w:t>
            </w:r>
          </w:p>
          <w:p w14:paraId="46A2520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1、≥27个种类，≥78个零件，可构建主流机器人形态，可搭建平衡车、变形车、轮足机器人、四足机器狗、四足蜘蛛至少五种形态；</w:t>
            </w:r>
          </w:p>
          <w:p w14:paraId="575B45D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2、多功能控制器：配置≥3麦阵列麦克风，喇叭模块，触控显示屏，≥9轴陀螺仪，开源接口等，可以实现自然语音交互、机器人运动控制等功能，多个模块接口，实现设计程序运行，让搭建的作品动起来；</w:t>
            </w:r>
          </w:p>
          <w:p w14:paraId="05979E0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3、智能语音：本地VAD、在线ASR和在线TTS语音功能、NLP功能、3麦降噪、响度检测（语音识别截图证明文件）；</w:t>
            </w:r>
          </w:p>
          <w:p w14:paraId="72F8A4B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4、机器视觉：单、双轨车道识别、二维码识别、AprilTag定位识别、交通标志识别、车牌识别、颜色识别、自定义颜色识别、人脸识别、人脸特征（口罩、情绪、性别）识别、人体姿态识别、文字识别、手势识别、自定义模型训练CNN、Wi-Fi图传、识别结果图传（车牌识别、文字识别、人体姿态识别功能截图证明文件）；</w:t>
            </w:r>
          </w:p>
          <w:p w14:paraId="5DDDC90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5、运控算法：自适应算法、步态算法、自平衡算法、里程算法等；</w:t>
            </w:r>
          </w:p>
          <w:p w14:paraId="387C16B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6、机器协作：多设备通信。</w:t>
            </w:r>
          </w:p>
          <w:p w14:paraId="3EF5C60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三、技术参数</w:t>
            </w:r>
          </w:p>
          <w:p w14:paraId="268C60D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1、主芯片参数如下：</w:t>
            </w:r>
          </w:p>
          <w:p w14:paraId="1691305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（1）内存：≥32GB；</w:t>
            </w:r>
          </w:p>
          <w:p w14:paraId="78F4CD4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（2）NPU：约1 TOPS；</w:t>
            </w:r>
          </w:p>
          <w:p w14:paraId="4B67F2C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（3）闪存：≥4GB。</w:t>
            </w:r>
          </w:p>
          <w:p w14:paraId="44A0D08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2、舵机参数如下：</w:t>
            </w:r>
          </w:p>
          <w:p w14:paraId="67ABD96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（1）最大扭矩：约13.0 kgf.cm；</w:t>
            </w:r>
          </w:p>
          <w:p w14:paraId="3D09F38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（2）最大转速：≥60 RPM ；</w:t>
            </w:r>
          </w:p>
          <w:p w14:paraId="16FA27B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（3）控制精度：空载1°，带载2°；</w:t>
            </w:r>
          </w:p>
          <w:p w14:paraId="502283D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（4）角度范围：0～360°；</w:t>
            </w:r>
          </w:p>
          <w:p w14:paraId="40D7038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3、减速电机参数如下：</w:t>
            </w:r>
          </w:p>
          <w:p w14:paraId="3B82337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（1）最大扭矩：约2.0 kgf.cm；</w:t>
            </w:r>
          </w:p>
          <w:p w14:paraId="66038A7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（2）最大转速：≥360 RPM 。</w:t>
            </w:r>
          </w:p>
          <w:p w14:paraId="1C017B5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4、摄像头模组参数如下：</w:t>
            </w:r>
          </w:p>
          <w:p w14:paraId="2ACF873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（1）视场角：不低于106°；</w:t>
            </w:r>
          </w:p>
          <w:p w14:paraId="488F755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（2）像素级：不低于1M 。</w:t>
            </w:r>
          </w:p>
          <w:p w14:paraId="4D5DEA8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5、测距模组参数如下：</w:t>
            </w:r>
          </w:p>
          <w:p w14:paraId="33BB518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（1）检测距离：4-200 cm；</w:t>
            </w:r>
          </w:p>
          <w:p w14:paraId="1990398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（2）工作波段：940 nm 。</w:t>
            </w:r>
          </w:p>
          <w:p w14:paraId="2A9C863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6.蓝牙手柄</w:t>
            </w:r>
          </w:p>
          <w:p w14:paraId="0F031FC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蓝牙手柄参数如下：</w:t>
            </w:r>
          </w:p>
          <w:p w14:paraId="3D4713D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（1）频率范围 ：2.400~2.4835GHz；</w:t>
            </w:r>
          </w:p>
          <w:p w14:paraId="2099E9C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（2）蓝牙版本：蓝牙4.0。</w:t>
            </w:r>
          </w:p>
          <w:p w14:paraId="5AF1E0B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四、资质要求</w:t>
            </w:r>
          </w:p>
          <w:p w14:paraId="734F6CF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1、要求能提供</w:t>
            </w:r>
            <w:r>
              <w:rPr>
                <w:rFonts w:hint="eastAsia" w:ascii="宋体" w:hAnsi="宋体" w:eastAsia="宋体" w:cs="宋体"/>
                <w:i w:val="0"/>
                <w:iCs w:val="0"/>
                <w:strike w:val="0"/>
                <w:dstrike w:val="0"/>
                <w:color w:val="auto"/>
                <w:kern w:val="0"/>
                <w:sz w:val="21"/>
                <w:szCs w:val="21"/>
                <w:highlight w:val="none"/>
                <w:u w:val="none"/>
                <w:lang w:val="en-US" w:eastAsia="zh-CN" w:bidi="ar"/>
              </w:rPr>
              <w:t>SRRC</w:t>
            </w:r>
            <w:r>
              <w:rPr>
                <w:rFonts w:hint="eastAsia" w:ascii="宋体" w:hAnsi="宋体" w:eastAsia="宋体" w:cs="宋体"/>
                <w:i w:val="0"/>
                <w:iCs w:val="0"/>
                <w:color w:val="auto"/>
                <w:kern w:val="0"/>
                <w:sz w:val="21"/>
                <w:szCs w:val="21"/>
                <w:highlight w:val="none"/>
                <w:u w:val="none"/>
                <w:lang w:val="en-US" w:eastAsia="zh-CN" w:bidi="ar"/>
              </w:rPr>
              <w:t>证书、电池CQC证书、电源的3C证书。</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6DD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425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14243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AA7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6B7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赛事场地</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F0EC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一、功能描述</w:t>
            </w:r>
          </w:p>
          <w:p w14:paraId="3112B36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道具包作为赛项场地搭建专属设计的道具，通过搭建指南可以完成“智慧景区”场地模型的搭建，鼓励选手对景区各环节痛点进行深入洞察，将无人驾驶、AI语音、AI视觉、机器人运动控制等前沿技术应用于景区场景，用于配合比赛所用。</w:t>
            </w:r>
          </w:p>
          <w:p w14:paraId="1313DEF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二、配置要求和技术参数</w:t>
            </w:r>
          </w:p>
          <w:p w14:paraId="4740979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1、教具包含EVA圆球、方块等。</w:t>
            </w:r>
          </w:p>
          <w:p w14:paraId="75914EE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二、配置要求和技术参数</w:t>
            </w:r>
          </w:p>
          <w:p w14:paraId="719F765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1、≥9个种类，≥21个部件，支持学生完成赛事场地搭建；</w:t>
            </w:r>
          </w:p>
          <w:p w14:paraId="163E033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2、该产品的斜坡和方块采用新型环保塑料发泡材料（EVA），具有良好的缓冲、抗震、防潮、抗化学腐蚀等优点。</w:t>
            </w:r>
          </w:p>
          <w:p w14:paraId="15B8048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3、该产品的识别卡片采用了硬卡纸，具有不易破损的特点。</w:t>
            </w:r>
          </w:p>
          <w:p w14:paraId="68F8973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1、套件包含相关赛项地图 1张；</w:t>
            </w:r>
          </w:p>
          <w:p w14:paraId="1EA55C3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2、地图规格参数：2400*1500(mm) （ ±100mm）采用地板膜过哑胶，喷绘。</w:t>
            </w:r>
          </w:p>
          <w:p w14:paraId="2DE0C89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一、功能描述</w:t>
            </w:r>
          </w:p>
          <w:p w14:paraId="00493B3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赛项的配套使用产品。</w:t>
            </w:r>
          </w:p>
          <w:p w14:paraId="25077AA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二、配置要求和技术参数</w:t>
            </w:r>
          </w:p>
          <w:p w14:paraId="3557314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1、套件包含塑胶围栏、魔术贴若干等配件。</w:t>
            </w:r>
          </w:p>
          <w:p w14:paraId="2CB8C73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2、结构零件材质为ABS塑胶。</w:t>
            </w:r>
          </w:p>
          <w:p w14:paraId="6BA0E89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结构零件采用扣槽连接方式，无需采用铁质螺丝刀、螺母刀、扳手完成场地围栏的搭建。</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90C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738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25A14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48B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283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六足机器人套装</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603B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1、机体参数：</w:t>
            </w:r>
          </w:p>
          <w:p w14:paraId="13C875B1">
            <w:pPr>
              <w:keepNext w:val="0"/>
              <w:keepLines w:val="0"/>
              <w:widowControl/>
              <w:suppressLineNumbers w:val="0"/>
              <w:jc w:val="left"/>
              <w:textAlignment w:val="center"/>
              <w:rPr>
                <w:rFonts w:hint="eastAsia" w:ascii="宋体" w:hAnsi="宋体" w:eastAsia="宋体" w:cs="宋体"/>
                <w:i w:val="0"/>
                <w:iCs w:val="0"/>
                <w:strike w:val="0"/>
                <w:dstrike w:val="0"/>
                <w:color w:val="auto"/>
                <w:kern w:val="0"/>
                <w:sz w:val="21"/>
                <w:szCs w:val="21"/>
                <w:highlight w:val="none"/>
                <w:u w:val="none"/>
                <w:lang w:val="en-US" w:eastAsia="zh-CN" w:bidi="ar"/>
              </w:rPr>
            </w:pPr>
            <w:r>
              <w:rPr>
                <w:rFonts w:hint="eastAsia" w:ascii="宋体" w:hAnsi="宋体" w:eastAsia="宋体" w:cs="宋体"/>
                <w:i w:val="0"/>
                <w:iCs w:val="0"/>
                <w:strike w:val="0"/>
                <w:dstrike w:val="0"/>
                <w:color w:val="auto"/>
                <w:kern w:val="0"/>
                <w:sz w:val="21"/>
                <w:szCs w:val="21"/>
                <w:highlight w:val="none"/>
                <w:u w:val="none"/>
                <w:lang w:val="en-US" w:eastAsia="zh-CN" w:bidi="ar"/>
              </w:rPr>
              <w:t>(1)机体重量：≥2.4KG</w:t>
            </w:r>
          </w:p>
          <w:p w14:paraId="41959CB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(2)摄像头分辨率：不低于480P</w:t>
            </w:r>
          </w:p>
          <w:p w14:paraId="6953668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(3)摄像头接口：USB口</w:t>
            </w:r>
          </w:p>
          <w:p w14:paraId="1BC304E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(4)超声波测距：2~500CM</w:t>
            </w:r>
          </w:p>
          <w:p w14:paraId="7AA7D19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(5)摄像头云台自由度：上下左右</w:t>
            </w:r>
          </w:p>
          <w:p w14:paraId="27CCCC3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2、供电系统：</w:t>
            </w:r>
          </w:p>
          <w:p w14:paraId="09D8B28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(1)电池：11.1V 2500mAh 10C锂电池</w:t>
            </w:r>
          </w:p>
          <w:p w14:paraId="5269952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(2)续航时间：持续运行40min~60min</w:t>
            </w:r>
          </w:p>
          <w:p w14:paraId="7FE8D41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3、控制系统：</w:t>
            </w:r>
          </w:p>
          <w:p w14:paraId="77B33FA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(1)硬件部分：主控板4B主控板和主控板扩展板</w:t>
            </w:r>
          </w:p>
          <w:p w14:paraId="40EA148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(2)软件平台：多语言平台</w:t>
            </w:r>
          </w:p>
          <w:p w14:paraId="51220B1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(3)控制方式：</w:t>
            </w:r>
          </w:p>
          <w:p w14:paraId="5071144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①积木块直接控制</w:t>
            </w:r>
          </w:p>
          <w:p w14:paraId="084EAF6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②语音控制（+USB麦克风）</w:t>
            </w:r>
          </w:p>
          <w:p w14:paraId="5A2CC33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③遥控手柄控制（+遥控ps2手柄）</w:t>
            </w:r>
          </w:p>
          <w:p w14:paraId="718CCE7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④远程物联网控制</w:t>
            </w:r>
          </w:p>
          <w:p w14:paraId="3CE006A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3、功能：</w:t>
            </w:r>
          </w:p>
          <w:p w14:paraId="1B0BED1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①可通过图形化编程控制六足机器人不同姿态动作：站立、低姿态左转、高姿态左转、低姿态右转、高姿态右转、伸展等；</w:t>
            </w:r>
          </w:p>
          <w:p w14:paraId="08ED829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②可切换六足模式与四足模式；</w:t>
            </w:r>
          </w:p>
          <w:p w14:paraId="468FC80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③可控制摄像头舵机转动，并视觉识别物块，实行抓取动作；</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3C9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141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46285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9DD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6E7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机器人A类竞赛材料包</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2AFC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根据当年度信息数养比赛项目定制，包含完成竞赛项目训练所需的全套材料以及1块备用电池</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E43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BB2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4ED08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66B02">
            <w:pPr>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初中化学智能吊装实验室</w:t>
            </w:r>
          </w:p>
        </w:tc>
      </w:tr>
      <w:tr w14:paraId="52268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E3C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2F0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实验桌（教师演示台）</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C73A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整体规格：2900mm×700mm×900mm，由3个储物柜、抽屉架、水槽柜组成；</w:t>
            </w:r>
          </w:p>
          <w:p w14:paraId="08166A0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1、台面：采用≥13.0mm厚优抗板台面。</w:t>
            </w:r>
          </w:p>
          <w:p w14:paraId="22857D0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2、储物柜：柜体均为全钢结构，采用≥1.0mm厚冷轧钢板，表层经酸洗、磷化、环氧树脂粉末喷涂等工艺加工生产，接缝处无焊点，表面平整光滑，耐酸碱，防腐蚀；边缘做倒角设计，可防止磕碰；柜门：主体采用双层冷轧钢板装配成型，内附蜂窝状瓦楞纸防噪填充，柜门内侧装有起缓冲作用防撞贴，门板面板内嵌ABS塑料拉手；活动层板：柜体内设有活动层板，采用≥1.0mm厚冷轧钢板制作，配合至少4个塑料支撑扣调整上下高度，调节孔距≥50mm，承重≥20KG； </w:t>
            </w:r>
          </w:p>
          <w:p w14:paraId="5F5776A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抽屉架：主体采用≥1.0mm厚冷轧钢板，表层经酸洗、磷化、环氧树脂粉末喷涂等工艺加工生产，接缝处无焊点，表面平整光滑，耐酸碱，防腐蚀。边缘做倒角设计，可防止磕碰；内置2个内部规格：≥314mm×352mm×126mm抽屉，抽头均为双层结构，内附蜂窝状瓦楞纸防噪填充，采用三节静音导轨，配备阻尼滑道，抽头内嵌塑料拉手；</w:t>
            </w:r>
          </w:p>
          <w:p w14:paraId="1F1C959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水槽柜：规格：≥550mm×700mm×900mm，采用≥1.0mm厚冷轧钢板，表层经酸洗、磷化、环氧树脂粉末喷涂等工艺加工生产，接缝处无焊点，表面平整光滑，耐酸碱，防腐蚀。边缘做倒角设计，可防止磕碰；柜门：主体采用双层冷轧钢板装配成型，内附蜂窝状瓦楞纸防噪填充，柜门内侧装有防撞贴，面板内嵌ABS塑料拉手；预留水槽孔位。</w:t>
            </w:r>
          </w:p>
          <w:p w14:paraId="0CAB26E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5、可调脚：桌体底部配备≥50mm高钢制PP注塑调节地脚，减震防滑。</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9AF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0CD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46DF5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B55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68B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教师椅</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2883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1.规格：550×500×1070mm</w:t>
            </w:r>
          </w:p>
          <w:p w14:paraId="13995FE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2.采用PU皮面，海绵坐垫；</w:t>
            </w:r>
          </w:p>
          <w:p w14:paraId="09C52A9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3.黑色PP加玻纤内外塑框；</w:t>
            </w:r>
          </w:p>
          <w:p w14:paraId="5C3895C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4.一体成型PP固定扶手；</w:t>
            </w:r>
          </w:p>
          <w:p w14:paraId="13FD722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5.中靠背46-49cm，人体工程学设计；</w:t>
            </w:r>
          </w:p>
          <w:p w14:paraId="5BBEC2C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6.≥1.0mm厚气杆；</w:t>
            </w:r>
          </w:p>
          <w:p w14:paraId="3619394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7.PP加纤五星塑脚；</w:t>
            </w:r>
          </w:p>
          <w:p w14:paraId="75BE26A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8.φ50mm（偏差±5%）黑边尼龙万向轮。</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5F7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986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1EDFD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5E6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38D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水槽</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EE33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1.材质：PP材质。</w:t>
            </w:r>
          </w:p>
          <w:p w14:paraId="541050C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2.水槽外部规格：≥440mm（L）×330mm（W）×200mm（H）。</w:t>
            </w:r>
          </w:p>
          <w:p w14:paraId="6FCEE78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3.密封方式：水封式，可防止废水回流和堵塞。</w:t>
            </w:r>
          </w:p>
          <w:p w14:paraId="1A7DAB4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4.槽体上部配备出水装置：单联出水口，管体部份为黄铜合金制，陶瓷阀芯，表面经环氧树脂静电喷涂处理，耐酸碱腐蚀。出水口为铜质瓷芯尖嘴型，可拆卸清洗阻塞。</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756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A12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03878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A63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D3A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电源</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0360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规格：310mm×350mm；</w:t>
            </w:r>
          </w:p>
          <w:p w14:paraId="2CBA2E1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1、一体化PVC按键设计，安装于抽屉之内，两组数码管分别显示输出电压与电流，电源采用按键式操作，可精准输出所需电压；</w:t>
            </w:r>
          </w:p>
          <w:p w14:paraId="7063F0A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2、交流输出：支持由教师操作输出0-30V交流电压，分辨率为1V，额定电流≥2A，具备过载保护功能；</w:t>
            </w:r>
          </w:p>
          <w:p w14:paraId="713CA04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3、直流输出：支持由教师操作输出0-30V直流电压，分辨率为0.1V，额定电流≥2A，具备过载保护功能；</w:t>
            </w:r>
          </w:p>
          <w:p w14:paraId="4E8E2E5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4、两路220V多功能插座输出，额定电流≥5A。</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7DC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F27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30F76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370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5EAE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实验桌</w:t>
            </w:r>
          </w:p>
          <w:p w14:paraId="652284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（学生）</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5898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1、规格：1200mm（L）×600mm（W）×780mm（H）；实验桌整体符合人体工程学设计，外表为流线形工业设计，简洁时尚。</w:t>
            </w:r>
          </w:p>
          <w:p w14:paraId="1A667A5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实验室专用陶瓷台面，厚度为≥20mm，采用一体实芯黑色坯体一体烧制釉面，具备无空洞、无杂色、无脱层、釉面与坯体呈一体结构的特点；该台面为实验室专用，需满足无甲醛释放、耐化学腐蚀、耐划痕、耐污染等性能要求；在靠近人体操作边缘处有一条与台面一体成型（非后期二次开槽）的功能性凹槽，其宽度≥11.7mm，深度≥1.25mm，储水量≥15.5ml，能够有效阻水和缓冲，同时能够对实验试管、玻璃棒、小球等易滚动器材进行缓冲阻拦。</w:t>
            </w:r>
          </w:p>
          <w:p w14:paraId="3265E55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桌体框架：铸铝/塑铝结构；通过桌体上端两侧支架、立柱连接铸铝桌脚，形成“Z”字造型，使桌体具有强承重性及高稳定性；桌体所有接触人体的边棱均无锐利的棱角、毛刺；桌体表面经环氧树脂粉体喷涂处理，耐腐蚀。</w:t>
            </w:r>
          </w:p>
          <w:p w14:paraId="1E3A2C5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4、上端两侧支架：铸铝模具成型，规格≥550mm×55mm×80mm选用铝锭ADC12，经酸洗磷化前处理，表面经环氧树脂粉喷涂处理，耐腐蚀。</w:t>
            </w:r>
          </w:p>
          <w:p w14:paraId="08ED07E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5、桌脚/脚垫：铸铝模具成型，规格≥520mm×60mm×110mm；选用铝锭ADC12，经酸洗磷化前处理，表面经环氧树脂粉喷涂处理，耐腐蚀。脚垫高度可调，耐磨、防潮、防滑。</w:t>
            </w:r>
          </w:p>
          <w:p w14:paraId="6252F1C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6、立柱：规格≥620mm×80mm×50mm；铝材挤出成型，经酸洗磷化前处理，表面经环氧树脂粉体喷涂处理，耐腐蚀。</w:t>
            </w:r>
          </w:p>
          <w:p w14:paraId="33300C9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7、主横梁：采用”8”字型铝材挤出成型，规格≥1080mm×18mm×80mm，经酸洗磷化前处理，表面经环氧树脂粉喷涂处理，耐腐蚀。</w:t>
            </w:r>
          </w:p>
          <w:p w14:paraId="40EE050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8、后挡条：铝材挤出成型，规格≥1050mm×80×15mm；连接左右两侧注塑模具成型ABS材质固定卡位，防止台面物品滑落；经酸洗磷化前处理，表面经环氧树脂粉喷涂处理，耐腐蚀。</w:t>
            </w:r>
          </w:p>
          <w:p w14:paraId="363E3B4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9、书包斗：规格≥400mm×330mm×150mm，采用ABS塑料一次注塑成型；书包斗前端预留学生凳挂靠口，上翘工艺设计，两书包斗中间预留放置不同功能学生电源的空间，具有隐蔽性；固定挂架采用镀锌方钢，防腐防锈。</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8C2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16C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20CA9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1CC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DA9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学生凳</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4143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1.规格：φ300mm×440mm。</w:t>
            </w:r>
          </w:p>
          <w:p w14:paraId="76F7C34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2.凳面：采用ABS环保材质一体注塑成型，防摔耐磨。人体工程学设计，中间有内弧成型，深度≥8mm。</w:t>
            </w:r>
          </w:p>
          <w:p w14:paraId="7726EBE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3.升降式螺杆：直径≥20mm螺纹碳钢，配合高强度钢制托盘于凳面底部固定，钢板厚度≥2mm。</w:t>
            </w:r>
          </w:p>
          <w:p w14:paraId="6BA8E69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支持调节凳子高度，升降≥50mm。</w:t>
            </w:r>
          </w:p>
          <w:p w14:paraId="77A70C8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4.钢脚架：由壁厚≥1.2mm椭圆形钢管及壁厚≥2mm圆钢管焊接组成，表面经高温烤漆处理。</w:t>
            </w:r>
          </w:p>
          <w:p w14:paraId="3C1DF19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5.脚垫：塑胶材质，采用PP一体注塑成型，防水防滑。</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CB4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9DD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04CD3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977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787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控制柜</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FCA7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1、控制柜参考尺寸：400mm（L）×230mm（W）×780mm（H）；</w:t>
            </w:r>
          </w:p>
          <w:p w14:paraId="1387ABD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2、工艺与材质：采用≥1.2mm钢板冷轧成型，表面经过防腐氧化处理和纯环氧树脂塑粉高温固化处理，具有较强的耐蚀性；操作面镶有亚克力装饰板。</w:t>
            </w:r>
          </w:p>
          <w:p w14:paraId="537F46A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3、内嵌10.1英寸显示屏，支持触控操作，IPS屏，宽视角；</w:t>
            </w:r>
          </w:p>
          <w:p w14:paraId="62A02A8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4、功能设置：内置总电源开关、漏电保护器、以32位MCU为核心的主控制模块、急停控制模块、工业级开关电源及工作指示灯。</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ED1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F6A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587ED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A53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BD3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智能吊装控制系统</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4965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1.电源操作控制系统：可实现远程分组控制学生高低压电源开启与关闭；可输出交流电范围0-30V，分辨率1V设置及实时显示，可输出直流电范围0-30V，分辨率0.1V设置及实时显示，带学生电压锁定功能。</w:t>
            </w:r>
          </w:p>
          <w:p w14:paraId="609E11A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2.照明系统：可实现远程控制照明系统开启与关闭。可单个或全组进行控制，有全选及反选功能，可手动调节照明亮度。</w:t>
            </w:r>
          </w:p>
          <w:p w14:paraId="4733BB9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3.给排水控制系统：可实现远程控制给排水系统的开启与关闭。可单个或全组进行控制，有全选及反选功能。</w:t>
            </w:r>
          </w:p>
          <w:p w14:paraId="735773B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4.摇臂控制系统：可实现控制电源摇臂升起或下降。可单个或全组进行控制，有全选及反选功能。</w:t>
            </w:r>
          </w:p>
          <w:p w14:paraId="53F4C45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5.通风控制系统：可实现远程控制通风系统的开启与关闭及风量调节。</w:t>
            </w:r>
          </w:p>
          <w:p w14:paraId="6273A34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6.系统设置：（1）开机方式： ①直接开机、②密码验证；（2）定时关机：0-240分钟时段设置；（3）教室编号设置；（4）自动分组功能；（5）更改密码功能。</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78F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D40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2DB4A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FD7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3FC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智能吊装集成箱体</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94DF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1.规格：≥1900mm（L）×680mm（W）×320mm（H）。</w:t>
            </w:r>
          </w:p>
          <w:p w14:paraId="3EEF818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2.材质：吊装箱体使ABS环保材料，采用一体化加工工艺成型，具有耐化学腐蚀、耐高温，表面硬度高、电绝缘性、耐候性等性能。</w:t>
            </w:r>
          </w:p>
          <w:p w14:paraId="2CE5B11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3.内部承重结构采用≥40mm×20mm铝型材连接，着力连接点合理分布，遵循人体工程学设计原理，采用五金配件连接，便于安装。功能模块连接配件选用表面经喷漆处理的冷轧钢板定制成型。</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391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组</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8CD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r>
      <w:tr w14:paraId="0A4E3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1AD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C8E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升降摇臂控制模块</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6347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1.规格：长≥570mm，模块化设计，内置于舱体下方。</w:t>
            </w:r>
          </w:p>
          <w:p w14:paraId="24D3E1A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2.摇摆臂采用动力装置升降，与箱体主结构连接固定件采用优质铝合金原料压铸成型，T字型结构设计，更具高精度，强稳定性。</w:t>
            </w:r>
          </w:p>
          <w:p w14:paraId="398217F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臂身为优质铝合金型材，表面经电泳、静电环氧树脂粉末喷涂固化处理，具有耐化学腐蚀、耐高温的性能，采用优质五金配件与电源连接，外表面和内表面可触及的隐蔽处，均无锐利的棱角和五金配件露出；根据实验需要，可0°到90°智能调节摇摆角度，遵循人体工程学设计原理，摇摆臂内置给排水管和电缆安装空间。</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EE6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DDF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r>
      <w:tr w14:paraId="5B2A0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B7B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1D2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电源操作控制系统模块</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6EFF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电源操作模块正面设置</w:t>
            </w:r>
          </w:p>
          <w:p w14:paraId="5A7405B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1、不少于两个220V电源插座；</w:t>
            </w:r>
          </w:p>
          <w:p w14:paraId="5C54B10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2、两个低压电源输出装置，直流交流输出最大额定电流2A，输出电压范围0-30V，应均配备安全保护及报警装置；</w:t>
            </w:r>
          </w:p>
          <w:p w14:paraId="70FEF65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3、内嵌式不小于4.0英寸液晶显示屏，可触屏显示设置低压直流、交流；</w:t>
            </w:r>
          </w:p>
          <w:p w14:paraId="047DFBD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4、语音警报系统，当用电器过载，即刻发出语音警报；</w:t>
            </w:r>
          </w:p>
          <w:p w14:paraId="3D34A71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5、装置内设保险丝，具有过载、短路保护功能；</w:t>
            </w:r>
          </w:p>
          <w:p w14:paraId="1E866B2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6、装置内应设一键紧急制动装置；一键按下，即刻紧急制动，切断电源，确保学生、设备安全；也应可以一键即刻恢复运行。</w:t>
            </w:r>
          </w:p>
          <w:p w14:paraId="2B6AA75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电源操作模块反面设置</w:t>
            </w:r>
          </w:p>
          <w:p w14:paraId="7358D70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1、不少于三个220V电源插座；</w:t>
            </w:r>
          </w:p>
          <w:p w14:paraId="1C55E42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2、两个低压电源输出装置，直流交流输出最大额定电流2A，输出电压范围0-30V，均配备安全保护及报警装置；</w:t>
            </w:r>
          </w:p>
          <w:p w14:paraId="7E09861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3、设置不少于2个网口，不少于2个USB供电接口。</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4EA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87B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r>
      <w:tr w14:paraId="2A322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706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C5B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洗眼器</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47E8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 台面安装方式，平时放置于台面，紧急使用时可随意抽起，使用方便。</w:t>
            </w:r>
          </w:p>
          <w:p w14:paraId="215C873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 洗眼喷头：采用不助燃PC材质模铸一体成型制作，具有过滤泡棉及防尘功能，上面防尘盖平常可防尘，使用时可随时被水冲开，能降低突然打开时短暂的高水压，避免冲伤眼睛。</w:t>
            </w:r>
          </w:p>
          <w:p w14:paraId="39B6BE3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 控水阀采用黄铜制作，经镀镍处理，具有美观性，阀门可自动关闭，密封可靠。</w:t>
            </w:r>
          </w:p>
          <w:p w14:paraId="1562EB4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 供水软管：采用≥1400mm长不锈钢软管。</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ADC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41F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5D3A6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582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7FB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水槽台</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4182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1、整体规格：450mm（L）×600mm（W）×800mm（H）；</w:t>
            </w:r>
          </w:p>
          <w:p w14:paraId="7E40D16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2、材质：整体采用ABS和改性PP材质；</w:t>
            </w:r>
          </w:p>
          <w:p w14:paraId="3046877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化验水槽规格：≥400mm（L）×360mm（W）×155mm（H），由ABS塑料一体化注塑成型。槽面设有溢水口，预留三联水嘴、台式洗眼器放置孔位。下水口滤网设计，能拆卸清洗、水槽内侧倾斜面设计、四周边缘圆角设计；</w:t>
            </w:r>
          </w:p>
          <w:p w14:paraId="6724FCD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4、水槽箱体由ABS和PP塑料注塑成型，前后门设计，方便检修清理；</w:t>
            </w:r>
          </w:p>
          <w:p w14:paraId="1D69103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5、槽体上部配备出水装置：一高二低出水口，管体部份为黄铜合金制，陶瓷阀芯，表面经环氧树脂静电喷涂处理，耐酸碱腐蚀。出水口为铜质瓷芯尖嘴型，可拆卸清洗阻塞。</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C5B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2BC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r>
      <w:tr w14:paraId="6783D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D22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11D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给/排水全套装置</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26D9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1.PPR材质水管，上水管和进水管为Ф25mm；UPVC材质排水管为Ф50mm。</w:t>
            </w:r>
          </w:p>
          <w:p w14:paraId="76E73A8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2.开关阀门，外丝连接件、PVC胶水等。</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8F0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5D7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0E6ED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8AF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956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通风系统模块</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0A18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1.由伸缩式吸风管道、通风控制系统构成，吸风管道通过通风控制系统控制，由动力装置进行升降控制。</w:t>
            </w:r>
          </w:p>
          <w:p w14:paraId="659732E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伸缩式吸风管道：由铝合金材质制作，表面经砂面氧化、静电环氧树脂粉末喷涂固化处理，耐化学腐蚀、耐高温。吸风管道置于箱体左右两侧底部，调节角度为0°-90°。吸风管道内置伸缩式吸风罩，选用高密度PP材质和不易老化高密度橡胶关节密封圈，易拆卸、重组及清洗。可伸缩范围为620mm-1420mm，覆盖任意实验操作范围区域。实验完毕，即可通过通风控制系统，由动力装置将伸缩式吸风管道旋转至箱体两侧，解放区域空间。系统可根据室内环境随意可调风量大小。吸风管道采用PVC管道，管内壁光滑，以降低噪声向室内传播。</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5CC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2EB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5A46F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063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4E4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离心风机</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E865C">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1.风机：选用防腐蚀的UPVC工程塑料风机，电机功率≥5.5kW，根据室内环境可随意调风量大小，风量可达6000～12000m</w:t>
            </w:r>
            <w:r>
              <w:rPr>
                <w:rStyle w:val="296"/>
                <w:rFonts w:hint="eastAsia" w:ascii="宋体" w:hAnsi="宋体" w:eastAsia="宋体" w:cs="宋体"/>
                <w:color w:val="auto"/>
                <w:sz w:val="21"/>
                <w:szCs w:val="21"/>
                <w:highlight w:val="none"/>
                <w:lang w:val="en-US" w:eastAsia="zh-CN" w:bidi="ar"/>
              </w:rPr>
              <w:t>³</w:t>
            </w:r>
            <w:r>
              <w:rPr>
                <w:rStyle w:val="295"/>
                <w:rFonts w:hint="eastAsia" w:ascii="宋体" w:hAnsi="宋体" w:eastAsia="宋体" w:cs="宋体"/>
                <w:color w:val="auto"/>
                <w:sz w:val="21"/>
                <w:szCs w:val="21"/>
                <w:highlight w:val="none"/>
                <w:lang w:val="en-US" w:eastAsia="zh-CN" w:bidi="ar"/>
              </w:rPr>
              <w:t>/h；</w:t>
            </w:r>
          </w:p>
          <w:p w14:paraId="276BA1A0">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2.风机减振器：橡胶胶垫Φ120mm；</w:t>
            </w:r>
          </w:p>
          <w:p w14:paraId="5341BE6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295"/>
                <w:rFonts w:hint="eastAsia" w:ascii="宋体" w:hAnsi="宋体" w:eastAsia="宋体" w:cs="宋体"/>
                <w:color w:val="auto"/>
                <w:sz w:val="21"/>
                <w:szCs w:val="21"/>
                <w:highlight w:val="none"/>
                <w:lang w:val="en-US" w:eastAsia="zh-CN" w:bidi="ar"/>
              </w:rPr>
              <w:t>3.防雨帽：化工工程塑料PP或PVC，≥φ480mm。</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89B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DE9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3FF10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FE2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FF3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风机布线耗材</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84FF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295"/>
                <w:rFonts w:hint="eastAsia" w:ascii="宋体" w:hAnsi="宋体" w:eastAsia="宋体" w:cs="宋体"/>
                <w:color w:val="auto"/>
                <w:sz w:val="21"/>
                <w:szCs w:val="21"/>
                <w:highlight w:val="none"/>
                <w:lang w:val="en-US" w:eastAsia="zh-CN" w:bidi="ar"/>
              </w:rPr>
              <w:t>风机专用线电源主线需采用4mm</w:t>
            </w:r>
            <w:r>
              <w:rPr>
                <w:rStyle w:val="296"/>
                <w:rFonts w:hint="eastAsia" w:ascii="宋体" w:hAnsi="宋体" w:eastAsia="宋体" w:cs="宋体"/>
                <w:color w:val="auto"/>
                <w:sz w:val="21"/>
                <w:szCs w:val="21"/>
                <w:highlight w:val="none"/>
                <w:lang w:val="en-US" w:eastAsia="zh-CN" w:bidi="ar"/>
              </w:rPr>
              <w:t>²</w:t>
            </w:r>
            <w:r>
              <w:rPr>
                <w:rStyle w:val="295"/>
                <w:rFonts w:hint="eastAsia" w:ascii="宋体" w:hAnsi="宋体" w:eastAsia="宋体" w:cs="宋体"/>
                <w:color w:val="auto"/>
                <w:sz w:val="21"/>
                <w:szCs w:val="21"/>
                <w:highlight w:val="none"/>
                <w:lang w:val="en-US" w:eastAsia="zh-CN" w:bidi="ar"/>
              </w:rPr>
              <w:t>RVV塑铜线铺设经教师电源控制台至风机。</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9C9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室</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E7C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4A597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A2A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CF3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万向吸风罩</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E77D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1.关节：高密度PP材质，可360度旋转调节方向，易拆卸、重组及清洗；</w:t>
            </w:r>
          </w:p>
          <w:p w14:paraId="0780418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2.关节密封圈：采用不易老化的高密度橡胶；</w:t>
            </w:r>
          </w:p>
          <w:p w14:paraId="5C2484D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3.气流调节阀：能够手动调节控制进入气流量；</w:t>
            </w:r>
          </w:p>
          <w:p w14:paraId="5787F71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4.工艺：主体采用防腐抗锈铝合金喷涂。</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E56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B8B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0AEED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887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F47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风机变频控制器</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C1D1A">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1.适配多种电机功率;</w:t>
            </w:r>
          </w:p>
          <w:p w14:paraId="4CA7DE9E">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2.面板频率:无极编码器;</w:t>
            </w:r>
          </w:p>
          <w:p w14:paraId="1568C7FB">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3.输出:AC 0-380V 13A;</w:t>
            </w:r>
          </w:p>
          <w:p w14:paraId="6FC7D1CE">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4.模拟输出:2路(A01.A02)0-10V/0-20MA</w:t>
            </w:r>
          </w:p>
          <w:p w14:paraId="217B5209">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5.模拟输入:1路(AI2)0-10V/0-20MA，1路(AI3)0-10V;</w:t>
            </w:r>
          </w:p>
          <w:p w14:paraId="4544300F">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6.控制方式:V/F控制;</w:t>
            </w:r>
          </w:p>
          <w:p w14:paraId="4729CF37">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7.过载能力:150%额定电流60s;180%额定电流3s;</w:t>
            </w:r>
          </w:p>
          <w:p w14:paraId="0F3B66A2">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8.控制电源+24V:最大输出电流200mA;</w:t>
            </w:r>
          </w:p>
          <w:p w14:paraId="5A1B0816">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9.运行方式:键盘、端子、RS485通讯;</w:t>
            </w:r>
          </w:p>
          <w:p w14:paraId="2D90A3C6">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10.可实现紧急停机，转速跟踪;</w:t>
            </w:r>
          </w:p>
          <w:p w14:paraId="29693F5A">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11.输入端子:8路数字量输入端子;</w:t>
            </w:r>
          </w:p>
          <w:p w14:paraId="0725647E">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12.维电器输出:两路可编程继电器输出;</w:t>
            </w:r>
          </w:p>
          <w:p w14:paraId="7E22B160">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13.可显示运行信息、故障信息。具备过流、过压、模块故障保护、欠压、过热、过载、外部故障保护、EEPROM故障保护、接地保护、缺相等变频器保护及报警功能;</w:t>
            </w:r>
          </w:p>
          <w:p w14:paraId="259CFBCB">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14.能适应-10℃~40℃的使用环境温度和-20℃~65℃储存温度,最大 90%RH不结露的环境湿度。要求能适应高度1000m以下，振动5.9m/秒</w:t>
            </w:r>
            <w:r>
              <w:rPr>
                <w:rStyle w:val="296"/>
                <w:rFonts w:hint="eastAsia" w:ascii="宋体" w:hAnsi="宋体" w:eastAsia="宋体" w:cs="宋体"/>
                <w:color w:val="auto"/>
                <w:sz w:val="21"/>
                <w:szCs w:val="21"/>
                <w:highlight w:val="none"/>
                <w:lang w:val="en-US" w:eastAsia="zh-CN" w:bidi="ar"/>
              </w:rPr>
              <w:t>²</w:t>
            </w:r>
            <w:r>
              <w:rPr>
                <w:rStyle w:val="295"/>
                <w:rFonts w:hint="eastAsia" w:ascii="宋体" w:hAnsi="宋体" w:eastAsia="宋体" w:cs="宋体"/>
                <w:color w:val="auto"/>
                <w:sz w:val="21"/>
                <w:szCs w:val="21"/>
                <w:highlight w:val="none"/>
                <w:lang w:val="en-US" w:eastAsia="zh-CN" w:bidi="ar"/>
              </w:rPr>
              <w:t>(=0.6g)以下使用环境;</w:t>
            </w:r>
          </w:p>
          <w:p w14:paraId="5CAC6FA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295"/>
                <w:rFonts w:hint="eastAsia" w:ascii="宋体" w:hAnsi="宋体" w:eastAsia="宋体" w:cs="宋体"/>
                <w:color w:val="auto"/>
                <w:sz w:val="21"/>
                <w:szCs w:val="21"/>
                <w:highlight w:val="none"/>
                <w:lang w:val="en-US" w:eastAsia="zh-CN" w:bidi="ar"/>
              </w:rPr>
              <w:t>15.冷却方式采用强制风冷。</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8A0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F5C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1F8FF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A66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6BF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室内风管及配件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4F4D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室内风管及配件:</w:t>
            </w:r>
          </w:p>
          <w:p w14:paraId="73EAB01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1.主通风管规格：φ160mm/200mm，PVC成品管道；</w:t>
            </w:r>
          </w:p>
          <w:p w14:paraId="756D108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2.支管道规格：φ110mm/160mm，PVC成品管道；</w:t>
            </w:r>
          </w:p>
          <w:p w14:paraId="61CDDB9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3.管道配件：管道三通、弯头、变径、直接；</w:t>
            </w:r>
          </w:p>
          <w:p w14:paraId="275165F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（实际管径视现场情况需可适当调整）</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7EE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2EA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171D4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244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D4C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室外风管及配件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7FDB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室外风管及配件</w:t>
            </w:r>
          </w:p>
          <w:p w14:paraId="55D025B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1.主通风管规格：φ400mm/φ315mm，优质PVC成品管道；因现场环境因素，主通风管也可以用两趟φ200mm风管代替；</w:t>
            </w:r>
          </w:p>
          <w:p w14:paraId="12F15B8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2.管道配件：管道三通、弯头、变径、直接；</w:t>
            </w:r>
          </w:p>
          <w:p w14:paraId="7B22A07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3.安装附件：固定铁卡。</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FED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FD4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37D44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76E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716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照明系统模块</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ABA3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1.箱体两侧及箱体底部共配有不少于4个LED光源，覆盖学生核心操作区域。</w:t>
            </w:r>
          </w:p>
          <w:p w14:paraId="2459BEC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2.基板底座散热，底部光源LED灯珠采用矩形排列，箱体两侧光源采用双排LED灯带，两侧亮度可通过控制端手动调节。</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FCE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组</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225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r>
      <w:tr w14:paraId="77CCB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70F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2AF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电源布线耗材</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0CAE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295"/>
                <w:rFonts w:hint="eastAsia" w:ascii="宋体" w:hAnsi="宋体" w:eastAsia="宋体" w:cs="宋体"/>
                <w:color w:val="auto"/>
                <w:sz w:val="21"/>
                <w:szCs w:val="21"/>
                <w:highlight w:val="none"/>
                <w:lang w:val="en-US" w:eastAsia="zh-CN" w:bidi="ar"/>
              </w:rPr>
              <w:t>电源主线采用4.0mm</w:t>
            </w:r>
            <w:r>
              <w:rPr>
                <w:rStyle w:val="296"/>
                <w:rFonts w:hint="eastAsia" w:ascii="宋体" w:hAnsi="宋体" w:eastAsia="宋体" w:cs="宋体"/>
                <w:color w:val="auto"/>
                <w:sz w:val="21"/>
                <w:szCs w:val="21"/>
                <w:highlight w:val="none"/>
                <w:lang w:val="en-US" w:eastAsia="zh-CN" w:bidi="ar"/>
              </w:rPr>
              <w:t>²</w:t>
            </w:r>
            <w:r>
              <w:rPr>
                <w:rStyle w:val="295"/>
                <w:rFonts w:hint="eastAsia" w:ascii="宋体" w:hAnsi="宋体" w:eastAsia="宋体" w:cs="宋体"/>
                <w:color w:val="auto"/>
                <w:sz w:val="21"/>
                <w:szCs w:val="21"/>
                <w:highlight w:val="none"/>
                <w:lang w:val="en-US" w:eastAsia="zh-CN" w:bidi="ar"/>
              </w:rPr>
              <w:t>BVR铜软线铺设；选用Ф20或Ф25PVC阻燃线管，每桌采用软铜质电线与主线对接取电；选用合适规格的线管包裹取电连接线。</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6B9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室</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8EF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1157B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2A4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FF5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网络布线耗材</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796D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1.六类网线</w:t>
            </w:r>
          </w:p>
          <w:p w14:paraId="175B909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2.导体材质：无氧铜</w:t>
            </w:r>
          </w:p>
          <w:p w14:paraId="69CC26C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3.数量：4对8线</w:t>
            </w:r>
          </w:p>
          <w:p w14:paraId="7ECF38F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4.传输速率：1000Mbps</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C78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室</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FE0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3443E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822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E9B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系统安装辅件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EE95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采用固定横梁吊装方式，减少楼板承重，防止左右晃动，可进行上下、左右的平衡调节。</w:t>
            </w:r>
          </w:p>
          <w:p w14:paraId="7BC6012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主要辅件有：矩形钢、三角构件、直角座、龙骨架连接件、吊装挂件、安装连接板等。</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387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C51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53C49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ACF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4F8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吊装系统安装调试</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1E81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吊顶式安装系统采用模块化结构设计及吊装安装方式，包括：</w:t>
            </w:r>
          </w:p>
          <w:p w14:paraId="30B22D6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1.系统结构安装调试：</w:t>
            </w:r>
          </w:p>
          <w:p w14:paraId="15EC11F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2.系统控制安装调试；</w:t>
            </w:r>
          </w:p>
          <w:p w14:paraId="1EE4274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3.通风系统安装调试；</w:t>
            </w:r>
          </w:p>
          <w:p w14:paraId="16B18FA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4.供电系统安装调试；</w:t>
            </w:r>
          </w:p>
          <w:p w14:paraId="3779660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5.照明系统安装调试。</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8BC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室</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73A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60AB4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5E7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D63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技术耗材</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2FBA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情境化装饰、文化窗帘、等符合学科教学的氛围需求，主要内容包含：</w:t>
            </w:r>
          </w:p>
          <w:p w14:paraId="66A4336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1、顶面吊顶，吊顶形式:造型吊顶，龙骨材料种类、规格、中距:轻钢龙骨，面层材料品种:根据学科特性进行选材</w:t>
            </w:r>
          </w:p>
          <w:p w14:paraId="3C665E0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基层清理、吊杆安装、龙骨安装、基层板铺贴、面层铺贴、嵌缝、刷防护材料。</w:t>
            </w:r>
          </w:p>
          <w:p w14:paraId="0DC0D4E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2、不低于2mm的地胶铺设，含人工以及材料</w:t>
            </w:r>
          </w:p>
          <w:p w14:paraId="4903639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3、文化窗帘，符合学科教学情境需求定制，不少于4面。</w:t>
            </w:r>
          </w:p>
          <w:p w14:paraId="44F99FB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4、学科教室中学科必做实验、学科名人肖像定制与安装，不少于4幅。</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7F0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室</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AD2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35CE8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95EE3">
            <w:pPr>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高中化学智能吊装实验室</w:t>
            </w:r>
          </w:p>
        </w:tc>
      </w:tr>
      <w:tr w14:paraId="3E380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A83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AE6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实验桌（教师演示台）</w:t>
            </w:r>
            <w:r>
              <w:rPr>
                <w:rFonts w:hint="eastAsia" w:ascii="宋体" w:hAnsi="宋体" w:cs="宋体"/>
                <w:b/>
                <w:bCs/>
                <w:color w:val="000000" w:themeColor="text1"/>
                <w:kern w:val="0"/>
                <w:szCs w:val="24"/>
                <w:highlight w:val="none"/>
                <w:lang w:eastAsia="zh-CN"/>
                <w14:textFill>
                  <w14:solidFill>
                    <w14:schemeClr w14:val="tx1"/>
                  </w14:solidFill>
                </w14:textFill>
              </w:rPr>
              <w:t>（</w:t>
            </w:r>
            <w:r>
              <w:rPr>
                <w:rFonts w:hint="eastAsia" w:ascii="宋体" w:hAnsi="宋体" w:cs="宋体"/>
                <w:b/>
                <w:bCs/>
                <w:color w:val="000000" w:themeColor="text1"/>
                <w:kern w:val="0"/>
                <w:szCs w:val="24"/>
                <w:highlight w:val="none"/>
                <w:lang w:val="en-US" w:eastAsia="zh-CN"/>
                <w14:textFill>
                  <w14:solidFill>
                    <w14:schemeClr w14:val="tx1"/>
                  </w14:solidFill>
                </w14:textFill>
              </w:rPr>
              <w:t>核心产品</w:t>
            </w:r>
            <w:r>
              <w:rPr>
                <w:rFonts w:hint="eastAsia" w:ascii="宋体" w:hAnsi="宋体" w:cs="宋体"/>
                <w:b/>
                <w:bCs/>
                <w:color w:val="000000" w:themeColor="text1"/>
                <w:kern w:val="0"/>
                <w:szCs w:val="24"/>
                <w:highlight w:val="none"/>
                <w:lang w:eastAsia="zh-CN"/>
                <w14:textFill>
                  <w14:solidFill>
                    <w14:schemeClr w14:val="tx1"/>
                  </w14:solidFill>
                </w14:textFill>
              </w:rPr>
              <w:t>）</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3FB66">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整体规格：2900mm×700mm×900mm，由3个储物柜、抽屉架、水槽柜组成；</w:t>
            </w:r>
          </w:p>
          <w:p w14:paraId="35204B58">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1、台面：采用≥13.0mm厚优抗板台面，由专业生产厂家用CNC机械加工而成；</w:t>
            </w:r>
          </w:p>
          <w:p w14:paraId="4165A54C">
            <w:pPr>
              <w:keepNext w:val="0"/>
              <w:keepLines w:val="0"/>
              <w:widowControl/>
              <w:suppressLineNumbers w:val="0"/>
              <w:jc w:val="left"/>
              <w:textAlignment w:val="center"/>
              <w:rPr>
                <w:rStyle w:val="295"/>
                <w:rFonts w:hint="eastAsia" w:ascii="宋体" w:hAnsi="宋体" w:eastAsia="宋体" w:cs="宋体"/>
                <w:color w:val="auto"/>
                <w:sz w:val="21"/>
                <w:szCs w:val="21"/>
                <w:highlight w:val="none"/>
                <w:shd w:val="clear"/>
                <w:lang w:val="en-US" w:eastAsia="zh-CN" w:bidi="ar"/>
              </w:rPr>
            </w:pPr>
            <w:r>
              <w:rPr>
                <w:rStyle w:val="295"/>
                <w:rFonts w:hint="eastAsia" w:ascii="宋体" w:hAnsi="宋体" w:cs="宋体"/>
                <w:color w:val="auto"/>
                <w:sz w:val="21"/>
                <w:szCs w:val="21"/>
                <w:highlight w:val="none"/>
                <w:shd w:val="clear"/>
                <w:lang w:val="en-US" w:eastAsia="zh-CN" w:bidi="ar"/>
              </w:rPr>
              <w:t>★</w:t>
            </w:r>
            <w:r>
              <w:rPr>
                <w:rStyle w:val="295"/>
                <w:rFonts w:hint="eastAsia" w:ascii="宋体" w:hAnsi="宋体" w:eastAsia="宋体" w:cs="宋体"/>
                <w:color w:val="auto"/>
                <w:sz w:val="21"/>
                <w:szCs w:val="21"/>
                <w:highlight w:val="none"/>
                <w:shd w:val="clear"/>
                <w:lang w:val="en-US" w:eastAsia="zh-CN" w:bidi="ar"/>
              </w:rPr>
              <w:t>为确保使用者的健康安全，台面满足或优于（1）-（6）项性能检测要求，需提供第三方检测机构出具的检验报告。</w:t>
            </w:r>
          </w:p>
          <w:p w14:paraId="7293FBBC">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shd w:val="clear"/>
                <w:lang w:val="en-US" w:eastAsia="zh-CN" w:bidi="ar"/>
              </w:rPr>
              <w:t>（1）化学性能检测：参照GB/T 17657-2022标准，台面板不少于136</w:t>
            </w:r>
            <w:r>
              <w:rPr>
                <w:rStyle w:val="295"/>
                <w:rFonts w:hint="eastAsia" w:ascii="宋体" w:hAnsi="宋体" w:eastAsia="宋体" w:cs="宋体"/>
                <w:color w:val="auto"/>
                <w:sz w:val="21"/>
                <w:szCs w:val="21"/>
                <w:highlight w:val="none"/>
                <w:lang w:val="en-US" w:eastAsia="zh-CN" w:bidi="ar"/>
              </w:rPr>
              <w:t>项化学试剂及有机溶液检测，且包含：硫酸（98%）、氢氟酸（48%）、硝酸（65%）、环丙甲酮、乙酸丁酯、饱和氯化锌等。</w:t>
            </w:r>
          </w:p>
          <w:p w14:paraId="19902C4A">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（2）环保性能检测：参照GB/T 39600-2021标准，甲醛释放量检测结果值≤0.006mg/m</w:t>
            </w:r>
            <w:r>
              <w:rPr>
                <w:rStyle w:val="296"/>
                <w:rFonts w:hint="eastAsia" w:ascii="宋体" w:hAnsi="宋体" w:eastAsia="宋体" w:cs="宋体"/>
                <w:color w:val="auto"/>
                <w:sz w:val="21"/>
                <w:szCs w:val="21"/>
                <w:highlight w:val="none"/>
                <w:lang w:val="en-US" w:eastAsia="zh-CN" w:bidi="ar"/>
              </w:rPr>
              <w:t>³</w:t>
            </w:r>
            <w:r>
              <w:rPr>
                <w:rStyle w:val="295"/>
                <w:rFonts w:hint="eastAsia" w:ascii="宋体" w:hAnsi="宋体" w:eastAsia="宋体" w:cs="宋体"/>
                <w:color w:val="auto"/>
                <w:sz w:val="21"/>
                <w:szCs w:val="21"/>
                <w:highlight w:val="none"/>
                <w:lang w:val="en-US" w:eastAsia="zh-CN" w:bidi="ar"/>
              </w:rPr>
              <w:t xml:space="preserve">。 </w:t>
            </w:r>
          </w:p>
          <w:p w14:paraId="2D73E5E5">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（3）物理性能检测：参照GB/T 17657-2022标准及其他检测方法检测，满足静曲强度≥138Mpa；弹性模量≥9890Mpa；板面握螺钉力≥4350N；含水率≤0.8%；密度≥1.43g/cm</w:t>
            </w:r>
            <w:r>
              <w:rPr>
                <w:rStyle w:val="296"/>
                <w:rFonts w:hint="eastAsia" w:ascii="宋体" w:hAnsi="宋体" w:eastAsia="宋体" w:cs="宋体"/>
                <w:color w:val="auto"/>
                <w:sz w:val="21"/>
                <w:szCs w:val="21"/>
                <w:highlight w:val="none"/>
                <w:lang w:val="en-US" w:eastAsia="zh-CN" w:bidi="ar"/>
              </w:rPr>
              <w:t>³</w:t>
            </w:r>
            <w:r>
              <w:rPr>
                <w:rStyle w:val="295"/>
                <w:rFonts w:hint="eastAsia" w:ascii="宋体" w:hAnsi="宋体" w:eastAsia="宋体" w:cs="宋体"/>
                <w:color w:val="auto"/>
                <w:sz w:val="21"/>
                <w:szCs w:val="21"/>
                <w:highlight w:val="none"/>
                <w:lang w:val="en-US" w:eastAsia="zh-CN" w:bidi="ar"/>
              </w:rPr>
              <w:t>；耐臭氧（72h）：外观无明显变化；负荷变形温度：＞200℃；浸渍剥离性能：0；尺寸稳定性：纵向≤0.04，横向≤0.05；漆膜附着力：六级，切割边缘完全平滑，网格内无脱落；表面耐划痕性能：5N作用下试件表面无大于90%的连续划痕；耐沸水性能：质量增加百分率≤0.01%、厚度增加百分率≤0.06%，表面质量等级：5级：无变化，边缘质量等级：5级：无明显变化；表面耐磨性能：≥1540r，未出现磨损；体积电阻≤3.1*10</w:t>
            </w:r>
            <w:r>
              <w:rPr>
                <w:rStyle w:val="296"/>
                <w:rFonts w:hint="eastAsia" w:ascii="宋体" w:hAnsi="宋体" w:eastAsia="宋体" w:cs="宋体"/>
                <w:color w:val="auto"/>
                <w:sz w:val="21"/>
                <w:szCs w:val="21"/>
                <w:highlight w:val="none"/>
                <w:lang w:val="en-US" w:eastAsia="zh-CN" w:bidi="ar"/>
              </w:rPr>
              <w:t>¹²</w:t>
            </w:r>
            <w:r>
              <w:rPr>
                <w:rStyle w:val="295"/>
                <w:rFonts w:hint="eastAsia" w:ascii="宋体" w:hAnsi="宋体" w:eastAsia="宋体" w:cs="宋体"/>
                <w:color w:val="auto"/>
                <w:sz w:val="21"/>
                <w:szCs w:val="21"/>
                <w:highlight w:val="none"/>
                <w:lang w:val="en-US" w:eastAsia="zh-CN" w:bidi="ar"/>
              </w:rPr>
              <w:t>；表面电阻≤4.7*10</w:t>
            </w:r>
            <w:r>
              <w:rPr>
                <w:rStyle w:val="296"/>
                <w:rFonts w:hint="eastAsia" w:ascii="宋体" w:hAnsi="宋体" w:eastAsia="宋体" w:cs="宋体"/>
                <w:color w:val="auto"/>
                <w:sz w:val="21"/>
                <w:szCs w:val="21"/>
                <w:highlight w:val="none"/>
                <w:lang w:val="en-US" w:eastAsia="zh-CN" w:bidi="ar"/>
              </w:rPr>
              <w:t>¹²</w:t>
            </w:r>
            <w:r>
              <w:rPr>
                <w:rStyle w:val="295"/>
                <w:rFonts w:hint="eastAsia" w:ascii="宋体" w:hAnsi="宋体" w:eastAsia="宋体" w:cs="宋体"/>
                <w:color w:val="auto"/>
                <w:sz w:val="21"/>
                <w:szCs w:val="21"/>
                <w:highlight w:val="none"/>
                <w:lang w:val="en-US" w:eastAsia="zh-CN" w:bidi="ar"/>
              </w:rPr>
              <w:t>；弯曲强度≥140Mpa等不少于28项物理性能检测。</w:t>
            </w:r>
          </w:p>
          <w:p w14:paraId="6D7DCBFA">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（4）抗霉菌性能检测：参照JC/T 2039-2010标准：黑曲霉、土曲霉、宛氏拟青霉、绳状青霉、出芽短梗霉、球毛壳霉、长枝木霉等不少于7种霉菌检测长霉等级为0级；</w:t>
            </w:r>
          </w:p>
          <w:p w14:paraId="6A3720AB">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（5）抗细菌性能检测：参照JC/T 2039-2010标准：大肠埃希氏菌、金黄色葡萄球菌、白色念珠菌、铜绿假单胞菌、肺炎克雷伯氏菌、鼠伤寒沙门氏菌、甲型溶血性链球群、枯草芽孢杆菌、耐甲氧西林金黄色葡萄球菌、肠沙门氏菌肠亚种、粪肠球菌、宋氏志贺氏菌、变异库克菌、表皮葡萄球菌、海氏肠球菌、单核细胞增生李斯特氏菌等不少于16种菌种抗菌率≥99.99%。</w:t>
            </w:r>
          </w:p>
          <w:p w14:paraId="5392FF46">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 xml:space="preserve">2、储物柜：柜体均为全钢结构，采用≥1.0mm厚冷轧钢板，表层经酸洗、磷化、环氧树脂粉末喷涂等工艺加工生产，接缝处无焊点，表面平整光滑，耐酸碱，防腐蚀；边缘做倒角设计，可防止磕碰；柜门：主体采用双层冷轧钢板装配成型，内附蜂窝状瓦楞纸防噪填充，柜门内侧装有起缓冲作用防撞贴，门板面板内嵌ABS塑料拉手；活动层板：柜体内设有活动层板，采用≥1.0mm厚冷轧钢板制作，配合至少4个塑料支撑扣调整上下高度，调节孔距≥50mm，承重≥20KG； </w:t>
            </w:r>
          </w:p>
          <w:p w14:paraId="32D94E5E">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3、抽屉架：主体采用≥1.0mm厚冷轧钢板，表层经酸洗、磷化、环氧树脂粉末喷涂等工艺加工生产，接缝处无焊点，表面平整光滑，耐酸碱，防腐蚀。边缘做倒角设计，可防止磕碰；内置2个内部规格：≥314mm×352mm×126mm抽屉，抽头均为双层结构，内附蜂窝状瓦楞纸防噪填充，采用三节静音导轨，配备阻尼滑道，抽头内嵌塑料拉手；</w:t>
            </w:r>
          </w:p>
          <w:p w14:paraId="46ADE99C">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4、水槽柜：规格：≥550mm×700mm×900mm，采用≥1.0mm厚冷轧钢板，表层经酸洗、磷化、环氧树脂粉末喷涂等工艺加工生产，接缝处无焊点，表面平整光滑，耐酸碱，防腐蚀。边缘做倒角设计，可防止磕碰；柜门：主体采用双层冷轧钢板装配成型，内附蜂窝状瓦楞纸防噪填充，柜门内侧装有防撞贴，面板内嵌ABS塑料拉手；预留水槽孔位。</w:t>
            </w:r>
          </w:p>
          <w:p w14:paraId="110B162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295"/>
                <w:rFonts w:hint="eastAsia" w:ascii="宋体" w:hAnsi="宋体" w:eastAsia="宋体" w:cs="宋体"/>
                <w:color w:val="auto"/>
                <w:sz w:val="21"/>
                <w:szCs w:val="21"/>
                <w:highlight w:val="none"/>
                <w:lang w:val="en-US" w:eastAsia="zh-CN" w:bidi="ar"/>
              </w:rPr>
              <w:t>5、可调脚：桌体底部配备≥50mm高钢制PP注塑调节地脚，减震防滑。</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E1A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3FD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5EC2E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6F1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36E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教师椅</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8A12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1.规格：550×500×1070mm</w:t>
            </w:r>
          </w:p>
          <w:p w14:paraId="5BC7246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2.采用PU皮面，海绵坐垫；</w:t>
            </w:r>
          </w:p>
          <w:p w14:paraId="687E535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3.黑色PP加玻纤内外塑框；</w:t>
            </w:r>
          </w:p>
          <w:p w14:paraId="04C7E8C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4.一体成型PP固定扶手；</w:t>
            </w:r>
          </w:p>
          <w:p w14:paraId="726FE22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5.中靠背46-49cm，人体工程学设计；</w:t>
            </w:r>
          </w:p>
          <w:p w14:paraId="14BD40E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6.≥1.0mm厚气杆；</w:t>
            </w:r>
          </w:p>
          <w:p w14:paraId="562C582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7.PP加纤五星塑脚；</w:t>
            </w:r>
          </w:p>
          <w:p w14:paraId="5B1A623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8.φ50mm（偏差±5%）黑边尼龙万向轮。</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E4D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C15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51670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DC2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A3C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水槽</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E08F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1.材质：PP材质。</w:t>
            </w:r>
          </w:p>
          <w:p w14:paraId="1234B44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2.水槽外部规格：≥440mm（L）×330mm（W）×200mm（H）。</w:t>
            </w:r>
          </w:p>
          <w:p w14:paraId="626700B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3.密封方式：水封式，可防止废水回流和堵塞。</w:t>
            </w:r>
          </w:p>
          <w:p w14:paraId="588F31B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4.槽体上部配备出水装置：单联出水口，管体部份为黄铜合金制，陶瓷阀芯，表面经环氧树脂静电喷涂处理，耐酸碱腐蚀。出水口为铜质瓷芯尖嘴型，可拆卸清洗阻塞。</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F15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9EE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50267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F9C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E5D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电源</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BA08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规格：≥310mm×350mm；</w:t>
            </w:r>
          </w:p>
          <w:p w14:paraId="2940D34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1、一体化PVC按键设计，安装于抽屉之内，两组数码管分别显示输出电压与电流，电源采用按键式操作，可精准输出所需电压；</w:t>
            </w:r>
          </w:p>
          <w:p w14:paraId="6CC8B61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2、交流输出：支持由教师操作输出0-30V交流电压，分辨率为1V，额定电流≥2A，具备过载保护功能；</w:t>
            </w:r>
          </w:p>
          <w:p w14:paraId="5673593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3、直流输出：支持由教师操作输出0-30V直流电压，分辨率为0.1V，额定电流≥2A，具备过载保护功能；</w:t>
            </w:r>
          </w:p>
          <w:p w14:paraId="51223A1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4、两路220V多功能插座输出，额定电流≥5A。</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9D0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EE5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263A6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5C0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E39C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实验桌</w:t>
            </w:r>
          </w:p>
          <w:p w14:paraId="32BF04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（学生）</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092F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1、规格：1200mm（L）×600mm（W）×780mm（H）；实验桌整体符合人体工程学设计，外表为流线形工业设计，简洁时尚。</w:t>
            </w:r>
          </w:p>
          <w:p w14:paraId="44A1B4C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实验室专用陶瓷台面，厚度为≥20mm，采用一体实芯黑色坯体一体烧制釉面，具备无空洞、无杂色、无脱层、釉面与坯体呈一体结构的特点；该台面为实验室专用，需满足无甲醛释放、耐化学腐蚀、耐划痕、耐污染等性能要求；在靠近人体操作边缘处有一条与台面一体成型（非后期二次开槽）的功能性凹槽，其宽度≥11.7mm，深度≥1.25mm，储水量≥15.5ml，能够有效阻水和缓冲，同时能够对实验试管、玻璃棒、小球等易滚动器材进行缓冲阻拦。</w:t>
            </w:r>
          </w:p>
          <w:p w14:paraId="0FE41EB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台面板技术参数满足以下（1）-（3）项的指标,需提供第三方检测机构出具的检验报告扫描件。</w:t>
            </w:r>
          </w:p>
          <w:p w14:paraId="4EEED29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（1）耐光色牢度：参照GB/T17657-2022标准，变色等级≥4级。</w:t>
            </w:r>
          </w:p>
          <w:p w14:paraId="5AE81DB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2）外观质量：参照T/CIQA10-2020标准：①外观为五面坯体，表面为釉面烧成颜色；样品敲碎后无空洞，无直径2mm以上气泡，无杂色，为一体实芯坯体。②釉面和坯体之间无脱层，釉面与坯体呈一体结构；釉面为烧成颜色（非坯体颜色）。 </w:t>
            </w:r>
          </w:p>
          <w:p w14:paraId="7C796803">
            <w:pPr>
              <w:keepNext w:val="0"/>
              <w:keepLines w:val="0"/>
              <w:widowControl/>
              <w:suppressLineNumbers w:val="0"/>
              <w:jc w:val="left"/>
              <w:textAlignment w:val="center"/>
              <w:rPr>
                <w:rFonts w:hint="eastAsia" w:ascii="宋体" w:hAnsi="宋体" w:eastAsia="宋体" w:cs="宋体"/>
                <w:i w:val="0"/>
                <w:iCs w:val="0"/>
                <w:strike w:val="0"/>
                <w:dstrike w:val="0"/>
                <w:color w:val="auto"/>
                <w:kern w:val="0"/>
                <w:sz w:val="21"/>
                <w:szCs w:val="21"/>
                <w:highlight w:val="none"/>
                <w:u w:val="none"/>
                <w:shd w:val="clear"/>
                <w:lang w:val="en-US" w:eastAsia="zh-CN" w:bidi="ar"/>
              </w:rPr>
            </w:pPr>
            <w:r>
              <w:rPr>
                <w:rFonts w:hint="eastAsia" w:ascii="宋体" w:hAnsi="宋体" w:eastAsia="宋体" w:cs="宋体"/>
                <w:b w:val="0"/>
                <w:bCs w:val="0"/>
                <w:i w:val="0"/>
                <w:iCs w:val="0"/>
                <w:strike w:val="0"/>
                <w:dstrike w:val="0"/>
                <w:color w:val="auto"/>
                <w:kern w:val="0"/>
                <w:sz w:val="21"/>
                <w:szCs w:val="21"/>
                <w:highlight w:val="none"/>
                <w:u w:val="none"/>
                <w:shd w:val="clear"/>
                <w:lang w:val="en-US" w:eastAsia="zh-CN" w:bidi="ar"/>
              </w:rPr>
              <w:t>（3）耐污染性能：参照GB/T17657-2022 标准，台面板不少于60项化学试剂进行检测，包含氢氧化钙饱和溶液、乙醇99%、王水、硝酸65%、硫酸98%、高氯酸72%、乙醚99%、糠醛99%、硫化钠饱和溶液、甲苯99%、丁酮99%、二氯甲烷99%、铬酸60%、丙酮99%、苯99%、片状氢氧化钠、磷酸85%、乙酸乙酯99%、乙酸99%、盐酸37%、甲醛37%、氨水28%等，检测结果不低于五级</w:t>
            </w:r>
            <w:r>
              <w:rPr>
                <w:rFonts w:hint="eastAsia" w:ascii="宋体" w:hAnsi="宋体" w:eastAsia="宋体" w:cs="宋体"/>
                <w:i w:val="0"/>
                <w:iCs w:val="0"/>
                <w:strike w:val="0"/>
                <w:dstrike w:val="0"/>
                <w:color w:val="auto"/>
                <w:kern w:val="0"/>
                <w:sz w:val="21"/>
                <w:szCs w:val="21"/>
                <w:highlight w:val="none"/>
                <w:u w:val="none"/>
                <w:shd w:val="clear"/>
                <w:lang w:val="en-US" w:eastAsia="zh-CN" w:bidi="ar"/>
              </w:rPr>
              <w:t>（未盖玻璃盖板）。</w:t>
            </w:r>
          </w:p>
          <w:p w14:paraId="4AF3E96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桌体框架：铸铝/塑铝结构；通过桌体上端两侧支架、立柱连接铸铝桌脚，形成“Z”字造型，使桌体具有强承重性及高稳定性；桌体所有接触人体的边棱均无锐利的棱角、毛刺；桌体表面经环氧树脂粉体喷涂处理，耐腐蚀。</w:t>
            </w:r>
          </w:p>
          <w:p w14:paraId="3EF042E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4、上端两侧支架：铸铝模具成型，规格≥570mm×55mm×80mm选用铝锭ADC12，经酸洗磷化前处理，表面经环氧树脂粉喷涂处理，耐腐蚀。</w:t>
            </w:r>
          </w:p>
          <w:p w14:paraId="745DF07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5、桌脚/脚垫：铸铝模具成型，规格≥525mm×60mm×110mm；选用铝锭ADC12，经酸洗磷化前处理，表面经环氧树脂粉喷涂处理，耐腐蚀。脚垫高度可调，耐磨、防潮、防滑。</w:t>
            </w:r>
          </w:p>
          <w:p w14:paraId="5DF0554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6、立柱：规格≥620mm×80mm×50mm；铝材挤出成型，经酸洗磷化前处理，表面经环氧树脂粉体喷涂处理，耐腐蚀。</w:t>
            </w:r>
          </w:p>
          <w:p w14:paraId="0C8EDA1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7、主横梁：采用”8”字型铝材挤出成型，规格≥1080mm×19mm×80mm，经酸洗磷化前处理，表面经环氧树脂粉喷涂处理，耐腐蚀。</w:t>
            </w:r>
          </w:p>
          <w:p w14:paraId="7C1003C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8、后挡条：铝材挤出成型，规格≥1068mm×80×16mm；连接左右两侧注塑模具成型ABS材质固定卡位，防止台面物品滑落；经酸洗磷化前处理，表面经环氧树脂粉喷涂处理，耐腐蚀。</w:t>
            </w:r>
          </w:p>
          <w:p w14:paraId="766C1D6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9、书包斗：规格≥400mm×330mm×162mm，采用ABS塑料一次注塑成型；书包斗前端预留学生凳挂靠口，上翘工艺设计，两书包斗中间预留放置不同功能学生电源的空间，具有隐蔽性；固定挂架采用镀锌方钢，防腐防锈。</w:t>
            </w:r>
          </w:p>
          <w:p w14:paraId="0B2F1FA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10、实验桌产品满足以下（1）-（5）项的性能要求，需提供第三方检测机构出具的检验报告。</w:t>
            </w:r>
          </w:p>
          <w:p w14:paraId="33F15BC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（1）外观要求：①操作台面无裂缝，无污物、杂质；②喷涂层无漏喷、锈蚀，无流挂、疙瘩、皱皮、飞漆；</w:t>
            </w:r>
          </w:p>
          <w:p w14:paraId="1826D86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（2）安全性要求：与人体接触的零部件无毛刺、刃口、尖锐的棱角和端头；</w:t>
            </w:r>
          </w:p>
          <w:p w14:paraId="678971D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（3）操作台力学性能：独立操作台垂直加载稳定性试验未倾翻，无损坏；</w:t>
            </w:r>
          </w:p>
          <w:p w14:paraId="3BC6B2D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（4）操作台台面理化性能：①耐划痕：无整圈连续划痕；②耐冷热循环：无裂纹、鼓泡、起皱和无明显变色；</w:t>
            </w:r>
          </w:p>
          <w:p w14:paraId="7FB2F4B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（5）阻燃性：台面材料氧指数≥40%。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5FD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AE9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03D4C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598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576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学生凳</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45E2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1.规格：φ300mm×440mm。</w:t>
            </w:r>
          </w:p>
          <w:p w14:paraId="6FCC69C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2.凳面：采用ABS环保材质一体注塑成型，防摔耐磨。人体工程学设计，中间有内弧成型，深度≥8mm。</w:t>
            </w:r>
          </w:p>
          <w:p w14:paraId="6DC2B71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3.升降式螺杆：直径≥20mm螺纹碳钢，配合高强度钢制托盘于凳面底部固定，钢板厚度≥2mm。</w:t>
            </w:r>
          </w:p>
          <w:p w14:paraId="283B732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支持调节凳子高度，升降≥50mm。</w:t>
            </w:r>
          </w:p>
          <w:p w14:paraId="63B6F20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4.钢脚架：由壁厚≥1.2mm椭圆形钢管及壁厚≥2mm圆钢管焊接组成，表面经高温烤漆处理。</w:t>
            </w:r>
          </w:p>
          <w:p w14:paraId="0755811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5.脚垫：塑胶材质，采用PP一体注塑成型，防水防滑。</w:t>
            </w:r>
          </w:p>
          <w:p w14:paraId="719CFB9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6.学生凳产品满足以下（1）-（6）项的性能要求，需提供第三方检测机构出具的检验报告。</w:t>
            </w:r>
          </w:p>
          <w:p w14:paraId="221EE1E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外观性能要求：①金属件管材无裂缝、叠缝；②金属件焊接件焊接处无脱焊、虚焊、焊穿、错位，无夹渣、气孔、焊瘤、焊丝头、咬边、飞溅，表面波纹均匀；③金属件冲压件无脱层、裂缝；④金属件皱纹或波纹圆管和扁线管弯曲处弧形圆滑一致；⑤金属件喷涂层无漏喷、锈蚀和脱色、掉色现象，无流挂、疙瘩、皱皮、飞漆等缺陷；⑥塑料件无裂纹、无明显变形，无明显缩孔、气泡、杂质、伤痕，外表用塑料件表面光洁、无划痕、无污渍、无明显色差；</w:t>
            </w:r>
          </w:p>
          <w:p w14:paraId="75BA31F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（2）有害物质限量：4种重金属含量（限色漆）mg/kg（可溶性铅≤9.0、镉≤0.3、铬≤12、汞≤0.3）；</w:t>
            </w:r>
          </w:p>
          <w:p w14:paraId="645AF68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（3）安全性能要求：①人体接触或收藏物品部位无毛刺、刃口、棱角；②固定部位结合牢固，无松动、少件、透钉、漏钉；</w:t>
            </w:r>
          </w:p>
          <w:p w14:paraId="72E9AC2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理化性能要求：金属喷漆（塑）涂层耐腐蚀性：100h内，在溶液中样板上划道两侧3mm以外，无鼓泡产生；100h后，划道两侧3mm以外，无锈迹、剥落、起皱、变色和失光等现象；附着力不低于2级；硬度≥2H；冲击高度≥400mm，无剥落、裂纹、皱纹；</w:t>
            </w:r>
          </w:p>
          <w:p w14:paraId="2F14754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（5）座面静载荷试验、椅腿前向静载荷试验、座面冲击试验、座面耐久性试验，结果均无损；</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867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AAF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09D80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202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E25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控制柜</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7C5C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1、控制柜参考尺寸：400mm（L）×230mm（W）×780mm（H）；</w:t>
            </w:r>
          </w:p>
          <w:p w14:paraId="52E27BC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2、工艺与材质：采用≥1.2mm钢板冷轧成型，表面经过防腐氧化处理和纯环氧树脂塑粉高温固化处理，具有较强的耐蚀性；操作面镶有亚克力装饰板。</w:t>
            </w:r>
          </w:p>
          <w:p w14:paraId="04DB010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3、内嵌10.1英寸显示屏，支持触控操作，分辨率≥1024*600mm，IPS屏，宽视角；</w:t>
            </w:r>
          </w:p>
          <w:p w14:paraId="1F4C72D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4、功能设置：内置总电源开关、漏电保护器、以32位MCU为核心的主控制模块、急停控制模块、工业级开关电源及工作指示灯。</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02E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7DA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2A850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D1C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014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智能吊装控制系统</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E9A0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1.电源操作控制系统：可实现远程分组控制学生高低压电源开启与关闭；可输出交流电范围0-30V，分辨率1V设置及实时显示，可输出直流电范围0-30V，分辨率0.1V设置及实时显示，带学生电压锁定功能。</w:t>
            </w:r>
          </w:p>
          <w:p w14:paraId="6E9BCA3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2.照明系统：可实现远程控制照明系统开启与关闭。可单个或全组进行控制，有全选及反选功能，可手动调节照明亮度。</w:t>
            </w:r>
          </w:p>
          <w:p w14:paraId="28EE5C4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3.给排水控制系统：可实现远程控制给排水系统的开启与关闭。可单个或全组进行控制，有全选及反选功能。</w:t>
            </w:r>
          </w:p>
          <w:p w14:paraId="081B101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4.摇臂控制系统：可实现控制电源摇臂升起或下降。可单个或全组进行控制，有全选及反选功能。</w:t>
            </w:r>
          </w:p>
          <w:p w14:paraId="1C25EE1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5.通风控制系统：可实现远程控制通风系统的开启与关闭及风量调节。</w:t>
            </w:r>
          </w:p>
          <w:p w14:paraId="31F9AF4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6.系统设置：（1）开机方式： ①直接开机、②密码验证；（2）定时关机：0-240分钟时段设置；（3）教室编号设置；（4）自动分组功能；（5）更改密码功能。</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C7B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576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5DED9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62F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205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智能吊装集成箱体</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795A0">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1.规格：≥1900mm（L）×680mm（W）×320mm（H）。</w:t>
            </w:r>
          </w:p>
          <w:p w14:paraId="29944CA1">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2.材质：吊装箱体使用SMC复合材料及ABS环保材料，采用一体化加工工艺成型，具有耐化学腐蚀、耐高温，表面硬度高、电绝缘性、耐候性等性能。</w:t>
            </w:r>
          </w:p>
          <w:p w14:paraId="62831934">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3.内部承重结构采用≥40mm×20mm铝型材连接，着力连接点合理分布，遵循人体工程学设计原理，采用五金配件连接，便于安装。功能模块连接配件选用表面经喷漆处理的冷轧钢板定制成型。</w:t>
            </w:r>
          </w:p>
          <w:p w14:paraId="792DE3D6">
            <w:pPr>
              <w:keepNext w:val="0"/>
              <w:keepLines w:val="0"/>
              <w:widowControl/>
              <w:suppressLineNumbers w:val="0"/>
              <w:jc w:val="left"/>
              <w:textAlignment w:val="center"/>
              <w:rPr>
                <w:rStyle w:val="295"/>
                <w:rFonts w:hint="eastAsia" w:ascii="宋体" w:hAnsi="宋体" w:eastAsia="宋体" w:cs="宋体"/>
                <w:color w:val="auto"/>
                <w:sz w:val="21"/>
                <w:szCs w:val="21"/>
                <w:highlight w:val="none"/>
                <w:shd w:val="clear"/>
                <w:lang w:val="en-US" w:eastAsia="zh-CN" w:bidi="ar"/>
              </w:rPr>
            </w:pPr>
            <w:r>
              <w:rPr>
                <w:rStyle w:val="295"/>
                <w:rFonts w:hint="eastAsia" w:ascii="宋体" w:hAnsi="宋体" w:cs="宋体"/>
                <w:color w:val="auto"/>
                <w:sz w:val="21"/>
                <w:szCs w:val="21"/>
                <w:highlight w:val="none"/>
                <w:shd w:val="clear"/>
                <w:lang w:val="en-US" w:eastAsia="zh-CN" w:bidi="ar"/>
              </w:rPr>
              <w:t>★</w:t>
            </w:r>
            <w:r>
              <w:rPr>
                <w:rStyle w:val="295"/>
                <w:rFonts w:hint="eastAsia" w:ascii="宋体" w:hAnsi="宋体" w:eastAsia="宋体" w:cs="宋体"/>
                <w:color w:val="auto"/>
                <w:sz w:val="21"/>
                <w:szCs w:val="21"/>
                <w:highlight w:val="none"/>
                <w:shd w:val="clear"/>
                <w:lang w:val="en-US" w:eastAsia="zh-CN" w:bidi="ar"/>
              </w:rPr>
              <w:t>4.智能吊装集成箱体产品满足以下</w:t>
            </w:r>
            <w:r>
              <w:rPr>
                <w:rFonts w:hint="eastAsia" w:ascii="宋体" w:hAnsi="宋体" w:eastAsia="宋体" w:cs="宋体"/>
                <w:i w:val="0"/>
                <w:iCs w:val="0"/>
                <w:color w:val="auto"/>
                <w:kern w:val="0"/>
                <w:sz w:val="21"/>
                <w:szCs w:val="21"/>
                <w:highlight w:val="none"/>
                <w:u w:val="none"/>
                <w:shd w:val="clear"/>
                <w:lang w:val="en-US" w:eastAsia="zh-CN" w:bidi="ar"/>
              </w:rPr>
              <w:t>（</w:t>
            </w:r>
            <w:r>
              <w:rPr>
                <w:rStyle w:val="295"/>
                <w:rFonts w:hint="eastAsia" w:ascii="宋体" w:hAnsi="宋体" w:eastAsia="宋体" w:cs="宋体"/>
                <w:color w:val="auto"/>
                <w:sz w:val="21"/>
                <w:szCs w:val="21"/>
                <w:highlight w:val="none"/>
                <w:shd w:val="clear"/>
                <w:lang w:val="en-US" w:eastAsia="zh-CN" w:bidi="ar"/>
              </w:rPr>
              <w:t>1）-</w:t>
            </w:r>
            <w:r>
              <w:rPr>
                <w:rFonts w:hint="eastAsia" w:ascii="宋体" w:hAnsi="宋体" w:eastAsia="宋体" w:cs="宋体"/>
                <w:i w:val="0"/>
                <w:iCs w:val="0"/>
                <w:color w:val="auto"/>
                <w:kern w:val="0"/>
                <w:sz w:val="21"/>
                <w:szCs w:val="21"/>
                <w:highlight w:val="none"/>
                <w:u w:val="none"/>
                <w:shd w:val="clear"/>
                <w:lang w:val="en-US" w:eastAsia="zh-CN" w:bidi="ar"/>
              </w:rPr>
              <w:t>（</w:t>
            </w:r>
            <w:r>
              <w:rPr>
                <w:rStyle w:val="295"/>
                <w:rFonts w:hint="eastAsia" w:ascii="宋体" w:hAnsi="宋体" w:eastAsia="宋体" w:cs="宋体"/>
                <w:color w:val="auto"/>
                <w:sz w:val="21"/>
                <w:szCs w:val="21"/>
                <w:highlight w:val="none"/>
                <w:shd w:val="clear"/>
                <w:lang w:val="en-US" w:eastAsia="zh-CN" w:bidi="ar"/>
              </w:rPr>
              <w:t>5）项的性能要求，需提供第三方检测机构出具的检验报告。</w:t>
            </w:r>
          </w:p>
          <w:p w14:paraId="64CBA7C2">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r>
              <w:rPr>
                <w:rStyle w:val="295"/>
                <w:rFonts w:hint="eastAsia" w:ascii="宋体" w:hAnsi="宋体" w:eastAsia="宋体" w:cs="宋体"/>
                <w:color w:val="auto"/>
                <w:sz w:val="21"/>
                <w:szCs w:val="21"/>
                <w:highlight w:val="none"/>
                <w:lang w:val="en-US" w:eastAsia="zh-CN" w:bidi="ar"/>
              </w:rPr>
              <w:t>1）外观性能要求：①金属件电镀层表面无剥落、返锈、毛刺，表面无烧焦、起泡、针孔、裂纹、花斑和划痕；②塑料件无裂纹、无明显变形，无明显缩孔、气泡、杂质、伤痕，外表用塑料件表面光洁、无划痕、无污渍、无明显色差；</w:t>
            </w:r>
          </w:p>
          <w:p w14:paraId="0F71E6D5">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r>
              <w:rPr>
                <w:rStyle w:val="295"/>
                <w:rFonts w:hint="eastAsia" w:ascii="宋体" w:hAnsi="宋体" w:eastAsia="宋体" w:cs="宋体"/>
                <w:color w:val="auto"/>
                <w:sz w:val="21"/>
                <w:szCs w:val="21"/>
                <w:highlight w:val="none"/>
                <w:lang w:val="en-US" w:eastAsia="zh-CN" w:bidi="ar"/>
              </w:rPr>
              <w:t>2）安全性能要求：①人体接触或收藏物品的部位无毛刺、刃口、棱角；②固定部位结合牢固，无松动、无少件、透钉、漏钉；</w:t>
            </w:r>
          </w:p>
          <w:p w14:paraId="2DD81D75">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r>
              <w:rPr>
                <w:rStyle w:val="295"/>
                <w:rFonts w:hint="eastAsia" w:ascii="宋体" w:hAnsi="宋体" w:eastAsia="宋体" w:cs="宋体"/>
                <w:color w:val="auto"/>
                <w:sz w:val="21"/>
                <w:szCs w:val="21"/>
                <w:highlight w:val="none"/>
                <w:lang w:val="en-US" w:eastAsia="zh-CN" w:bidi="ar"/>
              </w:rPr>
              <w:t>3）理化性能要求：金属电镀层抗盐雾：≥18h，1.5mm以下 无锈点；</w:t>
            </w:r>
          </w:p>
          <w:p w14:paraId="65ED8FEA">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r>
              <w:rPr>
                <w:rStyle w:val="295"/>
                <w:rFonts w:hint="eastAsia" w:ascii="宋体" w:hAnsi="宋体" w:eastAsia="宋体" w:cs="宋体"/>
                <w:color w:val="auto"/>
                <w:sz w:val="21"/>
                <w:szCs w:val="21"/>
                <w:highlight w:val="none"/>
                <w:lang w:val="en-US" w:eastAsia="zh-CN" w:bidi="ar"/>
              </w:rPr>
              <w:t>4）塑料件冲击强度≥3.5*10</w:t>
            </w:r>
            <w:r>
              <w:rPr>
                <w:rStyle w:val="296"/>
                <w:rFonts w:hint="eastAsia" w:ascii="宋体" w:hAnsi="宋体" w:eastAsia="宋体" w:cs="宋体"/>
                <w:color w:val="auto"/>
                <w:sz w:val="21"/>
                <w:szCs w:val="21"/>
                <w:highlight w:val="none"/>
                <w:lang w:val="en-US" w:eastAsia="zh-CN" w:bidi="ar"/>
              </w:rPr>
              <w:t>³</w:t>
            </w:r>
            <w:r>
              <w:rPr>
                <w:rStyle w:val="295"/>
                <w:rFonts w:hint="eastAsia" w:ascii="宋体" w:hAnsi="宋体" w:eastAsia="宋体" w:cs="宋体"/>
                <w:color w:val="auto"/>
                <w:sz w:val="21"/>
                <w:szCs w:val="21"/>
                <w:highlight w:val="none"/>
                <w:lang w:val="en-US" w:eastAsia="zh-CN" w:bidi="ar"/>
              </w:rPr>
              <w:t>J/m</w:t>
            </w:r>
            <w:r>
              <w:rPr>
                <w:rStyle w:val="296"/>
                <w:rFonts w:hint="eastAsia" w:ascii="宋体" w:hAnsi="宋体" w:eastAsia="宋体" w:cs="宋体"/>
                <w:color w:val="auto"/>
                <w:sz w:val="21"/>
                <w:szCs w:val="21"/>
                <w:highlight w:val="none"/>
                <w:lang w:val="en-US" w:eastAsia="zh-CN" w:bidi="ar"/>
              </w:rPr>
              <w:t>²</w:t>
            </w:r>
            <w:r>
              <w:rPr>
                <w:rStyle w:val="295"/>
                <w:rFonts w:hint="eastAsia" w:ascii="宋体" w:hAnsi="宋体" w:eastAsia="宋体" w:cs="宋体"/>
                <w:color w:val="auto"/>
                <w:sz w:val="21"/>
                <w:szCs w:val="21"/>
                <w:highlight w:val="none"/>
                <w:lang w:val="en-US" w:eastAsia="zh-CN" w:bidi="ar"/>
              </w:rPr>
              <w:t>;</w:t>
            </w:r>
          </w:p>
          <w:p w14:paraId="51CA23D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r>
              <w:rPr>
                <w:rStyle w:val="295"/>
                <w:rFonts w:hint="eastAsia" w:ascii="宋体" w:hAnsi="宋体" w:eastAsia="宋体" w:cs="宋体"/>
                <w:color w:val="auto"/>
                <w:sz w:val="21"/>
                <w:szCs w:val="21"/>
                <w:highlight w:val="none"/>
                <w:lang w:val="en-US" w:eastAsia="zh-CN" w:bidi="ar"/>
              </w:rPr>
              <w:t>5）4种重金属含量mg/kg（可溶性铅≤3.0、镉≤0.2、铬≤0.6、汞≤0.02）。</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128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组</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003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r>
      <w:tr w14:paraId="52DC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2AD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481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升降摇臂控制模块</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8CD2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1.规格：长≥570mm，模块化设计，内置于舱体下方。</w:t>
            </w:r>
          </w:p>
          <w:p w14:paraId="6796507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2.摇摆臂采用动力装置升降，与箱体主结构连接固定件采用优质铝合金原料压铸成型，T字型结构设计，更具高精度，强稳定性。</w:t>
            </w:r>
          </w:p>
          <w:p w14:paraId="036D24F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臂身为优质铝合金型材，表面经电泳、静电环氧树脂粉末喷涂固化处理，具有耐化学腐蚀、耐高温的性能，采用优质五金配件与电源连接，外表面和内表面可触及的隐蔽处，均无锐利的棱角和五金配件露出；根据实验需要，可0°到90°智能调节摇摆角度，遵循人体工程学设计原理，摇摆臂内置给排水管和电缆安装空间。</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508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5CC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r>
      <w:tr w14:paraId="6C9E4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E01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2B5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电源操作控制系统模块</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D446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电源操作模块正面设置</w:t>
            </w:r>
          </w:p>
          <w:p w14:paraId="7882B20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1、不少于两个220V电源插座；</w:t>
            </w:r>
          </w:p>
          <w:p w14:paraId="5F272CA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2、两个低压电源输出装置，直流交流输出最大额定电流2A，输出电压范围0-30V，应均配备安全保护及报警装置；</w:t>
            </w:r>
          </w:p>
          <w:p w14:paraId="52678D8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3、内嵌式4.3英寸液晶显示屏（偏差±5%），可触屏显示设置低压直流、交流；</w:t>
            </w:r>
          </w:p>
          <w:p w14:paraId="01C9DC3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4、语音警报系统，当用电器过载，即刻发出语音警报；</w:t>
            </w:r>
          </w:p>
          <w:p w14:paraId="3499DD2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5、装置内设保险丝，具有过载、短路保护功能；</w:t>
            </w:r>
          </w:p>
          <w:p w14:paraId="2D04F63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6、装置内应设一键紧急制动装置；一键按下，即刻紧急制动，切断电源，确保学生、设备安全；也应可以一键即刻恢复运行。</w:t>
            </w:r>
          </w:p>
          <w:p w14:paraId="2E88C91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电源操作模块反面设置</w:t>
            </w:r>
          </w:p>
          <w:p w14:paraId="32F42C9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1、不少于三个220V电源插座；</w:t>
            </w:r>
          </w:p>
          <w:p w14:paraId="2F6AE30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2、两个低压电源输出装置，直流交流输出最大额定电流2A，输出电压范围0-30V，均配备安全保护及报警装置；</w:t>
            </w:r>
          </w:p>
          <w:p w14:paraId="5CEBF97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3、设置不少于2个网口，不少于2个USB供电接口。</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982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0D3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r>
      <w:tr w14:paraId="1CE18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532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566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洗眼器</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3DDC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 洗眼喷头：采用不助燃PC材质模铸一体成型制作，具有过滤泡棉及防尘功能，上面防尘盖平常可防尘，使用时可随时被水冲开，能降低突然打开时短暂的高水压，避免冲伤眼睛。</w:t>
            </w:r>
          </w:p>
          <w:p w14:paraId="17A91B0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 控水阀采用黄铜制作，经镀镍处理，具有美观性，阀门可自动关闭，密封可靠。</w:t>
            </w:r>
          </w:p>
          <w:p w14:paraId="58D2649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 供水软管：采用≥1400mm长不锈钢软管。</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C03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B1D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7A231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D2B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778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水槽台</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86CB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1、整体规格：450mm（L）×600mm（W）×815mm（H）；</w:t>
            </w:r>
          </w:p>
          <w:p w14:paraId="0889A8F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2、材质：整体采用ABS和改性PP材质；</w:t>
            </w:r>
          </w:p>
          <w:p w14:paraId="64C888B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化验水槽规格：≥400mm（L）×360mm（W）×155mm（H），由ABS塑料一体化注塑成型。槽面设有溢水口，预留三联水嘴、台式洗眼器放置孔位。下水口滤网设计，能拆卸清洗、水槽内侧倾斜面设计、四周边缘圆角设计；</w:t>
            </w:r>
          </w:p>
          <w:p w14:paraId="04D7133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4、水槽箱体由ABS和PP塑料注塑成型，前后门设计。</w:t>
            </w:r>
          </w:p>
          <w:p w14:paraId="14E7652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5、槽体上部配备出水装置：一高二低出水口，管体部份为黄铜合金制，陶瓷阀芯，表面经环氧树脂静电喷涂处理，耐酸碱腐蚀。出水口为铜质瓷芯尖嘴型，可拆卸清洗阻塞。</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B07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77E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r>
      <w:tr w14:paraId="582CB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6F5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4C6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给/排水全套装置</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1D7F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1.PPR材质水管，上水管和进水管为Ф25mm；UPVC材质排水管为Ф50mm。</w:t>
            </w:r>
          </w:p>
          <w:p w14:paraId="6493680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2.开关阀门，外丝连接件、PVC胶水等。</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F5F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D2C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5B8BE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C67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81D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通风系统模块</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D804F">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1.由伸缩式吸风管道、通风控制系统构成，吸风管道通过通风控制系统控制，由动力装置进行升降控制。</w:t>
            </w:r>
          </w:p>
          <w:p w14:paraId="508BD3A3">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2.伸缩式吸风管道：由铝合金材质制作，表面经砂面氧化、静电环氧树脂粉末喷涂固化处理，耐化学腐蚀、耐高温。吸风管道置于箱体左右两侧底部，调节角度为0°-90°。吸风管道内置伸缩式吸风罩，选用高密度PP材质和不易老化高密度橡胶关节密封圈，易拆卸、重组及清洗。可伸缩范围为620mm-1420mm，覆盖任意实验操作范围区域。实验完毕，即可通过通风控制系统，由动力装置将伸缩式吸风管道旋转至箱体两侧，解放区域空间。系统可根据室内环境随意可调风量大小。吸风管道采用PVC管道，管内壁光滑，以降低噪声向室内传播。</w:t>
            </w:r>
          </w:p>
          <w:p w14:paraId="7285BDC0">
            <w:pPr>
              <w:keepNext w:val="0"/>
              <w:keepLines w:val="0"/>
              <w:widowControl/>
              <w:suppressLineNumbers w:val="0"/>
              <w:jc w:val="left"/>
              <w:textAlignment w:val="center"/>
              <w:rPr>
                <w:rStyle w:val="295"/>
                <w:rFonts w:hint="eastAsia" w:ascii="宋体" w:hAnsi="宋体" w:eastAsia="宋体" w:cs="宋体"/>
                <w:strike w:val="0"/>
                <w:dstrike w:val="0"/>
                <w:color w:val="auto"/>
                <w:sz w:val="21"/>
                <w:szCs w:val="21"/>
                <w:highlight w:val="none"/>
                <w:shd w:val="clear"/>
                <w:lang w:val="en-US" w:eastAsia="zh-CN" w:bidi="ar"/>
              </w:rPr>
            </w:pPr>
            <w:r>
              <w:rPr>
                <w:rStyle w:val="295"/>
                <w:rFonts w:hint="eastAsia" w:ascii="宋体" w:hAnsi="宋体" w:cs="宋体"/>
                <w:strike w:val="0"/>
                <w:dstrike w:val="0"/>
                <w:color w:val="auto"/>
                <w:sz w:val="21"/>
                <w:szCs w:val="21"/>
                <w:highlight w:val="none"/>
                <w:shd w:val="clear"/>
                <w:lang w:val="en-US" w:eastAsia="zh-CN" w:bidi="ar"/>
              </w:rPr>
              <w:t>★</w:t>
            </w:r>
            <w:r>
              <w:rPr>
                <w:rStyle w:val="295"/>
                <w:rFonts w:hint="eastAsia" w:ascii="宋体" w:hAnsi="宋体" w:eastAsia="宋体" w:cs="宋体"/>
                <w:strike w:val="0"/>
                <w:dstrike w:val="0"/>
                <w:color w:val="auto"/>
                <w:sz w:val="21"/>
                <w:szCs w:val="21"/>
                <w:highlight w:val="none"/>
                <w:shd w:val="clear"/>
                <w:lang w:val="en-US" w:eastAsia="zh-CN" w:bidi="ar"/>
              </w:rPr>
              <w:t>3.吊装通风系统模块产品满足以下</w:t>
            </w:r>
            <w:r>
              <w:rPr>
                <w:rFonts w:hint="eastAsia" w:ascii="宋体" w:hAnsi="宋体" w:eastAsia="宋体" w:cs="宋体"/>
                <w:i w:val="0"/>
                <w:iCs w:val="0"/>
                <w:strike w:val="0"/>
                <w:dstrike w:val="0"/>
                <w:color w:val="auto"/>
                <w:kern w:val="0"/>
                <w:sz w:val="21"/>
                <w:szCs w:val="21"/>
                <w:highlight w:val="none"/>
                <w:u w:val="none"/>
                <w:shd w:val="clear"/>
                <w:lang w:val="en-US" w:eastAsia="zh-CN" w:bidi="ar"/>
              </w:rPr>
              <w:t>（</w:t>
            </w:r>
            <w:r>
              <w:rPr>
                <w:rStyle w:val="295"/>
                <w:rFonts w:hint="eastAsia" w:ascii="宋体" w:hAnsi="宋体" w:eastAsia="宋体" w:cs="宋体"/>
                <w:strike w:val="0"/>
                <w:dstrike w:val="0"/>
                <w:color w:val="auto"/>
                <w:sz w:val="21"/>
                <w:szCs w:val="21"/>
                <w:highlight w:val="none"/>
                <w:shd w:val="clear"/>
                <w:lang w:val="en-US" w:eastAsia="zh-CN" w:bidi="ar"/>
              </w:rPr>
              <w:t>1）-</w:t>
            </w:r>
            <w:r>
              <w:rPr>
                <w:rFonts w:hint="eastAsia" w:ascii="宋体" w:hAnsi="宋体" w:eastAsia="宋体" w:cs="宋体"/>
                <w:i w:val="0"/>
                <w:iCs w:val="0"/>
                <w:strike w:val="0"/>
                <w:dstrike w:val="0"/>
                <w:color w:val="auto"/>
                <w:kern w:val="0"/>
                <w:sz w:val="21"/>
                <w:szCs w:val="21"/>
                <w:highlight w:val="none"/>
                <w:u w:val="none"/>
                <w:shd w:val="clear"/>
                <w:lang w:val="en-US" w:eastAsia="zh-CN" w:bidi="ar"/>
              </w:rPr>
              <w:t>（3</w:t>
            </w:r>
            <w:r>
              <w:rPr>
                <w:rStyle w:val="295"/>
                <w:rFonts w:hint="eastAsia" w:ascii="宋体" w:hAnsi="宋体" w:eastAsia="宋体" w:cs="宋体"/>
                <w:strike w:val="0"/>
                <w:dstrike w:val="0"/>
                <w:color w:val="auto"/>
                <w:sz w:val="21"/>
                <w:szCs w:val="21"/>
                <w:highlight w:val="none"/>
                <w:shd w:val="clear"/>
                <w:lang w:val="en-US" w:eastAsia="zh-CN" w:bidi="ar"/>
              </w:rPr>
              <w:t>）项的性能要求，需提供第三方检测机构出具的检验报告。</w:t>
            </w:r>
          </w:p>
          <w:p w14:paraId="479DE57E">
            <w:pPr>
              <w:keepNext w:val="0"/>
              <w:keepLines w:val="0"/>
              <w:widowControl/>
              <w:suppressLineNumbers w:val="0"/>
              <w:jc w:val="left"/>
              <w:textAlignment w:val="center"/>
              <w:rPr>
                <w:rStyle w:val="295"/>
                <w:rFonts w:hint="eastAsia" w:ascii="宋体" w:hAnsi="宋体" w:eastAsia="宋体" w:cs="宋体"/>
                <w:strike w:val="0"/>
                <w:dstrike w:val="0"/>
                <w:color w:val="auto"/>
                <w:sz w:val="21"/>
                <w:szCs w:val="21"/>
                <w:highlight w:val="none"/>
                <w:shd w:val="clear"/>
                <w:lang w:val="en-US" w:eastAsia="zh-CN" w:bidi="ar"/>
              </w:rPr>
            </w:pPr>
            <w:r>
              <w:rPr>
                <w:rFonts w:hint="eastAsia" w:ascii="宋体" w:hAnsi="宋体" w:eastAsia="宋体" w:cs="宋体"/>
                <w:i w:val="0"/>
                <w:iCs w:val="0"/>
                <w:strike w:val="0"/>
                <w:dstrike w:val="0"/>
                <w:color w:val="auto"/>
                <w:kern w:val="0"/>
                <w:sz w:val="21"/>
                <w:szCs w:val="21"/>
                <w:highlight w:val="none"/>
                <w:u w:val="none"/>
                <w:shd w:val="clear"/>
                <w:lang w:val="en-US" w:eastAsia="zh-CN" w:bidi="ar"/>
              </w:rPr>
              <w:t>（</w:t>
            </w:r>
            <w:r>
              <w:rPr>
                <w:rStyle w:val="295"/>
                <w:rFonts w:hint="eastAsia" w:ascii="宋体" w:hAnsi="宋体" w:eastAsia="宋体" w:cs="宋体"/>
                <w:strike w:val="0"/>
                <w:dstrike w:val="0"/>
                <w:color w:val="auto"/>
                <w:sz w:val="21"/>
                <w:szCs w:val="21"/>
                <w:highlight w:val="none"/>
                <w:shd w:val="clear"/>
                <w:lang w:val="en-US" w:eastAsia="zh-CN" w:bidi="ar"/>
              </w:rPr>
              <w:t>1）外观性能要求：①金属件管材无裂缝、叠缝，外露管口端面封闭；②金属件冲压件无脱层、裂缝；③金属件电镀层表面无剥落、返锈、毛刺，表面无烧焦、起泡、针孔、裂纹、花斑和划痕；④塑料件无裂纹、无明显变形，无明显缩孔、气泡、杂质、伤痕，外表用塑料件表面光洁、无划痕、无污渍、无明显色差；</w:t>
            </w:r>
          </w:p>
          <w:p w14:paraId="01268C81">
            <w:pPr>
              <w:keepNext w:val="0"/>
              <w:keepLines w:val="0"/>
              <w:widowControl/>
              <w:suppressLineNumbers w:val="0"/>
              <w:jc w:val="left"/>
              <w:textAlignment w:val="center"/>
              <w:rPr>
                <w:rStyle w:val="295"/>
                <w:rFonts w:hint="eastAsia" w:ascii="宋体" w:hAnsi="宋体" w:eastAsia="宋体" w:cs="宋体"/>
                <w:strike w:val="0"/>
                <w:dstrike w:val="0"/>
                <w:color w:val="auto"/>
                <w:sz w:val="21"/>
                <w:szCs w:val="21"/>
                <w:highlight w:val="none"/>
                <w:shd w:val="clear"/>
                <w:lang w:val="en-US" w:eastAsia="zh-CN" w:bidi="ar"/>
              </w:rPr>
            </w:pPr>
            <w:r>
              <w:rPr>
                <w:rFonts w:hint="eastAsia" w:ascii="宋体" w:hAnsi="宋体" w:eastAsia="宋体" w:cs="宋体"/>
                <w:i w:val="0"/>
                <w:iCs w:val="0"/>
                <w:strike w:val="0"/>
                <w:dstrike w:val="0"/>
                <w:color w:val="auto"/>
                <w:kern w:val="0"/>
                <w:sz w:val="21"/>
                <w:szCs w:val="21"/>
                <w:highlight w:val="none"/>
                <w:u w:val="none"/>
                <w:shd w:val="clear"/>
                <w:lang w:val="en-US" w:eastAsia="zh-CN" w:bidi="ar"/>
              </w:rPr>
              <w:t>（</w:t>
            </w:r>
            <w:r>
              <w:rPr>
                <w:rStyle w:val="295"/>
                <w:rFonts w:hint="eastAsia" w:ascii="宋体" w:hAnsi="宋体" w:eastAsia="宋体" w:cs="宋体"/>
                <w:strike w:val="0"/>
                <w:dstrike w:val="0"/>
                <w:color w:val="auto"/>
                <w:sz w:val="21"/>
                <w:szCs w:val="21"/>
                <w:highlight w:val="none"/>
                <w:shd w:val="clear"/>
                <w:lang w:val="en-US" w:eastAsia="zh-CN" w:bidi="ar"/>
              </w:rPr>
              <w:t>2）安全性能要求：①人体接触或收藏物品的部位无毛刺、刃口、棱角；②固定部位结合牢固，无松动、无少件、透钉、漏钉；</w:t>
            </w:r>
          </w:p>
          <w:p w14:paraId="2FE994F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trike w:val="0"/>
                <w:dstrike w:val="0"/>
                <w:color w:val="auto"/>
                <w:kern w:val="0"/>
                <w:sz w:val="21"/>
                <w:szCs w:val="21"/>
                <w:highlight w:val="none"/>
                <w:u w:val="none"/>
                <w:shd w:val="clear"/>
                <w:lang w:val="en-US" w:eastAsia="zh-CN" w:bidi="ar"/>
              </w:rPr>
              <w:t>（</w:t>
            </w:r>
            <w:r>
              <w:rPr>
                <w:rStyle w:val="295"/>
                <w:rFonts w:hint="eastAsia" w:ascii="宋体" w:hAnsi="宋体" w:eastAsia="宋体" w:cs="宋体"/>
                <w:strike w:val="0"/>
                <w:dstrike w:val="0"/>
                <w:color w:val="auto"/>
                <w:sz w:val="21"/>
                <w:szCs w:val="21"/>
                <w:highlight w:val="none"/>
                <w:shd w:val="clear"/>
                <w:lang w:val="en-US" w:eastAsia="zh-CN" w:bidi="ar"/>
              </w:rPr>
              <w:t>3）塑料件冲击强度≥3.5*10</w:t>
            </w:r>
            <w:r>
              <w:rPr>
                <w:rStyle w:val="296"/>
                <w:rFonts w:hint="eastAsia" w:ascii="宋体" w:hAnsi="宋体" w:eastAsia="宋体" w:cs="宋体"/>
                <w:strike w:val="0"/>
                <w:dstrike w:val="0"/>
                <w:color w:val="auto"/>
                <w:sz w:val="21"/>
                <w:szCs w:val="21"/>
                <w:highlight w:val="none"/>
                <w:shd w:val="clear"/>
                <w:lang w:val="en-US" w:eastAsia="zh-CN" w:bidi="ar"/>
              </w:rPr>
              <w:t>³</w:t>
            </w:r>
            <w:r>
              <w:rPr>
                <w:rStyle w:val="295"/>
                <w:rFonts w:hint="eastAsia" w:ascii="宋体" w:hAnsi="宋体" w:eastAsia="宋体" w:cs="宋体"/>
                <w:strike w:val="0"/>
                <w:dstrike w:val="0"/>
                <w:color w:val="auto"/>
                <w:sz w:val="21"/>
                <w:szCs w:val="21"/>
                <w:highlight w:val="none"/>
                <w:shd w:val="clear"/>
                <w:lang w:val="en-US" w:eastAsia="zh-CN" w:bidi="ar"/>
              </w:rPr>
              <w:t>J/m</w:t>
            </w:r>
            <w:r>
              <w:rPr>
                <w:rStyle w:val="296"/>
                <w:rFonts w:hint="eastAsia" w:ascii="宋体" w:hAnsi="宋体" w:eastAsia="宋体" w:cs="宋体"/>
                <w:strike w:val="0"/>
                <w:dstrike w:val="0"/>
                <w:color w:val="auto"/>
                <w:sz w:val="21"/>
                <w:szCs w:val="21"/>
                <w:highlight w:val="none"/>
                <w:shd w:val="clear"/>
                <w:lang w:val="en-US" w:eastAsia="zh-CN" w:bidi="ar"/>
              </w:rPr>
              <w:t>²</w:t>
            </w:r>
            <w:r>
              <w:rPr>
                <w:rStyle w:val="295"/>
                <w:rFonts w:hint="eastAsia" w:ascii="宋体" w:hAnsi="宋体" w:eastAsia="宋体" w:cs="宋体"/>
                <w:strike w:val="0"/>
                <w:dstrike w:val="0"/>
                <w:color w:val="auto"/>
                <w:sz w:val="21"/>
                <w:szCs w:val="21"/>
                <w:highlight w:val="none"/>
                <w:shd w:val="clear"/>
                <w:lang w:val="en-US" w:eastAsia="zh-CN" w:bidi="ar"/>
              </w:rPr>
              <w:t>;</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B58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DA4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20981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883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E32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离心风机</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1878D">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1.风机：选用防腐蚀的UPVC工程塑料风机，电机功率≥5.5kW，根据室内环境可随意调风量大小，风量可达6000～12000m</w:t>
            </w:r>
            <w:r>
              <w:rPr>
                <w:rStyle w:val="296"/>
                <w:rFonts w:hint="eastAsia" w:ascii="宋体" w:hAnsi="宋体" w:eastAsia="宋体" w:cs="宋体"/>
                <w:color w:val="auto"/>
                <w:sz w:val="21"/>
                <w:szCs w:val="21"/>
                <w:highlight w:val="none"/>
                <w:lang w:val="en-US" w:eastAsia="zh-CN" w:bidi="ar"/>
              </w:rPr>
              <w:t>³</w:t>
            </w:r>
            <w:r>
              <w:rPr>
                <w:rStyle w:val="295"/>
                <w:rFonts w:hint="eastAsia" w:ascii="宋体" w:hAnsi="宋体" w:eastAsia="宋体" w:cs="宋体"/>
                <w:color w:val="auto"/>
                <w:sz w:val="21"/>
                <w:szCs w:val="21"/>
                <w:highlight w:val="none"/>
                <w:lang w:val="en-US" w:eastAsia="zh-CN" w:bidi="ar"/>
              </w:rPr>
              <w:t>/h；</w:t>
            </w:r>
          </w:p>
          <w:p w14:paraId="7C1A336E">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2.风机减振器：橡胶胶垫Φ120mm；</w:t>
            </w:r>
          </w:p>
          <w:p w14:paraId="41AC9DB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295"/>
                <w:rFonts w:hint="eastAsia" w:ascii="宋体" w:hAnsi="宋体" w:eastAsia="宋体" w:cs="宋体"/>
                <w:color w:val="auto"/>
                <w:sz w:val="21"/>
                <w:szCs w:val="21"/>
                <w:highlight w:val="none"/>
                <w:lang w:val="en-US" w:eastAsia="zh-CN" w:bidi="ar"/>
              </w:rPr>
              <w:t>3.防雨帽：化工工程塑料PP或PVC，≥φ480mm。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E6B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30E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6B525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18D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A6E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风机布线耗材</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05D7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295"/>
                <w:rFonts w:hint="eastAsia" w:ascii="宋体" w:hAnsi="宋体" w:eastAsia="宋体" w:cs="宋体"/>
                <w:color w:val="auto"/>
                <w:sz w:val="21"/>
                <w:szCs w:val="21"/>
                <w:highlight w:val="none"/>
                <w:lang w:val="en-US" w:eastAsia="zh-CN" w:bidi="ar"/>
              </w:rPr>
              <w:t>风机专用线电源主线需采用4mm</w:t>
            </w:r>
            <w:r>
              <w:rPr>
                <w:rStyle w:val="296"/>
                <w:rFonts w:hint="eastAsia" w:ascii="宋体" w:hAnsi="宋体" w:eastAsia="宋体" w:cs="宋体"/>
                <w:color w:val="auto"/>
                <w:sz w:val="21"/>
                <w:szCs w:val="21"/>
                <w:highlight w:val="none"/>
                <w:lang w:val="en-US" w:eastAsia="zh-CN" w:bidi="ar"/>
              </w:rPr>
              <w:t>²</w:t>
            </w:r>
            <w:r>
              <w:rPr>
                <w:rStyle w:val="295"/>
                <w:rFonts w:hint="eastAsia" w:ascii="宋体" w:hAnsi="宋体" w:eastAsia="宋体" w:cs="宋体"/>
                <w:color w:val="auto"/>
                <w:sz w:val="21"/>
                <w:szCs w:val="21"/>
                <w:highlight w:val="none"/>
                <w:lang w:val="en-US" w:eastAsia="zh-CN" w:bidi="ar"/>
              </w:rPr>
              <w:t>RVV塑铜线铺设经教师电源控制台至风机。</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168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室</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4D6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70B74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5E4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E39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万向吸风罩</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3535E">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1.关节：高密度PP材质，可360度旋转调节方向，易拆卸、重组及清洗；</w:t>
            </w:r>
          </w:p>
          <w:p w14:paraId="46C79850">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2.关节密封圈：采用不易老化的高密度橡胶；</w:t>
            </w:r>
          </w:p>
          <w:p w14:paraId="0031BBD7">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3.气流调节阀：能够手动调节控制进入气流量；</w:t>
            </w:r>
          </w:p>
          <w:p w14:paraId="314D4142">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4.工艺：主体采用防腐抗锈铝合金喷涂。</w:t>
            </w:r>
          </w:p>
          <w:p w14:paraId="3C933E04">
            <w:pPr>
              <w:keepNext w:val="0"/>
              <w:keepLines w:val="0"/>
              <w:widowControl/>
              <w:suppressLineNumbers w:val="0"/>
              <w:jc w:val="left"/>
              <w:textAlignment w:val="center"/>
              <w:rPr>
                <w:rStyle w:val="295"/>
                <w:rFonts w:hint="eastAsia" w:ascii="宋体" w:hAnsi="宋体" w:eastAsia="宋体" w:cs="宋体"/>
                <w:color w:val="auto"/>
                <w:sz w:val="21"/>
                <w:szCs w:val="21"/>
                <w:highlight w:val="none"/>
                <w:shd w:val="clear"/>
                <w:lang w:val="en-US" w:eastAsia="zh-CN" w:bidi="ar"/>
              </w:rPr>
            </w:pPr>
            <w:r>
              <w:rPr>
                <w:rStyle w:val="295"/>
                <w:rFonts w:hint="eastAsia" w:ascii="宋体" w:hAnsi="宋体" w:cs="宋体"/>
                <w:color w:val="auto"/>
                <w:sz w:val="21"/>
                <w:szCs w:val="21"/>
                <w:highlight w:val="none"/>
                <w:shd w:val="clear"/>
                <w:lang w:val="en-US" w:eastAsia="zh-CN" w:bidi="ar"/>
              </w:rPr>
              <w:t>★</w:t>
            </w:r>
            <w:r>
              <w:rPr>
                <w:rStyle w:val="295"/>
                <w:rFonts w:hint="eastAsia" w:ascii="宋体" w:hAnsi="宋体" w:eastAsia="宋体" w:cs="宋体"/>
                <w:color w:val="auto"/>
                <w:sz w:val="21"/>
                <w:szCs w:val="21"/>
                <w:highlight w:val="none"/>
                <w:shd w:val="clear"/>
                <w:lang w:val="en-US" w:eastAsia="zh-CN" w:bidi="ar"/>
              </w:rPr>
              <w:t>5.万向吸风罩产品满足以下（1）-（2）项的性能要求，需提供第三方检测机构出具的检验报告。</w:t>
            </w:r>
          </w:p>
          <w:p w14:paraId="21A2EFCF">
            <w:pPr>
              <w:keepNext w:val="0"/>
              <w:keepLines w:val="0"/>
              <w:widowControl/>
              <w:suppressLineNumbers w:val="0"/>
              <w:jc w:val="left"/>
              <w:textAlignment w:val="center"/>
              <w:rPr>
                <w:rStyle w:val="295"/>
                <w:rFonts w:hint="eastAsia" w:ascii="宋体" w:hAnsi="宋体" w:eastAsia="宋体" w:cs="宋体"/>
                <w:color w:val="auto"/>
                <w:sz w:val="21"/>
                <w:szCs w:val="21"/>
                <w:highlight w:val="none"/>
                <w:shd w:val="clear"/>
                <w:lang w:val="en-US" w:eastAsia="zh-CN" w:bidi="ar"/>
              </w:rPr>
            </w:pPr>
            <w:r>
              <w:rPr>
                <w:rStyle w:val="295"/>
                <w:rFonts w:hint="eastAsia" w:ascii="宋体" w:hAnsi="宋体" w:eastAsia="宋体" w:cs="宋体"/>
                <w:color w:val="auto"/>
                <w:sz w:val="21"/>
                <w:szCs w:val="21"/>
                <w:highlight w:val="none"/>
                <w:shd w:val="clear"/>
                <w:lang w:val="en-US" w:eastAsia="zh-CN" w:bidi="ar"/>
              </w:rPr>
              <w:t>（1）外观性能要求：①金属件管材无裂缝、叠缝；②金属件喷涂层无漏喷、锈蚀、脱色、掉色，涂层光滑均匀，色泽一致，无流挂、疙瘩、皱皮、飞漆；③塑料件无裂纹、变形，无缩孔、气泡、杂质、伤痕，外表用塑料件表面光洁、无划痕、污渍、色差；</w:t>
            </w:r>
          </w:p>
          <w:p w14:paraId="408220F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295"/>
                <w:rFonts w:hint="eastAsia" w:ascii="宋体" w:hAnsi="宋体" w:eastAsia="宋体" w:cs="宋体"/>
                <w:color w:val="auto"/>
                <w:sz w:val="21"/>
                <w:szCs w:val="21"/>
                <w:highlight w:val="none"/>
                <w:shd w:val="clear"/>
                <w:lang w:val="en-US" w:eastAsia="zh-CN" w:bidi="ar"/>
              </w:rPr>
              <w:t>（2）塑料件冲击强度≥3.5*10</w:t>
            </w:r>
            <w:r>
              <w:rPr>
                <w:rStyle w:val="296"/>
                <w:rFonts w:hint="eastAsia" w:ascii="宋体" w:hAnsi="宋体" w:eastAsia="宋体" w:cs="宋体"/>
                <w:color w:val="auto"/>
                <w:sz w:val="21"/>
                <w:szCs w:val="21"/>
                <w:highlight w:val="none"/>
                <w:shd w:val="clear"/>
                <w:lang w:val="en-US" w:eastAsia="zh-CN" w:bidi="ar"/>
              </w:rPr>
              <w:t>³</w:t>
            </w:r>
            <w:r>
              <w:rPr>
                <w:rStyle w:val="295"/>
                <w:rFonts w:hint="eastAsia" w:ascii="宋体" w:hAnsi="宋体" w:eastAsia="宋体" w:cs="宋体"/>
                <w:color w:val="auto"/>
                <w:sz w:val="21"/>
                <w:szCs w:val="21"/>
                <w:highlight w:val="none"/>
                <w:shd w:val="clear"/>
                <w:lang w:val="en-US" w:eastAsia="zh-CN" w:bidi="ar"/>
              </w:rPr>
              <w:t>J/m</w:t>
            </w:r>
            <w:r>
              <w:rPr>
                <w:rStyle w:val="296"/>
                <w:rFonts w:hint="eastAsia" w:ascii="宋体" w:hAnsi="宋体" w:eastAsia="宋体" w:cs="宋体"/>
                <w:color w:val="auto"/>
                <w:sz w:val="21"/>
                <w:szCs w:val="21"/>
                <w:highlight w:val="none"/>
                <w:shd w:val="clear"/>
                <w:lang w:val="en-US" w:eastAsia="zh-CN" w:bidi="ar"/>
              </w:rPr>
              <w:t>²</w:t>
            </w:r>
            <w:r>
              <w:rPr>
                <w:rStyle w:val="295"/>
                <w:rFonts w:hint="eastAsia" w:ascii="宋体" w:hAnsi="宋体" w:eastAsia="宋体" w:cs="宋体"/>
                <w:color w:val="auto"/>
                <w:sz w:val="21"/>
                <w:szCs w:val="21"/>
                <w:highlight w:val="none"/>
                <w:shd w:val="clear"/>
                <w:lang w:val="en-US" w:eastAsia="zh-CN" w:bidi="ar"/>
              </w:rPr>
              <w:t>;</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5A1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05A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63074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018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F38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风机变频控制器</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31D56">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1.适配多种电机功率;</w:t>
            </w:r>
          </w:p>
          <w:p w14:paraId="58CE7EEC">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2.面板频率:无极编码器;</w:t>
            </w:r>
          </w:p>
          <w:p w14:paraId="1C21406B">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3.输出:AC 0-380V 13A;</w:t>
            </w:r>
          </w:p>
          <w:p w14:paraId="3CD7B975">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4.模拟输出:2路(A01.A02)0-10V/0-20MA</w:t>
            </w:r>
          </w:p>
          <w:p w14:paraId="3CA75179">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5.模拟输入:1路(AI2)0-10V/0-20MA，1路(AI3)0-10V;</w:t>
            </w:r>
          </w:p>
          <w:p w14:paraId="4A6B5556">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6.控制方式:V/F控制;</w:t>
            </w:r>
          </w:p>
          <w:p w14:paraId="63F018EF">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7.过载能力:150%额定电流60s;180%额定电流3s;</w:t>
            </w:r>
          </w:p>
          <w:p w14:paraId="6D72009F">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8.控制电源+24V:最大输出电流200mA;</w:t>
            </w:r>
          </w:p>
          <w:p w14:paraId="700AC526">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9.运行方式:键盘、端子、RS485通讯;</w:t>
            </w:r>
          </w:p>
          <w:p w14:paraId="1939026C">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10.可实现紧急停机，转速跟踪;</w:t>
            </w:r>
          </w:p>
          <w:p w14:paraId="1AFB93E8">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11.输入端子:8路数字量输入端子;</w:t>
            </w:r>
          </w:p>
          <w:p w14:paraId="52144ED5">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12.维电器输出:两路可编程继电器输出;</w:t>
            </w:r>
          </w:p>
          <w:p w14:paraId="60B64D73">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13.可显示运行信息、故障信息。具备过流、过压、模块故障保护、欠压、过热、过载、外部故障保护、EEPROM故障保护、接地保护、缺相等变频器保护及报警功能;</w:t>
            </w:r>
          </w:p>
          <w:p w14:paraId="53494C83">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14.能适应-10℃~40℃的使用环境温度和-20℃~65℃储存温度,最大 90%RH不结露的环境湿度。要求能适应高度1000m以下，振动5.9m/秒</w:t>
            </w:r>
            <w:r>
              <w:rPr>
                <w:rStyle w:val="296"/>
                <w:rFonts w:hint="eastAsia" w:ascii="宋体" w:hAnsi="宋体" w:eastAsia="宋体" w:cs="宋体"/>
                <w:color w:val="auto"/>
                <w:sz w:val="21"/>
                <w:szCs w:val="21"/>
                <w:highlight w:val="none"/>
                <w:lang w:val="en-US" w:eastAsia="zh-CN" w:bidi="ar"/>
              </w:rPr>
              <w:t>²</w:t>
            </w:r>
            <w:r>
              <w:rPr>
                <w:rStyle w:val="295"/>
                <w:rFonts w:hint="eastAsia" w:ascii="宋体" w:hAnsi="宋体" w:eastAsia="宋体" w:cs="宋体"/>
                <w:color w:val="auto"/>
                <w:sz w:val="21"/>
                <w:szCs w:val="21"/>
                <w:highlight w:val="none"/>
                <w:lang w:val="en-US" w:eastAsia="zh-CN" w:bidi="ar"/>
              </w:rPr>
              <w:t>(=0.6g)以下使用环境;</w:t>
            </w:r>
          </w:p>
          <w:p w14:paraId="1391F5B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295"/>
                <w:rFonts w:hint="eastAsia" w:ascii="宋体" w:hAnsi="宋体" w:eastAsia="宋体" w:cs="宋体"/>
                <w:color w:val="auto"/>
                <w:sz w:val="21"/>
                <w:szCs w:val="21"/>
                <w:highlight w:val="none"/>
                <w:lang w:val="en-US" w:eastAsia="zh-CN" w:bidi="ar"/>
              </w:rPr>
              <w:t>15.冷却方式采用强制风冷。</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00B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0F7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29208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5FD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3FC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室内风管及配件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2D1F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室内风管及配件:</w:t>
            </w:r>
          </w:p>
          <w:p w14:paraId="195484E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1.主通风管规格：φ160mm/200mm，PVC成品管道；</w:t>
            </w:r>
          </w:p>
          <w:p w14:paraId="57A9CD5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2.支管道规格：φ110mm/160mm，PVC成品管道；</w:t>
            </w:r>
          </w:p>
          <w:p w14:paraId="7A4EAEB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3.管道配件：管道三通、弯头、变径、直接；</w:t>
            </w:r>
          </w:p>
          <w:p w14:paraId="66F69D6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（实际管径视现场情况需可适当调整）</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741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9FC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06010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DBD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027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室外风管及配件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AF50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室外风管及配件</w:t>
            </w:r>
          </w:p>
          <w:p w14:paraId="364E57D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1.主通风管规格：φ400mm/φ315mm，优质PVC成品管道；因现场环境因素，主通风管也可以用两趟φ200mm风管代替；</w:t>
            </w:r>
          </w:p>
          <w:p w14:paraId="04A460F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2.管道配件：管道三通、弯头、变径、直接；</w:t>
            </w:r>
          </w:p>
          <w:p w14:paraId="279770E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3.安装附件：固定铁卡。</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BAE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E0F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45BBD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AD4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107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照明系统模块</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D8D8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1.箱体两侧及箱体底部共配有不少于4个LED光源，覆盖学生核心操作区域。</w:t>
            </w:r>
          </w:p>
          <w:p w14:paraId="29B3467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2.基板底座散热，底部光源LED灯珠采用矩形排列，箱体两侧光源采用双排LED灯带，两侧亮度可通过控制端手动调节。</w:t>
            </w:r>
          </w:p>
          <w:p w14:paraId="5BE6C97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3.照明系统模块产品使用输出符合 LPS 和SELV 适配器或电源板；设备外壳边缘光滑圆润无锐边；正常使用时可触及，无危险；易接触表面的测量温度（灯珠（靠近输入部分） ＜40℃、铝基板上（靠近输入部分电阻）＜40℃、灯珠（中间部分） ＜40℃、铝基板上（靠近中间部分电阻）＜40℃；可触及位置（外壳顶部、底部、输入端）无法触及带电部件。</w:t>
            </w:r>
            <w:r>
              <w:rPr>
                <w:rFonts w:hint="eastAsia" w:ascii="宋体" w:hAnsi="宋体" w:eastAsia="宋体" w:cs="宋体"/>
                <w:i w:val="0"/>
                <w:iCs w:val="0"/>
                <w:color w:val="auto"/>
                <w:kern w:val="0"/>
                <w:sz w:val="21"/>
                <w:szCs w:val="21"/>
                <w:highlight w:val="none"/>
                <w:u w:val="none"/>
                <w:shd w:val="clear"/>
                <w:lang w:val="en-US" w:eastAsia="zh-CN" w:bidi="ar"/>
              </w:rPr>
              <w:t>需提供第三方检测机构出具的检验报告。</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FEB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组</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23E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r>
      <w:tr w14:paraId="3B21F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A68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C82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电源布线耗材</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F3A9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295"/>
                <w:rFonts w:hint="eastAsia" w:ascii="宋体" w:hAnsi="宋体" w:eastAsia="宋体" w:cs="宋体"/>
                <w:color w:val="auto"/>
                <w:sz w:val="21"/>
                <w:szCs w:val="21"/>
                <w:highlight w:val="none"/>
                <w:lang w:val="en-US" w:eastAsia="zh-CN" w:bidi="ar"/>
              </w:rPr>
              <w:t>电源主线采用4.0mm</w:t>
            </w:r>
            <w:r>
              <w:rPr>
                <w:rStyle w:val="296"/>
                <w:rFonts w:hint="eastAsia" w:ascii="宋体" w:hAnsi="宋体" w:eastAsia="宋体" w:cs="宋体"/>
                <w:color w:val="auto"/>
                <w:sz w:val="21"/>
                <w:szCs w:val="21"/>
                <w:highlight w:val="none"/>
                <w:lang w:val="en-US" w:eastAsia="zh-CN" w:bidi="ar"/>
              </w:rPr>
              <w:t>²</w:t>
            </w:r>
            <w:r>
              <w:rPr>
                <w:rStyle w:val="295"/>
                <w:rFonts w:hint="eastAsia" w:ascii="宋体" w:hAnsi="宋体" w:eastAsia="宋体" w:cs="宋体"/>
                <w:color w:val="auto"/>
                <w:sz w:val="21"/>
                <w:szCs w:val="21"/>
                <w:highlight w:val="none"/>
                <w:lang w:val="en-US" w:eastAsia="zh-CN" w:bidi="ar"/>
              </w:rPr>
              <w:t>BVR铜软线铺设；选用Ф20或Ф25PVC阻燃线管，每桌采用软铜质电线与主线对接取电；选用合适规格的线管包裹取电连接线。</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150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室</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116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21C36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913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848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网络布线耗材</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22BD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1.六类网线</w:t>
            </w:r>
          </w:p>
          <w:p w14:paraId="1A432C7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2.导体材质：无氧铜</w:t>
            </w:r>
          </w:p>
          <w:p w14:paraId="2F938CB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3.数量：4对8线</w:t>
            </w:r>
          </w:p>
          <w:p w14:paraId="5EF3B70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4.传输速率：1000Mbps</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39A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室</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267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15257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164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3A7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系统安装辅件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13C5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采用固定横梁吊装方式，减少楼板承重，防止左右晃动，可进行上下、左右的平衡调节。</w:t>
            </w:r>
          </w:p>
          <w:p w14:paraId="7B4DEA4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主要辅件有：矩形钢、三角构件、直角座、龙骨架连接件、吊装挂件、安装连接板等。</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6EB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47E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48CF2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F8C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3E2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吊装系统安装调试</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4F0D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吊顶式安装系统采用模块化结构设计及吊装安装方式，包括：</w:t>
            </w:r>
          </w:p>
          <w:p w14:paraId="07A14F6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1.系统结构安装调试：</w:t>
            </w:r>
          </w:p>
          <w:p w14:paraId="0F63C5B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2.系统控制安装调试；</w:t>
            </w:r>
          </w:p>
          <w:p w14:paraId="4515958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3.通风系统安装调试；</w:t>
            </w:r>
          </w:p>
          <w:p w14:paraId="0EE7C6B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4.供电系统安装调试；</w:t>
            </w:r>
          </w:p>
          <w:p w14:paraId="7951B79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5.照明系统安装调试。</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E83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室</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FCE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5AF93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D54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0DF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技术耗材</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C009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情境化装饰、文化窗帘、等符合学科教学的氛围需求，主要内容包含：</w:t>
            </w:r>
          </w:p>
          <w:p w14:paraId="73BAA23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1、顶面吊顶，吊顶形式:造型吊顶，龙骨材料种类、规格、中距:轻钢龙骨，面层材料品种:根据学科特性进行选材</w:t>
            </w:r>
          </w:p>
          <w:p w14:paraId="31E9380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基层清理、吊杆安装、龙骨安装、基层板铺贴、面层铺贴、嵌缝、刷防护材料。</w:t>
            </w:r>
          </w:p>
          <w:p w14:paraId="577CA63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2、不低于2mm的地胶铺设，含人工以及材料</w:t>
            </w:r>
          </w:p>
          <w:p w14:paraId="6D02ED9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3、文化窗帘，符合学科教学情境需求定制，不少于4面。</w:t>
            </w:r>
          </w:p>
          <w:p w14:paraId="652D79A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4、学科教室中学科必做实验、学科名人肖像定制与安装，不少于4幅。</w:t>
            </w:r>
          </w:p>
          <w:p w14:paraId="59BD64B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5、垃圾清理、装袋，搬运至学校要求指定位置堆放。</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61C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室</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6CB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75353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FB53A">
            <w:pPr>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化学准备室</w:t>
            </w:r>
          </w:p>
        </w:tc>
      </w:tr>
      <w:tr w14:paraId="3D5AA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9B0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2B9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实验桌（准备台）</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FDB1A">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规格：2800mm（L）×600mm（W）×780mm（H）</w:t>
            </w:r>
          </w:p>
          <w:p w14:paraId="730E5428">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1.台面：选用厚度≥12.7mm实芯理化板，边缘加厚到≥25.4mm。具有耐酸碱、耐腐蚀、耐有机溶剂、抗菌、抗污染等性能；经过机械打磨、倒角、精细工艺处理，呈现光滑，便于维护及具有承重性能。</w:t>
            </w:r>
          </w:p>
          <w:p w14:paraId="3F8897E7">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cs="宋体"/>
                <w:color w:val="auto"/>
                <w:sz w:val="21"/>
                <w:szCs w:val="21"/>
                <w:highlight w:val="none"/>
                <w:lang w:val="en-US" w:eastAsia="zh-CN" w:bidi="ar"/>
              </w:rPr>
              <w:t>★</w:t>
            </w:r>
            <w:r>
              <w:rPr>
                <w:rStyle w:val="288"/>
                <w:rFonts w:hint="eastAsia" w:ascii="宋体" w:hAnsi="宋体" w:eastAsia="宋体" w:cs="宋体"/>
                <w:color w:val="auto"/>
                <w:sz w:val="21"/>
                <w:szCs w:val="21"/>
                <w:highlight w:val="none"/>
                <w:lang w:val="en-US" w:eastAsia="zh-CN" w:bidi="ar"/>
              </w:rPr>
              <w:t>台面板满足或优于以下、（1）-（7）项的性能要求，需提供双面膜实芯理化板检测报告：</w:t>
            </w:r>
          </w:p>
          <w:p w14:paraId="7C87B4D9">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（1）化学性能检测：参照GB/T 17657-2022标准，台面板不少于140项化学试剂及有机溶液检测，且包含：硫酸（98%）、氢氟酸（48%）、硝酸（65%）、乙酰丙酮、三氯乙酸等。</w:t>
            </w:r>
          </w:p>
          <w:p w14:paraId="4947F20C">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（2）环保性能检测：参照GB/T 39600-2021标准，甲醛释放量检测结果值≤0.005mg/m</w:t>
            </w:r>
            <w:r>
              <w:rPr>
                <w:rStyle w:val="298"/>
                <w:rFonts w:hint="eastAsia" w:ascii="宋体" w:hAnsi="宋体" w:eastAsia="宋体" w:cs="宋体"/>
                <w:color w:val="auto"/>
                <w:sz w:val="21"/>
                <w:szCs w:val="21"/>
                <w:highlight w:val="none"/>
                <w:lang w:val="en-US" w:eastAsia="zh-CN" w:bidi="ar"/>
              </w:rPr>
              <w:t>³</w:t>
            </w:r>
            <w:r>
              <w:rPr>
                <w:rStyle w:val="288"/>
                <w:rFonts w:hint="eastAsia" w:ascii="宋体" w:hAnsi="宋体" w:eastAsia="宋体" w:cs="宋体"/>
                <w:color w:val="auto"/>
                <w:sz w:val="21"/>
                <w:szCs w:val="21"/>
                <w:highlight w:val="none"/>
                <w:lang w:val="en-US" w:eastAsia="zh-CN" w:bidi="ar"/>
              </w:rPr>
              <w:t>。</w:t>
            </w:r>
          </w:p>
          <w:p w14:paraId="3757D616">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（3）物理性能检测：参照GB/T 17657-2022标准及其他检测方法检测，满足静曲强度≥145Mpa；弹性模量≥10450Mpa；密度≥1.43g/cm</w:t>
            </w:r>
            <w:r>
              <w:rPr>
                <w:rStyle w:val="298"/>
                <w:rFonts w:hint="eastAsia" w:ascii="宋体" w:hAnsi="宋体" w:eastAsia="宋体" w:cs="宋体"/>
                <w:color w:val="auto"/>
                <w:sz w:val="21"/>
                <w:szCs w:val="21"/>
                <w:highlight w:val="none"/>
                <w:lang w:val="en-US" w:eastAsia="zh-CN" w:bidi="ar"/>
              </w:rPr>
              <w:t>³</w:t>
            </w:r>
            <w:r>
              <w:rPr>
                <w:rStyle w:val="288"/>
                <w:rFonts w:hint="eastAsia" w:ascii="宋体" w:hAnsi="宋体" w:eastAsia="宋体" w:cs="宋体"/>
                <w:color w:val="auto"/>
                <w:sz w:val="21"/>
                <w:szCs w:val="21"/>
                <w:highlight w:val="none"/>
                <w:lang w:val="en-US" w:eastAsia="zh-CN" w:bidi="ar"/>
              </w:rPr>
              <w:t>；耐臭氧（72h）：外观无明显变化；尺寸稳定性：纵向、横向≤0.03%；漆膜附着力：六级：切割边缘完全平滑，网格内无脱落；表面耐划痕性能：4.5N作用下，试件表面无大于90%的连续划痕；耐沸水性能：质量增加百分率≤0.01%、厚度增加百分率≤0.06%，表面质量等级：5级：无变化，边缘质量等级：5级：无明显变化；表面耐磨性能≥1140r，未出现磨损；弯曲强度≥140Mpa；表面耐冷热循环：表面无裂纹及鼓泡等不少于22项物理性能检测。</w:t>
            </w:r>
          </w:p>
          <w:p w14:paraId="36F2D0D0">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（4）TVOC释放量检测：参照HJ571-2010标准，总挥发性有机化合物TVOC释放量为未检出。</w:t>
            </w:r>
          </w:p>
          <w:p w14:paraId="0BDCE656">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（5）抗霉菌性能检测：参照JC/T 2039-2010标准，黑曲霉、土曲霉、宛氏拟青霉、绳状青霉、出芽短梗霉、球毛壳霉、长枝木霉等不少于7种霉菌检测等级为0级；</w:t>
            </w:r>
          </w:p>
          <w:p w14:paraId="2C7979B6">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（6）抗细菌性能检测：参照JC/T 2039-2010标准，大肠埃希氏菌、金黄色葡萄球菌、白色念珠菌、铜绿假单胞菌、肺炎克雷伯氏菌、鼠伤寒沙门氏菌、甲型溶血性链球群、枯草芽孢杆菌、耐甲氧西林金黄色葡萄球菌、肠沙门氏菌肠亚种、粪肠球菌、宋氏志贺氏菌、白色葡萄球菌、变异库克菌、表皮葡萄球菌等不少于15种菌种检测抗菌率≥99.99%。</w:t>
            </w:r>
          </w:p>
          <w:p w14:paraId="091E871F">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（7）氙灯老化测试：参照GB/T 16422.2-2022标准，进行550小时以上老化试验测试结果为样品无变色、发粘、裂纹等异常，等级为5级。</w:t>
            </w:r>
          </w:p>
          <w:p w14:paraId="34F2C630">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2.工艺：桌体采用ABS塑料，一体化注塑成型,具有耐化学腐蚀、耐热、电绝缘性、耐候性等性能。外表面和内表面可触及的隐蔽处，均无锐利的棱角、毛刺；五金配件露出的尖锐边角以及所有接触人体的边棱均为倒圆角。</w:t>
            </w:r>
          </w:p>
          <w:p w14:paraId="54BB7EF3">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3.桌体结构：塑钢结构。</w:t>
            </w:r>
          </w:p>
          <w:p w14:paraId="4BEE5684">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4.桌体规格：≥2750mm（L）×555mm（W）×720mm（H），主体承重结构由桌体两侧规格为≥370mm×720mm的铁侧板与多根规格为≥20mm×50mm×1150mm的铝合金型材支撑梁连接而成，承重设计需在减轻桌体整体重量的同时最大限度的保证桌体的最大承重性。桌身背面由背板组成，背板设置加强筋结构，通过五金件与铝合金支撑梁连接。桌身前部满足腿部延伸空间，符合人体工程学标准。桌身前立板上部与抽屉架连接，设有规格≥380mm×200mm×110mm 4个翻盖式书包斗，具有隐蔽性及防掉落功能。书包斗中间为抽屉斗。</w:t>
            </w:r>
          </w:p>
          <w:p w14:paraId="101230C7">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前立板下部设有规格≥300mm×470mm×3mm 仓门，存储空间大，防潮湿性能优越。面板中部有管线检修口，方便管线的日常维修。</w:t>
            </w:r>
          </w:p>
          <w:p w14:paraId="1B801DB2">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5.可调脚：采用ABS与合金材质组成，高≥30mm，减震防滑。可延长设备的使用期限。</w:t>
            </w:r>
          </w:p>
          <w:p w14:paraId="7234F05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288"/>
                <w:rFonts w:hint="eastAsia" w:ascii="宋体" w:hAnsi="宋体" w:eastAsia="宋体" w:cs="宋体"/>
                <w:color w:val="auto"/>
                <w:sz w:val="21"/>
                <w:szCs w:val="21"/>
                <w:highlight w:val="none"/>
                <w:lang w:val="en-US" w:eastAsia="zh-CN" w:bidi="ar"/>
              </w:rPr>
              <w:t>6.台面根据需求可设有化验水槽、水嘴等的定位孔，各定位孔根据实际尺寸开设。</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680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6C6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4B8C6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CE6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7BF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仪器柜</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C9EC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1、规格：1000mm（L）×500mm（W）×2000mm（H）。</w:t>
            </w:r>
          </w:p>
          <w:p w14:paraId="04B2D58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2、材质：整体选用增强PP塑料+ABS材质，注塑成型；具有耐腐蚀、耐酸碱、防水、耐候性、电绝缘性等性能。</w:t>
            </w:r>
          </w:p>
          <w:p w14:paraId="4A6B0F4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结构：整体由底板、侧板、背板、柜门、层板构成；柜体上下两层流线型设计，榫卯链接结构，使整柜更具稳定性；外表面和内表面可触及隐蔽处，均无锐利的棱角、毛刺；尖锐边角以及所有接触人体的边棱均为倒圆角。</w:t>
            </w:r>
          </w:p>
          <w:p w14:paraId="33C8CFA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4、底板：规格≥1000mm×478mm×60mm，壁厚度≥3.0mm，底板采用镂空原理及分层设计，多个受力点均匀分布，6个调节脚垫位置布局合理。</w:t>
            </w:r>
          </w:p>
          <w:p w14:paraId="520F108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5、侧板：规格≥895mm×415mm×45mm，采用增强PP材质一体注塑成型；内侧设计5档层板调节棱。</w:t>
            </w:r>
          </w:p>
          <w:p w14:paraId="202D002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6、背板：规格≥998mm×915mm×30mm，整板采用增强PP材质一体注塑成型，设计凹凸造型，避免背板变形。</w:t>
            </w:r>
          </w:p>
          <w:p w14:paraId="6940900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7、柜门：规格≥934mm×500mm，外框采用增强PP材质一体注塑成型；外框表面镶嵌厚度≥3.5mm钢化烤漆玻璃，配ABS注塑成型拉手，柜门与侧板连接结构采用上下轴嵌入式设计。</w:t>
            </w:r>
          </w:p>
          <w:p w14:paraId="7E77466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层板：规格≥910mm×400mm,采用增强PP材质注塑一次成型，厚度≥3.0mm，具有耐腐蚀、耐酸碱、防水、耐候性、电绝缘性等特点。上层柜配置2个层板，下层柜配置1个层板；层板下方内置2条镀锌方钢及加强筋，符合承重要求。</w:t>
            </w:r>
          </w:p>
          <w:p w14:paraId="3765E30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9、门锁：门锁、锁芯、锁舌、钥匙、插销材质均为ABS注塑成型，具有耐腐蚀、耐酸碱、耐候性、电绝缘性等性能。</w:t>
            </w:r>
          </w:p>
          <w:p w14:paraId="173E150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10、仪器柜产品满足以下性能要求</w:t>
            </w:r>
          </w:p>
          <w:p w14:paraId="7410DAC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1）安全性要求：与人体接触的零部件无毛刺、刃口、尖锐的棱角和端头；</w:t>
            </w:r>
          </w:p>
          <w:p w14:paraId="4770DD9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储物柜力学性能：①搁板稳定性试验：水平力≥搁板重量的50%，空载搁板安全无脱落；垂直力≥100N，空载搁板无倾翻；②搁板支承件强度试验、拉门强度试验、拉门水平静载荷试验、拉门猛开试验、主体结构和底架的强度试验,结果均无损；空载稳定性试验结果无倾翻；</w:t>
            </w:r>
          </w:p>
          <w:p w14:paraId="3AE5DF3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3）4种重金属含量mg/kg（可溶性铅≤3、镉≤0.5、铬≤0.5、汞≤0.05）。</w:t>
            </w:r>
          </w:p>
          <w:p w14:paraId="0D764B6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4）阻燃性：台面材料氧指数≥40%。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62E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917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r>
      <w:tr w14:paraId="784EB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C18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140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水槽</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9C13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1.材质：PP材质。</w:t>
            </w:r>
          </w:p>
          <w:p w14:paraId="31FEF53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2.水槽外部规格：440mm（L）×330mm（W）×200mm（H）。</w:t>
            </w:r>
          </w:p>
          <w:p w14:paraId="094E15C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3.密封方式：水封式，可防止废水回流和堵塞。</w:t>
            </w:r>
          </w:p>
          <w:p w14:paraId="3AEFDB0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4.配备出水装置：一高二低出水口，不锈钢材质管体，陶瓷阀芯，人体工学设计高密度PP开关旋钮。</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27A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5C6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10B50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C99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5FD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给/排水全套装置</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E35D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PPR材质水管，上水管和进水管为Ф25；UPVC材质排水管为Ф50</w:t>
            </w:r>
          </w:p>
          <w:p w14:paraId="1176FC3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含开关阀门，外丝连接件、PVC胶水等</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940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2A4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05E76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AAD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50C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技术耗材</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7780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情境化装饰、文化窗帘、等符合学科教学的氛围需求，主要内容包含：</w:t>
            </w:r>
          </w:p>
          <w:p w14:paraId="41D305E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1、不低于2mm的地胶铺设，含人工以及材料</w:t>
            </w:r>
          </w:p>
          <w:p w14:paraId="698F91E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2、文化窗帘，符合学科教学情境需求定制，不少于2面。</w:t>
            </w:r>
          </w:p>
          <w:p w14:paraId="64F49A0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3、实验室</w:t>
            </w:r>
            <w:r>
              <w:rPr>
                <w:rFonts w:hint="eastAsia" w:ascii="宋体" w:hAnsi="宋体" w:eastAsia="宋体" w:cs="宋体"/>
                <w:i w:val="0"/>
                <w:iCs w:val="0"/>
                <w:color w:val="auto"/>
                <w:kern w:val="0"/>
                <w:sz w:val="21"/>
                <w:szCs w:val="21"/>
                <w:highlight w:val="none"/>
                <w:u w:val="none"/>
                <w:shd w:val="clear"/>
                <w:lang w:val="en-US" w:eastAsia="zh-CN" w:bidi="ar"/>
              </w:rPr>
              <w:t>规章制度牌框，不少于2副。</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253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室</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822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7C458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687BE">
            <w:pPr>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化学药品室</w:t>
            </w:r>
          </w:p>
        </w:tc>
      </w:tr>
      <w:tr w14:paraId="4E32A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B92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E2B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通风药品柜</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271B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1、规格：1000mm（L）×500mm（W）×2000mm（H）；</w:t>
            </w:r>
          </w:p>
          <w:p w14:paraId="5102A85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2、材质：整体选用增强PP塑料+ABS材质，注塑成型；具有耐腐蚀、耐酸碱、防水、耐候性、电绝缘性等性能。</w:t>
            </w:r>
          </w:p>
          <w:p w14:paraId="5072024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结构：整体由底板、侧板、背板、柜门、层板构成；柜体上下两层流线型设计，榫卯链接结构，使整柜更具稳定性；外表面和内表面可触及隐蔽处，均无锐利的棱角、毛刺；尖锐边角以及所有接触人体的边棱均为倒圆角。</w:t>
            </w:r>
          </w:p>
          <w:p w14:paraId="0A77CF6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4、底板：规格≥1000mm×478mm×63mm，壁厚度≥3.0mm，底板采用镂空原理及分层设计，多个受力点均匀分布，6个调节脚垫位置布局合理。</w:t>
            </w:r>
          </w:p>
          <w:p w14:paraId="3DC5652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5、侧板：规格≥895mm×415mm×45mm，采用增强PP材质一体注塑成型；内侧设计5档层板调节棱。</w:t>
            </w:r>
          </w:p>
          <w:p w14:paraId="1424054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6、背板：规格≥998mm×915mm×30mm，整板采用增强PP材质一体注塑成型，设计凹凸造型，避免背板变形。</w:t>
            </w:r>
          </w:p>
          <w:p w14:paraId="48947C5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7、柜门：规格≥934mm×500mm，外框采用PP材质一体注塑成型；外框表面镶嵌厚度≥3.5mm钢化烤漆玻璃，配ABS注塑成型拉手，柜门与侧板连接结构采用上下轴嵌入式设计。</w:t>
            </w:r>
          </w:p>
          <w:p w14:paraId="29AEC8D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层板：规格≥910mm×400mm,采用PP材质注塑一次成型，厚度≥3.0mm，具有耐腐蚀、耐酸碱、防水、耐候性、电绝缘性等特点。上层柜配置2个层板，下层柜配置1个层板；层板下方内置2条镀锌方钢及加强筋，符合承重要求，方钢采用耐腐蚀软体PVC整条包裹，避免化学药品所产生的气体渗入。</w:t>
            </w:r>
          </w:p>
          <w:p w14:paraId="71E13A3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9、门锁：门锁、锁芯、锁舌、钥匙、插销材质均为ABS注塑成型，具有耐腐蚀、耐酸碱、耐候性、电绝缘性等性能。</w:t>
            </w:r>
          </w:p>
          <w:p w14:paraId="60BF347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柜体顶部设有通风孔。</w:t>
            </w:r>
          </w:p>
          <w:p w14:paraId="1FC6730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10、药品阶梯：规格≥875mm×230mm×180mm，2层设计；采用增强PP材质注塑一次成型，具有耐腐蚀、耐酸碱、防水、耐候性等性能。</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B40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2D7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1F658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48A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1C6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药品柜</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482C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1、规格：1000mm（L）×500mm（W）×2000mm（H）；</w:t>
            </w:r>
          </w:p>
          <w:p w14:paraId="2242D21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2、材质：整体选用增强PP塑料+ABS材质，注塑成型；具有耐腐蚀、耐酸碱、防水、耐候性、电绝缘性等性能。</w:t>
            </w:r>
          </w:p>
          <w:p w14:paraId="0266CC4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结构：整体由底板、侧板、背板、柜门、层板构成；柜体上下两层流线型设计，榫卯链接结构，使整柜更具稳定性；外表面和内表面可触及隐蔽处，均无锐利的棱角、毛刺；尖锐边角以及所有接触人体的边棱均为倒圆角。</w:t>
            </w:r>
          </w:p>
          <w:p w14:paraId="2EBFD82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4、底板：规格≥1000mm×478mm×63mm，壁厚度≥3.0mm，底板采用镂空原理及分层设计，多个受力点均匀分布，6个调节脚垫位置布局合理。</w:t>
            </w:r>
          </w:p>
          <w:p w14:paraId="4254943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5、侧板：规格≥895mm×415mm×45mm，采用增强PP材质一体注塑成型；内侧设计5档层板调节棱。</w:t>
            </w:r>
          </w:p>
          <w:p w14:paraId="5E21732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6、背板：规格≥998mm×915mm×30mm，整板采用增强PP材质一体注塑成型，设计凹凸造型，避免背板变形。</w:t>
            </w:r>
          </w:p>
          <w:p w14:paraId="6B140B8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7、柜门：规格≥934mm×500mm，外框采用PP材质一体注塑成型；外框表面镶嵌厚度≥3.5mm钢化烤漆玻璃，配ABS注塑成型拉手，柜门与侧板连接结构采用上下轴嵌入式设计。</w:t>
            </w:r>
          </w:p>
          <w:p w14:paraId="0E02D31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层板：规格≥910mm×400mm,采用PP材质注塑一次成型，厚度≥3.0mm，具有耐腐蚀、耐酸碱、防水、耐候性、电绝缘性等特点。上层柜配置2个层板，下层柜配置1个层板；层板下方内置2条镀锌方钢及加强筋，符合承重要求，方钢采用耐腐蚀软体PVC整条包裹，避免化学药品所产生的气体渗入。</w:t>
            </w:r>
          </w:p>
          <w:p w14:paraId="0F6FE6F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9、门锁：门锁、锁芯、锁舌、钥匙、插销材质均为ABS注塑成型，具有耐腐蚀、耐酸碱、耐候性、电绝缘性等性能。</w:t>
            </w:r>
          </w:p>
          <w:p w14:paraId="525042C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10、药品阶梯：规格≥875mm×230mm×180mm，2层设计；采用增强PP材质注塑一次成型，具有耐腐蚀、耐酸碱、防水、耐候性等性能。</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5E0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079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r>
      <w:tr w14:paraId="2EB9D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8FF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D33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电源布线耗材</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6A88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1.地面以上连接线外部配有防火耐高温套管。</w:t>
            </w:r>
          </w:p>
          <w:p w14:paraId="6E72032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2.电源布管布线施工，埋地管为PVC穿线管，采用铜芯线。</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A33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室</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829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28F17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6C6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060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斜流式管道风机</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A6F7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295"/>
                <w:rFonts w:hint="eastAsia" w:ascii="宋体" w:hAnsi="宋体" w:eastAsia="宋体" w:cs="宋体"/>
                <w:color w:val="auto"/>
                <w:sz w:val="21"/>
                <w:szCs w:val="21"/>
                <w:highlight w:val="none"/>
                <w:lang w:val="en-US" w:eastAsia="zh-CN" w:bidi="ar"/>
              </w:rPr>
              <w:t>功率≥120w，风量：≥1200m</w:t>
            </w:r>
            <w:r>
              <w:rPr>
                <w:rStyle w:val="296"/>
                <w:rFonts w:hint="eastAsia" w:ascii="宋体" w:hAnsi="宋体" w:eastAsia="宋体" w:cs="宋体"/>
                <w:color w:val="auto"/>
                <w:sz w:val="21"/>
                <w:szCs w:val="21"/>
                <w:highlight w:val="none"/>
                <w:lang w:val="en-US" w:eastAsia="zh-CN" w:bidi="ar"/>
              </w:rPr>
              <w:t>³</w:t>
            </w:r>
            <w:r>
              <w:rPr>
                <w:rStyle w:val="295"/>
                <w:rFonts w:hint="eastAsia" w:ascii="宋体" w:hAnsi="宋体" w:eastAsia="宋体" w:cs="宋体"/>
                <w:color w:val="auto"/>
                <w:sz w:val="21"/>
                <w:szCs w:val="21"/>
                <w:highlight w:val="none"/>
                <w:lang w:val="en-US" w:eastAsia="zh-CN" w:bidi="ar"/>
              </w:rPr>
              <w:t>/h，噪音≤50db，接管φ200mm。</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04B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FB9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09420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755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EA3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通风管道</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465F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1.主通风管规格：φ160mm/200mm，PVC成品管道；</w:t>
            </w:r>
          </w:p>
          <w:p w14:paraId="7A93DD4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2.支管道规格：φ110mm，PVC成品管道；</w:t>
            </w:r>
          </w:p>
          <w:p w14:paraId="292C277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3.管道配件：管道三通、弯头、变径、直接。  </w:t>
            </w:r>
          </w:p>
          <w:p w14:paraId="2AC35A3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（实际管径视现场情况可适当调整）</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56A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961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5CA40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70D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E24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技术耗材</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44E0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情境化装饰、文化窗帘、等符合学科教学的氛围需求，主要内容包含：</w:t>
            </w:r>
          </w:p>
          <w:p w14:paraId="5F94157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1、不低于2mm的地胶铺设，含人工以及材料</w:t>
            </w:r>
          </w:p>
          <w:p w14:paraId="72D1214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2、文化窗帘，符合学科教学情境需求定制，不少于2面。</w:t>
            </w:r>
          </w:p>
          <w:p w14:paraId="578762A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3、实验室规章制度，不少于2副。</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235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室</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8E3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77361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B09CC">
            <w:pPr>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危险品室</w:t>
            </w:r>
          </w:p>
        </w:tc>
      </w:tr>
      <w:tr w14:paraId="1D0AA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DE9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212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易燃品毒害品储存柜</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0DA4F">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1.尺寸：900mm（L）×510mm（W）×1840mm（H）；门类型：双开门。</w:t>
            </w:r>
          </w:p>
          <w:p w14:paraId="47D3D404">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2.易燃品毒害品储存柜外壳体全部采用≥1.2mm的冷轧钢板，柜体底座采用≥2.0mm的冷轧钢板,内外表面经酸洗磷化环氧树脂粉末喷涂，烘热固化处理。</w:t>
            </w:r>
          </w:p>
          <w:p w14:paraId="63D053A1">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3.易燃品毒害品储存柜体内胆均采用≥4mmPP聚丙烯板；柜体右侧下部设置≥120×110mm进风口，内部有一体化PP聚丙烯可调风阀，可根据需求调整进风量大小；柜体的底板中部有≥Φ10mm漏液孔，上覆不锈钢漏液网；柜体底部设H≥160mm黄沙防倒挡板，可用作黄沙填埋腔，用于埋放金属钠、黄磷、白磷等固体易燃物。</w:t>
            </w:r>
          </w:p>
          <w:p w14:paraId="4D7A8039">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4.柜底装有四个静音防静电滚轮，便于易燃品毒害品储存柜移动；设4个调节螺母，既可用于储存柜定位，也可作调整脚使用。</w:t>
            </w:r>
          </w:p>
          <w:p w14:paraId="3ECBA8DE">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5.柜内配3个一次成型聚丙烯阶梯层板，层板四周边缘厚度平均值不小于4.2mm;每层阶梯板外延边有积液槽，积液槽高度平均值不小于3mm，背面网格加强筋设计，加强承重性；每个层板靠背板处设有PP螺丝限位，留出约5mm气体流动空间，便于顶部风机抽风。</w:t>
            </w:r>
          </w:p>
          <w:p w14:paraId="32201951">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6.柜顶部中间开有≥φ160mm蜂窝口，柜内出风口处采用PP聚丙烯一体式网状结构，有效避免异物进入柜内。柜顶风口内置轴流风机，无火花静电，当风机开机前要把进风口转至打开状态。</w:t>
            </w:r>
          </w:p>
          <w:p w14:paraId="09B8347F">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7.密封件：柜体门与柜体之间应安装防火膨胀密封件；当温度为150℃~180℃时密封条局部膨胀，温度达到200℃时密封条全部膨胀，膨胀比例为1:5，以保证储存药品的安全性。</w:t>
            </w:r>
          </w:p>
          <w:p w14:paraId="6CD3E90C">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8.陶瓷纤维棉：柜体应填充具有保温隔热作用的陶瓷纤维棉，密度≥130㎏/m</w:t>
            </w:r>
            <w:r>
              <w:rPr>
                <w:rStyle w:val="296"/>
                <w:rFonts w:hint="eastAsia" w:ascii="宋体" w:hAnsi="宋体" w:eastAsia="宋体" w:cs="宋体"/>
                <w:color w:val="auto"/>
                <w:sz w:val="21"/>
                <w:szCs w:val="21"/>
                <w:highlight w:val="none"/>
                <w:lang w:val="en-US" w:eastAsia="zh-CN" w:bidi="ar"/>
              </w:rPr>
              <w:t>³</w:t>
            </w:r>
            <w:r>
              <w:rPr>
                <w:rStyle w:val="295"/>
                <w:rFonts w:hint="eastAsia" w:ascii="宋体" w:hAnsi="宋体" w:eastAsia="宋体" w:cs="宋体"/>
                <w:color w:val="auto"/>
                <w:sz w:val="21"/>
                <w:szCs w:val="21"/>
                <w:highlight w:val="none"/>
                <w:lang w:val="en-US" w:eastAsia="zh-CN" w:bidi="ar"/>
              </w:rPr>
              <w:t xml:space="preserve">。                                                                                                                 </w:t>
            </w:r>
          </w:p>
          <w:p w14:paraId="0E4AC75E">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9.铰链：铰链应为钢琴式铰链，确保门能开180度。                                                                                                                                                                    10.锁具：双人双锁管理，配备电子密码锁和二代防盗机械锁，密码锁具有开锁记录查询及隐码功能。锁舌选用坚韧且有弹性的高分子合成塑料制成，耐磨且抗腐蚀性能极强。                                                                                                                                       11.环保性能：国标规定，室内甲醛含量不得超过0.08mg/m3;苯含量不得超过0.09mg/m3。</w:t>
            </w:r>
          </w:p>
          <w:p w14:paraId="5F483383">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12.配备接地装置实现完全接地。</w:t>
            </w:r>
          </w:p>
          <w:p w14:paraId="0C7002E4">
            <w:pPr>
              <w:keepNext w:val="0"/>
              <w:keepLines w:val="0"/>
              <w:widowControl/>
              <w:suppressLineNumbers w:val="0"/>
              <w:jc w:val="left"/>
              <w:textAlignment w:val="center"/>
              <w:rPr>
                <w:rStyle w:val="295"/>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13.装箱时柜内外的说明标识：</w:t>
            </w:r>
          </w:p>
          <w:p w14:paraId="2E4F313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295"/>
                <w:rFonts w:hint="eastAsia" w:ascii="宋体" w:hAnsi="宋体" w:eastAsia="宋体" w:cs="宋体"/>
                <w:color w:val="auto"/>
                <w:sz w:val="21"/>
                <w:szCs w:val="21"/>
                <w:highlight w:val="none"/>
                <w:lang w:val="en-US" w:eastAsia="zh-CN" w:bidi="ar"/>
              </w:rPr>
              <w:t>《易燃品毒害品储存柜使用说明书》，《合格证》，《安全储存说明书》，柜门上贴有反光警示标签。</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355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B62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57890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B4B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4FF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强酸碱柜</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C62E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1.尺寸：900mm（L）×450mm（W）×1800mm（H）门类型：四开门。</w:t>
            </w:r>
          </w:p>
          <w:p w14:paraId="29B6B87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2.采用手动四开门设计，门缝不大于3mm，且门缝上下大小一致，左右门的高度一致。</w:t>
            </w:r>
          </w:p>
          <w:p w14:paraId="0F225B1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3.材质：≥8mm厚PP聚丙烯树脂板，具有耐强酸、强碱与抗腐蚀的特性，经同色焊条无缝焊接处理，保证柜体之坚固及密封性。</w:t>
            </w:r>
          </w:p>
          <w:p w14:paraId="23C975B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层板：采用瓷白色PP（聚丙烯）板材，一次注塑成型，四边有不小于20mm立边，可有效盛接漏液，底部波纹状设计，避免泄漏时瓶底粘结层板，从而减少存取的安全隐患和造成二次污染的可能性，层板底部包钢处理（预留查验小口），承重能力强，整体设计为活动式，可随意抽取放在合适的位置。</w:t>
            </w:r>
          </w:p>
          <w:p w14:paraId="59C4A9C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5.门板：采用同质PP材料制作，门厚20mm，视窗采用5mm钢化玻璃，防腐蚀，可视性强。</w:t>
            </w:r>
          </w:p>
          <w:p w14:paraId="6C848AB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6.绞链：塑胶射出一体成型，抗腐蚀性佳。</w:t>
            </w:r>
          </w:p>
          <w:p w14:paraId="4D6D8E5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7.把手：塑胶射出一体成型，抗腐蚀性佳，备有安全双门锁，加强管制。                                                                                                                                                                                              8.螺丝：不锈钢材质，防止因腐蚀而引起螺丝断裂，造成柜体垮塌。                                                                                      9.锁具：双锁设计，双人双锁管理，配有PP材质一体成型（易更换）的锁扣。</w:t>
            </w:r>
          </w:p>
          <w:p w14:paraId="32A6914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10.多语言反光警告标签。</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366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047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049F1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EC5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6E5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电源布线耗材</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F8F1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1.地面以上连接线外部配有防火耐高温套管。</w:t>
            </w:r>
          </w:p>
          <w:p w14:paraId="51D8445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2.电源布管布线施工，埋地管为PVC穿线管，采用铜芯线。</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6E5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室</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04D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42CF1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220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DB5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技术耗材</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CD42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情境化装饰、文化窗帘、等符合学科教学的氛围需求，主要内容包含：</w:t>
            </w:r>
          </w:p>
          <w:p w14:paraId="25A219E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1、不低于2mm的地胶铺设，含人工以及材料</w:t>
            </w:r>
          </w:p>
          <w:p w14:paraId="7D198E0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2、文化窗帘，符合学科教学情境需求定制，不少于2面。</w:t>
            </w:r>
          </w:p>
          <w:p w14:paraId="0CC5D8F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3、实验室规章制度牌框，不少于2副。</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6D1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室</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9B8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75B58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D111D">
            <w:pPr>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初中化学仪器</w:t>
            </w:r>
          </w:p>
        </w:tc>
      </w:tr>
      <w:tr w14:paraId="630F0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D0F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FE2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托盘天平</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C689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 g，0.1 g</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6B3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D3F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23C0F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3CF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DD3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托盘天平</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A065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 g，0.5 g</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062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1A0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43304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87F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D48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电子天平</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C1CE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 g，0.1 g</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C21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B40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4C0D7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D23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1DF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红液温度计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FB42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 ℃～100 ℃，分度值 1 ℃，示值误差＜1.5 ℃</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396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89A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26468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AFD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842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水银温度计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0F1B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 ℃～200 ℃，分度值 1 ℃，示值误差＜0.5 ℃，有保护套</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CD6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C27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1197A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5FE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B6E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多用电表</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3FFC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指针式，不低于 2.5 级</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70C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C02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4265F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A63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0FD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酸度计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85AB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笔式，pH 测量范围 0～14，分辨力 0.1，读数清晰，有自动关机节电模式，配校准试剂</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DE0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A5C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317A6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531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604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教学支架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ECE9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 由矩形底座、立杆、烧瓶夹、大小铁环、垂直夹等组成。2． 方座支架的底座尺寸为210×135mm，立杆直径为Φ10mm，一端有M8×10mm螺纹，底座和立杆表面应作防锈处理。3． 底座放置平稳，无明显晃动现象，支承夹持可靠。4． 立杆与方座组装后应垂直。</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F8B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EA2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3B9BA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B58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593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三脚架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F3A0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铁制，环内径 75 mm，高 150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F84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05F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59463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1C6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A50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试管架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2D87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木制或塑料制，8 孔，孔径 21 mm，立柱粘结</w:t>
            </w:r>
          </w:p>
          <w:p w14:paraId="4120149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牢固</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BAD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238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2BB09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72C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983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试管架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4BA3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木制或塑料制，8 孔，孔径 25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35C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569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14:paraId="2C866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99A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76A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试管架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23E8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木制或塑料制，8 孔，孔径 35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9B9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8C4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14:paraId="42207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577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499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漏斗架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1FDA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木制或塑料制</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C9A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B1D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2C421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E86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86D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滴定台</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1D2E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人造石或大理石白色台面，重心稳定不晃动，底部有四个橡胶垫脚</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5B4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167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641BF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887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95A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滴定夹</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48EA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铝制，加持部位有防滑脱凹槽</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7C3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2D8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728EF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1A3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FE6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多用滴管架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34AA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塑料制，底部有圆形凹槽</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B0B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0CC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3E1A9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D5B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11E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量筒</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5779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7D4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8D6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7EE25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B70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830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量筒</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4335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7FE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03E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5F692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F79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480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量筒</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0CEB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337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96C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50E1D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DEC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C49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量筒</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CED7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11F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914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2AB25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9CC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388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量筒</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F0AF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6A9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54A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5F770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896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F0C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容量瓶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ABD4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F0A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65C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41690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F89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9C7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容量瓶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F92D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5B4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CEE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65A80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D04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CAE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滴定管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6A06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酸式，具 塞，25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03D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566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05A26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EBC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E92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滴定管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7D25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碱式，无 塞，25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7F3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82D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4221E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AA5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7D1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试管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1A46D">
            <w:pPr>
              <w:keepNext w:val="0"/>
              <w:keepLines w:val="0"/>
              <w:widowControl/>
              <w:suppressLineNumbers w:val="0"/>
              <w:jc w:val="left"/>
              <w:textAlignment w:val="center"/>
              <w:rPr>
                <w:rFonts w:hint="eastAsia" w:ascii="宋体" w:hAnsi="宋体" w:eastAsia="宋体" w:cs="宋体"/>
                <w:i/>
                <w:iCs/>
                <w:color w:val="auto"/>
                <w:sz w:val="21"/>
                <w:szCs w:val="21"/>
                <w:highlight w:val="none"/>
                <w:u w:val="none"/>
              </w:rPr>
            </w:pPr>
            <w:r>
              <w:rPr>
                <w:rFonts w:hint="eastAsia" w:ascii="宋体" w:hAnsi="宋体" w:eastAsia="宋体" w:cs="宋体"/>
                <w:i/>
                <w:iCs/>
                <w:color w:val="auto"/>
                <w:kern w:val="0"/>
                <w:sz w:val="21"/>
                <w:szCs w:val="21"/>
                <w:highlight w:val="none"/>
                <w:u w:val="none"/>
                <w:lang w:val="en-US" w:eastAsia="zh-CN" w:bidi="ar"/>
              </w:rPr>
              <w:t xml:space="preserve">Φ </w:t>
            </w:r>
            <w:r>
              <w:rPr>
                <w:rFonts w:hint="eastAsia" w:ascii="宋体" w:hAnsi="宋体" w:eastAsia="宋体" w:cs="宋体"/>
                <w:i w:val="0"/>
                <w:iCs w:val="0"/>
                <w:color w:val="auto"/>
                <w:kern w:val="0"/>
                <w:sz w:val="21"/>
                <w:szCs w:val="21"/>
                <w:highlight w:val="none"/>
                <w:u w:val="none"/>
                <w:lang w:val="en-US" w:eastAsia="zh-CN" w:bidi="ar"/>
              </w:rPr>
              <w:t>12 mm ×70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028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F4B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w:t>
            </w:r>
          </w:p>
        </w:tc>
      </w:tr>
      <w:tr w14:paraId="47C8B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802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27B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试管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815F4">
            <w:pPr>
              <w:keepNext w:val="0"/>
              <w:keepLines w:val="0"/>
              <w:widowControl/>
              <w:suppressLineNumbers w:val="0"/>
              <w:jc w:val="left"/>
              <w:textAlignment w:val="center"/>
              <w:rPr>
                <w:rFonts w:hint="eastAsia" w:ascii="宋体" w:hAnsi="宋体" w:eastAsia="宋体" w:cs="宋体"/>
                <w:i/>
                <w:iCs/>
                <w:color w:val="auto"/>
                <w:sz w:val="21"/>
                <w:szCs w:val="21"/>
                <w:highlight w:val="none"/>
                <w:u w:val="none"/>
              </w:rPr>
            </w:pPr>
            <w:r>
              <w:rPr>
                <w:rFonts w:hint="eastAsia" w:ascii="宋体" w:hAnsi="宋体" w:eastAsia="宋体" w:cs="宋体"/>
                <w:i/>
                <w:iCs/>
                <w:color w:val="auto"/>
                <w:kern w:val="0"/>
                <w:sz w:val="21"/>
                <w:szCs w:val="21"/>
                <w:highlight w:val="none"/>
                <w:u w:val="none"/>
                <w:lang w:val="en-US" w:eastAsia="zh-CN" w:bidi="ar"/>
              </w:rPr>
              <w:t xml:space="preserve">Φ </w:t>
            </w:r>
            <w:r>
              <w:rPr>
                <w:rFonts w:hint="eastAsia" w:ascii="宋体" w:hAnsi="宋体" w:eastAsia="宋体" w:cs="宋体"/>
                <w:i w:val="0"/>
                <w:iCs w:val="0"/>
                <w:color w:val="auto"/>
                <w:kern w:val="0"/>
                <w:sz w:val="21"/>
                <w:szCs w:val="21"/>
                <w:highlight w:val="none"/>
                <w:u w:val="none"/>
                <w:lang w:val="en-US" w:eastAsia="zh-CN" w:bidi="ar"/>
              </w:rPr>
              <w:t>15 mm × 150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79A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470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w:t>
            </w:r>
          </w:p>
        </w:tc>
      </w:tr>
      <w:tr w14:paraId="0974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B9B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FEC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试管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80AB1">
            <w:pPr>
              <w:keepNext w:val="0"/>
              <w:keepLines w:val="0"/>
              <w:widowControl/>
              <w:suppressLineNumbers w:val="0"/>
              <w:jc w:val="left"/>
              <w:textAlignment w:val="center"/>
              <w:rPr>
                <w:rFonts w:hint="eastAsia" w:ascii="宋体" w:hAnsi="宋体" w:eastAsia="宋体" w:cs="宋体"/>
                <w:i/>
                <w:iCs/>
                <w:color w:val="auto"/>
                <w:sz w:val="21"/>
                <w:szCs w:val="21"/>
                <w:highlight w:val="none"/>
                <w:u w:val="none"/>
              </w:rPr>
            </w:pPr>
            <w:r>
              <w:rPr>
                <w:rFonts w:hint="eastAsia" w:ascii="宋体" w:hAnsi="宋体" w:eastAsia="宋体" w:cs="宋体"/>
                <w:i/>
                <w:iCs/>
                <w:color w:val="auto"/>
                <w:kern w:val="0"/>
                <w:sz w:val="21"/>
                <w:szCs w:val="21"/>
                <w:highlight w:val="none"/>
                <w:u w:val="none"/>
                <w:lang w:val="en-US" w:eastAsia="zh-CN" w:bidi="ar"/>
              </w:rPr>
              <w:t xml:space="preserve">Φ </w:t>
            </w:r>
            <w:r>
              <w:rPr>
                <w:rFonts w:hint="eastAsia" w:ascii="宋体" w:hAnsi="宋体" w:eastAsia="宋体" w:cs="宋体"/>
                <w:i w:val="0"/>
                <w:iCs w:val="0"/>
                <w:color w:val="auto"/>
                <w:kern w:val="0"/>
                <w:sz w:val="21"/>
                <w:szCs w:val="21"/>
                <w:highlight w:val="none"/>
                <w:u w:val="none"/>
                <w:lang w:val="en-US" w:eastAsia="zh-CN" w:bidi="ar"/>
              </w:rPr>
              <w:t>18 mm × 180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280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79A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r>
      <w:tr w14:paraId="69130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BFC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B90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试管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EE798">
            <w:pPr>
              <w:keepNext w:val="0"/>
              <w:keepLines w:val="0"/>
              <w:widowControl/>
              <w:suppressLineNumbers w:val="0"/>
              <w:jc w:val="left"/>
              <w:textAlignment w:val="center"/>
              <w:rPr>
                <w:rFonts w:hint="eastAsia" w:ascii="宋体" w:hAnsi="宋体" w:eastAsia="宋体" w:cs="宋体"/>
                <w:i/>
                <w:iCs/>
                <w:color w:val="auto"/>
                <w:sz w:val="21"/>
                <w:szCs w:val="21"/>
                <w:highlight w:val="none"/>
                <w:u w:val="none"/>
              </w:rPr>
            </w:pPr>
            <w:r>
              <w:rPr>
                <w:rFonts w:hint="eastAsia" w:ascii="宋体" w:hAnsi="宋体" w:eastAsia="宋体" w:cs="宋体"/>
                <w:i/>
                <w:iCs/>
                <w:color w:val="auto"/>
                <w:kern w:val="0"/>
                <w:sz w:val="21"/>
                <w:szCs w:val="21"/>
                <w:highlight w:val="none"/>
                <w:u w:val="none"/>
                <w:lang w:val="en-US" w:eastAsia="zh-CN" w:bidi="ar"/>
              </w:rPr>
              <w:t xml:space="preserve">Φ </w:t>
            </w:r>
            <w:r>
              <w:rPr>
                <w:rFonts w:hint="eastAsia" w:ascii="宋体" w:hAnsi="宋体" w:eastAsia="宋体" w:cs="宋体"/>
                <w:i w:val="0"/>
                <w:iCs w:val="0"/>
                <w:color w:val="auto"/>
                <w:kern w:val="0"/>
                <w:sz w:val="21"/>
                <w:szCs w:val="21"/>
                <w:highlight w:val="none"/>
                <w:u w:val="none"/>
                <w:lang w:val="en-US" w:eastAsia="zh-CN" w:bidi="ar"/>
              </w:rPr>
              <w:t>20 mm × 200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180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05B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r>
      <w:tr w14:paraId="38D90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BD1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F88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试管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4B044">
            <w:pPr>
              <w:keepNext w:val="0"/>
              <w:keepLines w:val="0"/>
              <w:widowControl/>
              <w:suppressLineNumbers w:val="0"/>
              <w:jc w:val="left"/>
              <w:textAlignment w:val="center"/>
              <w:rPr>
                <w:rFonts w:hint="eastAsia" w:ascii="宋体" w:hAnsi="宋体" w:eastAsia="宋体" w:cs="宋体"/>
                <w:i/>
                <w:iCs/>
                <w:color w:val="auto"/>
                <w:sz w:val="21"/>
                <w:szCs w:val="21"/>
                <w:highlight w:val="none"/>
                <w:u w:val="none"/>
              </w:rPr>
            </w:pPr>
            <w:r>
              <w:rPr>
                <w:rFonts w:hint="eastAsia" w:ascii="宋体" w:hAnsi="宋体" w:eastAsia="宋体" w:cs="宋体"/>
                <w:i/>
                <w:iCs/>
                <w:color w:val="auto"/>
                <w:kern w:val="0"/>
                <w:sz w:val="21"/>
                <w:szCs w:val="21"/>
                <w:highlight w:val="none"/>
                <w:u w:val="none"/>
                <w:lang w:val="en-US" w:eastAsia="zh-CN" w:bidi="ar"/>
              </w:rPr>
              <w:t xml:space="preserve">Φ </w:t>
            </w:r>
            <w:r>
              <w:rPr>
                <w:rFonts w:hint="eastAsia" w:ascii="宋体" w:hAnsi="宋体" w:eastAsia="宋体" w:cs="宋体"/>
                <w:i w:val="0"/>
                <w:iCs w:val="0"/>
                <w:color w:val="auto"/>
                <w:kern w:val="0"/>
                <w:sz w:val="21"/>
                <w:szCs w:val="21"/>
                <w:highlight w:val="none"/>
                <w:u w:val="none"/>
                <w:lang w:val="en-US" w:eastAsia="zh-CN" w:bidi="ar"/>
              </w:rPr>
              <w:t>32 mm × 200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B65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661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14:paraId="08FDC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4F6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A8D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口部具支试管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E6855">
            <w:pPr>
              <w:keepNext w:val="0"/>
              <w:keepLines w:val="0"/>
              <w:widowControl/>
              <w:suppressLineNumbers w:val="0"/>
              <w:jc w:val="left"/>
              <w:textAlignment w:val="center"/>
              <w:rPr>
                <w:rFonts w:hint="eastAsia" w:ascii="宋体" w:hAnsi="宋体" w:eastAsia="宋体" w:cs="宋体"/>
                <w:i/>
                <w:iCs/>
                <w:color w:val="auto"/>
                <w:sz w:val="21"/>
                <w:szCs w:val="21"/>
                <w:highlight w:val="none"/>
                <w:u w:val="none"/>
              </w:rPr>
            </w:pPr>
            <w:r>
              <w:rPr>
                <w:rFonts w:hint="eastAsia" w:ascii="宋体" w:hAnsi="宋体" w:eastAsia="宋体" w:cs="宋体"/>
                <w:i/>
                <w:iCs/>
                <w:color w:val="auto"/>
                <w:kern w:val="0"/>
                <w:sz w:val="21"/>
                <w:szCs w:val="21"/>
                <w:highlight w:val="none"/>
                <w:u w:val="none"/>
                <w:lang w:val="en-US" w:eastAsia="zh-CN" w:bidi="ar"/>
              </w:rPr>
              <w:t xml:space="preserve">Φ </w:t>
            </w:r>
            <w:r>
              <w:rPr>
                <w:rFonts w:hint="eastAsia" w:ascii="宋体" w:hAnsi="宋体" w:eastAsia="宋体" w:cs="宋体"/>
                <w:i w:val="0"/>
                <w:iCs w:val="0"/>
                <w:color w:val="auto"/>
                <w:kern w:val="0"/>
                <w:sz w:val="21"/>
                <w:szCs w:val="21"/>
                <w:highlight w:val="none"/>
                <w:u w:val="none"/>
                <w:lang w:val="en-US" w:eastAsia="zh-CN" w:bidi="ar"/>
              </w:rPr>
              <w:t>20 mm × 200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BB8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1F4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14:paraId="05766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FF3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52A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硬质玻璃管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2EA66">
            <w:pPr>
              <w:keepNext w:val="0"/>
              <w:keepLines w:val="0"/>
              <w:widowControl/>
              <w:suppressLineNumbers w:val="0"/>
              <w:jc w:val="left"/>
              <w:textAlignment w:val="center"/>
              <w:rPr>
                <w:rFonts w:hint="eastAsia" w:ascii="宋体" w:hAnsi="宋体" w:eastAsia="宋体" w:cs="宋体"/>
                <w:i/>
                <w:iCs/>
                <w:color w:val="auto"/>
                <w:sz w:val="21"/>
                <w:szCs w:val="21"/>
                <w:highlight w:val="none"/>
                <w:u w:val="none"/>
              </w:rPr>
            </w:pPr>
            <w:r>
              <w:rPr>
                <w:rFonts w:hint="eastAsia" w:ascii="宋体" w:hAnsi="宋体" w:eastAsia="宋体" w:cs="宋体"/>
                <w:i/>
                <w:iCs/>
                <w:color w:val="auto"/>
                <w:kern w:val="0"/>
                <w:sz w:val="21"/>
                <w:szCs w:val="21"/>
                <w:highlight w:val="none"/>
                <w:u w:val="none"/>
                <w:lang w:val="en-US" w:eastAsia="zh-CN" w:bidi="ar"/>
              </w:rPr>
              <w:t xml:space="preserve">Φ </w:t>
            </w:r>
            <w:r>
              <w:rPr>
                <w:rFonts w:hint="eastAsia" w:ascii="宋体" w:hAnsi="宋体" w:eastAsia="宋体" w:cs="宋体"/>
                <w:i w:val="0"/>
                <w:iCs w:val="0"/>
                <w:color w:val="auto"/>
                <w:kern w:val="0"/>
                <w:sz w:val="21"/>
                <w:szCs w:val="21"/>
                <w:highlight w:val="none"/>
                <w:u w:val="none"/>
                <w:lang w:val="en-US" w:eastAsia="zh-CN" w:bidi="ar"/>
              </w:rPr>
              <w:t>15 mm × 150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EE3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E2C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14:paraId="7ECAA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2D0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84C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硬质玻璃管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C44B7">
            <w:pPr>
              <w:keepNext w:val="0"/>
              <w:keepLines w:val="0"/>
              <w:widowControl/>
              <w:suppressLineNumbers w:val="0"/>
              <w:jc w:val="left"/>
              <w:textAlignment w:val="center"/>
              <w:rPr>
                <w:rFonts w:hint="eastAsia" w:ascii="宋体" w:hAnsi="宋体" w:eastAsia="宋体" w:cs="宋体"/>
                <w:i/>
                <w:iCs/>
                <w:color w:val="auto"/>
                <w:sz w:val="21"/>
                <w:szCs w:val="21"/>
                <w:highlight w:val="none"/>
                <w:u w:val="none"/>
              </w:rPr>
            </w:pPr>
            <w:r>
              <w:rPr>
                <w:rFonts w:hint="eastAsia" w:ascii="宋体" w:hAnsi="宋体" w:eastAsia="宋体" w:cs="宋体"/>
                <w:i/>
                <w:iCs/>
                <w:color w:val="auto"/>
                <w:kern w:val="0"/>
                <w:sz w:val="21"/>
                <w:szCs w:val="21"/>
                <w:highlight w:val="none"/>
                <w:u w:val="none"/>
                <w:lang w:val="en-US" w:eastAsia="zh-CN" w:bidi="ar"/>
              </w:rPr>
              <w:t xml:space="preserve">Φ </w:t>
            </w:r>
            <w:r>
              <w:rPr>
                <w:rFonts w:hint="eastAsia" w:ascii="宋体" w:hAnsi="宋体" w:eastAsia="宋体" w:cs="宋体"/>
                <w:i w:val="0"/>
                <w:iCs w:val="0"/>
                <w:color w:val="auto"/>
                <w:kern w:val="0"/>
                <w:sz w:val="21"/>
                <w:szCs w:val="21"/>
                <w:highlight w:val="none"/>
                <w:u w:val="none"/>
                <w:lang w:val="en-US" w:eastAsia="zh-CN" w:bidi="ar"/>
              </w:rPr>
              <w:t>20 mm × 250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B15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F2C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14:paraId="52318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D64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77C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烧杯</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5DFD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AD2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2C2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4F09A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4FD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5CD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烧杯</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5A0B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DE2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00C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r>
      <w:tr w14:paraId="0B4DA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C99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0D5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烧杯</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E84C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CC8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139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r>
      <w:tr w14:paraId="4D397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023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A91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烧杯</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6887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1E5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BA9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r>
      <w:tr w14:paraId="23700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84B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F76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烧杯</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BD47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03D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AE8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58E73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27B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9AD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烧杯</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22B6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450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E1E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14:paraId="4F8B7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E79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6F0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烧杯</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EB9B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784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DC6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14:paraId="70560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02C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5A3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烧瓶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BBA4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 mL，圆底</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4BF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8A0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r>
      <w:tr w14:paraId="1C2A7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65F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3AE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烧瓶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52D2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 mL，平底</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3DD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530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14:paraId="6A93B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A2E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E47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锥形瓶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3BF9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95E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24B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613E5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BB4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BC2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锥形瓶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2A95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BB3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512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14:paraId="5A92F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C63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9A0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蒸馏烧瓶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FA87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7BA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EB5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54C13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6BA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040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集气瓶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5B8D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D88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36B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14:paraId="6318A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0F6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446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集气瓶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78A7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C74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0C8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14:paraId="2AD26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FF7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9E3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F3F1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917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A9B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170</w:t>
            </w:r>
          </w:p>
        </w:tc>
      </w:tr>
      <w:tr w14:paraId="5172A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BF5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478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2957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D40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BFA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51FE6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EDF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C76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8514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A34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BA3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4F8B1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152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F6E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F340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983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4CB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3F016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E56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DB9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茶色广口瓶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A4C6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ACB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E3C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r>
      <w:tr w14:paraId="73AB6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67D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C55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茶色广口瓶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3BE0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A8D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9EE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30CAC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2F4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CED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茶色广口瓶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7580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CEF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C09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1EFB0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788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102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D465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B2F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F36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16BD0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BCC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98B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3EB7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B37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B15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r>
      <w:tr w14:paraId="2572C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8B9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996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D1CB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1E8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B83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14:paraId="3EF21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2BF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089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F811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514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9F0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055FC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F05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B5B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21A8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DDE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D45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149D6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E1A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E0D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C3DE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53A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C19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26C5A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526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D12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茶色细口瓶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34FC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B11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086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2425D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A06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46A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茶色细口瓶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2BD0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A67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C88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16A05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A15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FE0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茶色细口瓶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7605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9FE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60D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32755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AAF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988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茶色细口瓶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91FC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662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84E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1FB15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524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3C8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茶色细口瓶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0E5C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9B0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AD4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4F6F0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D78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AD3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滴瓶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35D7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A5B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7F4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6EDDB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E66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506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滴瓶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3EB1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503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1F5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r>
      <w:tr w14:paraId="3D34C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A0F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C8C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茶色滴瓶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A4C7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8B4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CEB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5A66B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CC4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F92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茶色滴瓶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EF3F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C5C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DE5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53104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51C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43F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酒精灯</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8D6F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 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D5D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D68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6F576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CF8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814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漏斗</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8E34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8F2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5AE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1242B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CB0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E51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漏斗</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9583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906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994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14:paraId="6276E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FF3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3C6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安全漏斗</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3876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直形，径长 300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6C5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538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1F8B5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EE2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61C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安全漏斗</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33A9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双球</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2E7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F93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15665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023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3D7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分液漏斗</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C6BC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50 mL，</w:t>
            </w:r>
          </w:p>
          <w:p w14:paraId="71216B5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锥型</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F1B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611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520E0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ED2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9E3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分液漏斗</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D55C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50 mL，</w:t>
            </w:r>
          </w:p>
          <w:p w14:paraId="586840A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球型</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265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915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42D1B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BBC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7F6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三通连接管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0906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T 形</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348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DD3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39ED2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925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8F7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三通连接管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2F52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Y 形</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393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C15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7DA49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A62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77D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滴管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7A8A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F8D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157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4D4A5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FE3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844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滴管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3CD3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7ED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2C8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5E5A8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BD7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5DA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干燥管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F4FB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145 mm，</w:t>
            </w:r>
          </w:p>
          <w:p w14:paraId="27D632C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单球</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1EF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437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14:paraId="6E11F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50E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625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干燥管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3819C">
            <w:pPr>
              <w:keepNext w:val="0"/>
              <w:keepLines w:val="0"/>
              <w:widowControl/>
              <w:suppressLineNumbers w:val="0"/>
              <w:jc w:val="left"/>
              <w:textAlignment w:val="center"/>
              <w:rPr>
                <w:rFonts w:hint="eastAsia" w:ascii="宋体" w:hAnsi="宋体" w:eastAsia="宋体" w:cs="宋体"/>
                <w:i/>
                <w:iCs/>
                <w:color w:val="auto"/>
                <w:sz w:val="21"/>
                <w:szCs w:val="21"/>
                <w:highlight w:val="none"/>
                <w:u w:val="none"/>
              </w:rPr>
            </w:pPr>
            <w:r>
              <w:rPr>
                <w:rFonts w:hint="eastAsia" w:ascii="宋体" w:hAnsi="宋体" w:eastAsia="宋体" w:cs="宋体"/>
                <w:i/>
                <w:iCs/>
                <w:color w:val="auto"/>
                <w:kern w:val="0"/>
                <w:sz w:val="21"/>
                <w:szCs w:val="21"/>
                <w:highlight w:val="none"/>
                <w:u w:val="none"/>
                <w:lang w:val="en-US" w:eastAsia="zh-CN" w:bidi="ar"/>
              </w:rPr>
              <w:t xml:space="preserve">Φ </w:t>
            </w:r>
            <w:r>
              <w:rPr>
                <w:rFonts w:hint="eastAsia" w:ascii="宋体" w:hAnsi="宋体" w:eastAsia="宋体" w:cs="宋体"/>
                <w:i w:val="0"/>
                <w:iCs w:val="0"/>
                <w:color w:val="auto"/>
                <w:kern w:val="0"/>
                <w:sz w:val="21"/>
                <w:szCs w:val="21"/>
                <w:highlight w:val="none"/>
                <w:u w:val="none"/>
                <w:lang w:val="en-US" w:eastAsia="zh-CN" w:bidi="ar"/>
              </w:rPr>
              <w:t>15 mm × 150 mm， U 型</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FFE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A70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2F6AF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97A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2C5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玻璃活塞</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9020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直形</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9AA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354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5D21C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46D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E61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圆水槽</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73F59">
            <w:pPr>
              <w:keepNext w:val="0"/>
              <w:keepLines w:val="0"/>
              <w:widowControl/>
              <w:suppressLineNumbers w:val="0"/>
              <w:jc w:val="left"/>
              <w:textAlignment w:val="center"/>
              <w:rPr>
                <w:rFonts w:hint="eastAsia" w:ascii="宋体" w:hAnsi="宋体" w:eastAsia="宋体" w:cs="宋体"/>
                <w:i/>
                <w:iCs/>
                <w:color w:val="auto"/>
                <w:sz w:val="21"/>
                <w:szCs w:val="21"/>
                <w:highlight w:val="none"/>
                <w:u w:val="none"/>
              </w:rPr>
            </w:pPr>
            <w:r>
              <w:rPr>
                <w:rFonts w:hint="eastAsia" w:ascii="宋体" w:hAnsi="宋体" w:eastAsia="宋体" w:cs="宋体"/>
                <w:i/>
                <w:iCs/>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210 mm ×110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316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C6E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2DC42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DFB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0D8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圆水槽</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A191A">
            <w:pPr>
              <w:keepNext w:val="0"/>
              <w:keepLines w:val="0"/>
              <w:widowControl/>
              <w:suppressLineNumbers w:val="0"/>
              <w:jc w:val="left"/>
              <w:textAlignment w:val="center"/>
              <w:rPr>
                <w:rFonts w:hint="eastAsia" w:ascii="宋体" w:hAnsi="宋体" w:eastAsia="宋体" w:cs="宋体"/>
                <w:i/>
                <w:iCs/>
                <w:color w:val="auto"/>
                <w:sz w:val="21"/>
                <w:szCs w:val="21"/>
                <w:highlight w:val="none"/>
                <w:u w:val="none"/>
              </w:rPr>
            </w:pPr>
            <w:r>
              <w:rPr>
                <w:rFonts w:hint="eastAsia" w:ascii="宋体" w:hAnsi="宋体" w:eastAsia="宋体" w:cs="宋体"/>
                <w:i/>
                <w:iCs/>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270 mm ×140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010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53F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6D870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DB1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CD7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坩埚钳</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CD58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 mm，钢制，中间弯曲部分内径应在 2 cm～3 cm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3D6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DF2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532A7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3CA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42E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烧杯夹</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F26E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钢制或不锈钢制，夹持部位应有橡胶保护套，避免与玻璃烧杯直接接触</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5ED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1FC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6AF69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96C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1DE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镊子</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3C0E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不锈钢制，平头，长 125 mm，钢板厚 1.2 mm，前部应有防滑脱锯齿</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746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BAA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4DF7C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F53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448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试管夹</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09B8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木制或者竹制，长度≥200 mm，宽度约 20 mm，厚度约 20 mm。试管夹闭口缝≤1 mm，开口距离≥25 mm。毡块粘接牢固，试管夹弹簧作防锈处</w:t>
            </w:r>
          </w:p>
          <w:p w14:paraId="5421FAF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理。试管夹持部位圆弧内径≤15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696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3EE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4A8A0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C14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3D8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止水皮管夹</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E780F">
            <w:pPr>
              <w:keepNext w:val="0"/>
              <w:keepLines w:val="0"/>
              <w:widowControl/>
              <w:suppressLineNumbers w:val="0"/>
              <w:jc w:val="left"/>
              <w:textAlignment w:val="center"/>
              <w:rPr>
                <w:rFonts w:hint="eastAsia" w:ascii="宋体" w:hAnsi="宋体" w:eastAsia="宋体" w:cs="宋体"/>
                <w:i/>
                <w:iCs/>
                <w:color w:val="auto"/>
                <w:sz w:val="21"/>
                <w:szCs w:val="21"/>
                <w:highlight w:val="none"/>
                <w:u w:val="none"/>
              </w:rPr>
            </w:pPr>
            <w:r>
              <w:rPr>
                <w:rFonts w:hint="eastAsia" w:ascii="宋体" w:hAnsi="宋体" w:eastAsia="宋体" w:cs="宋体"/>
                <w:i/>
                <w:iCs/>
                <w:color w:val="auto"/>
                <w:kern w:val="0"/>
                <w:sz w:val="21"/>
                <w:szCs w:val="21"/>
                <w:highlight w:val="none"/>
                <w:u w:val="none"/>
                <w:lang w:val="en-US" w:eastAsia="zh-CN" w:bidi="ar"/>
              </w:rPr>
              <w:t xml:space="preserve">Φ </w:t>
            </w:r>
            <w:r>
              <w:rPr>
                <w:rFonts w:hint="eastAsia" w:ascii="宋体" w:hAnsi="宋体" w:eastAsia="宋体" w:cs="宋体"/>
                <w:i w:val="0"/>
                <w:iCs w:val="0"/>
                <w:color w:val="auto"/>
                <w:kern w:val="0"/>
                <w:sz w:val="21"/>
                <w:szCs w:val="21"/>
                <w:highlight w:val="none"/>
                <w:u w:val="none"/>
                <w:lang w:val="en-US" w:eastAsia="zh-CN" w:bidi="ar"/>
              </w:rPr>
              <w:t>3 mm 钢丝制成，作防锈处理，夹持角度≥60</w:t>
            </w:r>
            <w:r>
              <w:rPr>
                <w:rStyle w:val="288"/>
                <w:rFonts w:hint="eastAsia" w:ascii="宋体" w:hAnsi="宋体" w:eastAsia="宋体" w:cs="宋体"/>
                <w:color w:val="auto"/>
                <w:sz w:val="21"/>
                <w:szCs w:val="21"/>
                <w:highlight w:val="none"/>
                <w:lang w:val="en-US" w:eastAsia="zh-CN" w:bidi="ar"/>
              </w:rPr>
              <w:t>º</w:t>
            </w:r>
            <w:r>
              <w:rPr>
                <w:rFonts w:hint="eastAsia" w:ascii="宋体" w:hAnsi="宋体" w:eastAsia="宋体" w:cs="宋体"/>
                <w:i w:val="0"/>
                <w:iCs w:val="0"/>
                <w:color w:val="auto"/>
                <w:kern w:val="0"/>
                <w:sz w:val="21"/>
                <w:szCs w:val="21"/>
                <w:highlight w:val="none"/>
                <w:u w:val="none"/>
                <w:lang w:val="en-US" w:eastAsia="zh-CN" w:bidi="ar"/>
              </w:rPr>
              <w:t>，弹性好，不漏液</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E2B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BB8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215B2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A11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B4B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螺旋皮管夹</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93C7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由支架管和带压板的螺杆等组成。外形尺寸约为33 mm×20 mm×8 mm，旋转方便，不易变形，压板厚度≥1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12F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460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24C81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A0A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E51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石棉网</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4BD5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金属网尺寸≥125 mm×125 mm，0.8 mm 钢丝制成，石棉材料不易脱落，石棉网边缘钢丝应作简单处理</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8CD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406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48E07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C64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052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燃烧匙</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CA9A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铜勺，勺直径 18 mm，深 10 mm，铁柄，柄长约300 mm，长柄和铜勺连接稳定结实</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14C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0E0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74FB7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CEE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F3A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药匙</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9113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长度≥13 cm，带小勺，材质可选金属、牛角、塑料</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7C8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133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56E21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B15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0FA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玻璃管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6724B">
            <w:pPr>
              <w:keepNext w:val="0"/>
              <w:keepLines w:val="0"/>
              <w:widowControl/>
              <w:suppressLineNumbers w:val="0"/>
              <w:jc w:val="left"/>
              <w:textAlignment w:val="center"/>
              <w:rPr>
                <w:rFonts w:hint="eastAsia" w:ascii="宋体" w:hAnsi="宋体" w:eastAsia="宋体" w:cs="宋体"/>
                <w:i/>
                <w:iCs/>
                <w:color w:val="auto"/>
                <w:sz w:val="21"/>
                <w:szCs w:val="21"/>
                <w:highlight w:val="none"/>
                <w:u w:val="none"/>
              </w:rPr>
            </w:pPr>
            <w:r>
              <w:rPr>
                <w:rFonts w:hint="eastAsia" w:ascii="宋体" w:hAnsi="宋体" w:eastAsia="宋体" w:cs="宋体"/>
                <w:i/>
                <w:iCs/>
                <w:color w:val="auto"/>
                <w:kern w:val="0"/>
                <w:sz w:val="21"/>
                <w:szCs w:val="21"/>
                <w:highlight w:val="none"/>
                <w:u w:val="none"/>
                <w:lang w:val="en-US" w:eastAsia="zh-CN" w:bidi="ar"/>
              </w:rPr>
              <w:t xml:space="preserve">Φ </w:t>
            </w:r>
            <w:r>
              <w:rPr>
                <w:rFonts w:hint="eastAsia" w:ascii="宋体" w:hAnsi="宋体" w:eastAsia="宋体" w:cs="宋体"/>
                <w:i w:val="0"/>
                <w:iCs w:val="0"/>
                <w:color w:val="auto"/>
                <w:kern w:val="0"/>
                <w:sz w:val="21"/>
                <w:szCs w:val="21"/>
                <w:highlight w:val="none"/>
                <w:u w:val="none"/>
                <w:lang w:val="en-US" w:eastAsia="zh-CN" w:bidi="ar"/>
              </w:rPr>
              <w:t>5 mm ～6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E88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500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5C2B0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A3B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FC5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玻璃管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AFA09">
            <w:pPr>
              <w:keepNext w:val="0"/>
              <w:keepLines w:val="0"/>
              <w:widowControl/>
              <w:suppressLineNumbers w:val="0"/>
              <w:jc w:val="left"/>
              <w:textAlignment w:val="center"/>
              <w:rPr>
                <w:rFonts w:hint="eastAsia" w:ascii="宋体" w:hAnsi="宋体" w:eastAsia="宋体" w:cs="宋体"/>
                <w:i/>
                <w:iCs/>
                <w:color w:val="auto"/>
                <w:sz w:val="21"/>
                <w:szCs w:val="21"/>
                <w:highlight w:val="none"/>
                <w:u w:val="none"/>
              </w:rPr>
            </w:pPr>
            <w:r>
              <w:rPr>
                <w:rFonts w:hint="eastAsia" w:ascii="宋体" w:hAnsi="宋体" w:eastAsia="宋体" w:cs="宋体"/>
                <w:i/>
                <w:iCs/>
                <w:color w:val="auto"/>
                <w:kern w:val="0"/>
                <w:sz w:val="21"/>
                <w:szCs w:val="21"/>
                <w:highlight w:val="none"/>
                <w:u w:val="none"/>
                <w:lang w:val="en-US" w:eastAsia="zh-CN" w:bidi="ar"/>
              </w:rPr>
              <w:t xml:space="preserve">Φ </w:t>
            </w:r>
            <w:r>
              <w:rPr>
                <w:rFonts w:hint="eastAsia" w:ascii="宋体" w:hAnsi="宋体" w:eastAsia="宋体" w:cs="宋体"/>
                <w:i w:val="0"/>
                <w:iCs w:val="0"/>
                <w:color w:val="auto"/>
                <w:kern w:val="0"/>
                <w:sz w:val="21"/>
                <w:szCs w:val="21"/>
                <w:highlight w:val="none"/>
                <w:u w:val="none"/>
                <w:lang w:val="en-US" w:eastAsia="zh-CN" w:bidi="ar"/>
              </w:rPr>
              <w:t>7 mm ～8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1E0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BA9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14:paraId="6D461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319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2DA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玻璃弯管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8312F">
            <w:pPr>
              <w:keepNext w:val="0"/>
              <w:keepLines w:val="0"/>
              <w:widowControl/>
              <w:suppressLineNumbers w:val="0"/>
              <w:jc w:val="left"/>
              <w:textAlignment w:val="center"/>
              <w:rPr>
                <w:rFonts w:hint="eastAsia" w:ascii="宋体" w:hAnsi="宋体" w:eastAsia="宋体" w:cs="宋体"/>
                <w:i/>
                <w:iCs/>
                <w:color w:val="auto"/>
                <w:sz w:val="21"/>
                <w:szCs w:val="21"/>
                <w:highlight w:val="none"/>
                <w:u w:val="none"/>
              </w:rPr>
            </w:pPr>
            <w:r>
              <w:rPr>
                <w:rFonts w:hint="eastAsia" w:ascii="宋体" w:hAnsi="宋体" w:eastAsia="宋体" w:cs="宋体"/>
                <w:i/>
                <w:iCs/>
                <w:color w:val="auto"/>
                <w:kern w:val="0"/>
                <w:sz w:val="21"/>
                <w:szCs w:val="21"/>
                <w:highlight w:val="none"/>
                <w:u w:val="none"/>
                <w:lang w:val="en-US" w:eastAsia="zh-CN" w:bidi="ar"/>
              </w:rPr>
              <w:t xml:space="preserve">Φ </w:t>
            </w:r>
            <w:r>
              <w:rPr>
                <w:rFonts w:hint="eastAsia" w:ascii="宋体" w:hAnsi="宋体" w:eastAsia="宋体" w:cs="宋体"/>
                <w:i w:val="0"/>
                <w:iCs w:val="0"/>
                <w:color w:val="auto"/>
                <w:kern w:val="0"/>
                <w:sz w:val="21"/>
                <w:szCs w:val="21"/>
                <w:highlight w:val="none"/>
                <w:u w:val="none"/>
                <w:lang w:val="en-US" w:eastAsia="zh-CN" w:bidi="ar"/>
              </w:rPr>
              <w:t>7 mm ～8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C66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DF2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3847B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901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C40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玻璃棒</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4A39F">
            <w:pPr>
              <w:keepNext w:val="0"/>
              <w:keepLines w:val="0"/>
              <w:widowControl/>
              <w:suppressLineNumbers w:val="0"/>
              <w:jc w:val="left"/>
              <w:textAlignment w:val="center"/>
              <w:rPr>
                <w:rFonts w:hint="eastAsia" w:ascii="宋体" w:hAnsi="宋体" w:eastAsia="宋体" w:cs="宋体"/>
                <w:i/>
                <w:iCs/>
                <w:color w:val="auto"/>
                <w:sz w:val="21"/>
                <w:szCs w:val="21"/>
                <w:highlight w:val="none"/>
                <w:u w:val="none"/>
              </w:rPr>
            </w:pPr>
            <w:r>
              <w:rPr>
                <w:rFonts w:hint="eastAsia" w:ascii="宋体" w:hAnsi="宋体" w:eastAsia="宋体" w:cs="宋体"/>
                <w:i/>
                <w:iCs/>
                <w:color w:val="auto"/>
                <w:kern w:val="0"/>
                <w:sz w:val="21"/>
                <w:szCs w:val="21"/>
                <w:highlight w:val="none"/>
                <w:u w:val="none"/>
                <w:lang w:val="en-US" w:eastAsia="zh-CN" w:bidi="ar"/>
              </w:rPr>
              <w:t xml:space="preserve">Φ </w:t>
            </w:r>
            <w:r>
              <w:rPr>
                <w:rFonts w:hint="eastAsia" w:ascii="宋体" w:hAnsi="宋体" w:eastAsia="宋体" w:cs="宋体"/>
                <w:i w:val="0"/>
                <w:iCs w:val="0"/>
                <w:color w:val="auto"/>
                <w:kern w:val="0"/>
                <w:sz w:val="21"/>
                <w:szCs w:val="21"/>
                <w:highlight w:val="none"/>
                <w:u w:val="none"/>
                <w:lang w:val="en-US" w:eastAsia="zh-CN" w:bidi="ar"/>
              </w:rPr>
              <w:t>5 mm ～6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B66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CCA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14:paraId="7F144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FCE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4BD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玻璃棒</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7EC05">
            <w:pPr>
              <w:keepNext w:val="0"/>
              <w:keepLines w:val="0"/>
              <w:widowControl/>
              <w:suppressLineNumbers w:val="0"/>
              <w:jc w:val="left"/>
              <w:textAlignment w:val="center"/>
              <w:rPr>
                <w:rFonts w:hint="eastAsia" w:ascii="宋体" w:hAnsi="宋体" w:eastAsia="宋体" w:cs="宋体"/>
                <w:i/>
                <w:iCs/>
                <w:color w:val="auto"/>
                <w:sz w:val="21"/>
                <w:szCs w:val="21"/>
                <w:highlight w:val="none"/>
                <w:u w:val="none"/>
              </w:rPr>
            </w:pPr>
            <w:r>
              <w:rPr>
                <w:rFonts w:hint="eastAsia" w:ascii="宋体" w:hAnsi="宋体" w:eastAsia="宋体" w:cs="宋体"/>
                <w:i/>
                <w:iCs/>
                <w:color w:val="auto"/>
                <w:kern w:val="0"/>
                <w:sz w:val="21"/>
                <w:szCs w:val="21"/>
                <w:highlight w:val="none"/>
                <w:u w:val="none"/>
                <w:lang w:val="en-US" w:eastAsia="zh-CN" w:bidi="ar"/>
              </w:rPr>
              <w:t xml:space="preserve">Φ </w:t>
            </w:r>
            <w:r>
              <w:rPr>
                <w:rFonts w:hint="eastAsia" w:ascii="宋体" w:hAnsi="宋体" w:eastAsia="宋体" w:cs="宋体"/>
                <w:i w:val="0"/>
                <w:iCs w:val="0"/>
                <w:color w:val="auto"/>
                <w:kern w:val="0"/>
                <w:sz w:val="21"/>
                <w:szCs w:val="21"/>
                <w:highlight w:val="none"/>
                <w:u w:val="none"/>
                <w:lang w:val="en-US" w:eastAsia="zh-CN" w:bidi="ar"/>
              </w:rPr>
              <w:t>7 mm ～8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533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ED5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14:paraId="3F775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59E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C40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橡胶塞</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A79B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000、00、0～10 号</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25F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637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r>
      <w:tr w14:paraId="1FC69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EA4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930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橡胶管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0C55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外径 9 mm，</w:t>
            </w:r>
          </w:p>
          <w:p w14:paraId="752C62E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内径 6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011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C9B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14:paraId="0BE1C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61D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57C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乳胶管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B5BF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外径 6 mm，</w:t>
            </w:r>
          </w:p>
          <w:p w14:paraId="3EE2D8B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内径 4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BA4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131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14:paraId="0D0E2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9DA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DCE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乳胶管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301C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外径 7 mm，</w:t>
            </w:r>
          </w:p>
          <w:p w14:paraId="39C42A5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内径 5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EE9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76B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14:paraId="0837F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018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429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乳胶管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4E4F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外径 9 mm，</w:t>
            </w:r>
          </w:p>
          <w:p w14:paraId="1BA1B3D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内径 6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77A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F25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14:paraId="284FF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7C4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930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试管刷</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8665A">
            <w:pPr>
              <w:keepNext w:val="0"/>
              <w:keepLines w:val="0"/>
              <w:widowControl/>
              <w:suppressLineNumbers w:val="0"/>
              <w:jc w:val="left"/>
              <w:textAlignment w:val="center"/>
              <w:rPr>
                <w:rFonts w:hint="eastAsia" w:ascii="宋体" w:hAnsi="宋体" w:eastAsia="宋体" w:cs="宋体"/>
                <w:i/>
                <w:iCs/>
                <w:color w:val="auto"/>
                <w:sz w:val="21"/>
                <w:szCs w:val="21"/>
                <w:highlight w:val="none"/>
                <w:u w:val="none"/>
              </w:rPr>
            </w:pPr>
            <w:r>
              <w:rPr>
                <w:rFonts w:hint="eastAsia" w:ascii="宋体" w:hAnsi="宋体" w:eastAsia="宋体" w:cs="宋体"/>
                <w:i/>
                <w:iCs/>
                <w:color w:val="auto"/>
                <w:kern w:val="0"/>
                <w:sz w:val="21"/>
                <w:szCs w:val="21"/>
                <w:highlight w:val="none"/>
                <w:u w:val="none"/>
                <w:lang w:val="en-US" w:eastAsia="zh-CN" w:bidi="ar"/>
              </w:rPr>
              <w:t xml:space="preserve">Φ </w:t>
            </w:r>
            <w:r>
              <w:rPr>
                <w:rFonts w:hint="eastAsia" w:ascii="宋体" w:hAnsi="宋体" w:eastAsia="宋体" w:cs="宋体"/>
                <w:i w:val="0"/>
                <w:iCs w:val="0"/>
                <w:color w:val="auto"/>
                <w:kern w:val="0"/>
                <w:sz w:val="21"/>
                <w:szCs w:val="21"/>
                <w:highlight w:val="none"/>
                <w:u w:val="none"/>
                <w:lang w:val="en-US" w:eastAsia="zh-CN" w:bidi="ar"/>
              </w:rPr>
              <w:t>12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3DE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0EE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06E75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7B7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A85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试管刷</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63736">
            <w:pPr>
              <w:keepNext w:val="0"/>
              <w:keepLines w:val="0"/>
              <w:widowControl/>
              <w:suppressLineNumbers w:val="0"/>
              <w:jc w:val="left"/>
              <w:textAlignment w:val="center"/>
              <w:rPr>
                <w:rFonts w:hint="eastAsia" w:ascii="宋体" w:hAnsi="宋体" w:eastAsia="宋体" w:cs="宋体"/>
                <w:i/>
                <w:iCs/>
                <w:color w:val="auto"/>
                <w:sz w:val="21"/>
                <w:szCs w:val="21"/>
                <w:highlight w:val="none"/>
                <w:u w:val="none"/>
              </w:rPr>
            </w:pPr>
            <w:r>
              <w:rPr>
                <w:rFonts w:hint="eastAsia" w:ascii="宋体" w:hAnsi="宋体" w:eastAsia="宋体" w:cs="宋体"/>
                <w:i/>
                <w:iCs/>
                <w:color w:val="auto"/>
                <w:kern w:val="0"/>
                <w:sz w:val="21"/>
                <w:szCs w:val="21"/>
                <w:highlight w:val="none"/>
                <w:u w:val="none"/>
                <w:lang w:val="en-US" w:eastAsia="zh-CN" w:bidi="ar"/>
              </w:rPr>
              <w:t xml:space="preserve">Φ </w:t>
            </w:r>
            <w:r>
              <w:rPr>
                <w:rFonts w:hint="eastAsia" w:ascii="宋体" w:hAnsi="宋体" w:eastAsia="宋体" w:cs="宋体"/>
                <w:i w:val="0"/>
                <w:iCs w:val="0"/>
                <w:color w:val="auto"/>
                <w:kern w:val="0"/>
                <w:sz w:val="21"/>
                <w:szCs w:val="21"/>
                <w:highlight w:val="none"/>
                <w:u w:val="none"/>
                <w:lang w:val="en-US" w:eastAsia="zh-CN" w:bidi="ar"/>
              </w:rPr>
              <w:t>18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3AA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56E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1014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921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DA4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试管刷</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EEC09">
            <w:pPr>
              <w:keepNext w:val="0"/>
              <w:keepLines w:val="0"/>
              <w:widowControl/>
              <w:suppressLineNumbers w:val="0"/>
              <w:jc w:val="left"/>
              <w:textAlignment w:val="center"/>
              <w:rPr>
                <w:rFonts w:hint="eastAsia" w:ascii="宋体" w:hAnsi="宋体" w:eastAsia="宋体" w:cs="宋体"/>
                <w:i/>
                <w:iCs/>
                <w:color w:val="auto"/>
                <w:sz w:val="21"/>
                <w:szCs w:val="21"/>
                <w:highlight w:val="none"/>
                <w:u w:val="none"/>
              </w:rPr>
            </w:pPr>
            <w:r>
              <w:rPr>
                <w:rFonts w:hint="eastAsia" w:ascii="宋体" w:hAnsi="宋体" w:eastAsia="宋体" w:cs="宋体"/>
                <w:i/>
                <w:iCs/>
                <w:color w:val="auto"/>
                <w:kern w:val="0"/>
                <w:sz w:val="21"/>
                <w:szCs w:val="21"/>
                <w:highlight w:val="none"/>
                <w:u w:val="none"/>
                <w:lang w:val="en-US" w:eastAsia="zh-CN" w:bidi="ar"/>
              </w:rPr>
              <w:t xml:space="preserve">Φ </w:t>
            </w:r>
            <w:r>
              <w:rPr>
                <w:rFonts w:hint="eastAsia" w:ascii="宋体" w:hAnsi="宋体" w:eastAsia="宋体" w:cs="宋体"/>
                <w:i w:val="0"/>
                <w:iCs w:val="0"/>
                <w:color w:val="auto"/>
                <w:kern w:val="0"/>
                <w:sz w:val="21"/>
                <w:szCs w:val="21"/>
                <w:highlight w:val="none"/>
                <w:u w:val="none"/>
                <w:lang w:val="en-US" w:eastAsia="zh-CN" w:bidi="ar"/>
              </w:rPr>
              <w:t>32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C10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D4F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06EDA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566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665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烧瓶刷</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A5ED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 mL 烧瓶用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965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5F7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1B7CA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FA7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301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烧瓶刷</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093B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 mL 烧瓶用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4A7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07B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7A148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6E7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1D8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结晶皿</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B649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 mm，平底</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419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F0D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6DABD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8D1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71B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表面皿</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7815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056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790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54D2D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B6A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B5A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表面皿</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906C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428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96F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458C8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12C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6B2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研钵</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AE79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C4E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075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4BE57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133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3BB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研钵</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8C8D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F78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AAB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52980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3EA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C6C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蒸发皿</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3C63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11E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9A5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502C7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A20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AED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蒸发皿</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E564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EC7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912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14:paraId="3819C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1A5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411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反应板</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6FED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白色陶瓷，6 孔，表面有釉层，不会发生溶液渗透</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AD4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C68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7745D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1E3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2F6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井穴板</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C95D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透明塑料，9 孔，每孔 0.7 mL，可以重复使用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88C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C07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254A3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9A8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9C1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井穴板</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7F89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透明塑料，6 孔，每孔 5 mL，配 6 个双导气管的井穴塞，可以重复使用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217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B70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5AD2F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355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DD9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塑料多用滴管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7935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弹性圆筒形吸泡和一根 </w:t>
            </w:r>
            <w:r>
              <w:rPr>
                <w:rFonts w:hint="eastAsia" w:ascii="宋体" w:hAnsi="宋体" w:eastAsia="宋体" w:cs="宋体"/>
                <w:i/>
                <w:iCs/>
                <w:color w:val="auto"/>
                <w:kern w:val="0"/>
                <w:sz w:val="21"/>
                <w:szCs w:val="21"/>
                <w:highlight w:val="none"/>
                <w:u w:val="none"/>
                <w:lang w:val="en-US" w:eastAsia="zh-CN" w:bidi="ar"/>
              </w:rPr>
              <w:t xml:space="preserve">Φ </w:t>
            </w:r>
            <w:r>
              <w:rPr>
                <w:rFonts w:hint="eastAsia" w:ascii="宋体" w:hAnsi="宋体" w:eastAsia="宋体" w:cs="宋体"/>
                <w:i w:val="0"/>
                <w:iCs w:val="0"/>
                <w:color w:val="auto"/>
                <w:kern w:val="0"/>
                <w:sz w:val="21"/>
                <w:szCs w:val="21"/>
                <w:highlight w:val="none"/>
                <w:u w:val="none"/>
                <w:lang w:val="en-US" w:eastAsia="zh-CN" w:bidi="ar"/>
              </w:rPr>
              <w:t>1 mm×120 mm 的径管连接而成，容积 4 mL，环保材料，弹性好</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7C2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A23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w:t>
            </w:r>
          </w:p>
        </w:tc>
      </w:tr>
      <w:tr w14:paraId="56CAA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70D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AC0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塑料洗瓶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F737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 mL 或 500 mL，水嘴略向下倾斜，口径 1 mm～2 mm，瓶口紧实不漏气</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68E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2CC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7C36E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AA6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DFB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塑料水槽</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E771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 mm×180 mm×100 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08D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1D7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712B0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4E9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FFF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集气瓶挂扣器</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AC36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 mL，塑料制</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E0F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37D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2D010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762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262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集气瓶挂扣器</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0C6A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 mL，塑料制</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F49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E2A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068F5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54E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22D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注射器</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0BB3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 mL，塑料制，符合医用器具卫生标准</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303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9D0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416A5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E7F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7F3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酒精喷灯</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71AC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坐式，铜制，壶体容积≥300 mL，火焰高度为 150 mm～180 mm，火焰温度为 960 ℃±60 ℃</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E1B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0C0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70EAA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228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A88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储气装置</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2936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容积≥2 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831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A27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2901D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0E9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4A0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初中化学实验材料</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FDFE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黄铜片、硬铝片、火柴、蜡烛、木板、电池、电珠、砂纸、面粉、凡士林等</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618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份</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B43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18D3B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DD9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D95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pH 广泛试纸</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16CA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1～14</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99E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本</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E23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706B6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DF5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818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蓝石蕊试纸</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1364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国家标准</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94D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本</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05E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11572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16A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F5F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红石蕊试纸</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6B71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国家标准</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F3E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本</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501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294C7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11B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83C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定性滤纸</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5862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快速，9 cm，100 张</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090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盒</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BE4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70684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6E4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C8C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定性滤纸</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D464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快速，15 cm，100 张</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9FE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盒</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F2B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6AAEA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65A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7B3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金刚石结构模型</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F1F9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碳原子：</w:t>
            </w:r>
            <w:r>
              <w:rPr>
                <w:rFonts w:hint="eastAsia" w:ascii="宋体" w:hAnsi="宋体" w:eastAsia="宋体" w:cs="宋体"/>
                <w:i/>
                <w:iCs/>
                <w:color w:val="auto"/>
                <w:kern w:val="0"/>
                <w:sz w:val="21"/>
                <w:szCs w:val="21"/>
                <w:highlight w:val="none"/>
                <w:u w:val="none"/>
                <w:lang w:val="en-US" w:eastAsia="zh-CN" w:bidi="ar"/>
              </w:rPr>
              <w:t xml:space="preserve">Φ </w:t>
            </w:r>
            <w:r>
              <w:rPr>
                <w:rFonts w:hint="eastAsia" w:ascii="宋体" w:hAnsi="宋体" w:eastAsia="宋体" w:cs="宋体"/>
                <w:i w:val="0"/>
                <w:iCs w:val="0"/>
                <w:color w:val="auto"/>
                <w:kern w:val="0"/>
                <w:sz w:val="21"/>
                <w:szCs w:val="21"/>
                <w:highlight w:val="none"/>
                <w:u w:val="none"/>
                <w:lang w:val="en-US" w:eastAsia="zh-CN" w:bidi="ar"/>
              </w:rPr>
              <w:t>30 mm 的 4 孔黑色塑料球 30 个；化学键：</w:t>
            </w:r>
            <w:r>
              <w:rPr>
                <w:rFonts w:hint="eastAsia" w:ascii="宋体" w:hAnsi="宋体" w:eastAsia="宋体" w:cs="宋体"/>
                <w:i/>
                <w:iCs/>
                <w:color w:val="auto"/>
                <w:kern w:val="0"/>
                <w:sz w:val="21"/>
                <w:szCs w:val="21"/>
                <w:highlight w:val="none"/>
                <w:u w:val="none"/>
                <w:lang w:val="en-US" w:eastAsia="zh-CN" w:bidi="ar"/>
              </w:rPr>
              <w:t xml:space="preserve">Φ </w:t>
            </w:r>
            <w:r>
              <w:rPr>
                <w:rFonts w:hint="eastAsia" w:ascii="宋体" w:hAnsi="宋体" w:eastAsia="宋体" w:cs="宋体"/>
                <w:i w:val="0"/>
                <w:iCs w:val="0"/>
                <w:color w:val="auto"/>
                <w:kern w:val="0"/>
                <w:sz w:val="21"/>
                <w:szCs w:val="21"/>
                <w:highlight w:val="none"/>
                <w:u w:val="none"/>
                <w:lang w:val="en-US" w:eastAsia="zh-CN" w:bidi="ar"/>
              </w:rPr>
              <w:t>3 mm×35 mm 镀镍金属杆 40 根</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7F9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A69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391B4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835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AF0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石墨结构模型</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52B3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碳原子：</w:t>
            </w:r>
            <w:r>
              <w:rPr>
                <w:rFonts w:hint="eastAsia" w:ascii="宋体" w:hAnsi="宋体" w:eastAsia="宋体" w:cs="宋体"/>
                <w:i/>
                <w:iCs/>
                <w:color w:val="auto"/>
                <w:kern w:val="0"/>
                <w:sz w:val="21"/>
                <w:szCs w:val="21"/>
                <w:highlight w:val="none"/>
                <w:u w:val="none"/>
                <w:lang w:val="en-US" w:eastAsia="zh-CN" w:bidi="ar"/>
              </w:rPr>
              <w:t xml:space="preserve">Φ </w:t>
            </w:r>
            <w:r>
              <w:rPr>
                <w:rFonts w:hint="eastAsia" w:ascii="宋体" w:hAnsi="宋体" w:eastAsia="宋体" w:cs="宋体"/>
                <w:i w:val="0"/>
                <w:iCs w:val="0"/>
                <w:color w:val="auto"/>
                <w:kern w:val="0"/>
                <w:sz w:val="21"/>
                <w:szCs w:val="21"/>
                <w:highlight w:val="none"/>
                <w:u w:val="none"/>
                <w:lang w:val="en-US" w:eastAsia="zh-CN" w:bidi="ar"/>
              </w:rPr>
              <w:t>30 mm 的 5 孔黑色塑料球 39 个；化学键：</w:t>
            </w:r>
            <w:r>
              <w:rPr>
                <w:rFonts w:hint="eastAsia" w:ascii="宋体" w:hAnsi="宋体" w:eastAsia="宋体" w:cs="宋体"/>
                <w:i/>
                <w:iCs/>
                <w:color w:val="auto"/>
                <w:kern w:val="0"/>
                <w:sz w:val="21"/>
                <w:szCs w:val="21"/>
                <w:highlight w:val="none"/>
                <w:u w:val="none"/>
                <w:lang w:val="en-US" w:eastAsia="zh-CN" w:bidi="ar"/>
              </w:rPr>
              <w:t xml:space="preserve">Φ </w:t>
            </w:r>
            <w:r>
              <w:rPr>
                <w:rFonts w:hint="eastAsia" w:ascii="宋体" w:hAnsi="宋体" w:eastAsia="宋体" w:cs="宋体"/>
                <w:i w:val="0"/>
                <w:iCs w:val="0"/>
                <w:color w:val="auto"/>
                <w:kern w:val="0"/>
                <w:sz w:val="21"/>
                <w:szCs w:val="21"/>
                <w:highlight w:val="none"/>
                <w:u w:val="none"/>
                <w:lang w:val="en-US" w:eastAsia="zh-CN" w:bidi="ar"/>
              </w:rPr>
              <w:t>3 mm×50 mm 镀镍金属杆 45 根，</w:t>
            </w:r>
            <w:r>
              <w:rPr>
                <w:rFonts w:hint="eastAsia" w:ascii="宋体" w:hAnsi="宋体" w:eastAsia="宋体" w:cs="宋体"/>
                <w:i/>
                <w:iCs/>
                <w:color w:val="auto"/>
                <w:kern w:val="0"/>
                <w:sz w:val="21"/>
                <w:szCs w:val="21"/>
                <w:highlight w:val="none"/>
                <w:u w:val="none"/>
                <w:lang w:val="en-US" w:eastAsia="zh-CN" w:bidi="ar"/>
              </w:rPr>
              <w:t xml:space="preserve">Φ </w:t>
            </w:r>
            <w:r>
              <w:rPr>
                <w:rFonts w:hint="eastAsia" w:ascii="宋体" w:hAnsi="宋体" w:eastAsia="宋体" w:cs="宋体"/>
                <w:i w:val="0"/>
                <w:iCs w:val="0"/>
                <w:color w:val="auto"/>
                <w:kern w:val="0"/>
                <w:sz w:val="21"/>
                <w:szCs w:val="21"/>
                <w:highlight w:val="none"/>
                <w:u w:val="none"/>
                <w:lang w:val="en-US" w:eastAsia="zh-CN" w:bidi="ar"/>
              </w:rPr>
              <w:t>3 mm×90 mm 镀镍金属杆 14 根</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DCD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462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3B301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81A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AA8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碳-60 结构模型</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B880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碳原子：</w:t>
            </w:r>
            <w:r>
              <w:rPr>
                <w:rFonts w:hint="eastAsia" w:ascii="宋体" w:hAnsi="宋体" w:eastAsia="宋体" w:cs="宋体"/>
                <w:i/>
                <w:iCs/>
                <w:color w:val="auto"/>
                <w:kern w:val="0"/>
                <w:sz w:val="21"/>
                <w:szCs w:val="21"/>
                <w:highlight w:val="none"/>
                <w:u w:val="none"/>
                <w:lang w:val="en-US" w:eastAsia="zh-CN" w:bidi="ar"/>
              </w:rPr>
              <w:t xml:space="preserve">Φ </w:t>
            </w:r>
            <w:r>
              <w:rPr>
                <w:rFonts w:hint="eastAsia" w:ascii="宋体" w:hAnsi="宋体" w:eastAsia="宋体" w:cs="宋体"/>
                <w:i w:val="0"/>
                <w:iCs w:val="0"/>
                <w:color w:val="auto"/>
                <w:kern w:val="0"/>
                <w:sz w:val="21"/>
                <w:szCs w:val="21"/>
                <w:highlight w:val="none"/>
                <w:u w:val="none"/>
                <w:lang w:val="en-US" w:eastAsia="zh-CN" w:bidi="ar"/>
              </w:rPr>
              <w:t>30mm 的 3 孔黑色塑料球 60 个；化学键：</w:t>
            </w:r>
            <w:r>
              <w:rPr>
                <w:rFonts w:hint="eastAsia" w:ascii="宋体" w:hAnsi="宋体" w:eastAsia="宋体" w:cs="宋体"/>
                <w:i/>
                <w:iCs/>
                <w:color w:val="auto"/>
                <w:kern w:val="0"/>
                <w:sz w:val="21"/>
                <w:szCs w:val="21"/>
                <w:highlight w:val="none"/>
                <w:u w:val="none"/>
                <w:lang w:val="en-US" w:eastAsia="zh-CN" w:bidi="ar"/>
              </w:rPr>
              <w:t xml:space="preserve">Φ </w:t>
            </w:r>
            <w:r>
              <w:rPr>
                <w:rFonts w:hint="eastAsia" w:ascii="宋体" w:hAnsi="宋体" w:eastAsia="宋体" w:cs="宋体"/>
                <w:i w:val="0"/>
                <w:iCs w:val="0"/>
                <w:color w:val="auto"/>
                <w:kern w:val="0"/>
                <w:sz w:val="21"/>
                <w:szCs w:val="21"/>
                <w:highlight w:val="none"/>
                <w:u w:val="none"/>
                <w:lang w:val="en-US" w:eastAsia="zh-CN" w:bidi="ar"/>
              </w:rPr>
              <w:t>6mm×25mm 的镀镍金属杆 90 根</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812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CF1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2FA85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2D8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E02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碘升华凝华管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3957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iCs/>
                <w:color w:val="auto"/>
                <w:kern w:val="0"/>
                <w:sz w:val="21"/>
                <w:szCs w:val="21"/>
                <w:highlight w:val="none"/>
                <w:u w:val="none"/>
                <w:lang w:val="en-US" w:eastAsia="zh-CN" w:bidi="ar"/>
              </w:rPr>
              <w:t xml:space="preserve">Φ </w:t>
            </w:r>
            <w:r>
              <w:rPr>
                <w:rFonts w:hint="eastAsia" w:ascii="宋体" w:hAnsi="宋体" w:eastAsia="宋体" w:cs="宋体"/>
                <w:i w:val="0"/>
                <w:iCs w:val="0"/>
                <w:color w:val="auto"/>
                <w:kern w:val="0"/>
                <w:sz w:val="21"/>
                <w:szCs w:val="21"/>
                <w:highlight w:val="none"/>
                <w:u w:val="none"/>
                <w:lang w:val="en-US" w:eastAsia="zh-CN" w:bidi="ar"/>
              </w:rPr>
              <w:t>34 mm×28 mm，应采用无色透明硼硅酸盐玻璃制造，手柄与主管应连接平滑牢固，不应偏歪；主管应加碘后密封，两端面呈球面凹形，手柄靠近主管处应密封；玻璃仪器均匀透明无气泡，耐用，不易碎，采用酒精灯加热不易变形</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753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018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7ACEE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EB6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0EF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分子结构模型</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ACBC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球棍式或比例式；Φ 40 mm 塑料球：碳原子（黑色）4 个，氧原子（红色）13 个，氮原子（深蓝色）2 个，硫原子（黄色）2 个；Φ 30 mm 塑料球：氢原子（白色）12 个能够完成水、氢气、氧气、二氧化碳等分子模型的搭建</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E51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DDF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53C97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6C4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D65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氯化钠晶体结构模型</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444C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球棍式，氯原子 </w:t>
            </w:r>
            <w:r>
              <w:rPr>
                <w:rFonts w:hint="eastAsia" w:ascii="宋体" w:hAnsi="宋体" w:eastAsia="宋体" w:cs="宋体"/>
                <w:i/>
                <w:iCs/>
                <w:color w:val="auto"/>
                <w:kern w:val="0"/>
                <w:sz w:val="21"/>
                <w:szCs w:val="21"/>
                <w:highlight w:val="none"/>
                <w:u w:val="none"/>
                <w:lang w:val="en-US" w:eastAsia="zh-CN" w:bidi="ar"/>
              </w:rPr>
              <w:t xml:space="preserve">Φ </w:t>
            </w:r>
            <w:r>
              <w:rPr>
                <w:rFonts w:hint="eastAsia" w:ascii="宋体" w:hAnsi="宋体" w:eastAsia="宋体" w:cs="宋体"/>
                <w:i w:val="0"/>
                <w:iCs w:val="0"/>
                <w:color w:val="auto"/>
                <w:kern w:val="0"/>
                <w:sz w:val="21"/>
                <w:szCs w:val="21"/>
                <w:highlight w:val="none"/>
                <w:u w:val="none"/>
                <w:lang w:val="en-US" w:eastAsia="zh-CN" w:bidi="ar"/>
              </w:rPr>
              <w:t xml:space="preserve">30 mm 的 6 孔绿色塑料球 13个；钠原子 </w:t>
            </w:r>
            <w:r>
              <w:rPr>
                <w:rFonts w:hint="eastAsia" w:ascii="宋体" w:hAnsi="宋体" w:eastAsia="宋体" w:cs="宋体"/>
                <w:i/>
                <w:iCs/>
                <w:color w:val="auto"/>
                <w:kern w:val="0"/>
                <w:sz w:val="21"/>
                <w:szCs w:val="21"/>
                <w:highlight w:val="none"/>
                <w:u w:val="none"/>
                <w:lang w:val="en-US" w:eastAsia="zh-CN" w:bidi="ar"/>
              </w:rPr>
              <w:t xml:space="preserve">Φ </w:t>
            </w:r>
            <w:r>
              <w:rPr>
                <w:rFonts w:hint="eastAsia" w:ascii="宋体" w:hAnsi="宋体" w:eastAsia="宋体" w:cs="宋体"/>
                <w:i w:val="0"/>
                <w:iCs w:val="0"/>
                <w:color w:val="auto"/>
                <w:kern w:val="0"/>
                <w:sz w:val="21"/>
                <w:szCs w:val="21"/>
                <w:highlight w:val="none"/>
                <w:u w:val="none"/>
                <w:lang w:val="en-US" w:eastAsia="zh-CN" w:bidi="ar"/>
              </w:rPr>
              <w:t>30 mm 的 6 孔银灰色塑料球 14 个；化学键：</w:t>
            </w:r>
            <w:r>
              <w:rPr>
                <w:rFonts w:hint="eastAsia" w:ascii="宋体" w:hAnsi="宋体" w:eastAsia="宋体" w:cs="宋体"/>
                <w:i/>
                <w:iCs/>
                <w:color w:val="auto"/>
                <w:kern w:val="0"/>
                <w:sz w:val="21"/>
                <w:szCs w:val="21"/>
                <w:highlight w:val="none"/>
                <w:u w:val="none"/>
                <w:lang w:val="en-US" w:eastAsia="zh-CN" w:bidi="ar"/>
              </w:rPr>
              <w:t xml:space="preserve">Φ </w:t>
            </w:r>
            <w:r>
              <w:rPr>
                <w:rFonts w:hint="eastAsia" w:ascii="宋体" w:hAnsi="宋体" w:eastAsia="宋体" w:cs="宋体"/>
                <w:i w:val="0"/>
                <w:iCs w:val="0"/>
                <w:color w:val="auto"/>
                <w:kern w:val="0"/>
                <w:sz w:val="21"/>
                <w:szCs w:val="21"/>
                <w:highlight w:val="none"/>
                <w:u w:val="none"/>
                <w:lang w:val="en-US" w:eastAsia="zh-CN" w:bidi="ar"/>
              </w:rPr>
              <w:t>3 mm×60 mm 的镀镍金属杆 54 根</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9C9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4FD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33679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464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E3E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元素周期挂图</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36AB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带轴，≥150 cm×110 cm，字迹信息清晰，易于观看</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386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25A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690FD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4C9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06D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原油常见馏分标本</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C901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不少于 8 种，耐用，易于储存，便于观察，密封完好，固定牢固</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F28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盒</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71A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54D90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C74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950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炼铁高炉模型</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90B5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模型高度≥650 mm。主要结构应用标签注明，标注应准确、清晰、牢固。各部件位置正确、连接牢固，不得因正常震动、碰触而开裂、松脱</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159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0D0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761C5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D0C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79D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合成有机高分子材料标本</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54CE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不少于 10 种，材料新颖，标识清楚，固定结实，不易脱落</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8F9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盒</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3FF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44277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310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5E9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新型无机非金属材料标本</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F253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标本盒体积180 mm×150 mm×50 mm，包括氧化铝陶瓷、氮化硅陶瓷、光导纤维等，材料新颖，标识清楚，固定结实，不易脱落。陶瓷和玻璃切割整齐，美观</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F09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盒</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2C1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2ABF0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6B03E">
            <w:pPr>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高中化学仪器</w:t>
            </w:r>
          </w:p>
        </w:tc>
      </w:tr>
      <w:tr w14:paraId="3B0A4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A43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C50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塑料洗瓶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A0FB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070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EFD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101E3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547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E04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试剂瓶托盘</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4492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塑料材质，内沿≥400mm×270mm×73mm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42F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A74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r>
      <w:tr w14:paraId="4693A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301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7D3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实验用品提篮</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7E01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可固定试管、试剂瓶等仪器，底部有抽屉</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B80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797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r>
      <w:tr w14:paraId="75271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415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82F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塑料水槽</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BBE8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250mm×180mm×100mm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671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6C5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71ACC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EA9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709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碘升华凝华管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5B86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密封式</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EC1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2EF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3CE44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2E1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CDE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聚光小手电筒</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C955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符合国家教学仪器行业标准</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0D7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A71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5D8DB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C8E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BBA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方座支架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91CC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 由矩形底座、立杆、烧瓶夹、大小铁环、垂直夹等组成。2． 方座支架的底座尺寸为210×135mm，立杆直径为Φ10mm，一端有M8×10mm螺纹，底座和立杆表面应作防锈处理。3． 底座放置平稳，无明显晃动现象，支承夹持可靠。4． 立杆与方座组装后应垂直。</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640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803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3683D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E2D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E1E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万能夹</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B9E9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 产品由夹杆、夹头组成。夹头分三爪，铝合金压铸成夹叉形，夹口为张紧螺丝张口，双向紧固，每一夹叉上均粘接软木底垫。</w:t>
            </w:r>
          </w:p>
          <w:p w14:paraId="5D7BB10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 夹杆直径为φ8mm，长150mm，表面镀铬。</w:t>
            </w:r>
          </w:p>
          <w:p w14:paraId="50D9FA9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 夹持范围为φ5～70mm。</w:t>
            </w:r>
          </w:p>
          <w:p w14:paraId="651EE95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 夹持质量不小于1.5Kg。</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70C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D0A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3A8EA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14D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C4D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三脚架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B0A8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固定脚</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317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EBF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049E7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69D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EEA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泥三角</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1E58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金属丝外套石棉筒，等边三角形的单边长不小于80㎜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B3B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58C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009D5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DCC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ABE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试管架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887B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8孔8柱塑料</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AE3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B00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569A4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543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3C2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漏斗架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3581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木制</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CFB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256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122F9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5ED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0D0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滴定台</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9392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与滴定夹配用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0D8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7E1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551B9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811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F43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滴定夹</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26BD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与滴定管配用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172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0D9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3B734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669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B05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多用滴管架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DC2D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塑料制成，两层</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ABC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137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36D14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492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486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高中学生电源</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22A8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交流：2V～16V/3A，每2V一档    直流稳压：2V～16V/2A，每2V一档</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A4D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0FE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42FD1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F28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06A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高中教学电源</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72BC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交流：2V～24V，每2V一档，2V～6V/12A，8V～12V/6A，14V～24V/3A；                  直流稳压：1V～25V分档连续可调，2V～6V/6A，8V～12V/4A，14V～24V/2A；            40A、8s自动关断</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4A2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D7C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7D9CC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C62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78F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托盘天平</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1E43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100g，0.1g</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56D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648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25C30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6AC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1E9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托盘天平</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0CD3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500g，0.5g</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C4B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6BA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28D42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566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C7F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电子天平</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CAF0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100g，0.1g</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F7A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66E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36655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508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BD0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电子停表</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BB49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0.1s</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EA7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6F3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0C2DD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707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714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温度计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0569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红液，0℃～100℃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716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143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21F73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007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DFC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温度计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E2C0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水银，0℃～360℃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AC8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C3D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79A88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96B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B6C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数字测温计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45AB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-30℃～+200℃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080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A50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194DC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7F4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B12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多用电表</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A93A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指针式，不低于2.5级</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5EA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F7A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0AF71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247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141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演示电流电压表</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5B62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2.5级</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23C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ABD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406BC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68F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8D7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密度计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8B84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密度＞1 g/cm</w:t>
            </w:r>
            <w:r>
              <w:rPr>
                <w:rFonts w:hint="eastAsia" w:ascii="宋体" w:hAnsi="宋体" w:eastAsia="宋体" w:cs="宋体"/>
                <w:i w:val="0"/>
                <w:iCs w:val="0"/>
                <w:color w:val="auto"/>
                <w:kern w:val="0"/>
                <w:sz w:val="21"/>
                <w:szCs w:val="21"/>
                <w:highlight w:val="none"/>
                <w:u w:val="none"/>
                <w:vertAlign w:val="superscript"/>
                <w:lang w:val="en-US" w:eastAsia="zh-CN" w:bidi="ar"/>
              </w:rPr>
              <w:t>3</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CE7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C56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76A5B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527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A17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密度计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D1FF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密度＜1 g/cm</w:t>
            </w:r>
            <w:r>
              <w:rPr>
                <w:rFonts w:hint="eastAsia" w:ascii="宋体" w:hAnsi="宋体" w:eastAsia="宋体" w:cs="宋体"/>
                <w:i w:val="0"/>
                <w:iCs w:val="0"/>
                <w:color w:val="auto"/>
                <w:kern w:val="0"/>
                <w:sz w:val="21"/>
                <w:szCs w:val="21"/>
                <w:highlight w:val="none"/>
                <w:u w:val="none"/>
                <w:vertAlign w:val="superscript"/>
                <w:lang w:val="en-US" w:eastAsia="zh-CN" w:bidi="ar"/>
              </w:rPr>
              <w:t>3</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7DF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D99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12436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FAC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F6C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酸度计(pH计)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1789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测量范围：pH 0～14，分辨率：0.1</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903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682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0D6F2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6D8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4FD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分子结构模型</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DE89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演示用，氢原子球直径不小于23mm，其他原子球直径不小于30mm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C32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EA2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14:paraId="6FDBD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C43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AB2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分子结构模型</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4934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分组用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290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A05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3D22F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6FE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227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气体摩尔体积模型</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C772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国家标准</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CD3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CA5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32ED9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EE6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AC3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金属矿物、金属及合金标本</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AD62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各类不少于5种</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670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盒</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0BD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7D2E7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DAC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694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原油常见馏分标本</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2A09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不少于8种</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838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盒</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180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38E5B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195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9BB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合成有机高分子材料标本</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673C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不少于10种</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31F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盒</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6A5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3282A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25D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0C1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新型无机非金属材料标本</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55A2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氧化铝陶瓷、氮化硅陶瓷、光导纤维等</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B29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盒</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A3C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05A8A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6C2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477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量筒</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31BB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E4B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762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005E6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B83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CE4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量筒</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CD53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6CA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B21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2D5D8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6D8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A82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量筒</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7A3B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826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807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22966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CC6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18C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量筒</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5163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725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0EC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5A033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356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90E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量筒</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4896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494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B3D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087A7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4E7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DA1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量筒</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4B20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1F7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0D3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13EC3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32E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893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量杯</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9DC4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764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250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20349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9F9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B38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容量瓶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0AEF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EE0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881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0FE21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3CC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675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容量瓶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05B8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D3C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594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4AB4A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C1F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F2A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容量瓶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A3F6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555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F5E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14:paraId="28C1C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90C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845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容量瓶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F88F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D10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5DA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r>
      <w:tr w14:paraId="011EA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664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E9A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容量瓶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B03F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4C9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4DC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0210E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DEC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1C6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滴定管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C91D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酸式，25mL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5FB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02B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3D632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144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476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滴定管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6084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碱式，25mL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68C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C53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7BDF2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32E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89C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试管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7B63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φ12mm×70mm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80B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278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w:t>
            </w:r>
          </w:p>
        </w:tc>
      </w:tr>
      <w:tr w14:paraId="78A84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90F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9AA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试管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3AE6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φ15mm×150mm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F12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9E4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w:t>
            </w:r>
          </w:p>
        </w:tc>
      </w:tr>
      <w:tr w14:paraId="7C4B4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8E8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04D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试管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611C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φ18mm×180mm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C33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A87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w:t>
            </w:r>
          </w:p>
        </w:tc>
      </w:tr>
      <w:tr w14:paraId="45CD7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394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B60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试管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2232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φ20mm×200mm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CAD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09F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w:t>
            </w:r>
          </w:p>
        </w:tc>
      </w:tr>
      <w:tr w14:paraId="4BAE2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AA0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C8A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试管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47E1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φ32mm×200mm，硬质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99B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B74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r>
      <w:tr w14:paraId="3B262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E44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5C1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试管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54E5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φ40mm×200mm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D71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83B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r>
      <w:tr w14:paraId="6622D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73D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857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具支试管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533A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φ18mm×180mm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ACD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CDB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14:paraId="2A490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A3F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A99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具支试管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01B4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φ20mm×200mm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D21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8F6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14:paraId="1E787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798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AED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硬质玻璃管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DB48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φ15mm×150mm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9BB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A30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r>
      <w:tr w14:paraId="58260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8A8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9AC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硬质玻璃管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43AC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φ20mm×250mm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64F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7B3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14:paraId="571AA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A76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AEF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燃烧管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D0E0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φ25mm×300mm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B32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01A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6E104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EA9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D7F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Y形试管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4ECD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φ20mm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2E1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B9B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14:paraId="27D49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F46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679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烧杯</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E3FE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6B2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84B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45AD8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A5B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ED8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烧杯</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D428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1C0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10A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459EC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676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CEF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烧杯</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DD5A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C1C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A18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14:paraId="21C75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40C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42B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烧杯</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7907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B60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DCD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5529D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47C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606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烧杯</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DA24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C63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946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14:paraId="491B9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6B1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D8F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烧杯</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CA16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D08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CBE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14:paraId="07CA7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217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58B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烧杯</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8225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9C0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E6E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14:paraId="3EC28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27F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3B5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烧杯</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B7D5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E69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3C5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14:paraId="266B5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416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07F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烧瓶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9795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圆底，长颈，250mL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EE6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C1B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6C537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210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2BE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烧瓶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82A0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圆底，长颈，500mL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99A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732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4AB5E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AE6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297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烧瓶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0FB6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平底，长颈，250mL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A21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7C5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1EFBF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A70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C31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锥形瓶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EDFE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B9B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183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66FD4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FC4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C14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锥形瓶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2701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D62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A99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r>
      <w:tr w14:paraId="4CC63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72D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DF6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蒸馏烧瓶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00B2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287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B2C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2BF69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08C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94D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酒精灯</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3CAC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150mL，单头</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DC6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DC2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00FA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08A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A9D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酒精灯</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6DD5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250mL，单头</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B97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4F8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30567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566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C04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酒精灯</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2002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250mL，双头</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B84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0E1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53239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D8A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1AA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干燥塔</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DF5B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1B4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202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18B48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B83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AFA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气体洗瓶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1244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0F2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720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52B76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3BC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423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抽滤瓶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9AF7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514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2A3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54F7A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9C5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C9A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抽气管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BFA0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国家标准</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093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FB0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7FD50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DF8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F98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干燥器</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BB5F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408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3C0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14:paraId="5AF50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C38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6A5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气体发生器</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C18E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0D2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19B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14:paraId="7F613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0F5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AB3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冷凝器</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421C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直形，300mm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642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4FD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73CD9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C4D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F83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冷凝器</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19EB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球形，300mm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058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8BA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68156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42A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216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牛角管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D764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弯形，φ18mm×150mm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160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37F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213B7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C52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87C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漏斗</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5542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74E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E79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05391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944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5DC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漏斗</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8892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02D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338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r w14:paraId="625C2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B26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81E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安全漏斗</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3DC5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直形</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B0C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3EF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3A557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029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3B5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安全漏斗</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7DD6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双球</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14A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F5D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0D0B1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CE0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71C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分液漏斗</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5C75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锥(梨)形，100mL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423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50F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56FBF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D2B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E50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分液漏斗</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A4A3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球形，50mL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8FF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28E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152A9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BFE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A5E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布氏漏斗</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B6F2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瓷，80mm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6F7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3A5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001C8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2CB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0CF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T形管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1C8E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φ7mm～8mm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12D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73B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44F81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9DD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CFD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Y形管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FDD2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φ7mm～8mm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968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ECF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54F30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06F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4F5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T形管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C036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3A1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7F7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13C74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474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EE2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Y形管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35A7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φ7-φ8mm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658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F24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01625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9F1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C74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离心管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2FB8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AA5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434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14:paraId="370F8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6E7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871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干燥管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6035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单球，150mm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186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D42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6B559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346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38F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干燥管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F722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U型，φ15mm×150mm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45B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CFD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6787A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487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8C4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干燥管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AA1B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U型，φ20mm×200mm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C36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50E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14:paraId="5D079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BF1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8E4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干燥管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DEAB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U型，具支，φ15mm×150mm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225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504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14:paraId="64B8A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E46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FFA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活塞</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3B70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直形</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4B8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36E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6047E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84B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368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活塞</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9EC0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T形</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280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C72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692E5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A9D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766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圆水槽</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C9BB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φ200mm×100mm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35C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5B9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r>
      <w:tr w14:paraId="635EA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7C8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24D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圆水槽</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E61E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φ270mm×140mm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76A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FE9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14:paraId="11807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908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A7C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玻璃钟罩</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2DE4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φ150mm×280mm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96B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67D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671FE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696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218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钴玻璃片</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0DFB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应符合JY/T 0432-2011、JY/T 0423-2011《教学用玻璃仪器一般质量要求和试验方法》的规定。</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A00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127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58164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1BA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3CE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集气瓶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F5E7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125mL，附毛玻璃片</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7DE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B9F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w:t>
            </w:r>
          </w:p>
        </w:tc>
      </w:tr>
      <w:tr w14:paraId="71123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CC1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A7E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集气瓶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6A4D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250mL，附毛玻璃片</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8AA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3A8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14:paraId="29428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3E6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802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集气瓶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5023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500mL，附毛玻璃片</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6F1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AE8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34A17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830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DDC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液封除毒气集气瓶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EF36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B48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70B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76689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225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455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16D5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1E3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8AF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w:t>
            </w:r>
          </w:p>
        </w:tc>
      </w:tr>
      <w:tr w14:paraId="3DAF7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A68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67F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4ACB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707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A9C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r>
      <w:tr w14:paraId="08F46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8CE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B31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1075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148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A02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2D96C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F78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3D2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37CA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EB6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480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14:paraId="1A7D4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344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8E1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01B6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棕色，60mL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F53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A79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14:paraId="3D816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5C2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194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0DF5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棕色，125mL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41B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64D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14:paraId="7E8CD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9EF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B57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3DDE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棕色，250mL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B99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027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14:paraId="6E059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9D7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28F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F10C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730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FD1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r>
      <w:tr w14:paraId="51F4D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9A9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957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8717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0D1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49D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w:t>
            </w:r>
          </w:p>
        </w:tc>
      </w:tr>
      <w:tr w14:paraId="526A4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259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7A6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FDFE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1E7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FC9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r>
      <w:tr w14:paraId="2262A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4F1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3CC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3A20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DEC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E03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r>
      <w:tr w14:paraId="688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E79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F6D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2F55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789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031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r>
      <w:tr w14:paraId="647AD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D93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341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7E14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3DE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B99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14:paraId="1D483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4BD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F3A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3D7F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棕色，60mL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29F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848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14:paraId="0AE09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8AF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0F1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F3FD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棕色，125mL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B9B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288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14:paraId="142B9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9C7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49E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A101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棕色，250mL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E8A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761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78609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382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246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3396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棕色，500mL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E1C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A6C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438A3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286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8EB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EB8C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棕色，1000mL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09D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DB9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0E02F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2F5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C8D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DD20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棕色，3000mL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4DA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549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78FD3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CA9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999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下口瓶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70F1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999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8EF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44AB5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C2C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F2F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滴瓶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1B3A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2A2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685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14:paraId="0EE65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4F7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062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滴瓶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764C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151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53E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w:t>
            </w:r>
          </w:p>
        </w:tc>
      </w:tr>
      <w:tr w14:paraId="4A76A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DD8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CA5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滴瓶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AD7E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棕色，30mL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62E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965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14475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241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40B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滴瓶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E5C1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棕色，60mL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A42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991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r>
      <w:tr w14:paraId="0039B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6DD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8B6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坩埚</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3234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瓷，30mL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9BB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AB0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5DB46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4E4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578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坩埚钳</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65B8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AA9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B77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7CEBC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7F0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272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烧杯夹</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4BEA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钢制或不锈钢制，夹持部位应有橡胶保护套，避免与玻璃烧杯直接接触</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F95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528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14:paraId="207CC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806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E45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镊子</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C8F3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不锈钢制，平头，长125mm，钢板厚1.2mm，前部应有防滑脱锯齿</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2B1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DC7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58321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27D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14D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试管夹</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A823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木制或者竹制，长度≥200mm，宽度约20mm，厚度约20mm。试管夹闭口缝≤1mm，开口距离≥25mm。毡块粘接牢固，试管夹弹簧作防锈处理。试管夹持部位圆弧内径≤15mm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D0C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035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3594D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E00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2CE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水止皮管夹</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87AA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Φ3mm钢丝制成，作防锈处理，夹持角度≥60º，弹性好，不漏液</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0D1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93D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59D0C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154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F55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螺旋皮管夹</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83AF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由支架管和带压板的螺杆等组成。外形尺寸约为33mm×20mm×8mm，旋转方便，不易变形，压板厚度≥1mm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A85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297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1BD25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F88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77B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石棉网</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B83B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金属网尺寸≥125mm×125mm，0.8mm钢丝制成，石棉材料不易脱落，石棉网边缘钢丝应作简单处理</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661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B31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75C58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1CF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14A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二连球</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2BCE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国家标准</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95F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92C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1AAE7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940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6D2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燃烧匙</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FA53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铜勺，勺Φ18mm，深10mm，铁柄，柄长300mm，长柄和铜勺连接稳定结实</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E80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31A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55A71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A14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7EA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药匙</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1E61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长度≥13cm，带小勺，材质可选金属、牛角、塑料</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0FA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2C2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14:paraId="400E2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6F4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AA0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玻璃管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3032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φ5mm～φ6mm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E70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千克</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A4E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r w14:paraId="3D23F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AD5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094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玻璃管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A926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φ7mm～φ8mm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FC1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千克</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D99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3C3AF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612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9FF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玻璃棒</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845E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φ3mm～φ4mm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7C4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千克</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327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14:paraId="13ADE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ECA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67C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玻璃棒</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FFEB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φ5mm～φ6mm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FAE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千克</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381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14:paraId="5DBC0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AB0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28B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软胶塞</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D2C0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0号～10号</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100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千克</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F47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14:paraId="21260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E76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26F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橡胶管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1A8C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外径9mm，内径6mm，乳白色，具有耐油、耐酸碱、耐压等特性</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115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千克</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FFA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14:paraId="5F935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285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A9D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乳胶管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4D41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外径9mm、内径6mm，拉伸强度≥21MPa扯断伸长率≥700％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86F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170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r>
      <w:tr w14:paraId="0000C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58A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CAB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试管刷</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C3CE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Φ12mm手持部分顶端应为环状，顶部要有刷丝，铁丝不可外露</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48B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E2F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51C8E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7F9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95B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烧瓶刷</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A2E5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250mL烧瓶用手持部分顶端应为环状，顶部要有刷丝，铁丝不可外露</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1F5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247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4542E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FE8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7E0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滴定管刷</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DEE2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国家标准</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65A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4F5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r>
      <w:tr w14:paraId="772AC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90F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774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结晶皿</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97D1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8CC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B1F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1DD2D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416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205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表面皿</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4792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A1A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6D5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489A3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57D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E67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表面皿</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26D2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335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B5C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14:paraId="1F964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395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5EA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研钵</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17E4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瓷，60mm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ED2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7B5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39EE8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3F4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45B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研钵</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9DD3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瓷，90mm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C9E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F4D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5F2E2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F32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FFB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蒸发皿</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656C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瓷，60mm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80B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F2A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5D7BA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C5B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F06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蒸发皿</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91B2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瓷，100mm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17A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247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28092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947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E14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反应板</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12B1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至少6穴</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6C9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416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1704F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5ED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570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井穴板</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BC15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9孔，0.7mL×9</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7D9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E5E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48187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201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4C6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井穴板</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8CFF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6孔，5mL×6，附带双导气管的井穴塞</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9E1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F5D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r>
      <w:tr w14:paraId="1C709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896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C10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塑料多用滴管</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CE79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4mL</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99A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536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w:t>
            </w:r>
          </w:p>
        </w:tc>
      </w:tr>
      <w:tr w14:paraId="0B5B3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302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1E8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白金丝</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1647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φ0.5mm×50mm；具金属柄，可拆卸</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4B3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52F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220AD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AEE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BB6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pH广范围试纸</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78D0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1～14</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671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本</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4D1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14:paraId="66E2A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F10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C26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蓝石蕊试纸</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3B53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国家标准</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3AE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本</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7D1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r>
      <w:tr w14:paraId="2C6E8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0BB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F84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红石蕊试纸</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8524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国家标准</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2E7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本</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66B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r>
      <w:tr w14:paraId="5D233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6B6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37D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定性滤纸</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11E1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快速，9cm，100张</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32F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盒</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F13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r>
      <w:tr w14:paraId="1BA0A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FE1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176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025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滴数传感器</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C191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1.全窗口检测，检测面积：≥25*30mm，无盲区，计数能力20次/秒，分辨率≥2mm；</w:t>
            </w:r>
          </w:p>
          <w:p w14:paraId="7D6DFC4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2.内置2寸高清彩色液晶屏，能够离线显示实时传感器数据，能够实现人机交互；</w:t>
            </w:r>
          </w:p>
          <w:p w14:paraId="1C556BA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3.内置800mAh大容量可充电电池，通用TypeC标准充电数据接口；</w:t>
            </w:r>
          </w:p>
          <w:p w14:paraId="1011900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4.能够实现无线实验、usb线连实验三种连接方式；脱机实验为传感器经设置后可不连接软件或数据处理终端而进行实验数据采集；无线连接模式下，模块兼容蓝牙4.0、蓝牙5.0，空中速率≥2Mbps ；</w:t>
            </w:r>
          </w:p>
          <w:p w14:paraId="4A0040C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5.传感器具有数字标识码，能够使数据终端进行选择性连接；</w:t>
            </w:r>
          </w:p>
          <w:p w14:paraId="12DCC77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6.内置128Mbit数据存储芯片；</w:t>
            </w:r>
          </w:p>
          <w:p w14:paraId="7B5D59E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7.测量液滴计数，小颗粒物体计数（直径≥2mm）等；</w:t>
            </w:r>
          </w:p>
          <w:p w14:paraId="72C66E0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shd w:val="clear"/>
                <w:lang w:val="en-US" w:eastAsia="zh-CN" w:bidi="ar"/>
              </w:rPr>
            </w:pPr>
            <w:r>
              <w:rPr>
                <w:rFonts w:hint="eastAsia" w:ascii="宋体" w:hAnsi="宋体" w:cs="宋体"/>
                <w:i w:val="0"/>
                <w:iCs w:val="0"/>
                <w:color w:val="auto"/>
                <w:kern w:val="0"/>
                <w:sz w:val="21"/>
                <w:szCs w:val="21"/>
                <w:highlight w:val="none"/>
                <w:u w:val="none"/>
                <w:shd w:val="clear"/>
                <w:lang w:val="en-US" w:eastAsia="zh-CN" w:bidi="ar"/>
              </w:rPr>
              <w:t>★</w:t>
            </w:r>
            <w:r>
              <w:rPr>
                <w:rFonts w:hint="eastAsia" w:ascii="宋体" w:hAnsi="宋体" w:eastAsia="宋体" w:cs="宋体"/>
                <w:i w:val="0"/>
                <w:iCs w:val="0"/>
                <w:color w:val="auto"/>
                <w:kern w:val="0"/>
                <w:sz w:val="21"/>
                <w:szCs w:val="21"/>
                <w:highlight w:val="none"/>
                <w:u w:val="none"/>
                <w:shd w:val="clear"/>
                <w:lang w:val="en-US" w:eastAsia="zh-CN" w:bidi="ar"/>
              </w:rPr>
              <w:t>滴数传感器需满足以下1-6项的性能需求，需提供第三方检测机构出具的检验报告。</w:t>
            </w:r>
          </w:p>
          <w:p w14:paraId="36359A9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shd w:val="clear"/>
                <w:lang w:val="en-US" w:eastAsia="zh-CN" w:bidi="ar"/>
              </w:rPr>
              <w:t>1.支持无线蓝牙连接、USB连接两种方式进行</w:t>
            </w:r>
            <w:r>
              <w:rPr>
                <w:rFonts w:hint="eastAsia" w:ascii="宋体" w:hAnsi="宋体" w:eastAsia="宋体" w:cs="宋体"/>
                <w:i w:val="0"/>
                <w:iCs w:val="0"/>
                <w:color w:val="auto"/>
                <w:kern w:val="0"/>
                <w:sz w:val="21"/>
                <w:szCs w:val="21"/>
                <w:highlight w:val="none"/>
                <w:u w:val="none"/>
                <w:lang w:val="en-US" w:eastAsia="zh-CN" w:bidi="ar"/>
              </w:rPr>
              <w:t>数据采集；</w:t>
            </w:r>
          </w:p>
          <w:p w14:paraId="467643F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2.传感器具有数字标识码，便于数据终端选择性连接；</w:t>
            </w:r>
          </w:p>
          <w:p w14:paraId="3AA1133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3.传感器使用时，无需数据采集器；</w:t>
            </w:r>
          </w:p>
          <w:p w14:paraId="30E10B9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4.内置2寸高清彩色液晶屏，能够离线显示实时传感器数据；</w:t>
            </w:r>
          </w:p>
          <w:p w14:paraId="16B1BD7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5.量程：计数速度0至20次/秒，分辨率：2mm ；</w:t>
            </w:r>
          </w:p>
          <w:p w14:paraId="69A836E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6.内置无线充电模块，支持无线快充功能。</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ABA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22A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r>
      <w:tr w14:paraId="2DA82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F1A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177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F04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温度传感器</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61CBA">
            <w:pPr>
              <w:keepNext w:val="0"/>
              <w:keepLines w:val="0"/>
              <w:widowControl/>
              <w:suppressLineNumbers w:val="0"/>
              <w:jc w:val="left"/>
              <w:textAlignment w:val="center"/>
              <w:rPr>
                <w:rStyle w:val="300"/>
                <w:rFonts w:hint="eastAsia" w:ascii="宋体" w:hAnsi="宋体" w:eastAsia="宋体" w:cs="宋体"/>
                <w:color w:val="auto"/>
                <w:sz w:val="21"/>
                <w:szCs w:val="21"/>
                <w:highlight w:val="none"/>
                <w:lang w:val="en-US" w:eastAsia="zh-CN" w:bidi="ar"/>
              </w:rPr>
            </w:pPr>
            <w:r>
              <w:rPr>
                <w:rStyle w:val="295"/>
                <w:rFonts w:hint="eastAsia" w:ascii="宋体" w:hAnsi="宋体" w:eastAsia="宋体" w:cs="宋体"/>
                <w:color w:val="auto"/>
                <w:sz w:val="21"/>
                <w:szCs w:val="21"/>
                <w:highlight w:val="none"/>
                <w:lang w:val="en-US" w:eastAsia="zh-CN" w:bidi="ar"/>
              </w:rPr>
              <w:t>1.测量范围：-50</w:t>
            </w:r>
            <w:r>
              <w:rPr>
                <w:rStyle w:val="299"/>
                <w:rFonts w:hint="eastAsia" w:ascii="宋体" w:hAnsi="宋体" w:eastAsia="宋体" w:cs="宋体"/>
                <w:color w:val="auto"/>
                <w:sz w:val="21"/>
                <w:szCs w:val="21"/>
                <w:highlight w:val="none"/>
                <w:lang w:val="en-US" w:eastAsia="zh-CN" w:bidi="ar"/>
              </w:rPr>
              <w:t>º</w:t>
            </w:r>
            <w:r>
              <w:rPr>
                <w:rStyle w:val="300"/>
                <w:rFonts w:hint="eastAsia" w:ascii="宋体" w:hAnsi="宋体" w:eastAsia="宋体" w:cs="宋体"/>
                <w:color w:val="auto"/>
                <w:sz w:val="21"/>
                <w:szCs w:val="21"/>
                <w:highlight w:val="none"/>
                <w:lang w:val="en-US" w:eastAsia="zh-CN" w:bidi="ar"/>
              </w:rPr>
              <w:t>C - 200</w:t>
            </w:r>
            <w:r>
              <w:rPr>
                <w:rStyle w:val="299"/>
                <w:rFonts w:hint="eastAsia" w:ascii="宋体" w:hAnsi="宋体" w:eastAsia="宋体" w:cs="宋体"/>
                <w:color w:val="auto"/>
                <w:sz w:val="21"/>
                <w:szCs w:val="21"/>
                <w:highlight w:val="none"/>
                <w:lang w:val="en-US" w:eastAsia="zh-CN" w:bidi="ar"/>
              </w:rPr>
              <w:t>º</w:t>
            </w:r>
            <w:r>
              <w:rPr>
                <w:rStyle w:val="300"/>
                <w:rFonts w:hint="eastAsia" w:ascii="宋体" w:hAnsi="宋体" w:eastAsia="宋体" w:cs="宋体"/>
                <w:color w:val="auto"/>
                <w:sz w:val="21"/>
                <w:szCs w:val="21"/>
                <w:highlight w:val="none"/>
                <w:lang w:val="en-US" w:eastAsia="zh-CN" w:bidi="ar"/>
              </w:rPr>
              <w:t>C，分辨率：0.1</w:t>
            </w:r>
            <w:r>
              <w:rPr>
                <w:rStyle w:val="299"/>
                <w:rFonts w:hint="eastAsia" w:ascii="宋体" w:hAnsi="宋体" w:eastAsia="宋体" w:cs="宋体"/>
                <w:color w:val="auto"/>
                <w:sz w:val="21"/>
                <w:szCs w:val="21"/>
                <w:highlight w:val="none"/>
                <w:lang w:val="en-US" w:eastAsia="zh-CN" w:bidi="ar"/>
              </w:rPr>
              <w:t>º</w:t>
            </w:r>
            <w:r>
              <w:rPr>
                <w:rStyle w:val="300"/>
                <w:rFonts w:hint="eastAsia" w:ascii="宋体" w:hAnsi="宋体" w:eastAsia="宋体" w:cs="宋体"/>
                <w:color w:val="auto"/>
                <w:sz w:val="21"/>
                <w:szCs w:val="21"/>
                <w:highlight w:val="none"/>
                <w:lang w:val="en-US" w:eastAsia="zh-CN" w:bidi="ar"/>
              </w:rPr>
              <w:t>C，精度：±0.05</w:t>
            </w:r>
            <w:r>
              <w:rPr>
                <w:rStyle w:val="299"/>
                <w:rFonts w:hint="eastAsia" w:ascii="宋体" w:hAnsi="宋体" w:eastAsia="宋体" w:cs="宋体"/>
                <w:color w:val="auto"/>
                <w:sz w:val="21"/>
                <w:szCs w:val="21"/>
                <w:highlight w:val="none"/>
                <w:lang w:val="en-US" w:eastAsia="zh-CN" w:bidi="ar"/>
              </w:rPr>
              <w:t>º</w:t>
            </w:r>
            <w:r>
              <w:rPr>
                <w:rStyle w:val="300"/>
                <w:rFonts w:hint="eastAsia" w:ascii="宋体" w:hAnsi="宋体" w:eastAsia="宋体" w:cs="宋体"/>
                <w:color w:val="auto"/>
                <w:sz w:val="21"/>
                <w:szCs w:val="21"/>
                <w:highlight w:val="none"/>
                <w:lang w:val="en-US" w:eastAsia="zh-CN" w:bidi="ar"/>
              </w:rPr>
              <w:t>C；24Bit高精度高速采样；</w:t>
            </w:r>
          </w:p>
          <w:p w14:paraId="3D11B941">
            <w:pPr>
              <w:keepNext w:val="0"/>
              <w:keepLines w:val="0"/>
              <w:widowControl/>
              <w:suppressLineNumbers w:val="0"/>
              <w:jc w:val="left"/>
              <w:textAlignment w:val="center"/>
              <w:rPr>
                <w:rStyle w:val="300"/>
                <w:rFonts w:hint="eastAsia" w:ascii="宋体" w:hAnsi="宋体" w:eastAsia="宋体" w:cs="宋体"/>
                <w:color w:val="auto"/>
                <w:sz w:val="21"/>
                <w:szCs w:val="21"/>
                <w:highlight w:val="none"/>
                <w:lang w:val="en-US" w:eastAsia="zh-CN" w:bidi="ar"/>
              </w:rPr>
            </w:pPr>
            <w:r>
              <w:rPr>
                <w:rStyle w:val="300"/>
                <w:rFonts w:hint="eastAsia" w:ascii="宋体" w:hAnsi="宋体" w:eastAsia="宋体" w:cs="宋体"/>
                <w:color w:val="auto"/>
                <w:sz w:val="21"/>
                <w:szCs w:val="21"/>
                <w:highlight w:val="none"/>
                <w:lang w:val="en-US" w:eastAsia="zh-CN" w:bidi="ar"/>
              </w:rPr>
              <w:t>2.内置2寸高清彩色液晶屏，能够离线显示实时传感器数据，能够实现人机交互；</w:t>
            </w:r>
          </w:p>
          <w:p w14:paraId="7AB2E399">
            <w:pPr>
              <w:keepNext w:val="0"/>
              <w:keepLines w:val="0"/>
              <w:widowControl/>
              <w:suppressLineNumbers w:val="0"/>
              <w:jc w:val="left"/>
              <w:textAlignment w:val="center"/>
              <w:rPr>
                <w:rStyle w:val="300"/>
                <w:rFonts w:hint="eastAsia" w:ascii="宋体" w:hAnsi="宋体" w:eastAsia="宋体" w:cs="宋体"/>
                <w:color w:val="auto"/>
                <w:sz w:val="21"/>
                <w:szCs w:val="21"/>
                <w:highlight w:val="none"/>
                <w:lang w:val="en-US" w:eastAsia="zh-CN" w:bidi="ar"/>
              </w:rPr>
            </w:pPr>
            <w:r>
              <w:rPr>
                <w:rStyle w:val="300"/>
                <w:rFonts w:hint="eastAsia" w:ascii="宋体" w:hAnsi="宋体" w:eastAsia="宋体" w:cs="宋体"/>
                <w:color w:val="auto"/>
                <w:sz w:val="21"/>
                <w:szCs w:val="21"/>
                <w:highlight w:val="none"/>
                <w:lang w:val="en-US" w:eastAsia="zh-CN" w:bidi="ar"/>
              </w:rPr>
              <w:t>3.内置800mAh大容量可充电电池，通用TypeC标准充电数据接口；</w:t>
            </w:r>
          </w:p>
          <w:p w14:paraId="0CD2AF82">
            <w:pPr>
              <w:keepNext w:val="0"/>
              <w:keepLines w:val="0"/>
              <w:widowControl/>
              <w:suppressLineNumbers w:val="0"/>
              <w:jc w:val="left"/>
              <w:textAlignment w:val="center"/>
              <w:rPr>
                <w:rStyle w:val="300"/>
                <w:rFonts w:hint="eastAsia" w:ascii="宋体" w:hAnsi="宋体" w:eastAsia="宋体" w:cs="宋体"/>
                <w:color w:val="auto"/>
                <w:sz w:val="21"/>
                <w:szCs w:val="21"/>
                <w:highlight w:val="none"/>
                <w:lang w:val="en-US" w:eastAsia="zh-CN" w:bidi="ar"/>
              </w:rPr>
            </w:pPr>
            <w:r>
              <w:rPr>
                <w:rStyle w:val="300"/>
                <w:rFonts w:hint="eastAsia" w:ascii="宋体" w:hAnsi="宋体" w:eastAsia="宋体" w:cs="宋体"/>
                <w:color w:val="auto"/>
                <w:sz w:val="21"/>
                <w:szCs w:val="21"/>
                <w:highlight w:val="none"/>
                <w:lang w:val="en-US" w:eastAsia="zh-CN" w:bidi="ar"/>
              </w:rPr>
              <w:t>4.能够实现脱机实验和无线实验、usb线连实验三种连接方式；脱机实验为传感器经设置后可不连接软件或数据处理终端而进行实验数据采集；无线连接模式下，模块兼容蓝牙4.0、蓝牙5.0，空中速率≥2Mbps ；</w:t>
            </w:r>
          </w:p>
          <w:p w14:paraId="1133C0AD">
            <w:pPr>
              <w:keepNext w:val="0"/>
              <w:keepLines w:val="0"/>
              <w:widowControl/>
              <w:suppressLineNumbers w:val="0"/>
              <w:jc w:val="left"/>
              <w:textAlignment w:val="center"/>
              <w:rPr>
                <w:rStyle w:val="300"/>
                <w:rFonts w:hint="eastAsia" w:ascii="宋体" w:hAnsi="宋体" w:eastAsia="宋体" w:cs="宋体"/>
                <w:color w:val="auto"/>
                <w:sz w:val="21"/>
                <w:szCs w:val="21"/>
                <w:highlight w:val="none"/>
                <w:lang w:val="en-US" w:eastAsia="zh-CN" w:bidi="ar"/>
              </w:rPr>
            </w:pPr>
            <w:r>
              <w:rPr>
                <w:rStyle w:val="300"/>
                <w:rFonts w:hint="eastAsia" w:ascii="宋体" w:hAnsi="宋体" w:eastAsia="宋体" w:cs="宋体"/>
                <w:color w:val="auto"/>
                <w:sz w:val="21"/>
                <w:szCs w:val="21"/>
                <w:highlight w:val="none"/>
                <w:lang w:val="en-US" w:eastAsia="zh-CN" w:bidi="ar"/>
              </w:rPr>
              <w:t>5.传感器具有数字标识码，能够使数据终端进行选择性连接；</w:t>
            </w:r>
          </w:p>
          <w:p w14:paraId="0063F6CD">
            <w:pPr>
              <w:keepNext w:val="0"/>
              <w:keepLines w:val="0"/>
              <w:widowControl/>
              <w:suppressLineNumbers w:val="0"/>
              <w:jc w:val="left"/>
              <w:textAlignment w:val="center"/>
              <w:rPr>
                <w:rStyle w:val="300"/>
                <w:rFonts w:hint="eastAsia" w:ascii="宋体" w:hAnsi="宋体" w:eastAsia="宋体" w:cs="宋体"/>
                <w:color w:val="auto"/>
                <w:sz w:val="21"/>
                <w:szCs w:val="21"/>
                <w:highlight w:val="none"/>
                <w:lang w:val="en-US" w:eastAsia="zh-CN" w:bidi="ar"/>
              </w:rPr>
            </w:pPr>
            <w:r>
              <w:rPr>
                <w:rStyle w:val="300"/>
                <w:rFonts w:hint="eastAsia" w:ascii="宋体" w:hAnsi="宋体" w:eastAsia="宋体" w:cs="宋体"/>
                <w:color w:val="auto"/>
                <w:sz w:val="21"/>
                <w:szCs w:val="21"/>
                <w:highlight w:val="none"/>
                <w:lang w:val="en-US" w:eastAsia="zh-CN" w:bidi="ar"/>
              </w:rPr>
              <w:t>6.内置128Mbit数据存储芯片；</w:t>
            </w:r>
          </w:p>
          <w:p w14:paraId="55A94157">
            <w:pPr>
              <w:keepNext w:val="0"/>
              <w:keepLines w:val="0"/>
              <w:widowControl/>
              <w:suppressLineNumbers w:val="0"/>
              <w:jc w:val="left"/>
              <w:textAlignment w:val="center"/>
              <w:rPr>
                <w:rStyle w:val="300"/>
                <w:rFonts w:hint="eastAsia" w:ascii="宋体" w:hAnsi="宋体" w:eastAsia="宋体" w:cs="宋体"/>
                <w:color w:val="auto"/>
                <w:sz w:val="21"/>
                <w:szCs w:val="21"/>
                <w:highlight w:val="none"/>
                <w:shd w:val="clear"/>
                <w:lang w:val="en-US" w:eastAsia="zh-CN" w:bidi="ar"/>
              </w:rPr>
            </w:pPr>
            <w:r>
              <w:rPr>
                <w:rStyle w:val="300"/>
                <w:rFonts w:hint="eastAsia" w:ascii="宋体" w:hAnsi="宋体" w:cs="宋体"/>
                <w:color w:val="auto"/>
                <w:sz w:val="21"/>
                <w:szCs w:val="21"/>
                <w:highlight w:val="none"/>
                <w:shd w:val="clear"/>
                <w:lang w:val="en-US" w:eastAsia="zh-CN" w:bidi="ar"/>
              </w:rPr>
              <w:t>★</w:t>
            </w:r>
            <w:r>
              <w:rPr>
                <w:rStyle w:val="300"/>
                <w:rFonts w:hint="eastAsia" w:ascii="宋体" w:hAnsi="宋体" w:eastAsia="宋体" w:cs="宋体"/>
                <w:color w:val="auto"/>
                <w:sz w:val="21"/>
                <w:szCs w:val="21"/>
                <w:highlight w:val="none"/>
                <w:shd w:val="clear"/>
                <w:lang w:val="en-US" w:eastAsia="zh-CN" w:bidi="ar"/>
              </w:rPr>
              <w:t>温度传感器需满足以下1-6项性能需求，需提供第三方检测机构出具的检验报告。</w:t>
            </w:r>
          </w:p>
          <w:p w14:paraId="6FB48EA9">
            <w:pPr>
              <w:keepNext w:val="0"/>
              <w:keepLines w:val="0"/>
              <w:widowControl/>
              <w:suppressLineNumbers w:val="0"/>
              <w:jc w:val="left"/>
              <w:textAlignment w:val="center"/>
              <w:rPr>
                <w:rStyle w:val="300"/>
                <w:rFonts w:hint="eastAsia" w:ascii="宋体" w:hAnsi="宋体" w:eastAsia="宋体" w:cs="宋体"/>
                <w:color w:val="auto"/>
                <w:sz w:val="21"/>
                <w:szCs w:val="21"/>
                <w:highlight w:val="none"/>
                <w:lang w:val="en-US" w:eastAsia="zh-CN" w:bidi="ar"/>
              </w:rPr>
            </w:pPr>
            <w:r>
              <w:rPr>
                <w:rStyle w:val="300"/>
                <w:rFonts w:hint="eastAsia" w:ascii="宋体" w:hAnsi="宋体" w:eastAsia="宋体" w:cs="宋体"/>
                <w:color w:val="auto"/>
                <w:sz w:val="21"/>
                <w:szCs w:val="21"/>
                <w:highlight w:val="none"/>
                <w:lang w:val="en-US" w:eastAsia="zh-CN" w:bidi="ar"/>
              </w:rPr>
              <w:t>1.支持脱机、无线蓝牙连接、USB连接三种方式进行数据采集；</w:t>
            </w:r>
          </w:p>
          <w:p w14:paraId="4AA7CBAB">
            <w:pPr>
              <w:keepNext w:val="0"/>
              <w:keepLines w:val="0"/>
              <w:widowControl/>
              <w:suppressLineNumbers w:val="0"/>
              <w:jc w:val="left"/>
              <w:textAlignment w:val="center"/>
              <w:rPr>
                <w:rStyle w:val="300"/>
                <w:rFonts w:hint="eastAsia" w:ascii="宋体" w:hAnsi="宋体" w:eastAsia="宋体" w:cs="宋体"/>
                <w:color w:val="auto"/>
                <w:sz w:val="21"/>
                <w:szCs w:val="21"/>
                <w:highlight w:val="none"/>
                <w:lang w:val="en-US" w:eastAsia="zh-CN" w:bidi="ar"/>
              </w:rPr>
            </w:pPr>
            <w:r>
              <w:rPr>
                <w:rStyle w:val="300"/>
                <w:rFonts w:hint="eastAsia" w:ascii="宋体" w:hAnsi="宋体" w:eastAsia="宋体" w:cs="宋体"/>
                <w:color w:val="auto"/>
                <w:sz w:val="21"/>
                <w:szCs w:val="21"/>
                <w:highlight w:val="none"/>
                <w:lang w:val="en-US" w:eastAsia="zh-CN" w:bidi="ar"/>
              </w:rPr>
              <w:t>2.传感器具有数字标识码，便于数据终端选择性连接；</w:t>
            </w:r>
          </w:p>
          <w:p w14:paraId="570C93BB">
            <w:pPr>
              <w:keepNext w:val="0"/>
              <w:keepLines w:val="0"/>
              <w:widowControl/>
              <w:suppressLineNumbers w:val="0"/>
              <w:jc w:val="left"/>
              <w:textAlignment w:val="center"/>
              <w:rPr>
                <w:rStyle w:val="300"/>
                <w:rFonts w:hint="eastAsia" w:ascii="宋体" w:hAnsi="宋体" w:eastAsia="宋体" w:cs="宋体"/>
                <w:color w:val="auto"/>
                <w:sz w:val="21"/>
                <w:szCs w:val="21"/>
                <w:highlight w:val="none"/>
                <w:lang w:val="en-US" w:eastAsia="zh-CN" w:bidi="ar"/>
              </w:rPr>
            </w:pPr>
            <w:r>
              <w:rPr>
                <w:rStyle w:val="300"/>
                <w:rFonts w:hint="eastAsia" w:ascii="宋体" w:hAnsi="宋体" w:eastAsia="宋体" w:cs="宋体"/>
                <w:color w:val="auto"/>
                <w:sz w:val="21"/>
                <w:szCs w:val="21"/>
                <w:highlight w:val="none"/>
                <w:lang w:val="en-US" w:eastAsia="zh-CN" w:bidi="ar"/>
              </w:rPr>
              <w:t>3.传感器使用时，无需数据采集器；</w:t>
            </w:r>
          </w:p>
          <w:p w14:paraId="7C328969">
            <w:pPr>
              <w:keepNext w:val="0"/>
              <w:keepLines w:val="0"/>
              <w:widowControl/>
              <w:suppressLineNumbers w:val="0"/>
              <w:jc w:val="left"/>
              <w:textAlignment w:val="center"/>
              <w:rPr>
                <w:rStyle w:val="300"/>
                <w:rFonts w:hint="eastAsia" w:ascii="宋体" w:hAnsi="宋体" w:eastAsia="宋体" w:cs="宋体"/>
                <w:color w:val="auto"/>
                <w:sz w:val="21"/>
                <w:szCs w:val="21"/>
                <w:highlight w:val="none"/>
                <w:lang w:val="en-US" w:eastAsia="zh-CN" w:bidi="ar"/>
              </w:rPr>
            </w:pPr>
            <w:r>
              <w:rPr>
                <w:rStyle w:val="300"/>
                <w:rFonts w:hint="eastAsia" w:ascii="宋体" w:hAnsi="宋体" w:eastAsia="宋体" w:cs="宋体"/>
                <w:color w:val="auto"/>
                <w:sz w:val="21"/>
                <w:szCs w:val="21"/>
                <w:highlight w:val="none"/>
                <w:lang w:val="en-US" w:eastAsia="zh-CN" w:bidi="ar"/>
              </w:rPr>
              <w:t>4.内置2寸高清彩色液晶屏，能够离线显示实时传感器数据；</w:t>
            </w:r>
          </w:p>
          <w:p w14:paraId="06F3869C">
            <w:pPr>
              <w:keepNext w:val="0"/>
              <w:keepLines w:val="0"/>
              <w:widowControl/>
              <w:suppressLineNumbers w:val="0"/>
              <w:jc w:val="left"/>
              <w:textAlignment w:val="center"/>
              <w:rPr>
                <w:rStyle w:val="300"/>
                <w:rFonts w:hint="eastAsia" w:ascii="宋体" w:hAnsi="宋体" w:eastAsia="宋体" w:cs="宋体"/>
                <w:color w:val="auto"/>
                <w:sz w:val="21"/>
                <w:szCs w:val="21"/>
                <w:highlight w:val="none"/>
                <w:lang w:val="en-US" w:eastAsia="zh-CN" w:bidi="ar"/>
              </w:rPr>
            </w:pPr>
            <w:r>
              <w:rPr>
                <w:rStyle w:val="300"/>
                <w:rFonts w:hint="eastAsia" w:ascii="宋体" w:hAnsi="宋体" w:eastAsia="宋体" w:cs="宋体"/>
                <w:color w:val="auto"/>
                <w:sz w:val="21"/>
                <w:szCs w:val="21"/>
                <w:highlight w:val="none"/>
                <w:lang w:val="en-US" w:eastAsia="zh-CN" w:bidi="ar"/>
              </w:rPr>
              <w:t>5.量程：-50</w:t>
            </w:r>
            <w:r>
              <w:rPr>
                <w:rStyle w:val="299"/>
                <w:rFonts w:hint="eastAsia" w:ascii="宋体" w:hAnsi="宋体" w:eastAsia="宋体" w:cs="宋体"/>
                <w:color w:val="auto"/>
                <w:sz w:val="21"/>
                <w:szCs w:val="21"/>
                <w:highlight w:val="none"/>
                <w:lang w:val="en-US" w:eastAsia="zh-CN" w:bidi="ar"/>
              </w:rPr>
              <w:t>º</w:t>
            </w:r>
            <w:r>
              <w:rPr>
                <w:rStyle w:val="300"/>
                <w:rFonts w:hint="eastAsia" w:ascii="宋体" w:hAnsi="宋体" w:eastAsia="宋体" w:cs="宋体"/>
                <w:color w:val="auto"/>
                <w:sz w:val="21"/>
                <w:szCs w:val="21"/>
                <w:highlight w:val="none"/>
                <w:lang w:val="en-US" w:eastAsia="zh-CN" w:bidi="ar"/>
              </w:rPr>
              <w:t>C - 200</w:t>
            </w:r>
            <w:r>
              <w:rPr>
                <w:rStyle w:val="299"/>
                <w:rFonts w:hint="eastAsia" w:ascii="宋体" w:hAnsi="宋体" w:eastAsia="宋体" w:cs="宋体"/>
                <w:color w:val="auto"/>
                <w:sz w:val="21"/>
                <w:szCs w:val="21"/>
                <w:highlight w:val="none"/>
                <w:lang w:val="en-US" w:eastAsia="zh-CN" w:bidi="ar"/>
              </w:rPr>
              <w:t>º</w:t>
            </w:r>
            <w:r>
              <w:rPr>
                <w:rStyle w:val="300"/>
                <w:rFonts w:hint="eastAsia" w:ascii="宋体" w:hAnsi="宋体" w:eastAsia="宋体" w:cs="宋体"/>
                <w:color w:val="auto"/>
                <w:sz w:val="21"/>
                <w:szCs w:val="21"/>
                <w:highlight w:val="none"/>
                <w:lang w:val="en-US" w:eastAsia="zh-CN" w:bidi="ar"/>
              </w:rPr>
              <w:t>C，分辨率：0.1</w:t>
            </w:r>
            <w:r>
              <w:rPr>
                <w:rStyle w:val="299"/>
                <w:rFonts w:hint="eastAsia" w:ascii="宋体" w:hAnsi="宋体" w:eastAsia="宋体" w:cs="宋体"/>
                <w:color w:val="auto"/>
                <w:sz w:val="21"/>
                <w:szCs w:val="21"/>
                <w:highlight w:val="none"/>
                <w:lang w:val="en-US" w:eastAsia="zh-CN" w:bidi="ar"/>
              </w:rPr>
              <w:t>º</w:t>
            </w:r>
            <w:r>
              <w:rPr>
                <w:rStyle w:val="300"/>
                <w:rFonts w:hint="eastAsia" w:ascii="宋体" w:hAnsi="宋体" w:eastAsia="宋体" w:cs="宋体"/>
                <w:color w:val="auto"/>
                <w:sz w:val="21"/>
                <w:szCs w:val="21"/>
                <w:highlight w:val="none"/>
                <w:lang w:val="en-US" w:eastAsia="zh-CN" w:bidi="ar"/>
              </w:rPr>
              <w:t>C；</w:t>
            </w:r>
          </w:p>
          <w:p w14:paraId="05133DF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300"/>
                <w:rFonts w:hint="eastAsia" w:ascii="宋体" w:hAnsi="宋体" w:eastAsia="宋体" w:cs="宋体"/>
                <w:color w:val="auto"/>
                <w:sz w:val="21"/>
                <w:szCs w:val="21"/>
                <w:highlight w:val="none"/>
                <w:lang w:val="en-US" w:eastAsia="zh-CN" w:bidi="ar"/>
              </w:rPr>
              <w:t>6.内置无线充电模块，支持无线快充功能。</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BF8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850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r>
      <w:tr w14:paraId="0FB2C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6B3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178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750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pH传感器</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FA53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1.测量范围：0~14，分辨率：0.01；</w:t>
            </w:r>
          </w:p>
          <w:p w14:paraId="4DA5A0D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2.内置2寸高清彩色液晶屏，能够离线显示实时传感器数据，能够实现人机交互；</w:t>
            </w:r>
          </w:p>
          <w:p w14:paraId="6C1510F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3.内置800mAh大容量可充电电池，通用TypeC标准充电数据接口；</w:t>
            </w:r>
          </w:p>
          <w:p w14:paraId="4B37D89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4.能够实现脱机实验和无线实验、usb线连实验三种连接方式；脱机实验为传感器经设置后可不连接软件或数据处理终端而进行实验数据采集；无线连接模式下，模块兼容蓝牙4.0、蓝牙5.0，空中速率≥2Mbps ；</w:t>
            </w:r>
          </w:p>
          <w:p w14:paraId="7D47233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5.传感器具有数字标识码，能够使数据终端进行选择性连接；</w:t>
            </w:r>
          </w:p>
          <w:p w14:paraId="5378EDA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6.内置128Mbit数据存储芯片；</w:t>
            </w:r>
          </w:p>
          <w:p w14:paraId="4287EBE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7.含pH复合电极1个；</w:t>
            </w:r>
          </w:p>
          <w:p w14:paraId="05DB4A7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shd w:val="clear"/>
                <w:lang w:val="en-US" w:eastAsia="zh-CN" w:bidi="ar"/>
              </w:rPr>
            </w:pPr>
            <w:r>
              <w:rPr>
                <w:rFonts w:hint="eastAsia" w:ascii="宋体" w:hAnsi="宋体" w:cs="宋体"/>
                <w:i w:val="0"/>
                <w:iCs w:val="0"/>
                <w:color w:val="auto"/>
                <w:kern w:val="0"/>
                <w:sz w:val="21"/>
                <w:szCs w:val="21"/>
                <w:highlight w:val="none"/>
                <w:u w:val="none"/>
                <w:shd w:val="clear"/>
                <w:lang w:val="en-US" w:eastAsia="zh-CN" w:bidi="ar"/>
              </w:rPr>
              <w:t>★</w:t>
            </w:r>
            <w:r>
              <w:rPr>
                <w:rFonts w:hint="eastAsia" w:ascii="宋体" w:hAnsi="宋体" w:eastAsia="宋体" w:cs="宋体"/>
                <w:i w:val="0"/>
                <w:iCs w:val="0"/>
                <w:color w:val="auto"/>
                <w:kern w:val="0"/>
                <w:sz w:val="21"/>
                <w:szCs w:val="21"/>
                <w:highlight w:val="none"/>
                <w:u w:val="none"/>
                <w:shd w:val="clear"/>
                <w:lang w:val="en-US" w:eastAsia="zh-CN" w:bidi="ar"/>
              </w:rPr>
              <w:t>PH传感器满足以下1-6项性能需求，需提供第三方检测机构出具的检验报告。</w:t>
            </w:r>
          </w:p>
          <w:p w14:paraId="7F074DD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1.支持脱机、无线蓝牙连接、USB连接三种方式进行数据采集；</w:t>
            </w:r>
          </w:p>
          <w:p w14:paraId="18B7D8E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2.传感器具有数字标识码，便于数据终端选择性连接；</w:t>
            </w:r>
          </w:p>
          <w:p w14:paraId="171625A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3.传感器使用时，无需数据采集器。</w:t>
            </w:r>
          </w:p>
          <w:p w14:paraId="22126CF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4.内置2寸高清彩色液晶屏，能够离线显示实时传感器数据；</w:t>
            </w:r>
          </w:p>
          <w:p w14:paraId="2BA1BA5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5.量程：pH范围0～14，分辨率：0.01 pH；</w:t>
            </w:r>
          </w:p>
          <w:p w14:paraId="10F7BED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6.内置无线充电模块，支持无线快充功能。</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BD2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775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r>
      <w:tr w14:paraId="31E38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1F2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179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7DE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离子传感器</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0FB5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1.测量范围：-1000mV~+1000mV ，高阻抗输入，分辨率：0.1mV；</w:t>
            </w:r>
          </w:p>
          <w:p w14:paraId="28A63B4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2.内置2寸高清彩色液晶屏，能够离线显示实时传感器数据，能够实现人机交互；</w:t>
            </w:r>
          </w:p>
          <w:p w14:paraId="5EB1460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3.内置800mAh大容量可充电电池，通用TypeC标准充电数据接口；</w:t>
            </w:r>
          </w:p>
          <w:p w14:paraId="625ACE0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4.内置无线充电模块，实现无线快充；</w:t>
            </w:r>
          </w:p>
          <w:p w14:paraId="348A081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5.能够智能低功耗待机，能够实现待机休眠、智能关机；</w:t>
            </w:r>
          </w:p>
          <w:p w14:paraId="4C2EB35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6.传感器内置蓝牙无线模块；传感器与数据采集终端直接通过蓝牙无线连接，能够进行运动情况下的数据测量及各种实验环境中的数据采集；</w:t>
            </w:r>
          </w:p>
          <w:p w14:paraId="5D75A64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7.传感器使用时，无需数据采集器；</w:t>
            </w:r>
          </w:p>
          <w:p w14:paraId="78594AE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8.能够实现脱机实验和无线实验、usb线连实验三种连接方式；脱机实验为传感器经设置后可不连接软件或数据处理终端而进行实验数据采集；无线连接模式下，模块兼容蓝牙4.0、蓝牙5.0，空中速率≥2Mbps ；</w:t>
            </w:r>
          </w:p>
          <w:p w14:paraId="6EFE3B7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9.传感器具有数字标识码，能够使数据终端进行选择性连接；</w:t>
            </w:r>
          </w:p>
          <w:p w14:paraId="3F1B3BD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10.内置128Mbit数据存储芯片；</w:t>
            </w:r>
          </w:p>
          <w:p w14:paraId="58A8765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shd w:val="clear"/>
                <w:lang w:val="en-US" w:eastAsia="zh-CN" w:bidi="ar"/>
              </w:rPr>
            </w:pPr>
            <w:r>
              <w:rPr>
                <w:rFonts w:hint="eastAsia" w:ascii="宋体" w:hAnsi="宋体" w:cs="宋体"/>
                <w:i w:val="0"/>
                <w:iCs w:val="0"/>
                <w:color w:val="auto"/>
                <w:kern w:val="0"/>
                <w:sz w:val="21"/>
                <w:szCs w:val="21"/>
                <w:highlight w:val="none"/>
                <w:u w:val="none"/>
                <w:shd w:val="clear"/>
                <w:lang w:val="en-US" w:eastAsia="zh-CN" w:bidi="ar"/>
              </w:rPr>
              <w:t>★</w:t>
            </w:r>
            <w:r>
              <w:rPr>
                <w:rFonts w:hint="eastAsia" w:ascii="宋体" w:hAnsi="宋体" w:eastAsia="宋体" w:cs="宋体"/>
                <w:i w:val="0"/>
                <w:iCs w:val="0"/>
                <w:color w:val="auto"/>
                <w:kern w:val="0"/>
                <w:sz w:val="21"/>
                <w:szCs w:val="21"/>
                <w:highlight w:val="none"/>
                <w:u w:val="none"/>
                <w:shd w:val="clear"/>
                <w:lang w:val="en-US" w:eastAsia="zh-CN" w:bidi="ar"/>
              </w:rPr>
              <w:t>离子传感器需满足以下1-6项性能需求，需提供第三方检测机构出具的检验报告。</w:t>
            </w:r>
          </w:p>
          <w:p w14:paraId="3094520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1.支持脱机、无线蓝牙连接、USB连接三种方式进行数据采集；</w:t>
            </w:r>
          </w:p>
          <w:p w14:paraId="65087FD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2.传感器具有数字标识码，便于数据终端选择性连接；</w:t>
            </w:r>
          </w:p>
          <w:p w14:paraId="05D48DE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3.传感器使用时，无需数据采集器；</w:t>
            </w:r>
          </w:p>
          <w:p w14:paraId="7E96BDC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4.内置2寸高清彩色液晶屏，能够离线显示实时传感器数据；</w:t>
            </w:r>
          </w:p>
          <w:p w14:paraId="7A4ED51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5.测量范围：-1000mV~+1000mV，分辨率：0.1mV；</w:t>
            </w:r>
          </w:p>
          <w:p w14:paraId="2ABE6F0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6.内置无线充电模块，支持无线快充功能。</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0F9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C0A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r>
      <w:tr w14:paraId="68801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13130">
            <w:pPr>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虚拟现实教室</w:t>
            </w:r>
          </w:p>
        </w:tc>
      </w:tr>
      <w:tr w14:paraId="567F9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D4F7C">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588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裸眼XR便携终端</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BD23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裸眼XR便携终端，要求采用便携化设计，支持无外部供电的移动使用。要求支持基于眼球追踪定位的裸眼3D显示技术、基于光学定位的VR交互技术。使用户无需佩戴3D眼镜以裸眼方式即可体验到3D/XR的景深效果，满足用户以更为便捷的方式使用内置适用于教学的虚拟现实VR软件。</w:t>
            </w:r>
          </w:p>
          <w:p w14:paraId="33A51B8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一、技术要求</w:t>
            </w:r>
          </w:p>
          <w:p w14:paraId="0FBDAD8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（1）3D显示：要求设备支持3D显示和2D显示一键切换，要求支持显示面积尺寸≤15.6英寸，要求显示分辨率≥3840*2160；</w:t>
            </w:r>
          </w:p>
          <w:p w14:paraId="6001C39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（2）裸眼3D显示：要求无需佩戴3D眼镜，仅通过裸眼方式即可观看到3D/VR的景深效果； </w:t>
            </w:r>
          </w:p>
          <w:p w14:paraId="508146A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（3）接口：要求具备≥2个USB-C接口，具备≥2个USB-A接口，具备≥1个RJ45网络接口；</w:t>
            </w:r>
          </w:p>
          <w:p w14:paraId="312C48C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（4）视频输出：要求具备双路视频输出功能，且具备≥1个HDMI输出接口、具备≥1个DP视频输出接口；</w:t>
            </w:r>
          </w:p>
          <w:p w14:paraId="6D1B8B8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（5）眼球跟踪：要求具备可追踪眼球的多目摄像头，通过摄像头系统能准确判断人眼所在位置，从而根据眼球追踪视角的不同来转换不同视角下的显示内容，达到逼真的XR效果。</w:t>
            </w:r>
          </w:p>
          <w:p w14:paraId="2164CBA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二、功能要求</w:t>
            </w:r>
          </w:p>
          <w:p w14:paraId="0D90A4A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（1）要求软件可以选择各式各样的制作工具，支持3D模型制作或3D画创作；</w:t>
            </w:r>
          </w:p>
          <w:p w14:paraId="50FD321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（2）要求系统具备XR模块检测功能，可以通过该模块对机器的XR功能进行检测，能够读取XR硬件设备信息，并展示出XR设备的检测画面；</w:t>
            </w:r>
          </w:p>
          <w:p w14:paraId="2657EE8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（3）要求系统具备教学演示功能，包含、蝴蝶的一生知识点学习、机械手臂原理学习、人类器官仿真模拟相关功能。</w:t>
            </w:r>
          </w:p>
          <w:p w14:paraId="64A0B12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（4）要求系统具备物理力学实验模拟功能，要求支持对模拟实验的结果进行自动数据统计，并反馈结果。</w:t>
            </w:r>
          </w:p>
          <w:p w14:paraId="6F01A3C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（5）要求支持登录在线平台后拥有进入个人空间，支持在个人空间发布文章、上传图片和资源；</w:t>
            </w:r>
          </w:p>
          <w:p w14:paraId="0FA5572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（6）要求平台支持启动已安装的教学资源并且支持通过快速启动代码启动资源；要求平台支持显示未安装内容、可更新的内容，并且支持在线下载安装；</w:t>
            </w:r>
          </w:p>
          <w:p w14:paraId="1B830E7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（7）要求进入一个协作组后，支持在协作组发布文章、上传图片和资源；要求支持进入活动页面，可参与一个教研专题活动，并进行评论互动； </w:t>
            </w:r>
          </w:p>
          <w:p w14:paraId="3D8A46A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（8）要求可支持进入某一个课题研究内容，包括查看课题介绍，负责人，参与者，开题模块、中期模块、结题模块，并支持自定义一个模块.</w:t>
            </w:r>
          </w:p>
          <w:p w14:paraId="6C51B93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（9）2D/3D视频转化：要求设备支持2D视频进行3D视频的转化功能。需满足打开该功能后将普通视频转化为3D视频；</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1BF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093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219F4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36F7F">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E1D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光学定位交互器</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D3CA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要求借助光学定位系统和触控笔，支持对屏幕上显示的虚拟物体进行交互操作，具备以下特点：</w:t>
            </w:r>
          </w:p>
          <w:p w14:paraId="30B9D63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1.要求能够对VR对象进行3个自由度坐标轴移动及3个自由度坐标轴的转动；</w:t>
            </w:r>
          </w:p>
          <w:p w14:paraId="1586FBB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2.要求光学定位器与主机之间采用有线方式连接，采用红外相机对交互笔进行空间定位；</w:t>
            </w:r>
          </w:p>
          <w:p w14:paraId="48A6D07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3.要求在交互笔与主机之间采用有线方式连接，且具有3个功能按键来实现对象选择、旋转、缩放等操作；</w:t>
            </w:r>
          </w:p>
          <w:p w14:paraId="408377E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4.交互笔内置震动器，可以通过震动的方式回馈用户的操作；</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3CC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3C5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21FF8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9B6B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B01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AR增强现实软件系统</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4230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应提供一种方式可以与他人分享体验过程，正常情况下，仅有一人可以在显示器前看到立体3D效果，其他人只能看到重影或2D图像。本系统将使用者的体验过程投射到另一屏幕或者第二台监控器上，使用本系统可实时的显示应用、录制课程学习过程，可供以后使用。                                                                                                                                                                                     </w:t>
            </w:r>
          </w:p>
          <w:p w14:paraId="686769B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1.点对群展示：</w:t>
            </w:r>
          </w:p>
          <w:p w14:paraId="11D1718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系统支持点对群展示方式，能够实时将操作者的虚拟现实交互场景展示至大屏幕显示设备</w:t>
            </w:r>
          </w:p>
          <w:p w14:paraId="06244AE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2.显示模式自动切换功能：</w:t>
            </w:r>
          </w:p>
          <w:p w14:paraId="5E97E9E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VR设备支持AR增强现实显示方式与普通显示方式手动切换；</w:t>
            </w:r>
          </w:p>
          <w:p w14:paraId="11EA171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1）当跟踪眼镜或使用者的面部出现在屏幕传感器捕捉范围内，显示方式由普通显示屏方式自动切换成3D显示方式；</w:t>
            </w:r>
          </w:p>
          <w:p w14:paraId="4882D64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2）当跟踪眼镜或使用者的面部在屏幕传感器之外，显示方式自动切换至普通显示方式。</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D9E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0A0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24B1B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D616C">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C22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裸眼XR便携终端配件包</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705C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功能要求：配件应提供满足裸眼XR便携终端视频信号中转用途的专用设备与辅助设备，应支持将裸眼XR便携终端设备显示画面展示至小组屏；应支持AR（增强现实）展示功能，将虚拟内容与现实拍摄场景叠加融合显示。</w:t>
            </w:r>
          </w:p>
          <w:p w14:paraId="10417DD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2.构成要求：AR增强现实视频摄像头×1、摄像头专用支架×1、USB扩展坞x1、无线鼠标x1、散热支架×1、HDMI线×1。</w:t>
            </w:r>
          </w:p>
          <w:p w14:paraId="6D77308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3.规格要求：</w:t>
            </w:r>
          </w:p>
          <w:p w14:paraId="3884DE6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1）AR增强现实视频摄像头：应采用USB接口，支持即插即用，免驱动使用；应配备可连接三角架的通用固定夹，应支持与裸眼XR便携终端的配套使用，实现增强现实功能；</w:t>
            </w:r>
          </w:p>
          <w:p w14:paraId="650F9DA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2）摄像头专用支架：支持360°云台，脚架高度须满足15cm-27.5cm之间的调节；</w:t>
            </w:r>
          </w:p>
          <w:p w14:paraId="270E67D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3）USB扩展坞：支持USB3.0接口不少于4个，支持Type-C单独供电；</w:t>
            </w:r>
          </w:p>
          <w:p w14:paraId="170320A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4）无线鼠标：支持2.4GHz无线和蓝牙双模；</w:t>
            </w:r>
          </w:p>
          <w:p w14:paraId="2372194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5）散热支架：应支持三风扇为裸眼XR便携终端提供散热，尺寸兼容裸眼XR便携终端和光学定位交互器同时使用；</w:t>
            </w:r>
          </w:p>
          <w:p w14:paraId="672E3A4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6）HDMI连接线：能够实现裸眼XR便携终端视频传输，线材长度不小于5m；</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E1B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8F6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680E4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8CD6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0BE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地理VR教学系统（初中版）</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8C79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1.系统功能要求（需提供该</w:t>
            </w:r>
            <w:r>
              <w:rPr>
                <w:rFonts w:hint="eastAsia" w:ascii="宋体" w:hAnsi="宋体" w:eastAsia="宋体" w:cs="宋体"/>
                <w:b/>
                <w:bCs/>
                <w:i w:val="0"/>
                <w:iCs w:val="0"/>
                <w:color w:val="auto"/>
                <w:kern w:val="0"/>
                <w:sz w:val="21"/>
                <w:szCs w:val="21"/>
                <w:highlight w:val="none"/>
                <w:u w:val="none"/>
                <w:lang w:val="en-US" w:eastAsia="zh-CN" w:bidi="ar"/>
              </w:rPr>
              <w:t>5）-8）项</w:t>
            </w:r>
            <w:r>
              <w:rPr>
                <w:rFonts w:hint="eastAsia" w:ascii="宋体" w:hAnsi="宋体" w:eastAsia="宋体" w:cs="宋体"/>
                <w:i w:val="0"/>
                <w:iCs w:val="0"/>
                <w:color w:val="auto"/>
                <w:kern w:val="0"/>
                <w:sz w:val="21"/>
                <w:szCs w:val="21"/>
                <w:highlight w:val="none"/>
                <w:u w:val="none"/>
                <w:lang w:val="en-US" w:eastAsia="zh-CN" w:bidi="ar"/>
              </w:rPr>
              <w:t>的功能演示界面截图）</w:t>
            </w:r>
          </w:p>
          <w:p w14:paraId="699E629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系统研发应依据初中地理新课标，以地理核心素养为主导，基于桌面级虚拟现实设备，通过VR、AR、MR等技术的集成，将较大时空跨度的地理景观、场景及复杂的区域地貌、人文景观以三维、动态、仿真的形式进行呈现。系统应兼顾人机交互、师生教学及生生互动等需求，应适用于地理学科教、学、研等应用场景。</w:t>
            </w:r>
          </w:p>
          <w:p w14:paraId="44967FB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2)软件应支持利用触控笔实现三维操控，操作者应能够观察到3D模型的出屏或景深效果；使用触控笔可虚拟“拿起”3D模型，对其进行360°观察及放大、缩小的操作，并能够对模型进行拆分与组合。</w:t>
            </w:r>
          </w:p>
          <w:p w14:paraId="1334763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3)软件应支持球面、平面地图及动画的显示；应支持球面与平面以动画形式进行圆柱投影式切换，应展示出球面到平面投影的动态变化；</w:t>
            </w:r>
          </w:p>
          <w:p w14:paraId="03503F5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4)软件应支持地图球面、平面不同形态的图层叠加；应支持各类区域地图的图层叠加。</w:t>
            </w:r>
          </w:p>
          <w:p w14:paraId="4B38FBF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应提供地球公转运动的课程，应支持公转俯视视角与近距离同时观察，支持独立控制地球自转和公转，支持快速切换地球公转位置观察重要节气昼夜分布和太阳直射点位置，支持在地球上进行黄赤交角、经纬线、政区线的显示叠加。</w:t>
            </w:r>
          </w:p>
          <w:p w14:paraId="762FAD5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6)应提供极地地区课程，要求可以穿越南极北极地区场景，场景内可体验极昼日不落、极夜极光景色；场景应支持漫游飞跃；应支持近距离观察企鹅、北极熊。</w:t>
            </w:r>
          </w:p>
          <w:p w14:paraId="3334D18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7)软件应支持中国地形立体到平面切换；支持中国立体地形沿30°纬线弧度剖面展开。</w:t>
            </w:r>
          </w:p>
          <w:p w14:paraId="16130FC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8)软件应支持地理实验的功能，应支持自主对比不少于3组变量的实验过程及结果。</w:t>
            </w:r>
          </w:p>
          <w:p w14:paraId="34BF9AF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9)软件应提供不同时区时间差异的演示，调整时间软件能即时显示对应时区。</w:t>
            </w:r>
          </w:p>
          <w:p w14:paraId="6633CA6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10)软件应提供人类至少三个时期演化的三维动态演示，要求不同时期的人类模型可支持拿取及旋转观察。</w:t>
            </w:r>
          </w:p>
          <w:p w14:paraId="58B5AF4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11)软件应提供一年中任意时间的全天晨昏线运动演示。</w:t>
            </w:r>
          </w:p>
          <w:p w14:paraId="77F3C86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12)软件应支持同一张地图三种比例尺切换，地图应依据不同比例尺呈现不同尺度的内容。</w:t>
            </w:r>
          </w:p>
          <w:p w14:paraId="782D4E4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13)软件应支持3D模型的部位识别；应支持3D模型与平面地形图之间的动态转换。</w:t>
            </w:r>
          </w:p>
          <w:p w14:paraId="601EA67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14)软件应支持地貌模型跨时空演化的3D演示过程。</w:t>
            </w:r>
          </w:p>
          <w:p w14:paraId="2C60B13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15)软件应支持同步展示多地区地理风貌及人文景观等场景。</w:t>
            </w:r>
          </w:p>
          <w:p w14:paraId="4C6D5C2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16)软件应提供三大宗教建筑环境场景。</w:t>
            </w:r>
          </w:p>
          <w:p w14:paraId="7C12CEC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17)软件应提供地理灾害3D虚拟演示内容，并提供灾害避险的情景体验。</w:t>
            </w:r>
          </w:p>
          <w:p w14:paraId="6028AB9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应内置AI教学助手：应支持基于自然语言交流的交互方式，扩展当前系统当前资源主题的学习内容；应具备多轮对话能力，能够根据使用者的追问做进一步阐释，引导使用者自主思考，为教、学、研、备等教学活动提供辅助支持。</w:t>
            </w:r>
          </w:p>
          <w:p w14:paraId="4ACDE3B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2.课程资源要求</w:t>
            </w:r>
          </w:p>
          <w:p w14:paraId="04A0C23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要求提供配套初中课程资源不少于45课，课程应依据义务教育地理课程标准开发，应包含“地球的形状和大小、地球仪与经纬网、地球的自转、地球的公转、地图的阅读、五种地形的判读、等高线地形图、大洲和大洋、海陆变迁、气温的变化与分布、降水的变化与分布、世界的气候、人口与人种、世界的语言、世界的宗教、世界上的国家和地区、亚洲、北美洲、印度、日本、俄罗斯、澳大利亚1、澳大利亚2、东南亚、中东、欧洲西部、撒哈拉以南的非洲、美国、巴西、极地地区、中国的疆域、中国的行政区划、中国的地形和地势、中国的气候、中国的河流、长江、黄河、中国的自然灾害、中国的自然资源、中国的农业、中国的地理差异、北方地区、东三省、黄土高原1、黄土高原2”教学内容。</w:t>
            </w:r>
          </w:p>
          <w:p w14:paraId="0B17435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要求提供教学主题资源不少于152个，包含“四个时期地球的形状认知、地球仪拆分、地球的自转运动、地球自转的地理意义、地球公转运动、比例尺、辨别方向、认识图例、五种地形的判读、等高线原理、等高线地形的判读、人类探索地球面貌的过程、海陆比例、认识大陆、认识海陆分布、大陆漂移、板块运动、火山活动、地震活动、世界平均气温、1月、7月平均气温图、世界平均年降水量、雨极和干极、世界气候类型、人类演化、人种分布、世界语言分布、世界宗教分布、主要宗教介绍、世界上的国家和地区、发达国家分布、亚洲地理位置、亚洲分区、亚洲气候、亚洲水文、亚洲地理集锦、北美洲地理位置、北美洲分区、北美洲气候、北美洲水文、北美洲地理集锦、日本地理位置、日本气候、日本地形、日本为什么多发地震、发生地震时侯我们要怎么办、印度地理位置、印度气候、印度地形、印度河流、印度农作物类型、印度人口、印度软件外包业务、俄罗斯地理位置、俄罗斯气候、俄罗斯地形、俄罗斯水文、俄罗斯工业与矿产资源、铁路分布、澳大利亚地理位置、澳大利亚动物独特性、澳大利亚地形、澳大利亚气候、澳大利亚养羊业、澳大利亚气温、澳大利亚年降水量、澳大利亚矿产资源、澳大利亚旅游资源、中东地理位置、中东石油路线、中东路线、中东气候类型、欧洲地理位置、欧洲气候、欧洲地形、欧洲畜牧业、欧洲旅游、撒哈拉以南的非洲地理位置、地形、人种分布、气候类型、矿产资源、东南亚地理位置、为什么东南亚被称为“十字路口”、东南亚国家拼图游戏、东南亚气候、东南亚农业、美国地理位置、美国人种构成、美国文化、美国气候、美国地形、美国农业、美国工业、巴西地理位置、巴西人口人种、巴西地形、巴西气候、巴西农作物、极地地区地理位置、南极北极场景漫游、极昼极夜现象观测、中国的地理位置、中国的疆域、中国的邻国、中国的临海、中国的四至点、中国的行政区划轮廓、中国省级行政区名称及简称、省级行政区的行政中心、地形类型多样，山区面积广大、地势西高东低，呈阶梯状分布、冬季南北温差大，夏季普遍高温、东西干湿差异、我国气候的主要特征、影响我国气候的主要因素、我国河流分布、内外流河分区、长江流域范围、长江分段、长江所经省区、长江流域气候类型、长江流域地形、长江的开发与治理、黄河流域范围、黄河分段、黄河所经省区、黄河流域气候类型、黄河流域地形、黄河的开发与治理、常见的自然灾害、地质灾害、气象灾害、可再生资源与非可再生资源、垃圾分类、中国土地资源、中国水资源、农业与我们的生活、因地制宜与农业的分布、四大地理分区、南北差异、北方地区地理位置、北方地区自然情况、北方地区人文情况、东北三省地理位置、东北三省自然情况、东北三省人文情况、黄土高原位置与范围、古老文明、风成说、黄土高原（塬、梁、峁、川）及演变原理、黄土高原治理”等内容。</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D0D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3C9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26FE2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09BFF">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E4F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地理VR教学系统（高中版）</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A3F1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1.系统功能要求（需提供该5）-8）项的功能演示界面截图）</w:t>
            </w:r>
          </w:p>
          <w:p w14:paraId="32EF96A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系统研发应依据高中地理新课标，以地理核心素养为主导，基于桌面级虚拟现实设备，通过VR、AR、MR等技术的集成，将较大时空跨度的地理景观、场景及复杂的区域地貌、人文景观以三维、动态、仿真的形式进行呈现。系统应兼顾人机交互、师生教学及生生互动等需求，应适用于地理学科教、学、研等应用场景。</w:t>
            </w:r>
          </w:p>
          <w:p w14:paraId="690FCDC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2)软件应支持利用触控笔实现三维操控，操作者应能够观察到3D模型的出屏或景深效果；使用触控笔可虚拟“拿起”3D模型，对其进行360°观察及放大、缩小的操作，并能够对模型进行拆分与组合。</w:t>
            </w:r>
          </w:p>
          <w:p w14:paraId="790E630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3)软件应支持球面、平面地图及动画的显示；应支持球面与平面以动画形式进行圆柱投影式切换，应展示出球面到平面投影的动态变化；</w:t>
            </w:r>
          </w:p>
          <w:p w14:paraId="2C33152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4)软件应支持地图球面、平面不同形态的图层叠加；应支持各类区域地图的图层叠加。</w:t>
            </w:r>
          </w:p>
          <w:p w14:paraId="55886C0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应提供地球公转运动的课程，应支持公转俯视视角与近距离同时观察，支持独立控制地球自转和公转，支持快速切换地球公转位置观察重要节气昼夜分布和太阳直射点位置，支持在地球上进行黄赤交角、经纬线、政区线的显示叠加。</w:t>
            </w:r>
          </w:p>
          <w:p w14:paraId="4BFFADD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6)软件应提供地球历史课程中地球46亿年板块运动过程，定位不同时期大陆分布状况，支持穿越白垩纪、三叠纪、侏罗纪场景漫游，支持抓取恐龙，近距离旋转观看。</w:t>
            </w:r>
          </w:p>
          <w:p w14:paraId="7C924AB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软件应提供热力环流课程中热力环流的模拟实验，支持选择空气柱数量和位置，支持太阳在场景中位置的选择，支持等压面弯曲方向的改变，支持空气流动方向的改变，要求场景支持构建单圈热力环流、双圈热力环流构建方式。</w:t>
            </w:r>
          </w:p>
          <w:p w14:paraId="17F4B1C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8)软件应提供地域文化课程中特色建筑的场景，包括：福建土楼、欧洲乡村庄园、紫禁城、蒙古包等，支持特色建筑的搭建互动体验，搭建环节不少于14个。</w:t>
            </w:r>
          </w:p>
          <w:p w14:paraId="0AA8222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9)软件应支持世界典型自然带场景体验。</w:t>
            </w:r>
          </w:p>
          <w:p w14:paraId="10BB4EA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 软件应提供月相变化的演示，可模拟一月中月相变化和月亮在天空中的位置。</w:t>
            </w:r>
          </w:p>
          <w:p w14:paraId="347D1B9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11)软件应支持地貌模型跨时空演化的3D演示过程。</w:t>
            </w:r>
          </w:p>
          <w:p w14:paraId="2DC7367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12)软件应支持通过地球图层进入3D VR虚拟场景的沉浸式体验。</w:t>
            </w:r>
          </w:p>
          <w:p w14:paraId="15B1BF3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13)软件应提供不同时区时间差异的演示，调整时间软件能即时显示对应时区。</w:t>
            </w:r>
          </w:p>
          <w:p w14:paraId="1742EF7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14)软件应提供人类至少三个时期演化的三维动态演示，要求不同时期的人类模型可支持拿取及旋转观察。</w:t>
            </w:r>
          </w:p>
          <w:p w14:paraId="586A829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15)软件应提供一年中任意时间的全天晨昏线运动演示。</w:t>
            </w:r>
          </w:p>
          <w:p w14:paraId="4E1F945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16) 软件应提供潮汐场景，可演示涨潮与退潮现象。</w:t>
            </w:r>
          </w:p>
          <w:p w14:paraId="6B11730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17)软件应支持虚拟沙盘、情景推演，可利用自建数据模型智能模拟、计算某产业生产过程引发的数据变化，及其影响。</w:t>
            </w:r>
          </w:p>
          <w:p w14:paraId="52F5FC4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18)软件应支持钓鱼岛及其附属岛屿的场景漫游。</w:t>
            </w:r>
          </w:p>
          <w:p w14:paraId="15D503E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19)软件应支持思维导图的构建。</w:t>
            </w:r>
          </w:p>
          <w:p w14:paraId="4E804E4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应内置AI教学助手：应支持基于自然语言交流的交互方式，扩展当前系统当前资源主题的学习内容；应具备多轮对话能力，能够根据使用者的追问做进一步阐释，引导使用者自主思考，为教、学、研、备等教学活动提供辅助支持。</w:t>
            </w:r>
          </w:p>
          <w:p w14:paraId="2B5EDFE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2.课程资源要求</w:t>
            </w:r>
          </w:p>
          <w:p w14:paraId="55D94DA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要求提供配套高中课程资源不少于32课，课程应依据普通高中地理课程标准开发，应包含“天体类型、天体系统、太阳系、太阳对地球的影响、地月系、地球的圈层结构、地球自转、地球公转运动、地球的历史、大气的组成和垂直分层、热力环流、天气系统、三圈环流、水循环、海水的性质、潮汐、喀斯特地貌-地上、喀斯特地貌-地下、河流地貌-侵蚀、河流地貌-堆积、风沙地貌-侵蚀、风沙地貌-堆积、岩石圈的物质循环、世界植被、滑坡、泥石流、地震、地域文化与城乡景观、农业区位因素及其变化、工业区位因素及其变化、国家发展战略、海洋权益”教学内容。</w:t>
            </w:r>
          </w:p>
          <w:p w14:paraId="7168691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要求提供不少于114个教学主题资源，应包含“恒星、行星、卫星、彗星观测以及体验人造天体如何工作、银河系、太阳系、地月系探索、暗物质暗能量探究、太阳系漫游、八大行星科普、行星分类、太阳内部结构以及外部结构、太阳对生产生活的影响、地月系观测、探索月相运动、观测月亮一个月在天空中的位置以及形态、地球内部圈层探究、地球外部圈层探究、地球圈层探测方法、人类探测地下探井深度、地球自转方向、周期、时区认知、昼夜变化、地球公转运动方向、周期、地球公转运动的地理意义、地质年代、恐龙挖掘探险、化石如何形成的、46亿年海陆变迁、穿越中生代、喜马拉雅山的形成、人类的演化过程、人类的迁移过程、大气垂直分层结构、绘制垂直气温曲线、各分层人类活动探索、热力环流基本原理探究实验、海陆风拓展探究、城市热岛拓展探究、冷锋暖锋探究、南北半球气旋探究、南北半球反气旋探究、单圈环流基本原理、三圈环流基本原理、气压带风带季节性移动探究、季风环流成因探究、海陆间循环探究、陆地内循环探究、海上内循环探究、海水温度盐度关系探究、红海和波罗的海气候分析、红海和波罗的海径流和气候对盐度影响、潮汐现象探究、加拿大芬迪湾涨潮场景体验、大潮和小潮原理探究、喀斯特地貌在中国分布、喀斯特地貌早年期、中年期、老年期演化过程、石林场景体验、孤峰场景体验、喀斯特地下溶洞探险、喀斯特地貌3D场景、河流地貌侵蚀类型分析、探究分析河流侵蚀不同时期的河流形态特点、河流堆积地貌探究、探索长江流域上游中游下游河流地貌特点、什么是风蚀地貌、风蚀地貌景观介绍、什么是风积地貌、新月形沙丘的形成原理、建构岩石圈物质循环过程、说文解字、风化过程探索、世界自然地理环境的基本特征、热带雨林场景探险、亚寒带针叶林场景探险、沙漠场景探险、草原场景探险、什么是泥石流、泥石流逃生探险、什么是滑坡、滑坡逃生探险、地震带分布、地震分析、室外地震逃生探险、室内地震逃生探险”、胡焕庸线、乡村地域文化场景体验（福建土楼、欧洲中世纪乡村庄园）、城市地域文化体验（北京古都紫禁城、北京四合院）、地域文化与当地地理环境的关系（古埃及住宅与当地地理环境的关系、蒙古包搭建材料与当地地理环境的关系）、传统农业区位因素、现代农业区位因素的变化、传统工业区位因素的互动游戏、现代工业区位因素变化、国家主体功能区、人均可利用土地资源、人均可利用顺资源、生态脆弱性、区域经济发展不平衡、农业战略格局、生态安全战略格局、长江经济带、京津冀一体化、海底地形、海洋空间、海洋资源、海洋生态系统、海洋经济开发格局、南海诸岛、钓鱼岛及其附属岛屿的历史与地质概况”等内容。</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D94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611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4F8A3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8B0D9">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8AA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通古今VR教学系统（中国古代史）</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3760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一、功能要求</w:t>
            </w:r>
          </w:p>
          <w:p w14:paraId="1B1DBCD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1.软件应支持三维操控，用户应能够观察到3D模型的出屏或景深效果；可虚拟“拿起”3D模型，对其进行360°观察及放大、缩小和复位的操作。</w:t>
            </w:r>
          </w:p>
          <w:p w14:paraId="3149709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2.软件应支持查看文物的简介描述、尺寸显示、细节说明、相应动画和馆藏信息，通过多种资料的整合，使用户对文物有全面深入的了解。</w:t>
            </w:r>
          </w:p>
          <w:p w14:paraId="4A692C4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3.软件应提供文物出土地点、所属时期的信息。</w:t>
            </w:r>
          </w:p>
          <w:p w14:paraId="56BE9C3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4.软件应支持单元和地图两种应用模式的选择。</w:t>
            </w:r>
          </w:p>
          <w:p w14:paraId="4476CD9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5.软件应支持通过虚拟现实技术展示文物的应用场景和工作原理。（如良渚石犁、汉代耧车复原模型、翻车复原模型展示了应用场景；彩绘雁鱼铜灯展示了工作原理）。</w:t>
            </w:r>
          </w:p>
          <w:p w14:paraId="30A3596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6.软件应支持用户通过操作查看文物的拆分、组合效果。（如彩绘雁鱼铜灯、西夏符牌、南海一号福船）。</w:t>
            </w:r>
          </w:p>
          <w:p w14:paraId="713F03B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7.软件应支持用户通过输入关键词检索、选择和查看相关文物。</w:t>
            </w:r>
          </w:p>
          <w:p w14:paraId="15A4D73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二、资源要求</w:t>
            </w:r>
          </w:p>
          <w:p w14:paraId="0A865C5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软件应设置至少七个单元，应提供至少70个VR教学资源，应包含以下内容：</w:t>
            </w:r>
          </w:p>
          <w:p w14:paraId="5B9065D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1.史前时期单元：元谋人门齿化石、北京人头盖骨化石（复制品）、干栏式建筑复原模型、猪纹陶钵、骨耜、人面鱼纹彩陶盆、良渚玉琮、良渚玉钺、良渚石犁；</w:t>
            </w:r>
          </w:p>
          <w:p w14:paraId="13B55DE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2.夏商周时期单元：镶嵌绿松石兽面纹铜牌饰、四羊方尊、司母戊鼎、利簋、何尊、越王勾践剑、吴王夫差矛、曾侯乙尊盘、水陆攻战纹铜壶、铁犁铧、商鞅铜方量；</w:t>
            </w:r>
          </w:p>
          <w:p w14:paraId="451866C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3.秦汉时期单元：秦跪射俑、“汉并天下”瓦当、金缕玉衣、彩绘雁鱼铜灯、汉代耧车复原模型、马踏匈奴、铜奔马、东汉水排复原模型、东汉彩绘陶击鼓说唱俑、鎏金铜蚕；</w:t>
            </w:r>
          </w:p>
          <w:p w14:paraId="31104B4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4.三国两晋南北朝时期单元：翻车复原模型、青瓷猪圈、德清窑黑釉鸡首瓷壶、云冈石窟露天大佛、《帝后礼佛图》浮雕、青釉仰覆莲花尊、鲜卑服武士陶俑、洛神赋图(宋摹本)、《女史箴图》(唐摹本)；</w:t>
            </w:r>
          </w:p>
          <w:p w14:paraId="649AD5E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隋唐五代十国时期单元：赵州桥石栏板、曲辕犁复原模型、筒车复原模型、唐三彩骆驼、开元通宝、唐戴帷帽女子骑马雕塑、唐朝阎立本《步辇图》、唐朝吴道子《送子天王图》、《韩熙载夜宴图》（宋摹本）；</w:t>
            </w:r>
          </w:p>
          <w:p w14:paraId="4DE1708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辽宋夏金元时期单元：《雪夜访普图》、西夏符牌、契丹货币、南海一号福船、定窑孩儿枕、汝窑天青釉三足樽承盘、哥窑青釉鱼耳炉、官窑青釉贯耳瓷瓶、钧窑玫瑰紫大花盆、《耕获图》、《清明上河图》、蹴鞠铜镜；</w:t>
            </w:r>
          </w:p>
          <w:p w14:paraId="326DEBC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明清时期（至鸦片战争前）单元：锦衣卫印、郑和宝船、《榜葛剌进麒麟图轴》、“鸳鸯阵”演示模型、金奔巴瓶、清威远将军炮、《盛世滋生图》、《平定伊犁回部战图》册、雍正帝批阅过的奏折、《坤舆万国全图》。</w:t>
            </w:r>
          </w:p>
          <w:p w14:paraId="5817669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三、资质要求</w:t>
            </w:r>
          </w:p>
          <w:p w14:paraId="6EDEBDA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要求提供本产品软件著作权证书。</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EF9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22A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3E78B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5287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B47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延安精神VR系统</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B210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一、功能要求</w:t>
            </w:r>
          </w:p>
          <w:p w14:paraId="7EDA6FA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软件应围绕延安精神的内涵，对3D历史场景、3D历史模型、文献、图片和影音等资源进行系统整合，应包含坚定正确的政治方向、解放思想实事求是的思想路线、全心全意为人民服务的根本宗旨、自力更生艰苦奋斗的创业精神4个主题。</w:t>
            </w:r>
          </w:p>
          <w:p w14:paraId="0960FA6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2.软件应支持利用触控笔实现三维操控，使操作者能够观察到3D模型的出屏或景深效果；应支持操作者使用触控笔虚拟“拿起”3D模型，并能够对模型进行360°观察及放大、缩小的操作。</w:t>
            </w:r>
          </w:p>
          <w:p w14:paraId="788B109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3.软件应在实物3D模型展示时提供文物的简介描述、尺寸说明、年代介绍、馆藏信息。</w:t>
            </w:r>
          </w:p>
          <w:p w14:paraId="7529993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4.软件应支持展示实物3D模型、图像、音频、视频等多种类型的资源。</w:t>
            </w:r>
          </w:p>
          <w:p w14:paraId="3977E03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5.软件应提供知识考核试题，支持点击选择并对其进行判读。</w:t>
            </w:r>
          </w:p>
          <w:p w14:paraId="11B305E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6.软件应支持实时记录操作者在场景内的探究进度，并同步开放对应的场景内容。</w:t>
            </w:r>
          </w:p>
          <w:p w14:paraId="4B62DD5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软件应提供基于八路军359旅旅部旧址虚拟场景的探究体验，可对探究内容中的3D模型做移动、旋转、抓取及其他相应的交互操作。应支持操作者通过3D观察，配合文字说明，了解中国共产党在延安时期开展的大生产运动，认识自力更生艰苦奋斗的创业精神是延安精神的特征。</w:t>
            </w:r>
          </w:p>
          <w:p w14:paraId="1F670E8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软件应提供杨家岭中央大礼堂的虚拟场景，支持操作者通过选择大礼堂的内部或外部实现场景漫游，支持旋转观察中共七大会场内部的陈设，让操作者了解中国共产党在杨家岭大礼堂召开中共七大的史事，认识解放思想实事求是的思想路线是延安精神的精髓。</w:t>
            </w:r>
          </w:p>
          <w:p w14:paraId="7C26B26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二、资质要求</w:t>
            </w:r>
          </w:p>
          <w:p w14:paraId="7DBA4CB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要求提供本产品软件著作权证书。</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7CF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8BE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6D790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6DE84">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9</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0BE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抗美援朝精神VR系统</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F950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一、功能要求</w:t>
            </w:r>
          </w:p>
          <w:p w14:paraId="7F3FCEA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1.软件应围绕抗美援朝精神的内涵，对3D历史场景、3D历史模型、文献、图片和影音等资源进行系统整合，应包含爱国主义精神、革命英雄主义精神、革命乐观主义精神、革命忠诚精神、国际主义精神的学习内容。</w:t>
            </w:r>
          </w:p>
          <w:p w14:paraId="1C5D23B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2.软件应支持利用触控笔实现三维操控，使操作者能够观察到3D模型的出屏或景深效果；应支持操作者使用触控笔虚拟“拿起”3D模型，并能够对模型进行360°观察及放大、缩小的操作。</w:t>
            </w:r>
          </w:p>
          <w:p w14:paraId="46258EC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3.软件应在实物3D模型展示时提供文物的简介描述、尺寸说明、年代介绍、馆藏信息。</w:t>
            </w:r>
          </w:p>
          <w:p w14:paraId="46A253B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4.软件应支持展示实物3D模型、图像、音频、视频等多种类型的资源。</w:t>
            </w:r>
          </w:p>
          <w:p w14:paraId="68380AF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5.软件应提供知识考核试题，支持点击选择并对其进行判读。</w:t>
            </w:r>
          </w:p>
          <w:p w14:paraId="1D9F7C6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6.软件应支持实时记录操作者在场景内的探究进度，解锁新的资源内容。</w:t>
            </w:r>
          </w:p>
          <w:p w14:paraId="0975B26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软件应提供中国人民志愿军跨过鸭绿江的虚拟场景，应支持操作者通过点击场景内的探究点，了解抗美援朝保家卫国的决策和志愿军毅然赶赴前线的史事，感悟祖国和人民利益高于一切、为了祖国和民族的尊严而奋不顾身的爱国主义精神。</w:t>
            </w:r>
          </w:p>
          <w:p w14:paraId="3C0BF17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软件应提供基于冰雪长津湖虚拟场景的探究体验，可对探究内容中的3D模型做移动、旋转、抓取及其他相应的交互操作。应支持操作者通过3D观察，配合文字说明，了解长津湖战役中志愿军战士宋阿毛的事迹和冰雕连精神，感悟为完成祖国和人民赋予的使命、慷慨奉献自己一切的革命忠诚精神。</w:t>
            </w:r>
          </w:p>
          <w:p w14:paraId="1D37F53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二、资质要求</w:t>
            </w:r>
          </w:p>
          <w:p w14:paraId="51308BC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要求提供本产品软件著作权证书。</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C4A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584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5DFB8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AF76E">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10</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A51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初中理化生VR实验室软件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CC12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初中物理VR实验室软件要求基于桌面级虚拟现实设备，通过VR、AR、MR等技术的集成，让学生进行半沉浸式的体验，方便教师教学管理。</w:t>
            </w:r>
          </w:p>
          <w:p w14:paraId="6849DA3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一、软件课程内容要求</w:t>
            </w:r>
          </w:p>
          <w:p w14:paraId="3A8B733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1.软件要提供与国家课程标准中知识点同步的实验，完整实验数量不少于85个。实验目录页要求提供具体实验简介和卡片式多实验展示两种模式，充分呈现课本中的演示实验与学生分组实验。</w:t>
            </w:r>
          </w:p>
          <w:p w14:paraId="5320723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软件内容要支持在实验目录页即可直接查看具体的实验内容简介，可查看的内容简介至少应包含：实验简介、实验目的、实验器材、实验步骤、实验结论、实验原理。方便老师在使用中快速了解具体实验内容，提高老师课堂教学效率。</w:t>
            </w:r>
          </w:p>
          <w:p w14:paraId="1CFC651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所有实验中的模型为3D高精度模型，为学生直观的展示物理实验的抽象概念，实现对难以理解的抽象化实验的实验原理、微观现象及类似气流流动、磁场等不可视场景的可视化展示，如：换向器、电荷在金属棒中的定向移动、通电螺线管的磁场是什么样的、条形磁体的磁场分布。学生可以直观的观察真实的实验现象和实验结果；</w:t>
            </w:r>
          </w:p>
          <w:p w14:paraId="7456692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 所有实验支持在任意视角下对实验进行观察和交互式操作。所有实验中的模型为3D高精度模型，实验模型高保真。支持用户从任意视角、任意距离观察实验台；学生能够随时随地验证自己的想法， 无需受到特定的实验室环境和器材限制；</w:t>
            </w:r>
          </w:p>
          <w:p w14:paraId="07DF32F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 软件提供的中学物理实验内容模块包含：电荷间的相互作用、验电器可以显示物体是否带电、电荷在金属棒中的定向移动、转盘式电能表、比较接24W及100W灯泡时电表铝盘转动快慢、电流产生热量与电阻的关系、热量与电流的关系、观察保险丝的作用、磁体的哪端是N极、条形磁体的磁场分布、蹄形磁体的磁场分布、通电螺线管的磁场是什么样的、探究通电螺线管外部的磁场分布、电磁铁的磁性、观察电磁继电器、使用电磁继电器、让线圈转起来、线圈不能连续转动、换向器、探究什么情况下磁可以生电、时断时续的电流产生电磁波、电磁波是怎样传播的、光沿着水流传播、摩擦起电、探究通电直导线周围的磁场、探究通电螺线管外部磁场的方向、用铅笔芯控制小灯泡的亮度、自制水果电池、探究影响导体电阻大小的因素、探究影响电流热效应的因素、光在水中的传播、小孔成像、光反射时的规律、光路的可逆性、平面镜成像的特点、探究光折射时的特点、水中物体看起来比实际高些、色散、放大镜使光会聚、凸透镜使光会聚，凹透镜使光发散、探究凸透镜成像的规律、近视眼及其矫正、远视眼及其矫正、显微镜的结构、观察色光混合的现象、探究平面镜成像的特点、探究光的折射特点、停止沸腾的水浇上冷水后会怎样、乒乓球会下落吗、盐水浮鸡蛋、密度与温度、如何使用刻度尺、力的作用效果、上面的棋子会怎样运动、小球的惯性、压力的作用效果跟什么因素有关、液体内部只有向下的压强吗、液体内部压强的特点、托里拆利实验、观察大气压随高度的变化、硬币“跳高”比赛、两张纸应该怎样运动、浮力的大小、探究物体形状与物质状态对质量是否有影响、学会使用秒表、比较纸锥下落的快慢、测量纸锥下落的速度、研究气泡的运动规律、判断重力的方向、探究二力平衡的条件、探究杠杆的平衡条件、估测大气压的值、探究影响浮力大小的因素、探究浮力大小与排开液体所受重力的关系、自制温度计、使用温度计时还可能发生什么错误、水的沸腾、蒸发致冷、碘的升华和凝华、气体扩散的实验、液体扩散的实验、观察扩散快慢与温度的关系、收集分子间存在吸引力的证据、空气被压缩时内能增大、空气推动塞子时内能减少、用火柴模拟链式反应、自制太阳集热器、观察蒸发现象、液化乙醚、探究冰的熔化特点、探究蜡烛的熔化特点、比较不同物质吸热的情况、观察碘锤中的物态变化、探究不同物质吸热升温的现象、观察点火爆炸现象、滴水实验、会跳舞的小人、声音是怎样产生的、真空罩中的闹钟、探究音调和频率的关系、观察声音的波形、响度与什么因素有关、不同乐器的音色、观察波形、观察噪声的波形、声波能传递能量吗、探究影响声音强弱的因素。</w:t>
            </w:r>
          </w:p>
          <w:p w14:paraId="2A6F790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二、软件技术要求</w:t>
            </w:r>
          </w:p>
          <w:p w14:paraId="3B7F650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 为了提高课堂效率，要求软件在实验操作场景中呈现具体实验步骤，可以随时点击查看，并提供重新开始实验、一键切回操作视角功能，方便老师在不同角度观察实验台后一键切回最佳实验操作视角。</w:t>
            </w:r>
          </w:p>
          <w:p w14:paraId="650429F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 软件要在保持既有实验场景内容的前提下，支持通过3D红外眼镜的摘戴实现硬件屏幕的2D/3D出屏效果的切换，且切换后仍可继续进行原有实验步骤的交互操作。支持在3D视角下通过触控笔对实验进行观察和交互式操作。</w:t>
            </w:r>
          </w:p>
          <w:p w14:paraId="1539A3B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 软件要支持通过触控笔进行实验交互操作，具备良好的交互性，支持用户平移、旋转视角，实现实验空间中上下、左右、前后的空间平移操作。在实验操作中，根据实验的观察需求，支持通过触控笔按钮360度旋转实验台进行观察。</w:t>
            </w:r>
          </w:p>
          <w:p w14:paraId="37ED512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软件要满足多种教学场景，包括但不限于：普通PC平面显示输出、沉浸式桌面VR显示输出。软件实验操作既可以通过佩戴3D红外眼镜通过触控笔进行深度交互式操作，同时又可以支持在硬件中通过鼠标独立进行实验交互操作。</w:t>
            </w:r>
          </w:p>
          <w:p w14:paraId="1A17109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 以上所有软件功能支持在无互联网环境下正常操作使用。</w:t>
            </w:r>
          </w:p>
          <w:p w14:paraId="34E3D49B">
            <w:pPr>
              <w:pStyle w:val="18"/>
              <w:rPr>
                <w:rFonts w:hint="eastAsia"/>
                <w:highlight w:val="none"/>
                <w:lang w:val="en-US" w:eastAsia="zh-CN"/>
              </w:rPr>
            </w:pPr>
          </w:p>
          <w:p w14:paraId="163F44B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初中化学VR实验室软件要求基于桌面级虚拟现实设备，通过VR、AR、MR等技术的集成，让学生进行半沉浸式的体验，方便教师教学管理。</w:t>
            </w:r>
          </w:p>
          <w:p w14:paraId="7CCC078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一、软件课程内容要求</w:t>
            </w:r>
          </w:p>
          <w:p w14:paraId="555D97F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 软件要提供与国家课程标准中知识点同步的实验，完整实验数量不少于65个。实验目录页要提供具体实验简介和卡片式多实验展示两种模式，充分呈现课本中的演示实验与学生分组实验。</w:t>
            </w:r>
          </w:p>
          <w:p w14:paraId="2E0A88F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 软件内容要支持在实验目录页即可直接查看具体的实验内容简介，可查看的内容简介至少应包含：实验简介、实验目的、实验器材、实验步骤、实验结论、实验原理。方便老师在使用中快速了解具体实验内容，提高老师课堂教学效率。</w:t>
            </w:r>
          </w:p>
          <w:p w14:paraId="22EB51A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 所有实验中的模型为3D高精度模型，为学生直观的展示化学实验的反应现象，比如：爆炸、火星喷溅、燃烧等，学生可以直观的观察真实的实验现象和实验结果；如：检验氧气的方法、细铁丝在氧气里燃烧、粉尘爆炸、一氧化碳与氧化铁的反应。学生可以直观的观察真实的实验现象和实验结果；</w:t>
            </w:r>
          </w:p>
          <w:p w14:paraId="379D757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 所有实验支持在任意视角下对实验进行观察和交互式操作。所有实验中的模型为3D高精度模型，实验模型高保真。支持用户从任意视角、任意距离观察实验台；学生能够随时随地验证自己的想法， 无需受到特定的实验室环境和器材限制；</w:t>
            </w:r>
          </w:p>
          <w:p w14:paraId="61048F7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 学科实验内容模块需包括：水的沸腾、胆矾的研碎、大块胆矾和小块胆矾溶液与氢氧化钠的反应、将石灰石和盐酸反应生成的气体通入氢氧化钙溶液、燃着的木条分别伸入氧气和二氧化碳、品红在水中扩散、分子运动现象、反应前后物质的质量关系、用盐酸和碳酸钠反应验证质量守恒定律、用镁条燃烧的实验验证质量守恒定律、对蜡烛及其燃烧的探究、人体吸入的空气和呼出的气体有什么不同、块状药品的取用、粉末药品的取用、液体药品的取用、酒精灯的使用和火焰温度的比较、氢氧化钠溶液与硫酸铜溶液的反应并加热、洗涤玻璃仪器、氧气的实验室制取和性质、氢气的检验、实验室制取二氧化碳、二氧化碳的实验室制取与性质、实验室制取氢气的简易装置、聚乙烯塑料的热塑性、测定空气中氧气的含量、检验氧气的方法、硫在氧气里燃烧、细铁丝在氧气里燃烧、加热高锰酸钾制取氧气、分解过氧化氢制氧气的反应中二氧化锰的作用、加热氯酸钾和二氧化锰制取氧气、水的净化的探究、用肥皂水区分软水和硬水、实验室用简易装置制取蒸馏水、氢气在空气里燃烧、水的组成、木炭或活性炭的吸附性、木炭还原氧化铜、二氧化碳的倾倒和阶梯蜡烛熄灭实验、二氧化碳的溶解性、二氧化碳与水的反应、对燃烧条件的探究、灭火的原理、简易灭火器的原理、粉尘爆炸、用生石灰与水反应验证化学反应中的能量变化、甲烷燃烧、燃烧的条件、比较合金和纯金属的性能、金属与盐酸、稀硫酸的反应、金属活动性顺序、铁制品锈蚀的条件、金属的物理性质和某些化学性质、蔗糖溶解、碘和高锰酸钾在水和汽油中的溶解性、水和乙醇能否互溶、溶解时的吸热或放热现象、洗涤剂的乳化功能、氯化钠在水中的溶解、硝酸钾在水中的溶解、溶液组成的表示、配制两种质量分数不同的氯化钠溶液、一定溶质质量分数的氯化钠溶液的配制、指示剂在酸、碱溶液中的显色反应、自制酸碱指示剂、观察盐酸和硫酸的颜色和状态并闻其气味、浓硫酸的腐蚀性实验、浓硫酸的稀释、酸的化学性质、氢氧化钠的物理性质观察、氢氧化钙的性质、溶液的导电性、中和反应、用pH试纸测溶液的pH的探究、测定生活中一些物质的pH、洗发剂和护发剂的酸碱性、酸、碱的化学性质、溶液酸碱性的检验、碳酸钠、碳酸氢钠和稀盐酸反应、碳酸钠溶液和澄清石灰水反应、复分解反应的条件、初步区分氮肥、磷肥和钾肥的方法、粗盐中难溶性杂质的去除、一氧化碳与氧化铁的反应、一氧化碳与氧化铜的反应。</w:t>
            </w:r>
          </w:p>
          <w:p w14:paraId="0DAE71D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二、软件技术要求</w:t>
            </w:r>
          </w:p>
          <w:p w14:paraId="1F7AC5B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 为了提高课堂效率，要求软件在实验操作场景中呈现具体实验步骤，可以随时点击查看，并提供重新开始实验、一键切回操作视角功能，方便老师在不同角度观察实验台后一键切回最佳实验操作视角。</w:t>
            </w:r>
          </w:p>
          <w:p w14:paraId="4872BC2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 软件要在保持既有实验场景内容的前提下，支持通过3D红外眼镜的摘戴实现硬件屏幕的2D/3D出屏效果的切换，且切换后仍可继续进行原有实验步骤的交互操作。支持在3D视角下通过触控笔对实验进行观察和交互式操作。</w:t>
            </w:r>
          </w:p>
          <w:p w14:paraId="26F9556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 软件要支持通过触控笔进行实验交互操作，具备良好的交互性，支持用户平移、旋转视角，实现实验空间中上下、左右、前后的空间平移操作。在实验操作中，根据实验的观察需求，支持通过触控笔按钮360度旋转实验台进行观察。</w:t>
            </w:r>
          </w:p>
          <w:p w14:paraId="38056B0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软件要满足多种教学场景，包括但不限于：普通PC平面显示输出、沉浸式桌面VR显示输出。软件实验操作既可以通过佩戴3D红外眼镜通过触控笔进行深度交互式操作，同时又可以支持在硬件中通过鼠标独立进行实验交互操作。</w:t>
            </w:r>
          </w:p>
          <w:p w14:paraId="5129D64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 以上所有软件功能支持在无互联网环境下正常操作使用。</w:t>
            </w:r>
          </w:p>
          <w:p w14:paraId="351C9FBB">
            <w:pPr>
              <w:pStyle w:val="18"/>
              <w:rPr>
                <w:rFonts w:hint="eastAsia"/>
                <w:highlight w:val="none"/>
                <w:lang w:val="en-US" w:eastAsia="zh-CN"/>
              </w:rPr>
            </w:pPr>
          </w:p>
          <w:p w14:paraId="716456E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初中生物VR实验室软件要求基于桌面级虚拟现实设备，通过VR、AR、MR等技术的集成，让学生进行半沉浸式的体验，方便教师教学管理。</w:t>
            </w:r>
          </w:p>
          <w:p w14:paraId="4CAFA45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一、软件课程内容要求</w:t>
            </w:r>
          </w:p>
          <w:p w14:paraId="1C9AD6D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 软件要提供与国家课程标准中知识点同步的实验，完整实验数量不少于45个。实验目录页要提供具体实验简介和卡片式多实验展示两种模式，充分呈现课本中的演示实验与学生分组实验。</w:t>
            </w:r>
          </w:p>
          <w:p w14:paraId="5ED7A3B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 软件内容要支持在实验目录页即可直接查看具体的实验内容简介，可查看的内容简介至少应包含：实验简介、实验目的、实验器材、实验步骤、注意事项、讨论与思考。方便老师在使用中快速了解具体实验内容，提高老师课堂教学效率。</w:t>
            </w:r>
          </w:p>
          <w:p w14:paraId="2E9C454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 所有实验支持在任意视角下对实验进行观察和交互式操作。所有实验中的模型为3D高精度模型，实验模型高保真。支持用户从任意视角、任意距离观察实验台；学生能够随时随地验证自己的想法， 无需受到特定的实验室环境和器材限制；</w:t>
            </w:r>
          </w:p>
          <w:p w14:paraId="104CCE6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 软件提供的中学生物实验内容模块需包含：练习使用显微镜、制作并观察人口腔上皮细胞的临时装片、观察人体的基本组织、制作临时玻片标本、制作并观察洋葱鳞片叶内表皮细胞的临时装片、观察洋葱根尖细胞分裂中染色体的变化、观察草履虫、草履虫的结构、绿色开花植物体的结构层次、非生物因素对某种动物的影响、模拟保护色的形成过程、游戏生男生女的奥秘、观察鸡卵的结构、精子与卵细胞随机组合、胆汁对食物的乳化作用、馒头在口腔中的变化、模拟膈肌的运动、用显微镜观察人血的永久涂片、用废旧纸张制作再生纸、鉴定食物中含有无机盐、探究呼吸过程中二氧化碳含量的变化、探究食物腐败的主要原因、观察小鱼尾鳍血液的流动、膝跳反射、鉴定食物的主要成分、测定某种食物中的能量、小肠的结构、动物的卵子和精子、模拟酸雨影响植物种子的萌发、近视眼及其矫正、远视眼及其矫正、制作孢子印、发酵现象、观察酵母菌、鱼的主要特征、鸟适于飞行的形态结构特点、观察蚯蚓、种子萌发的环境条件、空气流动会影响蒸腾作用、种子在萌发过程中发生了能量变化、种子在萌发过程中放出了二氧化碳、种子在萌发过程中吸收氧、光合作用产生氧气、绿色植物光合作用的发现、观察叶片的结构、观察绿叶细胞中的叶绿体、验证植物光合作用需要二氧化碳、测定植物的蒸腾作用、观察溶液浓度的大小对植物吸水的影响、比较玉米幼苗在蒸馏水和土壤浸出液中的生长状况、观察植物叶表皮的气孔、绿叶在光下产生淀粉、观察根尖的结构、观察种子的结构、花的结构、植物对水分的吸收和运输、果实的结构、观察叶芽的结构、木本植物茎的结构、测定种子的发芽率、植物呼吸作用产生二氧化碳、酒精对水蚤心率的影响。</w:t>
            </w:r>
          </w:p>
          <w:p w14:paraId="387DF2B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二、软件技术要求</w:t>
            </w:r>
          </w:p>
          <w:p w14:paraId="437C68E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 为了提高课堂效率，要求软件在实验操作场景中呈现具体实验步骤，可以随时点击查看，并提供重新开始实验、一键切回操作视角功能，方便老师在不同角度观察实验台后一键切回最佳实验操作视角。</w:t>
            </w:r>
          </w:p>
          <w:p w14:paraId="6FC90E7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 软件要在保持既有实验场景内容的前提下，支持通过3D红外眼镜的摘戴实现硬件屏幕的2D/3D出屏效果的切换，且切换后仍可继续进行原有实验步骤的交互操作。支持在3D视角下通过触控笔对实验进行观察和交互式操作。</w:t>
            </w:r>
          </w:p>
          <w:p w14:paraId="7195322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 软件要支持通过触控笔进行实验交互操作，具备良好的交互性，支持用户平移、旋转视角，实现实验空间中上下、左右、前后的空间平移操作。在实验操作中，根据实验的观察需求，支持通过触控笔按钮360度旋转实验台进行观察。</w:t>
            </w:r>
          </w:p>
          <w:p w14:paraId="7512930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软件要满足多种教学场景，包括但不限于：普通PC平面显示输出、沉浸式桌面VR显示输出。软件实验操作既可以通过佩戴3D红外眼镜通过触控笔进行深度交互式操作，同时又可以支持在硬件中通过鼠标独立进行实验交互操作。</w:t>
            </w:r>
          </w:p>
          <w:p w14:paraId="32BF1EF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 以上所有软件功能支持在无互联网环境下正常操作使用。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3C6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0FB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600E4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ACC2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11</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13D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高中理化生VR实验室软件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D753C">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高中物理VR实验室软件要求基于桌面级虚拟现实设备，通过VR、AR、MR等技术的集成，让学生进行半沉浸式的体验，方便教师教学管理。</w:t>
            </w:r>
          </w:p>
          <w:p w14:paraId="5A597A7A">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一、软件课程内容要求</w:t>
            </w:r>
          </w:p>
          <w:p w14:paraId="0452C5DB">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1. 软件要提供与国家课程标准中知识点同步的实验，完整实验数量不少于85个。实验目录页要提供具体实验简介和卡片式多实验展示两种模式，充分呈现课本中的演示实验与学生分组实验。</w:t>
            </w:r>
          </w:p>
          <w:p w14:paraId="123FB699">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2. 软件内容要支持在实验目录页即可直接查看具体的实验内容简介，可查看的内容简介至少应包含：实验简介、实验目的、实验器材、实验步骤、实验结论、实验原理。方便老师在使用中快速了解具体实验内容，提高老师课堂教学效率。</w:t>
            </w:r>
          </w:p>
          <w:p w14:paraId="275E0EAB">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3. 所有实验中的模型为3D高精度模型，为学生直观的展示物理实验的抽象概念，实现对难以理解的抽象化实验的实验原理、微观现象及类似气流流动、磁场等不可视场景的可视化展示，如：用铁屑模拟磁感线，验证环形电流的磁场方向等实验。学生可以直观的观察真实的实验现象和实验结果；</w:t>
            </w:r>
          </w:p>
          <w:p w14:paraId="72FED6CE">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4. 所有实验支持在任意视角下对实验进行观察和交互式操作。所有实验中的模型为3D高精度模型，实验模型高保真。支持用户从任意视角、任意距离观察实验台；学生能够随时随地验证自己的想法， 无需受到特定的实验室环境和器材限制；</w:t>
            </w:r>
          </w:p>
          <w:p w14:paraId="45970ABE">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5. 软件提供的中学物理实验内容模块需包含：静电感应、验电器、探究影响电荷间相互作用力的因素、模拟电场线、研究空腔导体内表面的电荷、静电屏蔽、研究影响平行板电容器电容大小的因素、示波管原理、测绘小灯泡的伏安特性曲线、探究导体电阻与其影响因素的定量关系、探究导体电阻与材料的关系、研究路端电压、练习使用多用电表、测定电池的电动势和内阻、探究影响通电导线受力的因素、用铁屑模拟磁感线、验证环形电流的磁场方向、安培力的方向、平行通电直导线之间的相互作用、磁电式电表、旋转的液体、观察阴极射线在磁场中的偏转、观察运动电子在磁场中的偏转、探究感应电流的产生条件、楞次定律、楞次定律演示实验、两个灯泡能够同时亮起来吗、开关断开时观察灯泡的亮度、电磁驱动、三相电动机、电磁阻尼演示、教学用发电机能够产生交变电流、电感器对交变电流的阻碍作用、交变电流能够通过电容器、探究变压器线圈两端的电压与匝数的关系、产生电磁振荡的电路、观察两球的碰撞、探究碰撞中的不变量一、探究碰撞中的不变量二、探究碰撞中的不变量三、放手后观察气球的运动、反冲现象的演示、探究弹性势能的表达式、探究功与速度变化的关系、验证机械能守恒定律、测定玻璃的折射率、观察全反射现象、弯曲的有机玻璃棒能导光、水流导光、光的双缝干涉实验、用双缝干涉测量光的波长、检验光波是不是横波、用白光做双缝干涉实验、用肥皂膜做薄膜干涉实验、折射时的色散、弹簧振子、相位、画出振动图像、单摆振动的周期与什么因素有关、探究单摆周期与摆长的关系、研究受迫振动的频率、观察振幅的差别、沿绳传播的波、波长一定的水波通过宽度不同的狭缝、波的叠加、水槽中波的干涉、蜂鸣器声音的变化、确定薄板的重心、观察桌面微小形变、弹力与弹簧伸长量的关系、静摩擦力与滑动摩擦力、探究求合力的方法、观察水壶的微小形变、伽利略斜面实验、探究加速度与力、质量的关系、探究作用力与反作用力的关系、游标卡尺、螺旋测微器、观察红蜡块的运动、钢球在磁铁吸引下怎样运动、观察两球落地的先后、研究平抛运动、用圆锥摆粗略验证向心力的表达式、用图钉和细绳画椭圆、研究平抛运动的分运动、用油膜法估测分子的大小、溴蒸气的扩散、液体的扩散、用高倍显微镜观察小炭粒的运动、分子间存在空隙、探究气体等温变化的规律、随机性与统计规律的实验、模拟气体压强产生机理的实验、蜂蜡熔化区域的形状、液体表面张力的实验、演示浸润和不浸润、毛细现象、观察低压下的热水、压下活塞，观察筒底物品的变化、观察瓶塞跳出时瓶内的变化、观察光电效应、阴极射线、用打点计时器测速度、气垫导轨和数字计时器、探究小车速度随时间变化的规律、牛顿管实验、看看你反应的快慢。</w:t>
            </w:r>
          </w:p>
          <w:p w14:paraId="00F85C49">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二、软件技术要求</w:t>
            </w:r>
          </w:p>
          <w:p w14:paraId="25DC2369">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1. 为了提高课堂效率，要求软件在实验操作场景中呈现具体实验步骤，可以随时点击查看，并提供重新开始实验、一键切回操作视角功能，方便老师在不同角度观察实验台后一键切回最佳实验操作视角。</w:t>
            </w:r>
          </w:p>
          <w:p w14:paraId="3CD0BF18">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2. 软件要在保持既有实验场景内容的前提下，支持通过3D红外眼镜的摘戴实现硬件屏幕的2D/3D出屏效果的切换，且切换后仍可继续进行原有实验步骤的交互操作。支持在3D视角下通过触控笔对实验进行观察和交互式操作。</w:t>
            </w:r>
          </w:p>
          <w:p w14:paraId="31130805">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3. 软件要支持通过触控笔进行实验交互操作，具备良好的交互性，支持用户平移、旋转视角，实现实验空间中上下、左右、前后的空间平移操作。在实验操作中，根据实验的观察需求，支持通过触控笔按钮360度旋转实验台进行观察。</w:t>
            </w:r>
          </w:p>
          <w:p w14:paraId="598417F8">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4.软件要满足多种教学场景，包括但不限于：普通PC平面显示输出、沉浸式桌面VR显示输出。软件实验操作既可以通过佩戴3D红外眼镜通过触控笔进行深度交互式操作，同时又可以支持在硬件中通过鼠标独立进行实验交互操作。</w:t>
            </w:r>
          </w:p>
          <w:p w14:paraId="381EE9F2">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5. 以上所有软件功能支持在无互联网环境下正常操作使用。</w:t>
            </w:r>
          </w:p>
          <w:p w14:paraId="09893615">
            <w:pPr>
              <w:pStyle w:val="18"/>
              <w:rPr>
                <w:rFonts w:hint="eastAsia"/>
                <w:highlight w:val="none"/>
                <w:lang w:val="en-US" w:eastAsia="zh-CN"/>
              </w:rPr>
            </w:pPr>
          </w:p>
          <w:p w14:paraId="773CA9CB">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高中化学VR实验室软件要求基于桌面级虚拟现实设备，通过VR、AR、MR等技术的集成，让学生进行半沉浸式的体验，方便教师教学管理。</w:t>
            </w:r>
          </w:p>
          <w:p w14:paraId="6200910D">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一、软件课程内容要求</w:t>
            </w:r>
          </w:p>
          <w:p w14:paraId="4C99D81A">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1. 软件要提供与国家课程标准中知识点同步的实验，完整实验数量不少于85个。实验目录页要提供具体实验简介和卡片式多实验展示两种模式，充分呈现课本中的演示实验与学生分组实验。</w:t>
            </w:r>
          </w:p>
          <w:p w14:paraId="7FA219E1">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2. 软件内容要支持在实验目录页即可直接查看具体的实验内容简介，可查看的内容简介至少应包含：实验简介、实验目的、实验器材、实验步骤、实验结论、实验原理。方便老师在使用中快速了解具体实验内容，提高老师课堂教学效率。</w:t>
            </w:r>
          </w:p>
          <w:p w14:paraId="3A253B8C">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3. 所有实验中的模型为3D高精度模型，为学生直观的展示化学实验的反应现象，比如：爆炸、火星喷溅、气泡、沉淀等。学生可以直观的观察真实的实验现象和实验结果；如：铝热反应、钠与水反应等实验。学生可以直观的观察真实的实验现象和实验结果；</w:t>
            </w:r>
          </w:p>
          <w:p w14:paraId="1B8F828E">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4. 所有实验支持在任意视角下对实验进行观察和交互式操作。所有实验中的模型为3D高精度模型，实验模型高保真。支持用户从任意视角、任意距离观察实验台；学生能够随时随地验证自己的想法， 无需受到特定的实验室环境和器材限制；</w:t>
            </w:r>
          </w:p>
          <w:p w14:paraId="40A84316">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5. 软件学科实验内容模块需包括：铝与盐酸反应及温度变化、Ba(OH)</w:t>
            </w:r>
            <w:r>
              <w:rPr>
                <w:rStyle w:val="290"/>
                <w:rFonts w:hint="eastAsia" w:ascii="宋体" w:hAnsi="宋体" w:eastAsia="宋体" w:cs="宋体"/>
                <w:color w:val="auto"/>
                <w:sz w:val="21"/>
                <w:szCs w:val="21"/>
                <w:highlight w:val="none"/>
                <w:lang w:val="en-US" w:eastAsia="zh-CN" w:bidi="ar"/>
              </w:rPr>
              <w:t>₂•</w:t>
            </w:r>
            <w:r>
              <w:rPr>
                <w:rStyle w:val="288"/>
                <w:rFonts w:hint="eastAsia" w:ascii="宋体" w:hAnsi="宋体" w:eastAsia="宋体" w:cs="宋体"/>
                <w:color w:val="auto"/>
                <w:sz w:val="21"/>
                <w:szCs w:val="21"/>
                <w:highlight w:val="none"/>
                <w:lang w:val="en-US" w:eastAsia="zh-CN" w:bidi="ar"/>
              </w:rPr>
              <w:t>8H</w:t>
            </w:r>
            <w:r>
              <w:rPr>
                <w:rStyle w:val="290"/>
                <w:rFonts w:hint="eastAsia" w:ascii="宋体" w:hAnsi="宋体" w:eastAsia="宋体" w:cs="宋体"/>
                <w:color w:val="auto"/>
                <w:sz w:val="21"/>
                <w:szCs w:val="21"/>
                <w:highlight w:val="none"/>
                <w:lang w:val="en-US" w:eastAsia="zh-CN" w:bidi="ar"/>
              </w:rPr>
              <w:t>₂</w:t>
            </w:r>
            <w:r>
              <w:rPr>
                <w:rStyle w:val="288"/>
                <w:rFonts w:hint="eastAsia" w:ascii="宋体" w:hAnsi="宋体" w:eastAsia="宋体" w:cs="宋体"/>
                <w:color w:val="auto"/>
                <w:sz w:val="21"/>
                <w:szCs w:val="21"/>
                <w:highlight w:val="none"/>
                <w:lang w:val="en-US" w:eastAsia="zh-CN" w:bidi="ar"/>
              </w:rPr>
              <w:t>O晶体与NH</w:t>
            </w:r>
            <w:r>
              <w:rPr>
                <w:rStyle w:val="290"/>
                <w:rFonts w:hint="eastAsia" w:ascii="宋体" w:hAnsi="宋体" w:eastAsia="宋体" w:cs="宋体"/>
                <w:color w:val="auto"/>
                <w:sz w:val="21"/>
                <w:szCs w:val="21"/>
                <w:highlight w:val="none"/>
                <w:lang w:val="en-US" w:eastAsia="zh-CN" w:bidi="ar"/>
              </w:rPr>
              <w:t>₄</w:t>
            </w:r>
            <w:r>
              <w:rPr>
                <w:rStyle w:val="288"/>
                <w:rFonts w:hint="eastAsia" w:ascii="宋体" w:hAnsi="宋体" w:eastAsia="宋体" w:cs="宋体"/>
                <w:color w:val="auto"/>
                <w:sz w:val="21"/>
                <w:szCs w:val="21"/>
                <w:highlight w:val="none"/>
                <w:lang w:val="en-US" w:eastAsia="zh-CN" w:bidi="ar"/>
              </w:rPr>
              <w:t>Cl晶体反应的能量变化、盐酸与氢氧化钠溶液反应及温度变化、原电池反应原理、设计原电池反应装置、温度对化学反应速率的影响、催化剂对化学反应速率的影响、测量锌与硫酸反应速率、草酸浓度对高锰酸钾褪色速率的影响、温度对硫代硫酸钠分解速率的影响、温度对氧化碘化钾速率的影响、探究FeCl</w:t>
            </w:r>
            <w:r>
              <w:rPr>
                <w:rStyle w:val="290"/>
                <w:rFonts w:hint="eastAsia" w:ascii="宋体" w:hAnsi="宋体" w:eastAsia="宋体" w:cs="宋体"/>
                <w:color w:val="auto"/>
                <w:sz w:val="21"/>
                <w:szCs w:val="21"/>
                <w:highlight w:val="none"/>
                <w:lang w:val="en-US" w:eastAsia="zh-CN" w:bidi="ar"/>
              </w:rPr>
              <w:t>₃</w:t>
            </w:r>
            <w:r>
              <w:rPr>
                <w:rStyle w:val="288"/>
                <w:rFonts w:hint="eastAsia" w:ascii="宋体" w:hAnsi="宋体" w:eastAsia="宋体" w:cs="宋体"/>
                <w:color w:val="auto"/>
                <w:sz w:val="21"/>
                <w:szCs w:val="21"/>
                <w:highlight w:val="none"/>
                <w:lang w:val="en-US" w:eastAsia="zh-CN" w:bidi="ar"/>
              </w:rPr>
              <w:t>和CuSO</w:t>
            </w:r>
            <w:r>
              <w:rPr>
                <w:rStyle w:val="290"/>
                <w:rFonts w:hint="eastAsia" w:ascii="宋体" w:hAnsi="宋体" w:eastAsia="宋体" w:cs="宋体"/>
                <w:color w:val="auto"/>
                <w:sz w:val="21"/>
                <w:szCs w:val="21"/>
                <w:highlight w:val="none"/>
                <w:lang w:val="en-US" w:eastAsia="zh-CN" w:bidi="ar"/>
              </w:rPr>
              <w:t>₄</w:t>
            </w:r>
            <w:r>
              <w:rPr>
                <w:rStyle w:val="288"/>
                <w:rFonts w:hint="eastAsia" w:ascii="宋体" w:hAnsi="宋体" w:eastAsia="宋体" w:cs="宋体"/>
                <w:color w:val="auto"/>
                <w:sz w:val="21"/>
                <w:szCs w:val="21"/>
                <w:highlight w:val="none"/>
                <w:lang w:val="en-US" w:eastAsia="zh-CN" w:bidi="ar"/>
              </w:rPr>
              <w:t>对过氧化氢分解速率的影响、探究硫酸锰对高锰酸钾褪色速率的影响、比较硫酸溶液和唾液对淀粉水解速率的影响、探究H</w:t>
            </w:r>
            <w:r>
              <w:rPr>
                <w:rStyle w:val="290"/>
                <w:rFonts w:hint="eastAsia" w:ascii="宋体" w:hAnsi="宋体" w:eastAsia="宋体" w:cs="宋体"/>
                <w:color w:val="auto"/>
                <w:sz w:val="21"/>
                <w:szCs w:val="21"/>
                <w:highlight w:val="none"/>
                <w:lang w:val="en-US" w:eastAsia="zh-CN" w:bidi="ar"/>
              </w:rPr>
              <w:t>⁺</w:t>
            </w:r>
            <w:r>
              <w:rPr>
                <w:rStyle w:val="288"/>
                <w:rFonts w:hint="eastAsia" w:ascii="宋体" w:hAnsi="宋体" w:eastAsia="宋体" w:cs="宋体"/>
                <w:color w:val="auto"/>
                <w:sz w:val="21"/>
                <w:szCs w:val="21"/>
                <w:highlight w:val="none"/>
                <w:lang w:val="en-US" w:eastAsia="zh-CN" w:bidi="ar"/>
              </w:rPr>
              <w:t>浓度对重铬酸钾溶液颜色的影响、浓度对平衡的影响——氯化铁与硫氰化钾反应、温度对二氧化氮转化的影响、比较强弱电解质的电离、比较弱酸的相对强弱、探究盐溶液的酸碱性、沉淀的溶解、沉淀的转化（一）、沉淀的转化（二）、盐桥对原电池的作用、电解氯化铜溶液、铁的吸氧腐蚀实验、电解水、配制一定物质的量浓度的溶液、胶体性质实验、硫酸根离子与钡离子反应、氢离子与氢氧根离子反应、复分解反应的实质、粗盐的提纯、硫酸根离子的检验、制取蒸馏水、萃取和分液、制备较纯净的氢氧化亚铁、蓝瓶子实验、污水处理——电浮选凝聚法、操作方法对实验的影响、铝热反应、海带中碘元素的存在、合成氨的反应原理、天然水的净化、软化水、玻璃粉的酸碱性、电镀铜、洗涤剂的性质、葡萄糖的还原性、蛋白质的性质——盐析、蛋白质的性质——变性、蛋白质的性质——颜色反应、钾分别与氧气和水反应、卤素单质间的置换反应、镁与水反应，镁和铝与盐酸反应、钠与氯气反应、制作甲烷分子模型、甲烷与氯气的反应、石蜡油分解、苯与溴水和酸性高锰酸钾溶液的反应、乙醇与金属钠的反应、乙醇的氧化反应、比较醋酸与碳酸酸性强弱、生成乙酸乙酯的反应、葡萄糖、淀粉和蛋白质的特征反应、蔗糖的水解反应、含有杂质的工业乙醇的蒸馏、苯甲酸的重结晶、用粉笔分离菠菜叶中的色素、乙炔的实验室制取与性质、苯、甲苯与高锰酸钾的反应、溴乙烷和氢氧化钠的反应、乙醇的消去反应、乙醇与重铬酸钾溶液的反应、苯酚的酸性、苯酚和溴水的反应、乙醛的银镜反应、乙醛与新制氢氧化铜的反应、验证乙酸、碳酸和苯酚溶液的酸性强弱、钠的物理性质、钠的燃烧、加热铝箔、钠与水反应、铁粉与水蒸气反应、铝与盐酸和氢氧化钠溶液反应、过氧化钠与水反应、碳酸钠和碳酸氢钠的性质、焰色试验、氢氧化铝的制取、氢氧化铝的两性、氢氧化铁和氢氧化亚铁的生成、铁离子的检验、铁离子和亚铁离子的转化、铝盐和铁盐的净水作用、硅酸的制取、硅酸钠的防火性质、氢气在氯气中燃烧、氯水的漂白作用、干燥的氯气能否漂白物质、氯离子的检验、二氧化硫的溶解性和漂白性、二氧化氮被水吸收、雨水pH的测定、氨气溶于水的喷泉实验、浓硫酸与铜反应。</w:t>
            </w:r>
          </w:p>
          <w:p w14:paraId="5C832245">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二、软件技术要求</w:t>
            </w:r>
          </w:p>
          <w:p w14:paraId="05EB8E27">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1. 为了提高课堂效率，要求软件在实验操作场景中呈现具体实验步骤，可以随时点击查看，并提供重新开始实验、一键切回操作视角功能，方便老师在不同角度观察实验台后一键切回最佳实验操作视角。</w:t>
            </w:r>
          </w:p>
          <w:p w14:paraId="5C980F73">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2. 软件要在保持既有实验场景内容的前提下，支持通过3D红外眼镜的摘戴实现硬件屏幕的2D/3D出屏效果的切换，且切换后仍可继续进行原有实验步骤的交互操作。支持在3D视角下通过触控笔对实验进行观察和交互式操作。</w:t>
            </w:r>
          </w:p>
          <w:p w14:paraId="4BFDA103">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3. 软件要支持通过触控笔进行实验交互操作，具备良好的交互性，支持用户平移、旋转视角，实现实验空间中上下、左右、前后的空间平移操作。在实验操作中，根据实验的观察需求，支持通过触控笔按钮360度旋转实验台进行观察。</w:t>
            </w:r>
          </w:p>
          <w:p w14:paraId="4623C6AE">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4.软件要满足多种教学场景，包括但不限于：普通PC平面显示输出、沉浸式桌面VR显示输出。软件实验操作既可以通过佩戴3D红外眼镜通过触控笔进行深度交互式操作，同时又可以支持在硬件中通过鼠标独立进行实验交互操作。</w:t>
            </w:r>
          </w:p>
          <w:p w14:paraId="7BE1B649">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5. 以上所有软件功能支持在无互联网环境下正常操作使用。</w:t>
            </w:r>
          </w:p>
          <w:p w14:paraId="0C3C7D27">
            <w:pPr>
              <w:pStyle w:val="18"/>
              <w:rPr>
                <w:rFonts w:hint="eastAsia"/>
                <w:highlight w:val="none"/>
                <w:lang w:val="en-US" w:eastAsia="zh-CN"/>
              </w:rPr>
            </w:pPr>
          </w:p>
          <w:p w14:paraId="6505174A">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高中生物VR实验室软件要求基于桌面级虚拟现实设备，通过VR、AR、MR等技术的集成，让学生进行半沉浸式的体验，方便教师教学管理。</w:t>
            </w:r>
          </w:p>
          <w:p w14:paraId="14F41D03">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一、软件课程内容要求</w:t>
            </w:r>
          </w:p>
          <w:p w14:paraId="72FB783E">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1. 软件要提供与国家课程标准中知识点同步的实验，完整实验数量40个。实验目录页要提供具体实验简介和卡片式多实验展示两种模式，充分呈现课本中的演示实验与学生分组实验。</w:t>
            </w:r>
          </w:p>
          <w:p w14:paraId="57DB489B">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2. 软件内容要支持在实验目录页即可直接查看具体的实验内容简介，可查看的内容简介至少应包含：实验简介、实验目的、实验器材、实验步骤、实验结论、实验原理。方便老师在使用中快速了解具体实验内容，提高老师课堂教学效率。</w:t>
            </w:r>
          </w:p>
          <w:p w14:paraId="48B74DEB">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3. 所有实验支持在任意视角下对实验进行观察和交互式操作。所有实验中的模型为3D高精度模型，实验模型高保真。支持用户从任意视角、任意距离观察实验台；学生能够随时随地验证自己的想法， 无需受到特定的实验室环境和器材限制；</w:t>
            </w:r>
          </w:p>
          <w:p w14:paraId="5E085CFC">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4. 软件提供的中学生物实验内容模块需包含：用高倍显微镜观察真菌细胞、用高倍显微镜观察低等植物细胞、用高倍显微镜观察高等植物细胞、用高倍显微镜观察动物细胞、检测生物组织中的可溶性还原糖、检测生物组织中的蛋白质、检测生物组织中的脂肪、检测生物组织中的淀粉、用高倍显微镜观察叶绿体、用高倍显微镜观察细胞质的流动、尝试制作真核细胞的三维结构模型、探究植物细胞的吸水和失水、比较过氧化氢在不同条件下的分解、探究酶具有高效性、探究淀粉酶对淀粉和蔗糖的水解作用、探究温度对酶活性的影响、探究pH对过氧化氢酶的影响、探究酵母菌细胞呼吸的方式、探究pH对酵母菌无氧呼吸的影响、探究温度对酵母菌无氧呼吸的影响、绿叶中色素的提取和分离、探究不同光质对光合作用强度的影响、探究二氧化碳浓度对光合作用强度的影响、探究光照强度对光合作用强度的影响、观察根尖分生区组织细胞的有丝分裂、细胞大小与物质运输的关系、影响酵母菌无氧呼吸的因素、检测生物组织中的糖类、脂肪和蛋白质、影响酶活性的条件、比较构成人体组织的细胞、植物的光合作用产生淀粉、酒精发酵、使用高倍显微镜观察几种细胞、精子和卵细胞、培养液中酵母菌种群数量的变化、膝跳反射、建立血糖调节的模型、模拟生物体维持pH的稳定、性状分离比的模拟、观察蝗虫精母细胞减数分裂固定装片、建立减数分裂中染色体变化的模型、制作DNA双螺旋结构模型、低温诱导植物染色体数目的变化、21三体综合征和染色体异常的关系。</w:t>
            </w:r>
          </w:p>
          <w:p w14:paraId="15449C12">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二、软件技术要求</w:t>
            </w:r>
          </w:p>
          <w:p w14:paraId="30942257">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1. 为了提高课堂效率，要求软件在实验操作场景中呈现具体实验步骤，可以随时点击查看，并提供重新开始实验、一键切回操作视角功能，方便老师在不同角度观察实验台后一键切回最佳实验操作视角。</w:t>
            </w:r>
          </w:p>
          <w:p w14:paraId="021F2D38">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2. 软件要在保持既有实验场景内容的前提下，支持通过3D红外眼镜的摘戴实现硬件屏幕的2D/3D出屏效果的切换，且切换后仍可继续进行原有实验步骤的交互操作。支持在3D视角下通过触控笔对实验进行观察和交互式操作。</w:t>
            </w:r>
          </w:p>
          <w:p w14:paraId="0D4BC845">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3. 软件要支持通过触控笔进行实验交互操作，具备良好的交互性，支持用户平移、旋转视角，实现实验空间中上下、左右、前后的空间平移操作。在实验操作中，根据实验的观察需求，支持通过触控笔按钮360度旋转实验台进行观察。</w:t>
            </w:r>
          </w:p>
          <w:p w14:paraId="5374F4A6">
            <w:pPr>
              <w:keepNext w:val="0"/>
              <w:keepLines w:val="0"/>
              <w:widowControl/>
              <w:suppressLineNumbers w:val="0"/>
              <w:jc w:val="left"/>
              <w:textAlignment w:val="center"/>
              <w:rPr>
                <w:rStyle w:val="288"/>
                <w:rFonts w:hint="eastAsia" w:ascii="宋体" w:hAnsi="宋体" w:eastAsia="宋体" w:cs="宋体"/>
                <w:color w:val="auto"/>
                <w:sz w:val="21"/>
                <w:szCs w:val="21"/>
                <w:highlight w:val="none"/>
                <w:lang w:val="en-US" w:eastAsia="zh-CN" w:bidi="ar"/>
              </w:rPr>
            </w:pPr>
            <w:r>
              <w:rPr>
                <w:rStyle w:val="288"/>
                <w:rFonts w:hint="eastAsia" w:ascii="宋体" w:hAnsi="宋体" w:eastAsia="宋体" w:cs="宋体"/>
                <w:color w:val="auto"/>
                <w:sz w:val="21"/>
                <w:szCs w:val="21"/>
                <w:highlight w:val="none"/>
                <w:lang w:val="en-US" w:eastAsia="zh-CN" w:bidi="ar"/>
              </w:rPr>
              <w:t>4.软件要满足多种教学场景，包括但不限于：普通PC平面显示输出、沉浸式桌面VR显示输出。软件实验操作既可以通过佩戴3D红外眼镜通过触控笔进行深度交互式操作，同时又可以支持在硬件中通过鼠标独立进行实验交互操作。</w:t>
            </w:r>
          </w:p>
          <w:p w14:paraId="0FAA7A5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288"/>
                <w:rFonts w:hint="eastAsia" w:ascii="宋体" w:hAnsi="宋体" w:eastAsia="宋体" w:cs="宋体"/>
                <w:color w:val="auto"/>
                <w:sz w:val="21"/>
                <w:szCs w:val="21"/>
                <w:highlight w:val="none"/>
                <w:lang w:val="en-US" w:eastAsia="zh-CN" w:bidi="ar"/>
              </w:rPr>
              <w:t>5. 以上所有软件功能支持在无互联网环境下正常操作使用。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8F4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5BB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5C697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108C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12</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5D4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中国语音立体地形图</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E305D">
            <w:pPr>
              <w:keepNext w:val="0"/>
              <w:keepLines w:val="0"/>
              <w:widowControl/>
              <w:numPr>
                <w:ilvl w:val="0"/>
                <w:numId w:val="9"/>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规格：立体模型水平比例尺不低于1：300万；尺寸不小于：2280mm×1680mm；采用PVC材料用模具热压而成，符合环保要求；</w:t>
            </w:r>
          </w:p>
          <w:p w14:paraId="0242104A">
            <w:pPr>
              <w:keepNext w:val="0"/>
              <w:keepLines w:val="0"/>
              <w:widowControl/>
              <w:numPr>
                <w:ilvl w:val="0"/>
                <w:numId w:val="9"/>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 政区图、地形图合二为一，达到地图出版精度，经由专业地图出版社出版；</w:t>
            </w:r>
          </w:p>
          <w:p w14:paraId="639FE16D">
            <w:pPr>
              <w:keepNext w:val="0"/>
              <w:keepLines w:val="0"/>
              <w:widowControl/>
              <w:numPr>
                <w:ilvl w:val="0"/>
                <w:numId w:val="9"/>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 支持汉语、蒙语、藏语、维语及朝鲜语多种民族语言，支持版本：汉语版、蒙-汉版、藏-汉版、维-汉版、鲜-汉版（设备运行只支持一种语言版本，标配为汉语版，其他语言版本在设备出厂前据使用方实际需求而定）。</w:t>
            </w:r>
          </w:p>
          <w:p w14:paraId="3C5A0A1A">
            <w:pPr>
              <w:keepNext w:val="0"/>
              <w:keepLines w:val="0"/>
              <w:widowControl/>
              <w:numPr>
                <w:ilvl w:val="0"/>
                <w:numId w:val="9"/>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 电子点读功能：</w:t>
            </w:r>
          </w:p>
          <w:p w14:paraId="18A9CFBE">
            <w:pPr>
              <w:keepNext w:val="0"/>
              <w:keepLines w:val="0"/>
              <w:widowControl/>
              <w:numPr>
                <w:ilvl w:val="0"/>
                <w:numId w:val="9"/>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 提供无线点读教鞭，要求电子教鞭装有特殊摄像头，具有光学图像识别功能，可识别隐形底码；</w:t>
            </w:r>
          </w:p>
          <w:p w14:paraId="77A2EDAB">
            <w:pPr>
              <w:keepNext w:val="0"/>
              <w:keepLines w:val="0"/>
              <w:widowControl/>
              <w:numPr>
                <w:ilvl w:val="0"/>
                <w:numId w:val="9"/>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 配套音箱上的无线接收器收到无线教鞭发送来的码值信息后，根据程序预先设置好的码值与语音的对应关系，把相应的语音播放出来，对相应内容进行解说。语音内容存放在无线音箱的存储卡中。存储卡使用的是现在通用的SD存储卡，容量大，并可以随时更新语音内容；</w:t>
            </w:r>
          </w:p>
          <w:p w14:paraId="1DA2CE2C">
            <w:pPr>
              <w:keepNext w:val="0"/>
              <w:keepLines w:val="0"/>
              <w:widowControl/>
              <w:numPr>
                <w:ilvl w:val="0"/>
                <w:numId w:val="9"/>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3）如同时配置2套及以上与本设备同品牌的语音立体地形图，使用1套无线点读教鞭及配套音箱即可实现点读播放，无需重复配置。</w:t>
            </w:r>
          </w:p>
          <w:p w14:paraId="6A1A8A03">
            <w:pPr>
              <w:keepNext w:val="0"/>
              <w:keepLines w:val="0"/>
              <w:widowControl/>
              <w:numPr>
                <w:ilvl w:val="0"/>
                <w:numId w:val="9"/>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 地图内容：</w:t>
            </w:r>
          </w:p>
          <w:p w14:paraId="5A1888D6">
            <w:pPr>
              <w:keepNext w:val="0"/>
              <w:keepLines w:val="0"/>
              <w:widowControl/>
              <w:numPr>
                <w:ilvl w:val="0"/>
                <w:numId w:val="9"/>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1）界线包括中国及周边国家的界线（国界），中国各级行政区划的界线（省界）。</w:t>
            </w:r>
          </w:p>
          <w:p w14:paraId="18D145E6">
            <w:pPr>
              <w:keepNext w:val="0"/>
              <w:keepLines w:val="0"/>
              <w:widowControl/>
              <w:numPr>
                <w:ilvl w:val="0"/>
                <w:numId w:val="9"/>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2）行政区划要素包括中国及周边国家的首都、首府，中国各省行政区划的名称、各省行政中心的名称，国内部分重要城市的名称。</w:t>
            </w:r>
          </w:p>
          <w:p w14:paraId="397D4D5C">
            <w:pPr>
              <w:keepNext w:val="0"/>
              <w:keepLines w:val="0"/>
              <w:widowControl/>
              <w:numPr>
                <w:ilvl w:val="0"/>
                <w:numId w:val="9"/>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 地形要素包括中国及周边国家的重要河流、湖泊、山脉、山峰、沙漠、盆地、高原、平原、丘陵、半岛、群岛、岛屿、海洋、海湾、海峡的名称及相关要素。</w:t>
            </w:r>
          </w:p>
          <w:p w14:paraId="0E6AFEC0">
            <w:pPr>
              <w:keepNext w:val="0"/>
              <w:keepLines w:val="0"/>
              <w:widowControl/>
              <w:numPr>
                <w:ilvl w:val="0"/>
                <w:numId w:val="9"/>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 突出表示三大阶梯、四大高原、四大盆地、三大平原自然地理形态，综合表达中国地形的起伏形态和地理特点。</w:t>
            </w:r>
          </w:p>
          <w:p w14:paraId="6A5CC3C3">
            <w:pPr>
              <w:keepNext w:val="0"/>
              <w:keepLines w:val="0"/>
              <w:widowControl/>
              <w:numPr>
                <w:ilvl w:val="0"/>
                <w:numId w:val="9"/>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 分类教学：</w:t>
            </w:r>
          </w:p>
          <w:p w14:paraId="221BFE90">
            <w:pPr>
              <w:keepNext w:val="0"/>
              <w:keepLines w:val="0"/>
              <w:widowControl/>
              <w:numPr>
                <w:ilvl w:val="0"/>
                <w:numId w:val="9"/>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地图上可以按照初中版和高中版本教材资源进行分类教学。</w:t>
            </w:r>
          </w:p>
          <w:p w14:paraId="3A93F7E9">
            <w:pPr>
              <w:keepNext w:val="0"/>
              <w:keepLines w:val="0"/>
              <w:widowControl/>
              <w:numPr>
                <w:ilvl w:val="0"/>
                <w:numId w:val="9"/>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 质量要求：</w:t>
            </w:r>
          </w:p>
          <w:p w14:paraId="3B93BC88">
            <w:pPr>
              <w:keepNext w:val="0"/>
              <w:keepLines w:val="0"/>
              <w:widowControl/>
              <w:numPr>
                <w:ilvl w:val="0"/>
                <w:numId w:val="9"/>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应通过国家具有地图测绘资格的相关部门审核，有唯一审图号。</w:t>
            </w:r>
          </w:p>
          <w:p w14:paraId="5B5A67C9">
            <w:pPr>
              <w:pStyle w:val="18"/>
              <w:numPr>
                <w:ilvl w:val="0"/>
                <w:numId w:val="0"/>
              </w:numPr>
              <w:tabs>
                <w:tab w:val="left" w:pos="567"/>
              </w:tabs>
              <w:rPr>
                <w:rFonts w:hint="eastAsia" w:ascii="宋体" w:hAnsi="宋体" w:eastAsia="宋体" w:cs="宋体"/>
                <w:color w:val="auto"/>
                <w:sz w:val="21"/>
                <w:szCs w:val="21"/>
                <w:highlight w:val="none"/>
              </w:rPr>
            </w:pP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须提供由第三方机构出具的检验检测报告，报告内容须体现相应功能。</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A02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484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324B6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D15E3">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13</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200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世界语音立体地形图</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2177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 规格：立体模型水平比例尺不低于1：1680万；尺寸不小于：2280mm×1680mm；采用PVC材料用模具热压而成，符合环保要求；</w:t>
            </w:r>
          </w:p>
          <w:p w14:paraId="647E5F7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 要求达到地图出版精度，经由专门地图出版社出版；</w:t>
            </w:r>
          </w:p>
          <w:p w14:paraId="09873CF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 支持汉语、蒙语、藏语、维语及朝鲜语多种民族语言，支持版本：汉语版、蒙-汉版、藏-汉版、维-汉版、鲜-汉版（设备运行只支持一种语言版本，标配为汉语版，其他语言版本在设备出厂前据使用方实际需求而定）。</w:t>
            </w:r>
          </w:p>
          <w:p w14:paraId="3594003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 电子点读功能：</w:t>
            </w:r>
          </w:p>
          <w:p w14:paraId="5E7EEFE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 提供无线点读教鞭，电子教鞭装有特殊摄像头，具有光学图像识别功能，可识别隐形底码；</w:t>
            </w:r>
          </w:p>
          <w:p w14:paraId="367A025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 配套音箱上的无线接收器收到无线教鞭发送来的码值信息后，根据程序预先设置好的码值与语音的对应关系，把相应的语音播放出来，对相应内容进行解说。语音内容存放在无线音箱的存储卡中。存储卡使用的是现在通用的SD存储卡，容量大，并可以随时更新语音内容；</w:t>
            </w:r>
          </w:p>
          <w:p w14:paraId="60FCAF8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3）如同时配置2套及以上与本设备同品牌的语音立体地形图，使用1套无线点读教鞭及配套音箱即可实现点读播放，无需重复配置。</w:t>
            </w:r>
          </w:p>
          <w:p w14:paraId="4904C09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 地图内容：</w:t>
            </w:r>
          </w:p>
          <w:p w14:paraId="163BDD9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 世界各大洲的名称、范围、界线。中华人民共和国的名称、范围、界线。世界重要城市的名称、位置。</w:t>
            </w:r>
          </w:p>
          <w:p w14:paraId="26AAC2F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 世界主要海洋、河流、湖泊、山脉、山峰、火山、沙漠、盆地、高原、平原、半岛、群岛、岛屿、海峡、海湾、海岭、海丘、海沟、海盆等地理要素的名称及相关要素。</w:t>
            </w:r>
          </w:p>
          <w:p w14:paraId="17F4693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 世界各国的国旗和面积。</w:t>
            </w:r>
          </w:p>
          <w:p w14:paraId="69E87F9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 突出显示七大洲、四大洋自然地理形态，综合表达世界地形的起伏形态和地理特点。</w:t>
            </w:r>
          </w:p>
          <w:p w14:paraId="63D44C9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 国际日期变更线、北极圈、南极圈、北回归线、南回归线的名称和位置。</w:t>
            </w:r>
          </w:p>
          <w:p w14:paraId="3F695D8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 分类教学：</w:t>
            </w:r>
          </w:p>
          <w:p w14:paraId="4996084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地图上可以按照初中版和高中版本教材资源进行分类教学。</w:t>
            </w:r>
          </w:p>
          <w:p w14:paraId="090A02B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7.质量要求：</w:t>
            </w:r>
          </w:p>
          <w:p w14:paraId="6D02D5A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应通过国家具有地图测绘资格的相关部门审核，有唯一审图号。</w:t>
            </w:r>
          </w:p>
          <w:p w14:paraId="64091F3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须提供由第三方机构出具的检验检测报告，报告内容须体现相应功能。</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053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148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67BC6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5C38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14</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0B8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教师VR操作桌</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710E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1.尺寸：W1600*D700*H1000mm</w:t>
            </w:r>
          </w:p>
          <w:p w14:paraId="34D4C8A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2.材质：刨花板+钢架</w:t>
            </w:r>
          </w:p>
          <w:p w14:paraId="01CC1D7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3.工艺：桌面和台面采用25mm厚环保饰面刨花板，CNC雕刻一体成型，整体板面正负误差在0.3mm以内,PVC同色封边，外侧倒圆角，整体圆润光滑且无任何毛边。钢架尺寸：W950*D640*H700mm（±3mm）</w:t>
            </w:r>
          </w:p>
          <w:p w14:paraId="3845A32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功能：①隐藏式调节机构，台面翻板下带2个液压支撑杆，可调节倾斜角度（0或13°），方便使用者操作；倾斜桌面配金属活动防滑挡尺，上翻时防止台面上物品掉落。②柜体左侧设2个接线口以便强弱电的接入。③推弹式单开门柜，内置优质铰链。④桌脚带2个静音刹车轮，轻松实现移动与固定模式相互切换。⑤桌面下方设钢制挡板，且表面冲小孔，保护使用户隐私且美观大方。⑥柜体内置两块可调节高度的活动层板。</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50A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AF8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5A4B7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4E7F8">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15</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C7B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教师椅</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A3D1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规格：高背转椅</w:t>
            </w:r>
          </w:p>
          <w:p w14:paraId="1CEE79C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表层：优质面料，柔软舒适，透气性强。             </w:t>
            </w:r>
          </w:p>
          <w:p w14:paraId="592CDDC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泡绵：一次成型优质环保PU高弹泡棉，表面涂防老化变形保护膜。</w:t>
            </w:r>
          </w:p>
          <w:p w14:paraId="23DC61F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椅板：依据人体工程学原理设计，板材承受压力达300KG。</w:t>
            </w:r>
          </w:p>
          <w:p w14:paraId="44ADAE1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椅脚：尼龙五星脚</w:t>
            </w:r>
          </w:p>
          <w:p w14:paraId="0DE782A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气压棒：可承受250KG压力。</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4AF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把</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697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278FA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FF2C4">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16</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B4B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学生操作台</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2AC0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参考规格：1800（长）×1000（宽）×760（高）mm </w:t>
            </w:r>
          </w:p>
          <w:p w14:paraId="4D0E0AF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面板：木质面板</w:t>
            </w:r>
          </w:p>
          <w:p w14:paraId="2BF7A0A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钢架：采用优质冷轧钢折弯而成，结构合理，牢固耐用</w:t>
            </w:r>
          </w:p>
          <w:p w14:paraId="334729D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底脚：配可调节金属脚钉，可调节水平</w:t>
            </w:r>
          </w:p>
          <w:p w14:paraId="020D229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结构：组装式钢木结构</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A76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574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r w14:paraId="29624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30208">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17</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076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桌面电源</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A9E7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额定电压:250V,最大功率：2500W；带三孔插口不少于3个。</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EE1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DFD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r>
      <w:tr w14:paraId="5B4C2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35513">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18</w:t>
            </w:r>
          </w:p>
        </w:tc>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43B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升降圆凳</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544A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五爪升降圆凳，凳面采用优质环保材料，螺旋升降。</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1A6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把</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33E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r>
      <w:tr w14:paraId="431D3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138C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19</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4E4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氛围营造</w:t>
            </w:r>
          </w:p>
        </w:tc>
        <w:tc>
          <w:tcPr>
            <w:tcW w:w="3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D29A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含设计、吊顶、地板处理、洗手池、强弱电源、垃圾处理、施工等。</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F38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ED7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bl>
    <w:p w14:paraId="1F089205">
      <w:pPr>
        <w:keepNext w:val="0"/>
        <w:keepLines w:val="0"/>
        <w:widowControl/>
        <w:numPr>
          <w:ilvl w:val="0"/>
          <w:numId w:val="0"/>
        </w:numPr>
        <w:suppressLineNumbers w:val="0"/>
        <w:pBdr>
          <w:left w:val="none" w:color="auto" w:sz="0" w:space="0"/>
        </w:pBdr>
        <w:spacing w:before="0" w:beforeAutospacing="1" w:after="0" w:afterAutospacing="1"/>
        <w:ind w:firstLine="960" w:firstLineChars="400"/>
        <w:rPr>
          <w:rFonts w:hint="default" w:ascii="Segoe UI" w:hAnsi="Segoe UI" w:eastAsia="宋体" w:cs="Segoe UI"/>
          <w:i w:val="0"/>
          <w:iCs w:val="0"/>
          <w:caps w:val="0"/>
          <w:color w:val="000000"/>
          <w:spacing w:val="0"/>
          <w:sz w:val="24"/>
          <w:szCs w:val="24"/>
          <w:highlight w:val="none"/>
          <w:shd w:val="clear" w:fill="FFFFFF"/>
          <w:lang w:val="en-US" w:eastAsia="zh-CN"/>
        </w:rPr>
      </w:pPr>
    </w:p>
    <w:p w14:paraId="593FFB82">
      <w:pPr>
        <w:rPr>
          <w:highlight w:val="none"/>
        </w:rPr>
      </w:pPr>
    </w:p>
    <w:p w14:paraId="0B74FB0E">
      <w:pPr>
        <w:rPr>
          <w:rFonts w:hint="eastAsia" w:ascii="宋体" w:hAnsi="宋体"/>
          <w:bCs/>
          <w:szCs w:val="21"/>
          <w:highlight w:val="none"/>
        </w:rPr>
      </w:pPr>
      <w:r>
        <w:rPr>
          <w:rFonts w:hint="eastAsia" w:ascii="宋体" w:hAnsi="宋体"/>
          <w:bCs/>
          <w:szCs w:val="21"/>
          <w:highlight w:val="none"/>
        </w:rPr>
        <w:br w:type="page"/>
      </w:r>
    </w:p>
    <w:p w14:paraId="2D1E0573">
      <w:pPr>
        <w:adjustRightInd w:val="0"/>
        <w:snapToGrid w:val="0"/>
        <w:spacing w:line="400" w:lineRule="exact"/>
        <w:rPr>
          <w:rFonts w:hint="eastAsia" w:ascii="宋体" w:hAnsi="宋体"/>
          <w:bCs/>
          <w:szCs w:val="21"/>
          <w:highlight w:val="none"/>
        </w:rPr>
      </w:pPr>
      <w:r>
        <w:rPr>
          <w:rFonts w:hint="eastAsia" w:ascii="宋体" w:hAnsi="宋体"/>
          <w:bCs/>
          <w:szCs w:val="21"/>
          <w:highlight w:val="none"/>
        </w:rPr>
        <w:t>标项</w:t>
      </w:r>
      <w:r>
        <w:rPr>
          <w:rFonts w:hint="eastAsia" w:ascii="宋体" w:hAnsi="宋体"/>
          <w:bCs/>
          <w:szCs w:val="21"/>
          <w:highlight w:val="none"/>
          <w:lang w:val="en-US" w:eastAsia="zh-CN"/>
        </w:rPr>
        <w:t>7</w:t>
      </w:r>
      <w:r>
        <w:rPr>
          <w:rFonts w:hint="eastAsia" w:ascii="宋体" w:hAnsi="宋体"/>
          <w:bCs/>
          <w:szCs w:val="21"/>
          <w:highlight w:val="none"/>
        </w:rPr>
        <w:t>：</w:t>
      </w:r>
    </w:p>
    <w:tbl>
      <w:tblPr>
        <w:tblStyle w:val="46"/>
        <w:tblW w:w="0" w:type="auto"/>
        <w:tblInd w:w="-3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36"/>
        <w:gridCol w:w="3003"/>
        <w:gridCol w:w="9557"/>
        <w:gridCol w:w="636"/>
        <w:gridCol w:w="636"/>
      </w:tblGrid>
      <w:tr w14:paraId="0487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0" w:hRule="atLeast"/>
        </w:trPr>
        <w:tc>
          <w:tcPr>
            <w:tcW w:w="0" w:type="auto"/>
            <w:gridSpan w:val="5"/>
            <w:shd w:val="clear" w:color="auto" w:fill="auto"/>
            <w:noWrap/>
            <w:vAlign w:val="center"/>
          </w:tcPr>
          <w:p w14:paraId="60AA5D7A">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音体美设备配置清单</w:t>
            </w:r>
          </w:p>
        </w:tc>
      </w:tr>
      <w:tr w14:paraId="1C64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noWrap/>
            <w:vAlign w:val="center"/>
          </w:tcPr>
          <w:p w14:paraId="435E9C27">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序号</w:t>
            </w:r>
          </w:p>
        </w:tc>
        <w:tc>
          <w:tcPr>
            <w:tcW w:w="0" w:type="auto"/>
            <w:shd w:val="clear" w:color="auto" w:fill="auto"/>
            <w:noWrap/>
            <w:vAlign w:val="center"/>
          </w:tcPr>
          <w:p w14:paraId="522E5301">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分项名称</w:t>
            </w:r>
          </w:p>
        </w:tc>
        <w:tc>
          <w:tcPr>
            <w:tcW w:w="0" w:type="auto"/>
            <w:shd w:val="clear" w:color="auto" w:fill="auto"/>
            <w:noWrap/>
            <w:vAlign w:val="center"/>
          </w:tcPr>
          <w:p w14:paraId="31DDB94A">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参数配置</w:t>
            </w:r>
          </w:p>
        </w:tc>
        <w:tc>
          <w:tcPr>
            <w:tcW w:w="0" w:type="auto"/>
            <w:shd w:val="clear" w:color="auto" w:fill="auto"/>
            <w:noWrap/>
            <w:vAlign w:val="center"/>
          </w:tcPr>
          <w:p w14:paraId="6A4DA834">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单位</w:t>
            </w:r>
          </w:p>
        </w:tc>
        <w:tc>
          <w:tcPr>
            <w:tcW w:w="0" w:type="auto"/>
            <w:shd w:val="clear" w:color="auto" w:fill="auto"/>
            <w:noWrap/>
            <w:vAlign w:val="center"/>
          </w:tcPr>
          <w:p w14:paraId="298459CC">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数量</w:t>
            </w:r>
          </w:p>
        </w:tc>
      </w:tr>
      <w:tr w14:paraId="38B6A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0" w:type="auto"/>
            <w:gridSpan w:val="5"/>
            <w:shd w:val="clear" w:color="auto" w:fill="auto"/>
            <w:noWrap/>
            <w:vAlign w:val="center"/>
          </w:tcPr>
          <w:p w14:paraId="0A05FBB3">
            <w:pPr>
              <w:jc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数字音乐室</w:t>
            </w:r>
          </w:p>
        </w:tc>
      </w:tr>
      <w:tr w14:paraId="37091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0C3539E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c>
          <w:tcPr>
            <w:tcW w:w="0" w:type="auto"/>
            <w:shd w:val="clear" w:color="auto" w:fill="auto"/>
            <w:vAlign w:val="center"/>
          </w:tcPr>
          <w:p w14:paraId="00AAFFE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数字音乐教学仪教学系统</w:t>
            </w:r>
          </w:p>
        </w:tc>
        <w:tc>
          <w:tcPr>
            <w:tcW w:w="0" w:type="auto"/>
            <w:shd w:val="clear" w:color="auto" w:fill="auto"/>
            <w:vAlign w:val="center"/>
          </w:tcPr>
          <w:p w14:paraId="7DE6D40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系统采用账号登录，登录时需要输入账号、密码。登录界面右下角具有客服维信二维码，可直接对话厂家，下述所有功能需在统一软件内实现。</w:t>
            </w:r>
          </w:p>
          <w:p w14:paraId="0AFD45D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系统为保护用户信息、当用户账号异地登录时，用户手机会接收到短信异地登录提示。</w:t>
            </w:r>
          </w:p>
          <w:p w14:paraId="4CACD062">
            <w:pPr>
              <w:pStyle w:val="18"/>
              <w:rPr>
                <w:rFonts w:hint="eastAsia"/>
                <w:highlight w:val="none"/>
                <w:lang w:val="en-US" w:eastAsia="zh-CN"/>
              </w:rPr>
            </w:pPr>
          </w:p>
          <w:p w14:paraId="024FE17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一、创作备课：</w:t>
            </w:r>
          </w:p>
          <w:p w14:paraId="252EF2A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全新开创音乐打谱与PPT模式的结合备课、更加方面、贴切音乐教师的备课习惯。</w:t>
            </w:r>
          </w:p>
          <w:p w14:paraId="012745F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★课件包：可以对应课件包含教学参考、示例课件且可进行再次编辑，方便教师备课。（需在第三方机构出具的测试报告体现此条功能）</w:t>
            </w:r>
          </w:p>
          <w:p w14:paraId="55761CC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1、创作备课支持缩略图多页式备课、根据备课流程可随意调整多页面排列顺序、以及删除任意单页课件。</w:t>
            </w:r>
          </w:p>
          <w:p w14:paraId="7F56564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2、多元素备课：支持五线谱、简谱课件插入文本、形状、图片、音频、视频、修改背景等。</w:t>
            </w:r>
          </w:p>
          <w:p w14:paraId="33614D0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 五线谱、简谱备课中可对单个音符的力度进行调节，调节数值：0-127可选、曲谱播放时对应音符可以不同音量体现。</w:t>
            </w:r>
          </w:p>
          <w:p w14:paraId="22A3F9F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4、五线谱、简谱打谱时具有录制打谱功能，可根据设定节拍、速度进行规范打谱、对应小节未输入音符时系统自动以空拍录入对应小节。 </w:t>
            </w:r>
          </w:p>
          <w:p w14:paraId="5CD7A73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5、支持输入和修改后的五线谱、简谱谱曲一键生成复合钢琴谱表。</w:t>
            </w:r>
          </w:p>
          <w:p w14:paraId="00D444A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6、图文组合：可将插入的文本和图片组合在一起，同时移动位置。</w:t>
            </w:r>
          </w:p>
          <w:p w14:paraId="5BAD956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7、五线谱、简谱备课支持插入范唱、伴唱、唱名等音频文件，可对音频、音符进行同步调节、可设置任意的开始和结束的音符。</w:t>
            </w:r>
          </w:p>
          <w:p w14:paraId="31413DB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8、文本设置：支持文本插入、可对文本的字体、字号、文本框格式、文字颜色、背景颜色、字体粗细等进行设置。</w:t>
            </w:r>
          </w:p>
          <w:p w14:paraId="3231A0C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9、添行功能：支持在添加行超出本页后自动跟进。</w:t>
            </w:r>
          </w:p>
          <w:p w14:paraId="34992F7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 具有文本插入功能：输入字体、字号可自行选择。字间距可在1-10选择、行高可在1-10选择、字体和填充颜色可通过调色盘可鼠标拖动进行颜色选择。</w:t>
            </w:r>
          </w:p>
          <w:p w14:paraId="37F3A00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11、形状素材：包含形状9个、卡通动物7个、小图标7个、柯尔文手势7个、乐器图片49个，可直接插入到课件中。</w:t>
            </w:r>
          </w:p>
          <w:p w14:paraId="01683B6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12、素材库：插入的音乐家、乐器图片，点击图片右上角自动弹出该人物历史介绍、时间、代表作、简介。</w:t>
            </w:r>
          </w:p>
          <w:p w14:paraId="4B86BD6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13、素材库 可以支持图片、音频、视频文字搜索定位选择，进行插入课件，也可直接插入本地资源素材。支持对图片、音频、视频一键收藏，可在我的收藏中查看收藏内容。</w:t>
            </w:r>
          </w:p>
          <w:p w14:paraId="1C354ED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14、课件背景修改支持调用系统自带背景、也可使用其他图片设置为背景。</w:t>
            </w:r>
          </w:p>
          <w:p w14:paraId="3595A8C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15、背景选择：可设置背景网格、网格间距1-20可选，数值越小表格间距越小。</w:t>
            </w:r>
          </w:p>
          <w:p w14:paraId="6FA86E0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16、可以通过色带进行选择，拖动色带进度条颜色也会同步变化，也可一键恢复默认颜色。</w:t>
            </w:r>
          </w:p>
          <w:p w14:paraId="04AD8CF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17、具有打谱自动保存功能，打过程可自动保存，保存时常间隔可选择：30、60、90、120、300秒。</w:t>
            </w:r>
          </w:p>
          <w:p w14:paraId="336255C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18、录制打谱：可以根据节拍自动判定弹奏音符时值，进行打谱，自动切换到下一小节。</w:t>
            </w:r>
          </w:p>
          <w:p w14:paraId="250CFF5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19、输入小键盘1、2、3、4、5、6、7可以输入简谱音符，按住 “Shift”键，选中首尾音符可以选中一段音符，进行复制、粘贴、删除等操作。</w:t>
            </w:r>
          </w:p>
          <w:p w14:paraId="7592863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20、多音打谱、弹奏输入：可以直接输入和弦或弹奏多个音符时在一纵列上面体现</w:t>
            </w:r>
          </w:p>
          <w:p w14:paraId="2585D25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21、快捷功能按键包含：页面漫游、放大、缩小、撤销、恢复、上一页、下一页等操作。</w:t>
            </w:r>
          </w:p>
          <w:p w14:paraId="4FAE70E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22、打谱模式具有标准打谱和自由打谱两种模式，标准打谱在同一小节内只能输入对应的音符、自由模式不限制音符输入。</w:t>
            </w:r>
          </w:p>
          <w:p w14:paraId="5D8A667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23、录制打谱：可以根据节拍自动判定弹奏音符时值，进行打谱，自动切换到下一小节。</w:t>
            </w:r>
          </w:p>
          <w:p w14:paraId="120EFCF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24、支持多声部五线谱、简谱课件制作，每个声部可自定义调号、拍号、反复记号、音色、歌词等，声部间距可选择默认或1-5间距可选。</w:t>
            </w:r>
          </w:p>
          <w:p w14:paraId="4B228E78">
            <w:pPr>
              <w:pStyle w:val="18"/>
              <w:rPr>
                <w:rFonts w:hint="eastAsia"/>
                <w:highlight w:val="none"/>
                <w:lang w:val="en-US" w:eastAsia="zh-CN"/>
              </w:rPr>
            </w:pPr>
          </w:p>
          <w:p w14:paraId="1DC59C6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工具包：</w:t>
            </w:r>
          </w:p>
          <w:p w14:paraId="736C881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工具包功能：包含：可以包含截图、录屏、护眼色、打印、帮助、进度提示（指针、乐谱两种模式）、虚拟键盘、识谱图、幕布等功能。</w:t>
            </w:r>
          </w:p>
          <w:p w14:paraId="14AA29C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1、截图：支持当前功能界面截图、保存到任意路径。</w:t>
            </w:r>
          </w:p>
          <w:p w14:paraId="2BD1620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2、录屏：可讲授课过程、画面、声音进行录制并保存到任意路径。</w:t>
            </w:r>
          </w:p>
          <w:p w14:paraId="7CB5189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3、护眼色：可以具有护眼色功能：打开护眼色后界面会呈现淡黄色。</w:t>
            </w:r>
          </w:p>
          <w:p w14:paraId="043779C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4、课件打印：可讲当前授课见面进行打印。</w:t>
            </w:r>
          </w:p>
          <w:p w14:paraId="6EBFA03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5、节拍机：1、2、3、4、5、6等不同拍型可选、播放音量：1-10可选、播放速度：40-208可选。</w:t>
            </w:r>
          </w:p>
          <w:p w14:paraId="5F3AEAF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6、幕布功能：可以具有幕布功能：打开幕布后，幕布遮盖范围可上下左右四个方向进行调节。</w:t>
            </w:r>
          </w:p>
          <w:p w14:paraId="089FE4A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7、具有指挥视频：包含四二拍、四三拍、四四拍、八六拍等四个指挥视频可选、指挥视频播放倍速：0.5、0.75、1、1.25、1.5、2.0可选，播放音量：0-100可选。</w:t>
            </w:r>
          </w:p>
          <w:p w14:paraId="3B83739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8、五线谱本：打开后已五线谱绿板展现，支持板书授课。</w:t>
            </w:r>
          </w:p>
          <w:p w14:paraId="6D2390F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9、课堂互动：包含大转盘、随机点名、计时器</w:t>
            </w:r>
          </w:p>
          <w:p w14:paraId="7D0442B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9.1、 大转盘：增加学生参与性、可设置大转盘奖项内容、内容选型2-10项可选，点击开始大转盘转动会随机抽到转盘内容。</w:t>
            </w:r>
          </w:p>
          <w:p w14:paraId="4C88B0A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9.2、计时器：可设置倒计时时间、来限制课堂活动的时间。</w:t>
            </w:r>
          </w:p>
          <w:p w14:paraId="4CB87D84">
            <w:pPr>
              <w:pStyle w:val="18"/>
              <w:rPr>
                <w:rFonts w:hint="eastAsia"/>
                <w:highlight w:val="none"/>
                <w:lang w:val="en-US" w:eastAsia="zh-CN"/>
              </w:rPr>
            </w:pPr>
          </w:p>
          <w:p w14:paraId="45DF661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二、授课学习：</w:t>
            </w:r>
          </w:p>
          <w:p w14:paraId="5FD9B77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包含课本课件、教学参考、实例课件、巩固训练等。</w:t>
            </w:r>
          </w:p>
          <w:p w14:paraId="5648787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最近使用功能：最近使用功能，切换其他功能模块后，可直接返回最近一次的教学内容，依然保留板书及各项设置。</w:t>
            </w:r>
          </w:p>
          <w:p w14:paraId="2BAD828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1、运用AI技术支持自动识别谱曲、音符、音高、歌词等进行一键AI女生、童声试唱播放功能。</w:t>
            </w:r>
          </w:p>
          <w:p w14:paraId="3FD5673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2、运用人工智能技术把谱曲进行一键转换为：简线双谱、节奏谱、钢琴谱、生成旋律线、唱名、音名、手势图、强弱对照、歌词拼音等功能。</w:t>
            </w:r>
          </w:p>
          <w:p w14:paraId="66FA7BE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3、支持谱曲一键生成：竖笛、萧、葫芦丝、陶笛等小乐器指法、生成后乐器指法和对应音符上下排列。</w:t>
            </w:r>
          </w:p>
          <w:p w14:paraId="3338288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4、支持原有五线谱一键生成唱名、音名与五线谱音符上下对照排列。</w:t>
            </w:r>
          </w:p>
          <w:p w14:paraId="3AB8648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 支持原有五线谱一键生成科尔文手势图与五线谱音符上下对照排列。</w:t>
            </w:r>
          </w:p>
          <w:p w14:paraId="7CDB11B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 支持插入PPT格式课件、方便教师在同一系统内结合使用系统课件与PPT课件双模式授课。</w:t>
            </w:r>
          </w:p>
          <w:p w14:paraId="1350A52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7、包含缩略图、课件库两部分、缩略图内可以添加新建页、删除页、更换背景颜色、打印。课件库选择教学版本、年级上下册及其他乐谱。</w:t>
            </w:r>
          </w:p>
          <w:p w14:paraId="0F9A98D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可以谱曲播放、男生唱名播放、女生唱名播放、真人唱名、范唱播放、伴奏播放、男声节奏、女声节奏、女声试唱、伴奏+旋律、童声十一种播放模式进行播放及循环播放）9、多声部谱曲支持不同声部音量调节、可关掉一个或多个声部音量、也可单独设定不同声部播放音量，音量可调节范围：0-100之间可选择。</w:t>
            </w:r>
          </w:p>
          <w:p w14:paraId="0907C23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10、曲谱播放：可链接自动演奏钢琴，进行钢琴自动演奏，播放设置可以变调、变速。</w:t>
            </w:r>
          </w:p>
          <w:p w14:paraId="4CFFD42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11、多声部谱曲可通过选择歌词、音符确定播放起始点进行播放。</w:t>
            </w:r>
          </w:p>
          <w:p w14:paraId="1AA0A37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12、对应课件：对应课件包含教学参考、示例课件且支持编辑模式和教学模式，设有巩固训练，更好的实现课堂互动；</w:t>
            </w:r>
          </w:p>
          <w:p w14:paraId="07FEC6E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13、可选择课件的播放的音色，包含直选键：钢琴、小提琴、单簧管、古筝、颤音琴等，之外还有不低于120种音色可选。</w:t>
            </w:r>
          </w:p>
          <w:p w14:paraId="6C33069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14、★授课模式下支持插入PPT格式课件、系统自动区分导航栏显示课本课件、外部课件，实现PPT格式与系统格式和双向授课。（需在第三方检测机构出具的测试报告体现此条功能）</w:t>
            </w:r>
          </w:p>
          <w:p w14:paraId="6616115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15、播放进度提示：可选次指针模式、乐谱音符模式。</w:t>
            </w:r>
          </w:p>
          <w:p w14:paraId="023571B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16、快捷功能按键包含：页面漫游、放大、缩小、撤销、恢复、上一页、下一页等操作。</w:t>
            </w:r>
          </w:p>
          <w:p w14:paraId="2386095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17、 支持五线谱、简谱课件一键互转、并可生成符合钢琴谱表。</w:t>
            </w:r>
          </w:p>
          <w:p w14:paraId="55F4287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18、支持显示虚拟键盘、键位数量：61、88键位可选，并可一键生成虚拟键盘对应的音名、唱名。</w:t>
            </w:r>
          </w:p>
          <w:p w14:paraId="3537C52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19、可将播放的乐曲转换到音乐创作界面进行改编，编辑内容包括：移调、变速、改变音高、歌词等，编辑完成后支持再次播放，编辑后课件可另存为在任意位置。（需在软件测试报告上体现此条参数）</w:t>
            </w:r>
          </w:p>
          <w:p w14:paraId="5F71FEC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20、修改课件的音符音高、歌词、音符力度后均可进行直接播放。</w:t>
            </w:r>
          </w:p>
          <w:p w14:paraId="0A0EA28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21、 最近使用记录功能：系统自动记录近十次打开的课件记录，支持教师选择任一课件进行授课。可直接返回当时的教学内容，依然保留板书及各项设置。</w:t>
            </w:r>
          </w:p>
          <w:p w14:paraId="1BD3191D">
            <w:pPr>
              <w:pStyle w:val="18"/>
              <w:rPr>
                <w:rFonts w:hint="eastAsia"/>
                <w:highlight w:val="none"/>
                <w:lang w:val="en-US" w:eastAsia="zh-CN"/>
              </w:rPr>
            </w:pPr>
          </w:p>
          <w:p w14:paraId="72EE943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三、鉴赏拓展：</w:t>
            </w:r>
          </w:p>
          <w:p w14:paraId="6146037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1.包括5大模块：中国音乐、西方音乐、世界音乐、其它音乐、音乐周边等。</w:t>
            </w:r>
          </w:p>
          <w:p w14:paraId="7BBE011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2.中国音乐不低于190种拓展知识、包括中国乐器、中国歌唱家、中国作词作曲家、中国舞蹈、中国戏曲、中国话剧、中国戏曲等。</w:t>
            </w:r>
          </w:p>
          <w:p w14:paraId="01AAE59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3.西方音乐：不低于190种拓展知识、包括西洋乐器、西方音乐家、西方歌剧、西方指挥家、西方舞蹈、西方乐团等。</w:t>
            </w:r>
          </w:p>
          <w:p w14:paraId="4D4BE79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4.世界音乐：不低于20种拓展知识</w:t>
            </w:r>
          </w:p>
          <w:p w14:paraId="793773A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5.其他音乐：不低于20种拓展知识</w:t>
            </w:r>
          </w:p>
          <w:p w14:paraId="7661AD5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6.音乐周边：不低于20种拓展知识</w:t>
            </w:r>
          </w:p>
          <w:p w14:paraId="2AA640E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 鉴赏拓展内容支持一键文字播放，可进行音量调节。</w:t>
            </w:r>
          </w:p>
          <w:p w14:paraId="7B8A5E1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8.支持使用铅笔、荧光笔书写，可对笔的颜色、粗细进行调节，具有橡皮擦除与全部擦除功能。</w:t>
            </w:r>
          </w:p>
          <w:p w14:paraId="4C89A50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9.可支持PPT、Word、视频、及系统曲谱等文件进行教学，方便教师直接用PPT进行授课。</w:t>
            </w:r>
          </w:p>
          <w:p w14:paraId="5239E9C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10.PPT教学时支持白板书写进行圈画，支持截屏、录屏，节拍机，识谱图，和虚拟键盘配合教师教学使用。</w:t>
            </w:r>
          </w:p>
          <w:p w14:paraId="3F4185E7">
            <w:pPr>
              <w:pStyle w:val="18"/>
              <w:rPr>
                <w:rFonts w:hint="eastAsia"/>
                <w:highlight w:val="none"/>
                <w:lang w:val="en-US" w:eastAsia="zh-CN"/>
              </w:rPr>
            </w:pPr>
          </w:p>
          <w:p w14:paraId="499CBF2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四、动感乐器：</w:t>
            </w:r>
          </w:p>
          <w:p w14:paraId="03BE386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具备架子鼓、电子鼓机、吉他、竖笛、口琴、葫芦丝、哑鼓精灵等乐器</w:t>
            </w:r>
          </w:p>
          <w:p w14:paraId="72F97E79">
            <w:pPr>
              <w:pStyle w:val="18"/>
              <w:rPr>
                <w:rFonts w:hint="eastAsia"/>
                <w:highlight w:val="none"/>
                <w:lang w:val="en-US" w:eastAsia="zh-CN"/>
              </w:rPr>
            </w:pPr>
          </w:p>
          <w:p w14:paraId="736A1D8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A、架子鼓：</w:t>
            </w:r>
          </w:p>
          <w:p w14:paraId="467D3D2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1、包含架子鼓、军乐团、奥夫尔、自由组合四种可选。</w:t>
            </w:r>
          </w:p>
          <w:p w14:paraId="1987C97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2、具有12个彩色立体按键：按键包含：底鼓、军鼓、军鼓边、踩镲合、踩镲开、吊镲、高、中、低嗵鼓、拍手、沙锤、串铃等，敲击对应按键发出对应音色。</w:t>
            </w:r>
          </w:p>
          <w:p w14:paraId="161268F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3、★军乐团具有8个彩色立体按键：按键包含：大鼓、军鼓、大擦、小擦、青年号低音sol、青年号do、青年号mi、青年号sol，敲击对应按键发出对应音色（需在第三方检测机构出具的测试报告体现此条功能）。</w:t>
            </w:r>
          </w:p>
          <w:p w14:paraId="790FE75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4、奥尔夫具有12个彩色立体按键:按键包含：响板、响棒、卡巴萨、三角铁、木鱼、蛙鸣筒、牛铃、串铃、铃鼓、风铃、沙锤、沙弹等，敲击对应按键发出对应音色。</w:t>
            </w:r>
          </w:p>
          <w:p w14:paraId="0045F12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5、自由组合具有12个彩色立体按键:点击对应按钮可以跳出乐器组合从架子鼓、军乐团、奥尔夫中选择对应乐器进行组合。</w:t>
            </w:r>
          </w:p>
          <w:p w14:paraId="0B65B23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6、上下换行：可将上排乐器音色和下方乐器音色对调位置，方便教师切换乐器音色位置。</w:t>
            </w:r>
          </w:p>
          <w:p w14:paraId="3E2F46D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6、可插入音频配乐：演奏音色和配乐同时发声，配乐可显示时常、播放进度，播放进度可通过进度条拖动。</w:t>
            </w:r>
          </w:p>
          <w:p w14:paraId="0F1DD9D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7、音频播放音量与乐器演奏音量可自由调节、音量调节范围：0-100可选。</w:t>
            </w:r>
          </w:p>
          <w:p w14:paraId="4260DEF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8、音频音乐库：包含不低于5首歌曲可选。</w:t>
            </w:r>
          </w:p>
          <w:p w14:paraId="1A13643F">
            <w:pPr>
              <w:pStyle w:val="18"/>
              <w:rPr>
                <w:rFonts w:hint="eastAsia"/>
                <w:highlight w:val="none"/>
                <w:lang w:val="en-US" w:eastAsia="zh-CN"/>
              </w:rPr>
            </w:pPr>
          </w:p>
          <w:p w14:paraId="2C8DD14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B、电子鼓机：</w:t>
            </w:r>
          </w:p>
          <w:p w14:paraId="76B57A8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1、界面具有具有不同的按键对应不同音色，对应音色可进行修改，可进行添加16路音色，每个音色对应16个按键可进行选择，最多可选择252个按键进行合成乐谱。</w:t>
            </w:r>
          </w:p>
          <w:p w14:paraId="24C9FEA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2、类型选择：基本节奏、八六拍、流行、切分节奏、巴萨诺瓦、华尔兹、浩室音乐、深箱、现代模拟等可选。</w:t>
            </w:r>
          </w:p>
          <w:p w14:paraId="6C33F67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3、可选择播放和循环播放，播放速度40-208可选、播放声音0-100可选。</w:t>
            </w:r>
          </w:p>
          <w:p w14:paraId="6F688487">
            <w:pPr>
              <w:pStyle w:val="18"/>
              <w:rPr>
                <w:rFonts w:hint="eastAsia"/>
                <w:highlight w:val="none"/>
                <w:lang w:val="en-US" w:eastAsia="zh-CN"/>
              </w:rPr>
            </w:pPr>
          </w:p>
          <w:p w14:paraId="215B50A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C、吉他：</w:t>
            </w:r>
          </w:p>
          <w:p w14:paraId="22D1C33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1、虚拟吉他和虚拟键盘均可进行弹奏，弹奏虚拟键盘后对应吉他弦位同步高亮显示。</w:t>
            </w:r>
          </w:p>
          <w:p w14:paraId="1BD3761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2、具有26个吉他品格图：点击吉他品格图，虚拟键盘、吉他对应品位同步高亮显示。</w:t>
            </w:r>
          </w:p>
          <w:p w14:paraId="29A06A5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3、标准古典吉他模型可以触摸任意琴弦任意品格进行弹奏，有白色圆点显示。虚拟钢琴键可以对应高亮显示。</w:t>
            </w:r>
          </w:p>
          <w:p w14:paraId="79AAB51C">
            <w:pPr>
              <w:pStyle w:val="18"/>
              <w:rPr>
                <w:rFonts w:hint="eastAsia"/>
                <w:highlight w:val="none"/>
                <w:lang w:val="en-US" w:eastAsia="zh-CN"/>
              </w:rPr>
            </w:pPr>
          </w:p>
          <w:p w14:paraId="6472E52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D、竖笛</w:t>
            </w:r>
          </w:p>
          <w:p w14:paraId="335196E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1、点击3D乐器，跳转出竖笛3D模型，可以拖动进行旋转查看乐器构造，也可一键重置恢复默认位置。</w:t>
            </w:r>
          </w:p>
          <w:p w14:paraId="19D0958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2、弹奏虚拟键盘对应竖笛孔位同步高亮显示。竖笛类型可选择：8孔C调、8孔F调、6孔C调、6孔F调四种可选。</w:t>
            </w:r>
          </w:p>
          <w:p w14:paraId="5A11643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3、对照谱表：可打开指法对照按键，对应谱表自动生成竖笛指法参照，竖笛指法与音符上下排列。</w:t>
            </w:r>
          </w:p>
          <w:p w14:paraId="7E617D8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4、谱曲播放时竖笛孔位、虚拟键盘、音符三位一体高亮显示，也可点击单音进行学习、框选区域播放。</w:t>
            </w:r>
          </w:p>
          <w:p w14:paraId="055FE53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5、竖笛谱曲：演奏时谱表，虚拟键盘、竖笛孔位同步高亮显示，播放速度可选择：0.5、0.75、1、1.25、1.5倍速调节。五线谱谱表、简谱谱表可一键互转。</w:t>
            </w:r>
          </w:p>
          <w:p w14:paraId="6BA3798E">
            <w:pPr>
              <w:pStyle w:val="18"/>
              <w:rPr>
                <w:rFonts w:hint="eastAsia"/>
                <w:highlight w:val="none"/>
                <w:lang w:val="en-US" w:eastAsia="zh-CN"/>
              </w:rPr>
            </w:pPr>
          </w:p>
          <w:p w14:paraId="1364F1B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E、口琴：</w:t>
            </w:r>
          </w:p>
          <w:p w14:paraId="00C0BF2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1、弹奏虚拟键盘对应口琴按键同步高亮显示。具有吹奏提示，点开后对应显示吸、吹提示。</w:t>
            </w:r>
          </w:p>
          <w:p w14:paraId="09C6B01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2、具有口琴谱曲，谱曲播放时虚拟钢琴键位、谱曲、口琴同步高亮显示对应键位。</w:t>
            </w:r>
          </w:p>
          <w:p w14:paraId="5D0F7F3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3、具有口琴视频教程，演示内容谱曲与口琴按键同步显示。</w:t>
            </w:r>
          </w:p>
          <w:p w14:paraId="7AE7765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4、口琴演奏时五线谱谱表、虚拟键盘、口琴孔位同步高亮显示，播放速度可选择：0.5、0.75、1、1.25、1.5倍速调节。五线谱谱表可一键转换为简谱谱表。</w:t>
            </w:r>
          </w:p>
          <w:p w14:paraId="707766D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5、音调设置：五线谱、简谱课件可以进行移调选择15种调式，其中含5种直选键：降全音、降半音、原调（还原）、升半音、升全音。</w:t>
            </w:r>
          </w:p>
          <w:p w14:paraId="103B232F">
            <w:pPr>
              <w:pStyle w:val="18"/>
              <w:rPr>
                <w:rFonts w:hint="eastAsia"/>
                <w:highlight w:val="none"/>
                <w:lang w:val="en-US" w:eastAsia="zh-CN"/>
              </w:rPr>
            </w:pPr>
          </w:p>
          <w:p w14:paraId="764E228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F、葫芦丝：</w:t>
            </w:r>
          </w:p>
          <w:p w14:paraId="689EBE4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1、弹奏虚拟键盘对应葫芦丝按键同步高亮显示。</w:t>
            </w:r>
          </w:p>
          <w:p w14:paraId="5790907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2、具有葫芦丝谱曲，谱曲播放时虚拟钢琴键位、谱曲、口琴同步高亮显示对应键位。</w:t>
            </w:r>
          </w:p>
          <w:p w14:paraId="7D1810B2">
            <w:pPr>
              <w:pStyle w:val="18"/>
              <w:rPr>
                <w:rFonts w:hint="eastAsia"/>
                <w:highlight w:val="none"/>
                <w:lang w:val="en-US" w:eastAsia="zh-CN"/>
              </w:rPr>
            </w:pPr>
          </w:p>
          <w:p w14:paraId="75480C2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五、知识技能</w:t>
            </w:r>
          </w:p>
          <w:p w14:paraId="53E2D5A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1、非洲鼓教学：</w:t>
            </w:r>
          </w:p>
          <w:p w14:paraId="5752FDA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第一部分：第一课  认识非洲鼓   第二课  姿势与低音</w:t>
            </w:r>
          </w:p>
          <w:p w14:paraId="02E16B9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第二部分：第三课  中音     第四课   三拍子</w:t>
            </w:r>
          </w:p>
          <w:p w14:paraId="1D88775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第三部分：第五课  高音    第六课    低 高 低低 高（节奏型）</w:t>
            </w:r>
          </w:p>
          <w:p w14:paraId="537B111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第四部分：第七课  低 高低 低 高（节奏型）  第八课  轻音与八六拍子</w:t>
            </w:r>
          </w:p>
          <w:p w14:paraId="696094E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第五部分：第九课  轻摇滚风    第十课   中国风</w:t>
            </w:r>
          </w:p>
          <w:p w14:paraId="3F78B95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第六部分：第十一课   伦巴    第十二课   四分之一拍</w:t>
            </w:r>
          </w:p>
          <w:p w14:paraId="4975CE6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第七部分：  第十三课  巴萨诺瓦    第十四课   四点奏法</w:t>
            </w:r>
          </w:p>
          <w:p w14:paraId="39AD68C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第八部分：  第十五课  鼓花      第十六课   非洲鼓表演、各式各样的手鼓</w:t>
            </w:r>
          </w:p>
          <w:p w14:paraId="17FDEFA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2、中国音乐：</w:t>
            </w:r>
          </w:p>
          <w:p w14:paraId="5D976CE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第一部分：李叔同    赵元任</w:t>
            </w:r>
          </w:p>
          <w:p w14:paraId="40ECDE5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第二部分：黄自（上）   黄自（下）</w:t>
            </w:r>
          </w:p>
          <w:p w14:paraId="7F28741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第三部分：聂耳（上）   聂耳（中）</w:t>
            </w:r>
          </w:p>
          <w:p w14:paraId="29DA490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第四部分：聂耳（下）  冼星海（上）</w:t>
            </w:r>
          </w:p>
          <w:p w14:paraId="43C4141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第五部分：冼星海（中）   冼星海（下）</w:t>
            </w:r>
          </w:p>
          <w:p w14:paraId="147134D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第六部分：贺绿汀（上）   贺绿汀（下）</w:t>
            </w:r>
          </w:p>
          <w:p w14:paraId="5AC289A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第七部分：刘炽（上）   刘炽（中）</w:t>
            </w:r>
          </w:p>
          <w:p w14:paraId="1AD434F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第八部分：刘炽（下）   西风的话</w:t>
            </w:r>
          </w:p>
          <w:p w14:paraId="5D9484D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第九部分：长恨歌    《卖报歌》</w:t>
            </w:r>
          </w:p>
          <w:p w14:paraId="3774CB1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第十部分：《金蛇狂舞》   《义勇军进行曲》</w:t>
            </w:r>
          </w:p>
          <w:p w14:paraId="075D5F9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第十一部分：《在太行山上》   《黄河大合唱》</w:t>
            </w:r>
          </w:p>
          <w:p w14:paraId="7C653E7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第十二部分：《只怕不抵抗》     《牧童短笛》</w:t>
            </w:r>
          </w:p>
          <w:p w14:paraId="5879A42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第十三部分：《游击队歌》     《我的祖国》</w:t>
            </w:r>
          </w:p>
          <w:p w14:paraId="6287495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第十四部分：《英雄赞歌》   《让我们荡起双桨》</w:t>
            </w:r>
          </w:p>
          <w:p w14:paraId="14C905C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第十五部分：梁祝     古琴（上）</w:t>
            </w:r>
          </w:p>
          <w:p w14:paraId="3A22A08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第十六部分： 古琴（中）     古琴（下）</w:t>
            </w:r>
          </w:p>
          <w:p w14:paraId="681BDB0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第十七部分：琵琶（上）    新翻羽调绿腰</w:t>
            </w:r>
          </w:p>
          <w:p w14:paraId="7FEBD01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第十八部分：琵琶（中）    春江花月夜</w:t>
            </w:r>
          </w:p>
          <w:p w14:paraId="5235C1B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第十九部分：琵琶（下）    草原英雄小姐妹</w:t>
            </w:r>
          </w:p>
          <w:p w14:paraId="66B1755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3、西方音乐：</w:t>
            </w:r>
          </w:p>
          <w:p w14:paraId="1708DC2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第一部分：舒伯特   肖邦（上）</w:t>
            </w:r>
          </w:p>
          <w:p w14:paraId="430AD76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第二部分：肖邦（下）   舒曼</w:t>
            </w:r>
          </w:p>
          <w:p w14:paraId="1DE5E44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第三部分：强力集团（上）   强力集团（中）</w:t>
            </w:r>
          </w:p>
          <w:p w14:paraId="62D66BC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第四部分：强力集团（下）   施特劳斯家族</w:t>
            </w:r>
          </w:p>
          <w:p w14:paraId="1CA0747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第五部分：《C小调“革命”练习曲》    《小狗圆舞曲》</w:t>
            </w:r>
          </w:p>
          <w:p w14:paraId="5B71E66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第六部分：《梦幻曲》     《图画展览会》</w:t>
            </w:r>
          </w:p>
          <w:p w14:paraId="2D6CE1B4">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第七部分：《在中亚细亚草原上》</w:t>
            </w:r>
          </w:p>
        </w:tc>
        <w:tc>
          <w:tcPr>
            <w:tcW w:w="0" w:type="auto"/>
            <w:shd w:val="clear" w:color="auto" w:fill="auto"/>
            <w:vAlign w:val="center"/>
          </w:tcPr>
          <w:p w14:paraId="12FB9C0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shd w:val="clear" w:color="auto" w:fill="auto"/>
            <w:vAlign w:val="center"/>
          </w:tcPr>
          <w:p w14:paraId="4FACBA2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7EA78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572B9FC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 </w:t>
            </w:r>
          </w:p>
        </w:tc>
        <w:tc>
          <w:tcPr>
            <w:tcW w:w="0" w:type="auto"/>
            <w:shd w:val="clear" w:color="auto" w:fill="auto"/>
            <w:vAlign w:val="center"/>
          </w:tcPr>
          <w:p w14:paraId="71F1A6B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功率放大器</w:t>
            </w:r>
          </w:p>
        </w:tc>
        <w:tc>
          <w:tcPr>
            <w:tcW w:w="0" w:type="auto"/>
            <w:shd w:val="clear" w:color="auto" w:fill="auto"/>
            <w:vAlign w:val="center"/>
          </w:tcPr>
          <w:p w14:paraId="5213E3F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一款多功能合并式功率放大器，采用全分离器件、全频带双通道的高保真功率放大系统。</w:t>
            </w:r>
          </w:p>
          <w:p w14:paraId="13ACFB6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本机可接4路话筒输入（其中包含2路有线话筒输入，1路无线话筒输入，1路USB型2.4G无线话筒输入。），3组线路输入，1路定压广播信号输入（可节省一对广播音箱）。</w:t>
            </w:r>
          </w:p>
          <w:p w14:paraId="57AE02F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本机具有一组线路输出，一组录音输出（输出音量独立可调），A+B组功率输出。</w:t>
            </w:r>
          </w:p>
          <w:p w14:paraId="232E422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本机话筒、线路的音量可独立调节，且话筒具有高低音2段均衡，具有环保麦克风插口自带+48V幻像电源。</w:t>
            </w:r>
          </w:p>
          <w:p w14:paraId="52AE430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该机还带有RS232接口，可实现电脑联机或中控控制，带有定压广播信号优先播放功能。本机具有高保真、高清晰、性能稳定可靠等特点，且带有过流、过载、超温、直流保护等功能，可广泛应用于学校、音乐教室、厅堂、中小型会议室等语音扩声场合。 </w:t>
            </w:r>
          </w:p>
          <w:p w14:paraId="77C292C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额定功率 ： 2×110W/8Ω 2×165W/4Ω</w:t>
            </w:r>
          </w:p>
          <w:p w14:paraId="5E3D2E9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1.输出功率 ：2×220W</w:t>
            </w:r>
          </w:p>
          <w:p w14:paraId="0CAA243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2.峰值功率 ：2×300W</w:t>
            </w:r>
          </w:p>
          <w:p w14:paraId="199C988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3.频率响应 ：20Hz-20KHz ±1dB</w:t>
            </w:r>
          </w:p>
          <w:p w14:paraId="7471DD3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4.输入灵敏度 ：话筒 15mv±2mv 线路300mv±30mv</w:t>
            </w:r>
          </w:p>
          <w:p w14:paraId="4F958B4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5.失真度 ：≤0.5%</w:t>
            </w:r>
          </w:p>
          <w:p w14:paraId="60BDD27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6.话筒高低音 ：提衰10dB±2dB</w:t>
            </w:r>
          </w:p>
          <w:p w14:paraId="6DB1C2E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7.幻像电源 ：+48V</w:t>
            </w:r>
          </w:p>
          <w:p w14:paraId="6993D6F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8.额定电源电压 ：交流220V/50Hz</w:t>
            </w:r>
          </w:p>
          <w:p w14:paraId="629B765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9.中控接口 ：RS232</w:t>
            </w:r>
          </w:p>
          <w:p w14:paraId="0F0B4CF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10.整机尺寸 ：480×380×103（mm）</w:t>
            </w:r>
          </w:p>
          <w:p w14:paraId="50540FD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11.最大功率消耗 ：500W</w:t>
            </w:r>
          </w:p>
          <w:p w14:paraId="0C48302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12.净重 ：9.0KG</w:t>
            </w:r>
          </w:p>
        </w:tc>
        <w:tc>
          <w:tcPr>
            <w:tcW w:w="0" w:type="auto"/>
            <w:shd w:val="clear" w:color="auto" w:fill="auto"/>
            <w:vAlign w:val="center"/>
          </w:tcPr>
          <w:p w14:paraId="1437D8D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0" w:type="auto"/>
            <w:shd w:val="clear" w:color="auto" w:fill="auto"/>
            <w:vAlign w:val="center"/>
          </w:tcPr>
          <w:p w14:paraId="05D2D0AC">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 xml:space="preserve">1 </w:t>
            </w:r>
          </w:p>
        </w:tc>
      </w:tr>
      <w:tr w14:paraId="6A9E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13352DD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3 </w:t>
            </w:r>
          </w:p>
        </w:tc>
        <w:tc>
          <w:tcPr>
            <w:tcW w:w="0" w:type="auto"/>
            <w:shd w:val="clear" w:color="auto" w:fill="auto"/>
            <w:vAlign w:val="center"/>
          </w:tcPr>
          <w:p w14:paraId="7413E1D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无线话筒</w:t>
            </w:r>
          </w:p>
        </w:tc>
        <w:tc>
          <w:tcPr>
            <w:tcW w:w="0" w:type="auto"/>
            <w:shd w:val="clear" w:color="auto" w:fill="auto"/>
            <w:vAlign w:val="center"/>
          </w:tcPr>
          <w:p w14:paraId="545C66C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1、国际标准机箱，便于安装；</w:t>
            </w:r>
          </w:p>
          <w:p w14:paraId="65781E7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2、220V电源直接供电，无需电源适配器，消除适配器损坏的影响；</w:t>
            </w:r>
          </w:p>
          <w:p w14:paraId="44143E1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3.电源可级联，多套叠机，只需一路电源输入；</w:t>
            </w:r>
          </w:p>
          <w:p w14:paraId="32BAE92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4、群组功能：机内已预置经计算无互调干扰的多组频点，根据叠机数量的多少和当前环节直接选用对应的群组即可；</w:t>
            </w:r>
          </w:p>
          <w:p w14:paraId="40FAF68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5.SCAN功能，一键扫描无干扰频点，无需繁琐的调节；</w:t>
            </w:r>
          </w:p>
          <w:p w14:paraId="5CDCAB6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6、天线分集式接收及数字导音，杂音锁定双重静音控制技术，接收稳定无杂音；同时，导音可根据需要关闭或打开；</w:t>
            </w:r>
          </w:p>
          <w:p w14:paraId="3AA3A8D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7、面板同步显示RF、AF、群组、频率、电池电量、静噪前度等；</w:t>
            </w:r>
          </w:p>
          <w:p w14:paraId="135E822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8、单键飞梭功能，调节快速方便；</w:t>
            </w:r>
          </w:p>
          <w:p w14:paraId="37EC7C0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9、静噪强度0~25dB分6级可调；</w:t>
            </w:r>
          </w:p>
          <w:p w14:paraId="0F14873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10、天线可级联，多套叠机时可不再使用天线分配器；</w:t>
            </w:r>
          </w:p>
          <w:p w14:paraId="0174B49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11、既支持各路单独输出，也支持混合输出；</w:t>
            </w:r>
          </w:p>
          <w:p w14:paraId="454A063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12、MIC/LINE输出切换，适应性更强；</w:t>
            </w:r>
          </w:p>
          <w:p w14:paraId="686F957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p>
          <w:p w14:paraId="15EAA9A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参数说明：</w:t>
            </w:r>
          </w:p>
          <w:p w14:paraId="6379880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1、频率范围：640.000-690.000MHZ</w:t>
            </w:r>
          </w:p>
          <w:p w14:paraId="721E707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2、接收方式：天线分集</w:t>
            </w:r>
          </w:p>
          <w:p w14:paraId="6F75E4D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3、S/N比：&gt;100dB(A)</w:t>
            </w:r>
          </w:p>
          <w:p w14:paraId="29EBA86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4、频响：80Hz-15kHz</w:t>
            </w:r>
          </w:p>
          <w:p w14:paraId="5D11F87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5、静音控制：0~25dB 6级可调；</w:t>
            </w:r>
          </w:p>
          <w:p w14:paraId="1C4999B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6、天线：50Ω，TNC接头</w:t>
            </w:r>
          </w:p>
          <w:p w14:paraId="3119AAA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7、电源：220V</w:t>
            </w:r>
          </w:p>
        </w:tc>
        <w:tc>
          <w:tcPr>
            <w:tcW w:w="0" w:type="auto"/>
            <w:shd w:val="clear" w:color="auto" w:fill="auto"/>
            <w:vAlign w:val="center"/>
          </w:tcPr>
          <w:p w14:paraId="1B7D853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shd w:val="clear" w:color="auto" w:fill="auto"/>
            <w:vAlign w:val="center"/>
          </w:tcPr>
          <w:p w14:paraId="7C6ECF09">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 xml:space="preserve">1 </w:t>
            </w:r>
          </w:p>
        </w:tc>
      </w:tr>
      <w:tr w14:paraId="7ED5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0C90275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4 </w:t>
            </w:r>
          </w:p>
        </w:tc>
        <w:tc>
          <w:tcPr>
            <w:tcW w:w="0" w:type="auto"/>
            <w:shd w:val="clear" w:color="auto" w:fill="auto"/>
            <w:vAlign w:val="center"/>
          </w:tcPr>
          <w:p w14:paraId="54C6493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音箱</w:t>
            </w:r>
          </w:p>
        </w:tc>
        <w:tc>
          <w:tcPr>
            <w:tcW w:w="0" w:type="auto"/>
            <w:shd w:val="clear" w:color="auto" w:fill="auto"/>
            <w:vAlign w:val="center"/>
          </w:tcPr>
          <w:p w14:paraId="6F9F512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教学音箱配有专业吊挂支架，方便音箱多角度旋转。操作简易快捷、安全可靠；主要用于全音域扩声、语言扩声、会议系统等。</w:t>
            </w:r>
          </w:p>
          <w:p w14:paraId="6A0BF88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箱体表面 采用环保水性漆，防滑、耐磨 。采用钢质防护网，内衬专业声学透声网。箱体采用12mm优质中密度纤维板，强度高、密度大，可以有效的减少箱体谐振。</w:t>
            </w:r>
          </w:p>
          <w:p w14:paraId="14FBD69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SMT-180采用了6.5英寸轻量化大功率、长冲程Ferrite低音驱动单元和1英寸丝膜高音单元；120°×120°覆盖角设计，具有均匀且平滑的轴向和偏轴向的响应，使声音的音场更为开阔、结像清晰。精确设计的分频器优化了频率响应，提升了中频人声表现力，且具有高频保护电路。</w:t>
            </w:r>
          </w:p>
          <w:p w14:paraId="33E96CA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技术参数</w:t>
            </w:r>
          </w:p>
          <w:p w14:paraId="776E1DB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1、额定/峰值功率：   80W /320 W  </w:t>
            </w:r>
          </w:p>
          <w:p w14:paraId="164DB17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2、额定阻抗：      8Ω</w:t>
            </w:r>
          </w:p>
          <w:p w14:paraId="5E19C4C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3、特性灵敏度：     91dB/W/m</w:t>
            </w:r>
          </w:p>
          <w:p w14:paraId="02EF5F6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4、输出声压级：     110dB/W/m(Continues)；116 dB/W/m(Peak)</w:t>
            </w:r>
          </w:p>
          <w:p w14:paraId="3716D96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5、额定频率范围:     65 ~ 20000Hz</w:t>
            </w:r>
          </w:p>
          <w:p w14:paraId="702E17C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6、覆盖角度H×V：    120º×120º</w:t>
            </w:r>
          </w:p>
          <w:p w14:paraId="2BCCCCC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7、扬声器单元：    LF:6.5 英寸   HF: 1英寸丝膜高音</w:t>
            </w:r>
          </w:p>
          <w:p w14:paraId="243123D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8、箱体材料：      12mm中密度纤维板</w:t>
            </w:r>
          </w:p>
          <w:p w14:paraId="3B116EC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9、输入接口：      压缩式接插座  </w:t>
            </w:r>
          </w:p>
          <w:p w14:paraId="292EA9F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10、吊挂点：       多点M8 螺丝吊装孔位</w:t>
            </w:r>
          </w:p>
          <w:p w14:paraId="696E83F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11、箱体尺寸(mm)：    约396(H)×230 (W)×200(D)</w:t>
            </w:r>
          </w:p>
        </w:tc>
        <w:tc>
          <w:tcPr>
            <w:tcW w:w="0" w:type="auto"/>
            <w:shd w:val="clear" w:color="auto" w:fill="auto"/>
            <w:vAlign w:val="center"/>
          </w:tcPr>
          <w:p w14:paraId="0AF304C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对</w:t>
            </w:r>
          </w:p>
        </w:tc>
        <w:tc>
          <w:tcPr>
            <w:tcW w:w="0" w:type="auto"/>
            <w:shd w:val="clear" w:color="auto" w:fill="auto"/>
            <w:vAlign w:val="center"/>
          </w:tcPr>
          <w:p w14:paraId="78A6C48D">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 xml:space="preserve">1 </w:t>
            </w:r>
          </w:p>
        </w:tc>
      </w:tr>
      <w:tr w14:paraId="35606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54FBF90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5 </w:t>
            </w:r>
          </w:p>
        </w:tc>
        <w:tc>
          <w:tcPr>
            <w:tcW w:w="0" w:type="auto"/>
            <w:shd w:val="clear" w:color="auto" w:fill="auto"/>
            <w:vAlign w:val="center"/>
          </w:tcPr>
          <w:p w14:paraId="56BDA5E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机柜</w:t>
            </w:r>
          </w:p>
        </w:tc>
        <w:tc>
          <w:tcPr>
            <w:tcW w:w="0" w:type="auto"/>
            <w:shd w:val="clear" w:color="auto" w:fill="auto"/>
            <w:vAlign w:val="center"/>
          </w:tcPr>
          <w:p w14:paraId="575100D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1、材料采用优质冷轧钢板，表面处理采用脱脂、酸洗、磷化、静电喷塑；</w:t>
            </w:r>
          </w:p>
          <w:p w14:paraId="5C44514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2、柜尺寸约1000mm，颜色黑色。</w:t>
            </w:r>
          </w:p>
        </w:tc>
        <w:tc>
          <w:tcPr>
            <w:tcW w:w="0" w:type="auto"/>
            <w:shd w:val="clear" w:color="auto" w:fill="auto"/>
            <w:vAlign w:val="center"/>
          </w:tcPr>
          <w:p w14:paraId="5FCF5AC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7A821DE4">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 xml:space="preserve">1 </w:t>
            </w:r>
          </w:p>
        </w:tc>
      </w:tr>
      <w:tr w14:paraId="3F8D1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48BE2AF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6 </w:t>
            </w:r>
          </w:p>
        </w:tc>
        <w:tc>
          <w:tcPr>
            <w:tcW w:w="0" w:type="auto"/>
            <w:shd w:val="clear" w:color="auto" w:fill="auto"/>
            <w:vAlign w:val="center"/>
          </w:tcPr>
          <w:p w14:paraId="35C55E6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电钢琴</w:t>
            </w:r>
            <w:r>
              <w:rPr>
                <w:rFonts w:hint="eastAsia" w:ascii="宋体" w:hAnsi="宋体" w:cs="宋体"/>
                <w:i w:val="0"/>
                <w:iCs w:val="0"/>
                <w:color w:val="000000"/>
                <w:kern w:val="0"/>
                <w:sz w:val="21"/>
                <w:szCs w:val="21"/>
                <w:highlight w:val="none"/>
                <w:u w:val="none"/>
                <w:lang w:val="en-US" w:eastAsia="zh-CN" w:bidi="ar"/>
              </w:rPr>
              <w:t>（核心产品）</w:t>
            </w:r>
          </w:p>
        </w:tc>
        <w:tc>
          <w:tcPr>
            <w:tcW w:w="0" w:type="auto"/>
            <w:shd w:val="clear" w:color="auto" w:fill="auto"/>
            <w:vAlign w:val="center"/>
          </w:tcPr>
          <w:p w14:paraId="0713CC5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1.课件资源1：具有正版版权人音社1-9年级课件示范区≥180首 </w:t>
            </w:r>
          </w:p>
          <w:p w14:paraId="1A583BC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2.课件资源2：包含车尔尼849和车尔尼599钢琴练习曲曲目≥30首 </w:t>
            </w:r>
          </w:p>
          <w:p w14:paraId="765B3B2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3.外形：标准电钢琴，胡桃木纹PVC，滑动键盖、键盘：88键逐级配重重锤钢琴键盘</w:t>
            </w:r>
          </w:p>
          <w:p w14:paraId="0CA69AA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4.显示：点阵式液晶显示屏 (128px*64px)</w:t>
            </w:r>
          </w:p>
          <w:p w14:paraId="6E5EC69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5.复音数：≥256</w:t>
            </w:r>
          </w:p>
          <w:p w14:paraId="35C0664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6.示范曲：≥60首示范曲 （包含慷懒的小鸟、漂浮空中、有生气的快板、不停息的加洛普舞曲等60首） </w:t>
            </w:r>
          </w:p>
          <w:p w14:paraId="7F7170B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7.触键力度：3 种标准钢琴力度曲线，轻、重、标准， 触感灵敏度调节 </w:t>
            </w:r>
          </w:p>
          <w:p w14:paraId="613269F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8.音色：300 种音色 （包含民族乐器音色：古筝、古琴、马头琴、西塔琴、荜篥、磬、埙、排萧等300种）</w:t>
            </w:r>
          </w:p>
          <w:p w14:paraId="19AFFCD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9.音色效果：6种混响效果，6种合唱效果 </w:t>
            </w:r>
          </w:p>
          <w:p w14:paraId="5DB4652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10.录音功能：单曲最大 6000 音符 </w:t>
            </w:r>
          </w:p>
          <w:p w14:paraId="0A4D961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11.音色控制：三角大钢琴音色， 双音色， 双键盘（可调分离点） </w:t>
            </w:r>
          </w:p>
          <w:p w14:paraId="20AB4EF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12.双音色：双钢琴音色，用户编辑多重组合音色 </w:t>
            </w:r>
          </w:p>
          <w:p w14:paraId="48B129E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13.键盘分离：双钢琴、弦乐重奏、管乐合奏、钢琴+弦乐、吉他 </w:t>
            </w:r>
          </w:p>
          <w:p w14:paraId="337D40C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14.移调：25档， (0, 土 12) </w:t>
            </w:r>
          </w:p>
          <w:p w14:paraId="4EB0C8F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15.节拍器：内置节拍器，包含6种不同类型拍号（1/4、2/4、3/4、4/4、3/8、6/8、9/8）</w:t>
            </w:r>
          </w:p>
          <w:p w14:paraId="73FDEFE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16.接口1：J45网络接口、USB、MIDI计算机接口。 </w:t>
            </w:r>
          </w:p>
          <w:p w14:paraId="1E8C6DE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17.接口2：踏板接口，电源接口, 立体声线路输入/输出 </w:t>
            </w:r>
          </w:p>
          <w:p w14:paraId="32C60BA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18.踏板功能：弱音踏板、延音踏板、制音踏板，仿传统大三角钢琴踏板功能 </w:t>
            </w:r>
          </w:p>
          <w:p w14:paraId="0DEE1C0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19.音响系统：立体声双喇叭音响系统，功率：18*2W </w:t>
            </w:r>
          </w:p>
          <w:p w14:paraId="5EA0277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20.电源：DC1 6V /2600mA </w:t>
            </w:r>
          </w:p>
          <w:p w14:paraId="47A83C3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21.尺寸：长*宽*高：1380*440*830mm±10mm。 </w:t>
            </w:r>
          </w:p>
          <w:p w14:paraId="4D8B066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23.配件：电源适配器、保修卡、合格证书、使用说明书</w:t>
            </w:r>
          </w:p>
          <w:p w14:paraId="733FF0F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24.耳机接口：方便双人使用在电钢琴左右两侧各配备3.5音频输出、输入口一对</w:t>
            </w:r>
          </w:p>
          <w:p w14:paraId="61011EF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25.★声学品质：全音域音准误差≤±3音分；相邻两键音准误差之差≤3音分；质量符合QB/T 1477-2012相关要求。（需在第三方检测机构出具测试报告体现此条功能）</w:t>
            </w:r>
          </w:p>
          <w:p w14:paraId="598A144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26.★演奏性能：白键下沉偏差≤1.0mm；相邻两白键高度偏差≤0.5mm；全键盘白键表面高度误差≤2.0mm（需在第三方检测机构出具的软件测试报告体现此条功能）</w:t>
            </w:r>
          </w:p>
        </w:tc>
        <w:tc>
          <w:tcPr>
            <w:tcW w:w="0" w:type="auto"/>
            <w:shd w:val="clear" w:color="auto" w:fill="auto"/>
            <w:vAlign w:val="center"/>
          </w:tcPr>
          <w:p w14:paraId="5FA962E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0" w:type="auto"/>
            <w:shd w:val="clear" w:color="auto" w:fill="auto"/>
            <w:vAlign w:val="center"/>
          </w:tcPr>
          <w:p w14:paraId="6D9C825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15561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2FD7575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7 </w:t>
            </w:r>
          </w:p>
        </w:tc>
        <w:tc>
          <w:tcPr>
            <w:tcW w:w="0" w:type="auto"/>
            <w:shd w:val="clear" w:color="auto" w:fill="auto"/>
            <w:vAlign w:val="center"/>
          </w:tcPr>
          <w:p w14:paraId="6E9CBE7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音乐教学挂图</w:t>
            </w:r>
          </w:p>
        </w:tc>
        <w:tc>
          <w:tcPr>
            <w:tcW w:w="0" w:type="auto"/>
            <w:shd w:val="clear" w:color="auto" w:fill="auto"/>
            <w:vAlign w:val="center"/>
          </w:tcPr>
          <w:p w14:paraId="00F2094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铜版纸彩色印刷，规格：740×520mm，全对开。小学音乐挂图含音乐家挂图25张，乐器挂图35张，识谱知识挂图10张，</w:t>
            </w:r>
          </w:p>
          <w:p w14:paraId="5E74CF3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含中国音乐家：</w:t>
            </w:r>
          </w:p>
          <w:p w14:paraId="7638E07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赵元任、刘天华、贺渌汀、黄 自、冼星海、丁善德、聂耳、马思聪、</w:t>
            </w:r>
          </w:p>
          <w:p w14:paraId="7A1F66D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外国音乐家；约翰•塞巴斯蒂安•巴赫、乔治•弗里德里希•亨德尔、约瑟夫•海顿、沃尔夫冈•阿玛多伊斯•莫扎特、路德维希•冯•貝多芬、弗朗兹•彼得•舒伯特、弗雷德里克•弗朗西斯克•肖邦、罗伯特•舒曼、朱塞佩•威尔第、约翰•施特劳斯、约翰内斯•勃拉姆斯、夏尔•卡米尔•圣桑、乔治•比才、彼得•伊里奇•柴科夫斯基、爱德华•格里格、克罗德•德彪西、德米特里•肖斯塔科维奇、民族乐器；二胡、京胡、笛、唢呐、笙、琵琶、柳琴、阮、扬琴、筝、古琴、埙、云锣、我国少数民族乐器：马头琴、艾捷克、冬不拉、芦笙、巴乌、札木聂、伽倻琴、西洋乐器：小提琴、中提琴、大提琴、提琴家族、长笛、单簧管、双簧管、大管、小号、长号、圆号、大号、萨克斯管 、民族管弦乐队、西洋管弦乐队</w:t>
            </w:r>
          </w:p>
          <w:p w14:paraId="6051E23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乐理部分；五线谱、谱号、谱表、音名与长鸣、音符与休止符、拍子与拍号、三连音与切分音、装饰音、音阶与调式、音程、常用记号、常见的歌曲基本结构。</w:t>
            </w:r>
          </w:p>
        </w:tc>
        <w:tc>
          <w:tcPr>
            <w:tcW w:w="0" w:type="auto"/>
            <w:shd w:val="clear" w:color="auto" w:fill="auto"/>
            <w:vAlign w:val="center"/>
          </w:tcPr>
          <w:p w14:paraId="2DFF4F6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shd w:val="clear" w:color="auto" w:fill="auto"/>
            <w:vAlign w:val="center"/>
          </w:tcPr>
          <w:p w14:paraId="5A8EC6A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2C2A4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4F99563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8 </w:t>
            </w:r>
          </w:p>
        </w:tc>
        <w:tc>
          <w:tcPr>
            <w:tcW w:w="0" w:type="auto"/>
            <w:shd w:val="clear" w:color="auto" w:fill="auto"/>
            <w:vAlign w:val="center"/>
          </w:tcPr>
          <w:p w14:paraId="0C68D0BA">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音乐欣赏教学曲</w:t>
            </w:r>
          </w:p>
          <w:p w14:paraId="5F392A8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库</w:t>
            </w:r>
          </w:p>
        </w:tc>
        <w:tc>
          <w:tcPr>
            <w:tcW w:w="0" w:type="auto"/>
            <w:shd w:val="clear" w:color="auto" w:fill="auto"/>
            <w:vAlign w:val="center"/>
          </w:tcPr>
          <w:p w14:paraId="1EB0993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本套音乐教学欣赏曲库的音源由中国唱片总公司提供，并承担母带制作，所有资料均为正版。一些年代久远的珍贵录音都利用现代技术进行了降噪处理，具有极高的欣赏价值。随曲库光盘附赠曲目内容说明，有助于对曲目的理解和欣赏。</w:t>
            </w:r>
          </w:p>
          <w:p w14:paraId="4D7B549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小学部分的内容以形象化的标题为线索。从音乐启蒙开始，进而介绍描写身边自然景观和生活场景的音乐，遵循由易到难的规律编排，曲目的选择注意童趣和形象化，如可爱的动物、美丽的大自然、奇妙的幻想天地、有趣的音乐童话等。</w:t>
            </w:r>
          </w:p>
          <w:p w14:paraId="6A6D2DD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第一碟：音乐启蒙 第二碟：场景音乐之一</w:t>
            </w:r>
          </w:p>
          <w:p w14:paraId="459D878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第三碟：场景音乐之二 第四碟：可爱的动物之一</w:t>
            </w:r>
          </w:p>
          <w:p w14:paraId="30CDAB8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第五碟：可爱的动物之二 第六碟：美丽的大自然之一</w:t>
            </w:r>
          </w:p>
          <w:p w14:paraId="67AF8CB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第七碟：美丽的大自然之二 第八碟：多彩的四季</w:t>
            </w:r>
          </w:p>
          <w:p w14:paraId="308A8D8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第九碟：优美的旋律 第十碟：充满活力的舞曲和进行曲之一</w:t>
            </w:r>
          </w:p>
          <w:p w14:paraId="56653B4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第十一碟：充满活力的舞曲和进行曲之二 第十二碟：温馨的家庭</w:t>
            </w:r>
          </w:p>
          <w:p w14:paraId="2E33000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第十三碟：奇妙的幻想天地 第十四碟：有趣的童话</w:t>
            </w:r>
          </w:p>
          <w:p w14:paraId="2501D99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第十五碟：伟大的祖国之一 第十六碟：伟大的祖国之二</w:t>
            </w:r>
          </w:p>
          <w:p w14:paraId="532394E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第十七碟：丰富的民间音乐民歌 第十八碟：丰富的民间音乐曲艺与民间器乐</w:t>
            </w:r>
          </w:p>
          <w:p w14:paraId="36B47B5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第十九碟：丰富的民间音乐戏曲音乐 第二十碟：丰富的民间音乐外国民歌</w:t>
            </w:r>
          </w:p>
          <w:p w14:paraId="57D49124">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第二十一碟：丰富的民间音乐外国民间乐曲</w:t>
            </w:r>
          </w:p>
        </w:tc>
        <w:tc>
          <w:tcPr>
            <w:tcW w:w="0" w:type="auto"/>
            <w:shd w:val="clear" w:color="auto" w:fill="auto"/>
            <w:vAlign w:val="center"/>
          </w:tcPr>
          <w:p w14:paraId="28FD330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shd w:val="clear" w:color="auto" w:fill="auto"/>
            <w:vAlign w:val="center"/>
          </w:tcPr>
          <w:p w14:paraId="2AD76CD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5F91B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552C157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9 </w:t>
            </w:r>
          </w:p>
        </w:tc>
        <w:tc>
          <w:tcPr>
            <w:tcW w:w="0" w:type="auto"/>
            <w:shd w:val="clear" w:color="auto" w:fill="auto"/>
            <w:vAlign w:val="center"/>
          </w:tcPr>
          <w:p w14:paraId="11CB243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音叉</w:t>
            </w:r>
          </w:p>
        </w:tc>
        <w:tc>
          <w:tcPr>
            <w:tcW w:w="0" w:type="auto"/>
            <w:shd w:val="clear" w:color="auto" w:fill="auto"/>
            <w:vAlign w:val="center"/>
          </w:tcPr>
          <w:p w14:paraId="121B7AB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材质：钢、木</w:t>
            </w:r>
          </w:p>
          <w:p w14:paraId="0F6C538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尺寸：共振盒约12*9.3*5cm，音叉约13cm</w:t>
            </w:r>
          </w:p>
          <w:p w14:paraId="0BB8E6D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表面：环保漆、音叉电镀工艺</w:t>
            </w:r>
          </w:p>
          <w:p w14:paraId="6ADD5B8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配件：打锤</w:t>
            </w:r>
          </w:p>
          <w:p w14:paraId="6500964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使用方法：将音叉柄插在共鸣箱插座上，用橡皮击槌或其他富有弹性的物体敲击音叉。</w:t>
            </w:r>
          </w:p>
          <w:p w14:paraId="21C4616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注意事项：不可用硬质物体或在桌边敲击，因为在此等情况下，可能发出大量副波。音叉使用后应以软布片揩清洁、并全面涂上防锈油，储藏于干燥处，以防生锈。</w:t>
            </w:r>
          </w:p>
        </w:tc>
        <w:tc>
          <w:tcPr>
            <w:tcW w:w="0" w:type="auto"/>
            <w:shd w:val="clear" w:color="auto" w:fill="auto"/>
            <w:vAlign w:val="center"/>
          </w:tcPr>
          <w:p w14:paraId="69F1AB1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258E410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6813C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58538D4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10 </w:t>
            </w:r>
          </w:p>
        </w:tc>
        <w:tc>
          <w:tcPr>
            <w:tcW w:w="0" w:type="auto"/>
            <w:shd w:val="clear" w:color="auto" w:fill="auto"/>
            <w:vAlign w:val="center"/>
          </w:tcPr>
          <w:p w14:paraId="4E2C80D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节拍器</w:t>
            </w:r>
          </w:p>
        </w:tc>
        <w:tc>
          <w:tcPr>
            <w:tcW w:w="0" w:type="auto"/>
            <w:shd w:val="clear" w:color="auto" w:fill="auto"/>
            <w:vAlign w:val="center"/>
          </w:tcPr>
          <w:p w14:paraId="0FAFF50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1.节拍速度：40-208拍/分</w:t>
            </w:r>
          </w:p>
          <w:p w14:paraId="5A0330C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2.拍子型：0、2、3、4、6五种选择。</w:t>
            </w:r>
          </w:p>
          <w:p w14:paraId="2616714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3.节拍音色：机械声</w:t>
            </w:r>
          </w:p>
          <w:p w14:paraId="21C179D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4.尺寸：110*110*220mm</w:t>
            </w:r>
          </w:p>
          <w:p w14:paraId="344C343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5.颜色：黑</w:t>
            </w:r>
          </w:p>
          <w:p w14:paraId="3A59BE43">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6.结构：金属大机芯。</w:t>
            </w:r>
          </w:p>
        </w:tc>
        <w:tc>
          <w:tcPr>
            <w:tcW w:w="0" w:type="auto"/>
            <w:shd w:val="clear" w:color="auto" w:fill="auto"/>
            <w:vAlign w:val="center"/>
          </w:tcPr>
          <w:p w14:paraId="74EC74D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450DC60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0EDFE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09D2B29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11 </w:t>
            </w:r>
          </w:p>
        </w:tc>
        <w:tc>
          <w:tcPr>
            <w:tcW w:w="0" w:type="auto"/>
            <w:shd w:val="clear" w:color="auto" w:fill="auto"/>
            <w:vAlign w:val="center"/>
          </w:tcPr>
          <w:p w14:paraId="3CC705A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多用划线规</w:t>
            </w:r>
          </w:p>
        </w:tc>
        <w:tc>
          <w:tcPr>
            <w:tcW w:w="0" w:type="auto"/>
            <w:shd w:val="clear" w:color="auto" w:fill="auto"/>
            <w:vAlign w:val="center"/>
          </w:tcPr>
          <w:p w14:paraId="4D09B21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尺寸：约120*100mm</w:t>
            </w:r>
          </w:p>
          <w:p w14:paraId="39C4A8B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材质：塑料</w:t>
            </w:r>
          </w:p>
          <w:p w14:paraId="4ECE0AE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用途：多用.可画五线,四字格,圆.能在黑板上划四线格、五线格、小方格、田字格、画圆、几何图形等</w:t>
            </w:r>
          </w:p>
        </w:tc>
        <w:tc>
          <w:tcPr>
            <w:tcW w:w="0" w:type="auto"/>
            <w:shd w:val="clear" w:color="auto" w:fill="auto"/>
            <w:vAlign w:val="center"/>
          </w:tcPr>
          <w:p w14:paraId="7E37AA3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shd w:val="clear" w:color="auto" w:fill="auto"/>
            <w:vAlign w:val="center"/>
          </w:tcPr>
          <w:p w14:paraId="586A059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 </w:t>
            </w:r>
          </w:p>
        </w:tc>
      </w:tr>
      <w:tr w14:paraId="0139A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709967B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12 </w:t>
            </w:r>
          </w:p>
        </w:tc>
        <w:tc>
          <w:tcPr>
            <w:tcW w:w="0" w:type="auto"/>
            <w:shd w:val="clear" w:color="auto" w:fill="auto"/>
            <w:vAlign w:val="center"/>
          </w:tcPr>
          <w:p w14:paraId="09FA6A4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五线谱识读教具（教师）</w:t>
            </w:r>
          </w:p>
        </w:tc>
        <w:tc>
          <w:tcPr>
            <w:tcW w:w="0" w:type="auto"/>
            <w:shd w:val="clear" w:color="auto" w:fill="auto"/>
            <w:vAlign w:val="center"/>
          </w:tcPr>
          <w:p w14:paraId="290D6E5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★包含：节奏卡、五线谱磁力板、音符、磁力音符（需在第三方检测机构出具的检测报告中体现此条功能）。</w:t>
            </w:r>
          </w:p>
          <w:p w14:paraId="7F6EE2C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一、节奏卡：</w:t>
            </w:r>
          </w:p>
          <w:p w14:paraId="18406DC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1、材质：磁性底材，可直接吸附在黑板、绿板等铁质物品上。</w:t>
            </w:r>
          </w:p>
          <w:p w14:paraId="2CDE3EB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2、尺寸、数量：单个卡片尺寸不小于78*78mm、正反面均由音符、一套的数量18个、正反数量相加不低于34个。</w:t>
            </w:r>
          </w:p>
          <w:p w14:paraId="7DCFCDD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3、包含：四分音符、八分音符、十六分音符、前八后十六音符、前十六后八音符、切分音音符、前附点音符、三连音音符、后附点音符等。</w:t>
            </w:r>
          </w:p>
          <w:p w14:paraId="7A98E96A">
            <w:pPr>
              <w:pStyle w:val="18"/>
              <w:rPr>
                <w:rFonts w:hint="eastAsia"/>
                <w:highlight w:val="none"/>
                <w:lang w:val="en-US" w:eastAsia="zh-CN"/>
              </w:rPr>
            </w:pPr>
          </w:p>
          <w:p w14:paraId="287EC80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二、五线谱磁力板：</w:t>
            </w:r>
          </w:p>
          <w:p w14:paraId="1732969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1、材质：磁性底材，可直接吸附在黑板、绿板等铁质物品上。</w:t>
            </w:r>
          </w:p>
          <w:p w14:paraId="186D2C2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2、尺寸：不小于1250*140mm，共一张、切3等分、对应音符卡片可直接吸附在五线谱磁力板上进行讲解。</w:t>
            </w:r>
          </w:p>
          <w:p w14:paraId="4FC8BA39">
            <w:pPr>
              <w:pStyle w:val="18"/>
              <w:rPr>
                <w:rFonts w:hint="eastAsia"/>
                <w:highlight w:val="none"/>
                <w:lang w:val="en-US" w:eastAsia="zh-CN"/>
              </w:rPr>
            </w:pPr>
          </w:p>
          <w:p w14:paraId="634F6C2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三、磁力音符：</w:t>
            </w:r>
          </w:p>
          <w:p w14:paraId="071A4B8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音符包含：全音符、二分音符、四分音符、八分音符、十六分音符、附点、四分休止符、八分休止符、十六分休止符、高音谱号、低音谱号、强记号、升音记号、降音记号、还原记号、保持音、反复记号、弱记号、三连音、前八后十六音符、后附点音符、前附点音符、前十六后八音符、切分音音符、八分音符、十六分音符、小节线等。</w:t>
            </w:r>
          </w:p>
          <w:p w14:paraId="1675556F">
            <w:pPr>
              <w:pStyle w:val="18"/>
              <w:rPr>
                <w:rFonts w:hint="eastAsia"/>
                <w:highlight w:val="none"/>
                <w:lang w:val="en-US" w:eastAsia="zh-CN"/>
              </w:rPr>
            </w:pPr>
          </w:p>
          <w:p w14:paraId="4D37330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四、磁力音符包含：</w:t>
            </w:r>
          </w:p>
          <w:p w14:paraId="584DAD1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全音符、二分音符、四分音符、八音音符、十六分音符、附点全音符、附点二分音符、附点四分音符、附点八分音符、四分休止符、八分休止符、十六分休止符、高音谱号、低音谱号、强、弱、升记号、降记号、还原记号、Do、Re、Mi、Fa、Sol、La、Si、Do（高音）、Do（低音）、Re（低音）、Mi（低音）、Fa（低音）、Sol（低音）、La（低音）、Si（低音）、Do（中音）、重降记号、重升记号、三连音、前十六后八、前八后十六、四个十六、两个八分、切分节奏、附点节奏6个、全休止符、二分休止符、顿音记号、回音记号、波音记号等。</w:t>
            </w:r>
          </w:p>
        </w:tc>
        <w:tc>
          <w:tcPr>
            <w:tcW w:w="0" w:type="auto"/>
            <w:shd w:val="clear" w:color="auto" w:fill="auto"/>
            <w:vAlign w:val="center"/>
          </w:tcPr>
          <w:p w14:paraId="0A7F6D0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shd w:val="clear" w:color="auto" w:fill="auto"/>
            <w:vAlign w:val="center"/>
          </w:tcPr>
          <w:p w14:paraId="4AB892D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5AC2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75E9727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13 </w:t>
            </w:r>
          </w:p>
        </w:tc>
        <w:tc>
          <w:tcPr>
            <w:tcW w:w="0" w:type="auto"/>
            <w:shd w:val="clear" w:color="auto" w:fill="auto"/>
            <w:vAlign w:val="center"/>
          </w:tcPr>
          <w:p w14:paraId="6A74E24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中虎音锣</w:t>
            </w:r>
          </w:p>
        </w:tc>
        <w:tc>
          <w:tcPr>
            <w:tcW w:w="0" w:type="auto"/>
            <w:shd w:val="clear" w:color="auto" w:fill="auto"/>
            <w:vAlign w:val="center"/>
          </w:tcPr>
          <w:p w14:paraId="279F55F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优质响铜，厚度均匀、平整、无毛刺、无裂缝；直径：300mm±5mm。主音集中，谐音丰富洪亮，无明显转音及颠音。附槌。</w:t>
            </w:r>
          </w:p>
        </w:tc>
        <w:tc>
          <w:tcPr>
            <w:tcW w:w="0" w:type="auto"/>
            <w:shd w:val="clear" w:color="auto" w:fill="auto"/>
            <w:vAlign w:val="center"/>
          </w:tcPr>
          <w:p w14:paraId="321A39E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620D1BB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 </w:t>
            </w:r>
          </w:p>
        </w:tc>
      </w:tr>
      <w:tr w14:paraId="0ABC9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25117E0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14 </w:t>
            </w:r>
          </w:p>
        </w:tc>
        <w:tc>
          <w:tcPr>
            <w:tcW w:w="0" w:type="auto"/>
            <w:shd w:val="clear" w:color="auto" w:fill="auto"/>
            <w:vAlign w:val="center"/>
          </w:tcPr>
          <w:p w14:paraId="28E7A41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小锣</w:t>
            </w:r>
          </w:p>
        </w:tc>
        <w:tc>
          <w:tcPr>
            <w:tcW w:w="0" w:type="auto"/>
            <w:shd w:val="clear" w:color="auto" w:fill="auto"/>
            <w:vAlign w:val="center"/>
          </w:tcPr>
          <w:p w14:paraId="152344F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优质响铜，厚度均匀、平整、无毛刺、无裂缝；直径：220mm±5mm，中心脐直径90mm±5mm。主音集中，谐音丰富洪亮，无明显转音及颠音。附槌。</w:t>
            </w:r>
          </w:p>
        </w:tc>
        <w:tc>
          <w:tcPr>
            <w:tcW w:w="0" w:type="auto"/>
            <w:shd w:val="clear" w:color="auto" w:fill="auto"/>
            <w:vAlign w:val="center"/>
          </w:tcPr>
          <w:p w14:paraId="6D1518C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2AF5993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 </w:t>
            </w:r>
          </w:p>
        </w:tc>
      </w:tr>
      <w:tr w14:paraId="0EC19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4386D12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15 </w:t>
            </w:r>
          </w:p>
        </w:tc>
        <w:tc>
          <w:tcPr>
            <w:tcW w:w="0" w:type="auto"/>
            <w:shd w:val="clear" w:color="auto" w:fill="auto"/>
            <w:vAlign w:val="center"/>
          </w:tcPr>
          <w:p w14:paraId="48F57B6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大钹</w:t>
            </w:r>
          </w:p>
        </w:tc>
        <w:tc>
          <w:tcPr>
            <w:tcW w:w="0" w:type="auto"/>
            <w:shd w:val="clear" w:color="auto" w:fill="auto"/>
            <w:vAlign w:val="center"/>
          </w:tcPr>
          <w:p w14:paraId="27661B14">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响铜制，直径30CM，铙面光、弧度适度、圆度准确、边缘厚度一致，两面一副。</w:t>
            </w:r>
          </w:p>
        </w:tc>
        <w:tc>
          <w:tcPr>
            <w:tcW w:w="0" w:type="auto"/>
            <w:shd w:val="clear" w:color="auto" w:fill="auto"/>
            <w:vAlign w:val="center"/>
          </w:tcPr>
          <w:p w14:paraId="38A4734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副</w:t>
            </w:r>
          </w:p>
        </w:tc>
        <w:tc>
          <w:tcPr>
            <w:tcW w:w="0" w:type="auto"/>
            <w:shd w:val="clear" w:color="auto" w:fill="auto"/>
            <w:vAlign w:val="center"/>
          </w:tcPr>
          <w:p w14:paraId="115ADA2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 </w:t>
            </w:r>
          </w:p>
        </w:tc>
      </w:tr>
      <w:tr w14:paraId="2C76A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0A6FB77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16 </w:t>
            </w:r>
          </w:p>
        </w:tc>
        <w:tc>
          <w:tcPr>
            <w:tcW w:w="0" w:type="auto"/>
            <w:shd w:val="clear" w:color="auto" w:fill="auto"/>
            <w:vAlign w:val="center"/>
          </w:tcPr>
          <w:p w14:paraId="08E0A3D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小钹</w:t>
            </w:r>
          </w:p>
        </w:tc>
        <w:tc>
          <w:tcPr>
            <w:tcW w:w="0" w:type="auto"/>
            <w:shd w:val="clear" w:color="auto" w:fill="auto"/>
            <w:vAlign w:val="center"/>
          </w:tcPr>
          <w:p w14:paraId="7CACB41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响铜制，直径22CM，钹面光、弧度适度、圆度准确、边缘厚度一致，两面一副。</w:t>
            </w:r>
          </w:p>
        </w:tc>
        <w:tc>
          <w:tcPr>
            <w:tcW w:w="0" w:type="auto"/>
            <w:shd w:val="clear" w:color="auto" w:fill="auto"/>
            <w:vAlign w:val="center"/>
          </w:tcPr>
          <w:p w14:paraId="46645FD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副</w:t>
            </w:r>
          </w:p>
        </w:tc>
        <w:tc>
          <w:tcPr>
            <w:tcW w:w="0" w:type="auto"/>
            <w:shd w:val="clear" w:color="auto" w:fill="auto"/>
            <w:vAlign w:val="center"/>
          </w:tcPr>
          <w:p w14:paraId="58DF67F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 </w:t>
            </w:r>
          </w:p>
        </w:tc>
      </w:tr>
      <w:tr w14:paraId="21F09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3E9EAE0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17 </w:t>
            </w:r>
          </w:p>
        </w:tc>
        <w:tc>
          <w:tcPr>
            <w:tcW w:w="0" w:type="auto"/>
            <w:shd w:val="clear" w:color="auto" w:fill="auto"/>
            <w:vAlign w:val="center"/>
          </w:tcPr>
          <w:p w14:paraId="144B8FD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12寸扁鼓（含架）</w:t>
            </w:r>
          </w:p>
        </w:tc>
        <w:tc>
          <w:tcPr>
            <w:tcW w:w="0" w:type="auto"/>
            <w:shd w:val="clear" w:color="auto" w:fill="auto"/>
            <w:vAlign w:val="center"/>
          </w:tcPr>
          <w:p w14:paraId="641B61D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1、外观：鼓体着色均匀，无流挂现象；鼓锤表面打磨光滑，无疤疖；</w:t>
            </w:r>
          </w:p>
          <w:p w14:paraId="756C552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2、声音饱满，浑厚；延音≥2S；</w:t>
            </w:r>
          </w:p>
          <w:p w14:paraId="1BDF8D0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3、尺寸:鼓面直径445-455mm，鼓体高度220-230mm；鼓锤锤头直径12-15mm；鼓锤长度：220-230mm；</w:t>
            </w:r>
          </w:p>
          <w:p w14:paraId="231D197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4、装配：铁质万向轮鼓架；挂环安装牢固；鼓皮无褶皱，破损，张力适度；鼓钉色泽光亮，安装牢固，间隔均匀。</w:t>
            </w:r>
          </w:p>
        </w:tc>
        <w:tc>
          <w:tcPr>
            <w:tcW w:w="0" w:type="auto"/>
            <w:shd w:val="clear" w:color="auto" w:fill="auto"/>
            <w:vAlign w:val="center"/>
          </w:tcPr>
          <w:p w14:paraId="3ADA39A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66EC2DE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3 </w:t>
            </w:r>
          </w:p>
        </w:tc>
      </w:tr>
      <w:tr w14:paraId="155C2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4B3DC54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18 </w:t>
            </w:r>
          </w:p>
        </w:tc>
        <w:tc>
          <w:tcPr>
            <w:tcW w:w="0" w:type="auto"/>
            <w:shd w:val="clear" w:color="auto" w:fill="auto"/>
            <w:vAlign w:val="center"/>
          </w:tcPr>
          <w:p w14:paraId="15512BE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7寸堂鼓（含架）</w:t>
            </w:r>
          </w:p>
        </w:tc>
        <w:tc>
          <w:tcPr>
            <w:tcW w:w="0" w:type="auto"/>
            <w:shd w:val="clear" w:color="auto" w:fill="auto"/>
            <w:vAlign w:val="center"/>
          </w:tcPr>
          <w:p w14:paraId="5B9F858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1、外观：鼓体着色均匀，无流挂现象；鼓锤表面打磨光滑，无疤疖,无腐蚀，无黑线；</w:t>
            </w:r>
          </w:p>
          <w:p w14:paraId="0A66DF4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2、声音饱满，浑厚；延音≥2S；</w:t>
            </w:r>
          </w:p>
          <w:p w14:paraId="5C91D45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3、尺寸:鼓面直径310-320mm，鼓体高度320-330mm；鼓锤锤头直径13-15mm；鼓锤长度：225-230mm；</w:t>
            </w:r>
          </w:p>
          <w:p w14:paraId="543B06D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4、装配：铁质万向轮鼓架，挂环安装牢固；鼓皮无褶皱，破损，张力适度；鼓钉色泽光亮，安装牢固，间隔均匀。</w:t>
            </w:r>
          </w:p>
        </w:tc>
        <w:tc>
          <w:tcPr>
            <w:tcW w:w="0" w:type="auto"/>
            <w:shd w:val="clear" w:color="auto" w:fill="auto"/>
            <w:vAlign w:val="center"/>
          </w:tcPr>
          <w:p w14:paraId="62714C3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0AA7C8C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3 </w:t>
            </w:r>
          </w:p>
        </w:tc>
      </w:tr>
      <w:tr w14:paraId="0C13C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4668515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19 </w:t>
            </w:r>
          </w:p>
        </w:tc>
        <w:tc>
          <w:tcPr>
            <w:tcW w:w="0" w:type="auto"/>
            <w:shd w:val="clear" w:color="auto" w:fill="auto"/>
            <w:vAlign w:val="center"/>
          </w:tcPr>
          <w:p w14:paraId="2245510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电子乐理键盘琴</w:t>
            </w:r>
          </w:p>
        </w:tc>
        <w:tc>
          <w:tcPr>
            <w:tcW w:w="0" w:type="auto"/>
            <w:shd w:val="clear" w:color="auto" w:fill="auto"/>
            <w:vAlign w:val="center"/>
          </w:tcPr>
          <w:p w14:paraId="0074C4E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1.键盘：采用高质量迷你键</w:t>
            </w:r>
          </w:p>
          <w:p w14:paraId="70DB338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2.开关：智能防漏电开关按键。</w:t>
            </w:r>
          </w:p>
          <w:p w14:paraId="05E94E0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3.键位：圆形黑色按键，数量16个，每个按键对应具有升降号调节按键，可临时升降半个调</w:t>
            </w:r>
          </w:p>
          <w:p w14:paraId="469A45B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4.节拍选择：具有节拍快捷选择键四个，包含：2/4、3/4、4/4、6/8拍型、节拍播放时三色指示灯同步高亮显示。</w:t>
            </w:r>
          </w:p>
          <w:p w14:paraId="5BAC3D8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5.节拍速度：可在40－280/每分钟范围可调、调节速度在LED显示器中显示数值。</w:t>
            </w:r>
          </w:p>
          <w:p w14:paraId="1F562C5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6.复音数：16</w:t>
            </w:r>
          </w:p>
          <w:p w14:paraId="712C869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7.音符升降：音符升半音、降半音、原音三级可调</w:t>
            </w:r>
          </w:p>
          <w:p w14:paraId="3A61DFA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8.指示灯：三色指示灯</w:t>
            </w:r>
          </w:p>
          <w:p w14:paraId="04923F7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9.音量控制：电子电位器控制、音量加减1-10级调节</w:t>
            </w:r>
          </w:p>
          <w:p w14:paraId="58B77CA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10.五线谱表：一组可书写的高音谱表，谱表占硬件面积不低于3/4</w:t>
            </w:r>
          </w:p>
          <w:p w14:paraId="37D069F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11.耳机：立体声迷你插孔（耳机/输出）</w:t>
            </w:r>
          </w:p>
          <w:p w14:paraId="3FA4CF3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12.电源：Type-C电源接口直充</w:t>
            </w:r>
          </w:p>
          <w:p w14:paraId="66C7662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13.电池：四节"AA"级碱性(LR6),锰(R6)或Ni-MH充电(HR6)电池</w:t>
            </w:r>
          </w:p>
          <w:p w14:paraId="0B6E651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14.配件：说明书、USB线。</w:t>
            </w:r>
          </w:p>
          <w:p w14:paraId="4B3E508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15.尺寸：460mmX180mmX25mm±10mm。</w:t>
            </w:r>
          </w:p>
          <w:p w14:paraId="211B946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16.功率：≥1.2W</w:t>
            </w:r>
          </w:p>
        </w:tc>
        <w:tc>
          <w:tcPr>
            <w:tcW w:w="0" w:type="auto"/>
            <w:shd w:val="clear" w:color="auto" w:fill="auto"/>
            <w:vAlign w:val="center"/>
          </w:tcPr>
          <w:p w14:paraId="1829DEF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支</w:t>
            </w:r>
          </w:p>
        </w:tc>
        <w:tc>
          <w:tcPr>
            <w:tcW w:w="0" w:type="auto"/>
            <w:shd w:val="clear" w:color="auto" w:fill="auto"/>
            <w:vAlign w:val="center"/>
          </w:tcPr>
          <w:p w14:paraId="42A6CDA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10 </w:t>
            </w:r>
          </w:p>
        </w:tc>
      </w:tr>
      <w:tr w14:paraId="2978B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76461F9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20 </w:t>
            </w:r>
          </w:p>
        </w:tc>
        <w:tc>
          <w:tcPr>
            <w:tcW w:w="0" w:type="auto"/>
            <w:shd w:val="clear" w:color="auto" w:fill="auto"/>
            <w:vAlign w:val="center"/>
          </w:tcPr>
          <w:p w14:paraId="6B0A22F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竖笛（含竖笛教学软件）</w:t>
            </w:r>
          </w:p>
        </w:tc>
        <w:tc>
          <w:tcPr>
            <w:tcW w:w="0" w:type="auto"/>
            <w:shd w:val="clear" w:color="auto" w:fill="auto"/>
            <w:vAlign w:val="center"/>
          </w:tcPr>
          <w:p w14:paraId="488CEFB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一、竖笛硬件部分参数：</w:t>
            </w:r>
          </w:p>
          <w:p w14:paraId="3814BFC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采用优质塑料制作。2．采用十二平均律；标准音小字一组a音为440Hz。3．音色优美、饱满、全音域均匀统一；音程准确、谐和；音量均匀，能表现强、弱音，富有表现力；发音灵敏自如；吹奏通畅、省力；手感舒适，便于演奏；笛口光滑舒适，无毛刺；音孔光滑，无毛刺；竖笛坚实圆整、光滑、无划痕、无裂痕。4．能够满足初中音乐教学实际需要。</w:t>
            </w:r>
          </w:p>
          <w:p w14:paraId="316E2CA0">
            <w:pPr>
              <w:pStyle w:val="18"/>
              <w:rPr>
                <w:rFonts w:hint="eastAsia"/>
                <w:highlight w:val="none"/>
                <w:lang w:val="en-US" w:eastAsia="zh-CN"/>
              </w:rPr>
            </w:pPr>
          </w:p>
          <w:p w14:paraId="7B7517F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二、竖笛学习小程序部分：</w:t>
            </w:r>
          </w:p>
          <w:p w14:paraId="56E57EF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 扫描乐器二维码打开微信小程序。</w:t>
            </w:r>
          </w:p>
          <w:p w14:paraId="5D0E942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学习'Si'音（一）、学习'Si'音（二）、吹好Sol La Si、练习三（第一声部）、练习三（第二声部）、练习三（第三声部）、练习三（三声部合奏）、练习二（合奏）、练习一（第一声部）、练习一（第二声部）、练习一（合奏）、练习二第一声部、练习二第二声部、春游去（第一声部）、春游去（第二声部）、春游去（合奏）、蒙古小夜曲</w:t>
            </w:r>
          </w:p>
          <w:p w14:paraId="7691EA2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牧羊女（第一声部）、牧羊女（第二声部）、牧羊女（合奏）、竖笛高音的吹奏2、竖笛高音的吹3、竖笛高音的吹奏4、竖笛高音的吹奏（第一声部）、竖笛高音的吹奏（第二声部）、竖笛高音的吹奏（合奏）、噢！苏珊娜（第一声部）、噢！苏珊娜（第二声部）、噢！苏珊娜（合奏）、土拨鼠（第一声部）、土拨鼠（第二声部）、土拨鼠（第三声部）、土拨鼠（合奏）、红蜻蜓、嘎达梅林、樱花、苏武牧羊、箫（第一声部）、箫（第二声部）、箫（合奏）、瑶族、舞曲（第一声部）、瑶族舞曲（第二声部）、瑶族舞曲（第三声部）、瑶族舞曲合奏、摇篮曲（第一声部）、摇篮曲（第二声部）、摇篮曲（第三声部）、摇篮曲（合奏）、大鹿（第一声部）、大鹿（第二声部）、大鹿合奏、草原夏令营组曲（第一声部）、草原夏令营组曲（第二声部）、草原夏令营组曲（合奏）、沂蒙山小调（第一声部）、沂蒙山小调（第二声部）、沂蒙山小调（合奏）、秧歌调、多瑙河之波、刘三姐、蓝色的爱、绣荷包、邮递马车、鼓声（第一声部）、鼓声（第二声部）、鼓声、小黄鹂鸟、G大调弦乐小夜曲、北京喜讯到边塞主题1、北京喜讯到边塞主题2、北京喜讯到边塞主题3、美丽的西丽托、夜莺、草原上的家园等不低于80个视频与曲谱双展现形式教程。</w:t>
            </w:r>
          </w:p>
          <w:p w14:paraId="081E0ACA">
            <w:pPr>
              <w:pStyle w:val="18"/>
              <w:rPr>
                <w:rFonts w:hint="eastAsia"/>
                <w:highlight w:val="none"/>
                <w:lang w:val="en-US" w:eastAsia="zh-CN"/>
              </w:rPr>
            </w:pPr>
          </w:p>
          <w:p w14:paraId="1BF4343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以上所有教程均为视频与曲谱双展现形式、内容为乐器指法与曲谱同步高亮显示，视频播放倍速：0.5、0.75、1.0、1.25、1.5、2.0倍速可调节。</w:t>
            </w:r>
          </w:p>
          <w:p w14:paraId="21904CF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所有视频支持收藏到自己收藏夹、以及分享到微信好友。</w:t>
            </w:r>
          </w:p>
          <w:p w14:paraId="5195E3DA">
            <w:pPr>
              <w:pStyle w:val="18"/>
              <w:rPr>
                <w:rFonts w:hint="eastAsia"/>
                <w:highlight w:val="none"/>
                <w:lang w:val="en-US" w:eastAsia="zh-CN"/>
              </w:rPr>
            </w:pPr>
          </w:p>
          <w:p w14:paraId="0B0070A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学习足迹：可查看近期学习过的教程列表、以及查看收藏列表的教程、教程状态支持查看包含正常、已下架。</w:t>
            </w:r>
          </w:p>
          <w:p w14:paraId="6B48014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今日推荐：包含系统推送的教程列表、支持名称搜索进行快速查询。</w:t>
            </w:r>
          </w:p>
          <w:p w14:paraId="14BF2F3C">
            <w:pPr>
              <w:pStyle w:val="18"/>
              <w:rPr>
                <w:rFonts w:hint="eastAsia"/>
                <w:highlight w:val="none"/>
                <w:lang w:val="en-US" w:eastAsia="zh-CN"/>
              </w:rPr>
            </w:pPr>
          </w:p>
          <w:p w14:paraId="724B822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我的功能：</w:t>
            </w:r>
          </w:p>
          <w:p w14:paraId="30154DA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1、包含查看历史浏览记录，进行反复练习。</w:t>
            </w:r>
          </w:p>
          <w:p w14:paraId="6C54F57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 帮助与反馈：可将使用中的问题已文字+图片形式进行反馈，附联系方式方便技术人员回访、以及二维码添加厂家技术进行指导。</w:t>
            </w:r>
          </w:p>
          <w:p w14:paraId="562EF5A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3、学习中心：支持查看所学习教程列表、时常、百分比。</w:t>
            </w:r>
          </w:p>
          <w:p w14:paraId="7FC75C6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4、学习统计：支持查看累计学习时长、累计学习次数信息。</w:t>
            </w:r>
          </w:p>
          <w:p w14:paraId="1F790AB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5、学习数据：可以日、周、月为单位进行查看。</w:t>
            </w:r>
          </w:p>
          <w:p w14:paraId="75B4E388">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6、个人信息管理：可上传头像、填写名称、性别、生日、微信号、手机号、绑定教学设备等。</w:t>
            </w:r>
          </w:p>
        </w:tc>
        <w:tc>
          <w:tcPr>
            <w:tcW w:w="0" w:type="auto"/>
            <w:shd w:val="clear" w:color="auto" w:fill="auto"/>
            <w:vAlign w:val="center"/>
          </w:tcPr>
          <w:p w14:paraId="0985267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支</w:t>
            </w:r>
          </w:p>
        </w:tc>
        <w:tc>
          <w:tcPr>
            <w:tcW w:w="0" w:type="auto"/>
            <w:shd w:val="clear" w:color="auto" w:fill="auto"/>
            <w:vAlign w:val="center"/>
          </w:tcPr>
          <w:p w14:paraId="4B533BB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48 </w:t>
            </w:r>
          </w:p>
        </w:tc>
      </w:tr>
      <w:tr w14:paraId="26364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6D02144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21 </w:t>
            </w:r>
          </w:p>
        </w:tc>
        <w:tc>
          <w:tcPr>
            <w:tcW w:w="0" w:type="auto"/>
            <w:shd w:val="clear" w:color="auto" w:fill="auto"/>
            <w:vAlign w:val="center"/>
          </w:tcPr>
          <w:p w14:paraId="1DE1F47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葫芦丝（含葫芦丝教学软件）</w:t>
            </w:r>
          </w:p>
        </w:tc>
        <w:tc>
          <w:tcPr>
            <w:tcW w:w="0" w:type="auto"/>
            <w:shd w:val="clear" w:color="auto" w:fill="auto"/>
            <w:vAlign w:val="center"/>
          </w:tcPr>
          <w:p w14:paraId="2562FE2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一、硬件部分：</w:t>
            </w:r>
          </w:p>
          <w:p w14:paraId="4AE194C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1.中音C调、12孔</w:t>
            </w:r>
          </w:p>
          <w:p w14:paraId="415AB9D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2.材质：天然紫竹</w:t>
            </w:r>
          </w:p>
          <w:p w14:paraId="25ABBCB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3.颜色：金黄色</w:t>
            </w:r>
          </w:p>
          <w:p w14:paraId="72C1148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普通型可拆三音葫芦丝</w:t>
            </w:r>
          </w:p>
          <w:p w14:paraId="32F51067">
            <w:pPr>
              <w:pStyle w:val="18"/>
              <w:rPr>
                <w:rFonts w:hint="eastAsia"/>
                <w:highlight w:val="none"/>
                <w:lang w:val="en-US" w:eastAsia="zh-CN"/>
              </w:rPr>
            </w:pPr>
          </w:p>
          <w:p w14:paraId="6AEE30C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二、葫芦丝授课系统部分：</w:t>
            </w:r>
          </w:p>
          <w:p w14:paraId="0DF3B0C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扫描乐器二维码打开微信小程序。</w:t>
            </w:r>
          </w:p>
          <w:p w14:paraId="372D664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葫芦丝教程包含：</w:t>
            </w:r>
          </w:p>
          <w:p w14:paraId="6007A24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练习1—低音“sol”的练习、练习2、练习3、练习4—低音“la”的练习、练习5、练习6、练习7低音的练习、练习8摇啊摇、练习9玛丽有只小羊羔、练习10do音的练习、练习11、练习12、练习13re音的练习、练习14mi音的练习、练习15吹起芦笙跳起舞、练习16sol音的练习、练习17其多列、练习18牧童、练习19唢呐配喇叭、练习20la音的练习、练习21农夫怨、练习22打水姑娘、练习23fa音的练习、练习24划小船练习、25山楂树、练习26红河谷、练习27草原上升起不落的太阳、练习28四季调、练习29月亮升起来、练习30摇篮曲、练习31低音mi的练习、练习32、练习33草原上升起不落的太阳、练习34康定情歌、练习35北风吹、练习36阿瓦人民唱新歌、练习37金孔雀轻轻跳、练习38摇篮曲等不低于38个视频与曲谱双展现形式教程。</w:t>
            </w:r>
          </w:p>
          <w:p w14:paraId="1344CCEF">
            <w:pPr>
              <w:pStyle w:val="18"/>
              <w:rPr>
                <w:rFonts w:hint="eastAsia"/>
                <w:highlight w:val="none"/>
                <w:lang w:val="en-US" w:eastAsia="zh-CN"/>
              </w:rPr>
            </w:pPr>
          </w:p>
          <w:p w14:paraId="3E2B8F2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以上所有教程均为视频与曲谱双展现形式、内容为乐器指法与曲谱同步高亮显示，视频播放倍速：0.5、0.75、1.0、1.25、1.5、2.0倍速可调节。</w:t>
            </w:r>
          </w:p>
          <w:p w14:paraId="66353D0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所有视频支持收藏到自己收藏夹、以及分享到微信好友。</w:t>
            </w:r>
          </w:p>
          <w:p w14:paraId="7D18341F">
            <w:pPr>
              <w:pStyle w:val="18"/>
              <w:rPr>
                <w:rFonts w:hint="eastAsia"/>
                <w:highlight w:val="none"/>
                <w:lang w:val="en-US" w:eastAsia="zh-CN"/>
              </w:rPr>
            </w:pPr>
          </w:p>
          <w:p w14:paraId="441CDFD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学习足迹：可查看近期学习过的教程列表、以及查看收藏列表的教程、教程状态支持查看包含正常、已下架。</w:t>
            </w:r>
          </w:p>
          <w:p w14:paraId="23BC845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今日推荐：包含系统推送的教程列表、支持名称搜索进行快速查询</w:t>
            </w:r>
          </w:p>
          <w:p w14:paraId="6D7A8857">
            <w:pPr>
              <w:pStyle w:val="18"/>
              <w:rPr>
                <w:rFonts w:hint="eastAsia"/>
                <w:highlight w:val="none"/>
                <w:lang w:val="en-US" w:eastAsia="zh-CN"/>
              </w:rPr>
            </w:pPr>
          </w:p>
          <w:p w14:paraId="399CAE4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我的功能：</w:t>
            </w:r>
          </w:p>
          <w:p w14:paraId="3F96C3D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1、包含查看历史浏览记录，进行反复练习。</w:t>
            </w:r>
          </w:p>
          <w:p w14:paraId="5DB4BE9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2、帮助与反馈：可将使用中的问题已文字+图片形式进行反馈，附联系方式方便技术人员回访、以及二维码添加厂家技术进行指导</w:t>
            </w:r>
          </w:p>
          <w:p w14:paraId="76084BC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3、学习中心：支持查看所学习教程列表、时常、百分比。</w:t>
            </w:r>
          </w:p>
          <w:p w14:paraId="5ACD5F9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4、学习统计：支持查看累计学习时长、累计学习次数信息。</w:t>
            </w:r>
          </w:p>
          <w:p w14:paraId="12814FF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5、学习数据：可以日、周、月为单位进行查看。</w:t>
            </w:r>
          </w:p>
          <w:p w14:paraId="136EDBC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6、个人信息管理：可上传头像、填写名称、性别、生日、微信号、手机号、绑定教学设备等。</w:t>
            </w:r>
          </w:p>
        </w:tc>
        <w:tc>
          <w:tcPr>
            <w:tcW w:w="0" w:type="auto"/>
            <w:shd w:val="clear" w:color="auto" w:fill="auto"/>
            <w:vAlign w:val="center"/>
          </w:tcPr>
          <w:p w14:paraId="10410FE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支</w:t>
            </w:r>
          </w:p>
        </w:tc>
        <w:tc>
          <w:tcPr>
            <w:tcW w:w="0" w:type="auto"/>
            <w:shd w:val="clear" w:color="auto" w:fill="auto"/>
            <w:vAlign w:val="center"/>
          </w:tcPr>
          <w:p w14:paraId="51315FC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48 </w:t>
            </w:r>
          </w:p>
        </w:tc>
      </w:tr>
      <w:tr w14:paraId="031F7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3F15F1E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22 </w:t>
            </w:r>
          </w:p>
        </w:tc>
        <w:tc>
          <w:tcPr>
            <w:tcW w:w="0" w:type="auto"/>
            <w:shd w:val="clear" w:color="auto" w:fill="auto"/>
            <w:vAlign w:val="center"/>
          </w:tcPr>
          <w:p w14:paraId="6B17C68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口琴（含口琴教学软件）</w:t>
            </w:r>
          </w:p>
        </w:tc>
        <w:tc>
          <w:tcPr>
            <w:tcW w:w="0" w:type="auto"/>
            <w:shd w:val="clear" w:color="auto" w:fill="auto"/>
            <w:vAlign w:val="center"/>
          </w:tcPr>
          <w:p w14:paraId="1380864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一、口琴硬件部分：</w:t>
            </w:r>
          </w:p>
          <w:p w14:paraId="0C258DC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C调不锈钢盖板口琴</w:t>
            </w:r>
          </w:p>
          <w:p w14:paraId="14ED3C7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尺寸约17.5*2*2.5cm</w:t>
            </w:r>
          </w:p>
          <w:p w14:paraId="50BF89DA">
            <w:pPr>
              <w:pStyle w:val="18"/>
              <w:rPr>
                <w:rFonts w:hint="eastAsia"/>
                <w:highlight w:val="none"/>
                <w:lang w:val="en-US" w:eastAsia="zh-CN"/>
              </w:rPr>
            </w:pPr>
          </w:p>
          <w:p w14:paraId="58BC423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二、口琴授课系统部分：</w:t>
            </w:r>
          </w:p>
          <w:p w14:paraId="6CE920F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 扫描乐器二维码打开微信小程序。</w:t>
            </w:r>
          </w:p>
          <w:p w14:paraId="4F488BB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练习曲一、练习曲二、练习曲《玛丽有只小羊羔》、练习曲《划小船》、练习曲《粉刷匠》、练习曲《小熊和洋娃娃跳舞》、练习曲《小鼓手进行曲》第一声部、练习曲《小鼓手进行曲》第二声部、练习曲《小鼓手进行曲》合奏、练习曲《摇篮曲》、练习曲《扬基歌》、练习曲《钟声响亮》、练习曲《火车开了》、练习曲《小红帽》、练习曲《铃儿响叮当》合奏、习曲《铃儿响叮当》第一声部、练习曲《铃儿响叮当》第二声、部勇敢的鄂伦春练习曲《丰收之歌》第一声部、练习曲《丰收之歌》第二声部、练习曲《丰收之歌》、合奏练习曲《哦，苏珊娜》、练习曲《红河谷》、练习曲《牧童》、练习曲《亲爱的回声》、练习曲《无锡景》、练习曲《念故乡》第二声部、练习曲《念故乡》第三声部、练习曲《念故乡》合奏、练习曲《念故乡》第一声部、练习曲一、练习曲《春天来了》、练习曲《竹马》、练习曲《城墙上跑马》、练习曲《青年友谊圆舞曲》、练习曲《丰收之歌》、练习曲《美丽的草原我的家》、练习曲《快乐的农夫》、练习曲《故乡的亲人》、练习曲《哈啰！哈啰！》第一声部等不低于30个视频与曲谱双展现形式教程。</w:t>
            </w:r>
          </w:p>
          <w:p w14:paraId="37662D88">
            <w:pPr>
              <w:pStyle w:val="18"/>
              <w:rPr>
                <w:rFonts w:hint="eastAsia"/>
                <w:highlight w:val="none"/>
                <w:lang w:val="en-US" w:eastAsia="zh-CN"/>
              </w:rPr>
            </w:pPr>
          </w:p>
          <w:p w14:paraId="5049F47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以上所有教程均为视频与曲谱双展现形式、内容为乐器指法与曲谱同步高亮显示，视频播放倍速：0.5、0.75、1.0、1.25、1.5、2.0倍速可调节。</w:t>
            </w:r>
          </w:p>
          <w:p w14:paraId="1B03B15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所有视频支持收藏到自己收藏夹、以及分享到微信好友。</w:t>
            </w:r>
          </w:p>
          <w:p w14:paraId="690B1AE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 学习足迹：可查看近期学习过的教程列表、以及查看收藏列表的教程、教程状态支持查看包含正常、已下架。</w:t>
            </w:r>
          </w:p>
          <w:p w14:paraId="2FE1D4C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今日推荐：包含系统推送的教程列表、支持名称搜索进行快速查询。</w:t>
            </w:r>
          </w:p>
          <w:p w14:paraId="43ECF83C">
            <w:pPr>
              <w:pStyle w:val="18"/>
              <w:rPr>
                <w:rFonts w:hint="eastAsia"/>
                <w:highlight w:val="none"/>
                <w:lang w:val="en-US" w:eastAsia="zh-CN"/>
              </w:rPr>
            </w:pPr>
          </w:p>
          <w:p w14:paraId="2808949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我的功能：</w:t>
            </w:r>
          </w:p>
          <w:p w14:paraId="46A1172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1、包含查看历史浏览记录，进行反复练习。</w:t>
            </w:r>
          </w:p>
          <w:p w14:paraId="417042D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 帮助与反馈：可将使用中的问题已文字+图片形式进行反馈，附联系方式方便技术人员回访、以及二维码添加厂家技术进行指导。</w:t>
            </w:r>
          </w:p>
          <w:p w14:paraId="7C5AB86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3、学习中心：支持查看所学习教程列表、时常、百分比。</w:t>
            </w:r>
          </w:p>
          <w:p w14:paraId="65846FA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4、学习统计：支持查看累计学习时长、累计学习次数信息。</w:t>
            </w:r>
          </w:p>
          <w:p w14:paraId="2FCEF6D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5、学习数据：可以日、周、月为单位进行查看。</w:t>
            </w:r>
          </w:p>
          <w:p w14:paraId="3EAFABE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6、个人信息管理：可上传头像、填写名称、性别、生日、微信号、手机号、绑定教学设备等。</w:t>
            </w:r>
          </w:p>
        </w:tc>
        <w:tc>
          <w:tcPr>
            <w:tcW w:w="0" w:type="auto"/>
            <w:shd w:val="clear" w:color="auto" w:fill="auto"/>
            <w:vAlign w:val="center"/>
          </w:tcPr>
          <w:p w14:paraId="589CE18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支</w:t>
            </w:r>
          </w:p>
        </w:tc>
        <w:tc>
          <w:tcPr>
            <w:tcW w:w="0" w:type="auto"/>
            <w:shd w:val="clear" w:color="auto" w:fill="auto"/>
            <w:vAlign w:val="center"/>
          </w:tcPr>
          <w:p w14:paraId="16E4AC3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48 </w:t>
            </w:r>
          </w:p>
        </w:tc>
      </w:tr>
      <w:tr w14:paraId="7EBAD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3276955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23 </w:t>
            </w:r>
          </w:p>
        </w:tc>
        <w:tc>
          <w:tcPr>
            <w:tcW w:w="0" w:type="auto"/>
            <w:shd w:val="clear" w:color="auto" w:fill="auto"/>
            <w:vAlign w:val="center"/>
          </w:tcPr>
          <w:p w14:paraId="41C848F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箱鼓凳</w:t>
            </w:r>
          </w:p>
        </w:tc>
        <w:tc>
          <w:tcPr>
            <w:tcW w:w="0" w:type="auto"/>
            <w:shd w:val="clear" w:color="auto" w:fill="auto"/>
            <w:vAlign w:val="center"/>
          </w:tcPr>
          <w:p w14:paraId="45F7A75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1、原木色  约300mm*300mm*460mm、可调节响弦 排面胡桃木 鼓身椴木。</w:t>
            </w:r>
          </w:p>
          <w:p w14:paraId="205CA7A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2、材质：高密度合成音板，。</w:t>
            </w:r>
          </w:p>
          <w:p w14:paraId="4E59CA0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3、工艺：主体多次手工打磨，环保水性漆半哑光喷制，转角为圆弧角缝隙设计。</w:t>
            </w:r>
          </w:p>
          <w:p w14:paraId="17242F3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4、结构：六面声学设计，内置双排16簧共振军鼓响弦，低音饱满音色细致。</w:t>
            </w:r>
          </w:p>
          <w:p w14:paraId="731B286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5、颜色：分为黄、灰、橙、蓝四种颜色。</w:t>
            </w:r>
          </w:p>
        </w:tc>
        <w:tc>
          <w:tcPr>
            <w:tcW w:w="0" w:type="auto"/>
            <w:shd w:val="clear" w:color="auto" w:fill="auto"/>
            <w:vAlign w:val="center"/>
          </w:tcPr>
          <w:p w14:paraId="651571B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05DD43B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48 </w:t>
            </w:r>
          </w:p>
        </w:tc>
      </w:tr>
      <w:tr w14:paraId="7C11D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6315D18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24 </w:t>
            </w:r>
          </w:p>
        </w:tc>
        <w:tc>
          <w:tcPr>
            <w:tcW w:w="0" w:type="auto"/>
            <w:shd w:val="clear" w:color="auto" w:fill="auto"/>
            <w:vAlign w:val="center"/>
          </w:tcPr>
          <w:p w14:paraId="5EDA002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大谱台</w:t>
            </w:r>
          </w:p>
        </w:tc>
        <w:tc>
          <w:tcPr>
            <w:tcW w:w="0" w:type="auto"/>
            <w:shd w:val="clear" w:color="auto" w:fill="auto"/>
            <w:vAlign w:val="center"/>
          </w:tcPr>
          <w:p w14:paraId="6C05D25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适合所有乐器配套使用</w:t>
            </w:r>
          </w:p>
          <w:p w14:paraId="18D065F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材料：铁、铝合金、塑料</w:t>
            </w:r>
          </w:p>
          <w:p w14:paraId="73E824C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普板尺寸：500*340mm</w:t>
            </w:r>
          </w:p>
          <w:p w14:paraId="4E83820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整体高度：730-1400mm</w:t>
            </w:r>
          </w:p>
          <w:p w14:paraId="42D7CA4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外表处理工艺：静电喷粉</w:t>
            </w:r>
          </w:p>
        </w:tc>
        <w:tc>
          <w:tcPr>
            <w:tcW w:w="0" w:type="auto"/>
            <w:shd w:val="clear" w:color="auto" w:fill="auto"/>
            <w:vAlign w:val="center"/>
          </w:tcPr>
          <w:p w14:paraId="5E12800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13ACDD2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10 </w:t>
            </w:r>
          </w:p>
        </w:tc>
      </w:tr>
      <w:tr w14:paraId="4925C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2B811A2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25 </w:t>
            </w:r>
          </w:p>
        </w:tc>
        <w:tc>
          <w:tcPr>
            <w:tcW w:w="0" w:type="auto"/>
            <w:shd w:val="clear" w:color="auto" w:fill="auto"/>
            <w:vAlign w:val="center"/>
          </w:tcPr>
          <w:p w14:paraId="3026C40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8寸非洲鼓</w:t>
            </w:r>
          </w:p>
        </w:tc>
        <w:tc>
          <w:tcPr>
            <w:tcW w:w="0" w:type="auto"/>
            <w:shd w:val="clear" w:color="auto" w:fill="auto"/>
            <w:vAlign w:val="center"/>
          </w:tcPr>
          <w:p w14:paraId="4AC7DAC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尺寸：鼓高425mm，鼓面直径200mm。</w:t>
            </w:r>
          </w:p>
          <w:p w14:paraId="1923B33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材质：塑料鼓腔水转印工艺，PVC鼓皮，喷涂铁质压圈，尼龙绑绳。</w:t>
            </w:r>
          </w:p>
          <w:p w14:paraId="1B5F838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特质：音质稳定,使用轻便。材质科学化,音色不易受气候影响。</w:t>
            </w:r>
          </w:p>
        </w:tc>
        <w:tc>
          <w:tcPr>
            <w:tcW w:w="0" w:type="auto"/>
            <w:shd w:val="clear" w:color="auto" w:fill="auto"/>
            <w:vAlign w:val="center"/>
          </w:tcPr>
          <w:p w14:paraId="484DC1F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2E3F752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4 </w:t>
            </w:r>
          </w:p>
        </w:tc>
      </w:tr>
      <w:tr w14:paraId="602B7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17F71AD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26 </w:t>
            </w:r>
          </w:p>
        </w:tc>
        <w:tc>
          <w:tcPr>
            <w:tcW w:w="0" w:type="auto"/>
            <w:shd w:val="clear" w:color="auto" w:fill="auto"/>
            <w:vAlign w:val="center"/>
          </w:tcPr>
          <w:p w14:paraId="11A1DD8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10寸非洲鼓</w:t>
            </w:r>
          </w:p>
        </w:tc>
        <w:tc>
          <w:tcPr>
            <w:tcW w:w="0" w:type="auto"/>
            <w:shd w:val="clear" w:color="auto" w:fill="auto"/>
            <w:vAlign w:val="center"/>
          </w:tcPr>
          <w:p w14:paraId="3E90701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尺寸：鼓高475mm，鼓面直径250mm。</w:t>
            </w:r>
          </w:p>
          <w:p w14:paraId="68EBC5C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材质：塑料鼓腔水转印工艺，PVC鼓皮，喷涂铁质压圈，尼龙绑绳。</w:t>
            </w:r>
          </w:p>
          <w:p w14:paraId="6DCA859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特质：音质稳定,使用轻便。材质科学化,音色不易受气候影响。</w:t>
            </w:r>
          </w:p>
        </w:tc>
        <w:tc>
          <w:tcPr>
            <w:tcW w:w="0" w:type="auto"/>
            <w:shd w:val="clear" w:color="auto" w:fill="auto"/>
            <w:vAlign w:val="center"/>
          </w:tcPr>
          <w:p w14:paraId="6EF7BF2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6E31A33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4 </w:t>
            </w:r>
          </w:p>
        </w:tc>
      </w:tr>
      <w:tr w14:paraId="7A27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435A2A7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27 </w:t>
            </w:r>
          </w:p>
        </w:tc>
        <w:tc>
          <w:tcPr>
            <w:tcW w:w="0" w:type="auto"/>
            <w:shd w:val="clear" w:color="auto" w:fill="auto"/>
            <w:vAlign w:val="center"/>
          </w:tcPr>
          <w:p w14:paraId="1935C40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12寸中国鼓</w:t>
            </w:r>
          </w:p>
        </w:tc>
        <w:tc>
          <w:tcPr>
            <w:tcW w:w="0" w:type="auto"/>
            <w:shd w:val="clear" w:color="auto" w:fill="auto"/>
            <w:vAlign w:val="center"/>
          </w:tcPr>
          <w:p w14:paraId="547C8E0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尺寸：鼓高230mm，鼓面直径440mm，架高820mm。</w:t>
            </w:r>
          </w:p>
          <w:p w14:paraId="7D35893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材质：段木鼓身，NC底漆+NC面漆，黄牛皮，电镀铆钉，榉木架子。</w:t>
            </w:r>
          </w:p>
          <w:p w14:paraId="0195297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特质：调门偏高，传统中式乐器，榉木鼓架，精量于适合儿童的演奏高度。</w:t>
            </w:r>
          </w:p>
        </w:tc>
        <w:tc>
          <w:tcPr>
            <w:tcW w:w="0" w:type="auto"/>
            <w:shd w:val="clear" w:color="auto" w:fill="auto"/>
            <w:vAlign w:val="center"/>
          </w:tcPr>
          <w:p w14:paraId="469423F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6D413EE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 </w:t>
            </w:r>
          </w:p>
        </w:tc>
      </w:tr>
      <w:tr w14:paraId="308A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3425BD7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28 </w:t>
            </w:r>
          </w:p>
        </w:tc>
        <w:tc>
          <w:tcPr>
            <w:tcW w:w="0" w:type="auto"/>
            <w:shd w:val="clear" w:color="auto" w:fill="auto"/>
            <w:vAlign w:val="center"/>
          </w:tcPr>
          <w:p w14:paraId="586A9E0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10寸军鼓</w:t>
            </w:r>
          </w:p>
        </w:tc>
        <w:tc>
          <w:tcPr>
            <w:tcW w:w="0" w:type="auto"/>
            <w:shd w:val="clear" w:color="auto" w:fill="auto"/>
            <w:vAlign w:val="center"/>
          </w:tcPr>
          <w:p w14:paraId="49F2681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尺寸：鼓高137mm，鼓面直径268mm。</w:t>
            </w:r>
          </w:p>
          <w:p w14:paraId="6704924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材质：银色鼓圈，黑色喷涂压圈，电镀配件，聚酯皮鼓面。</w:t>
            </w:r>
          </w:p>
          <w:p w14:paraId="48FF418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特质：音色明亮，切割音强。鼓棒敲奏发声清晰，方便演奏。</w:t>
            </w:r>
          </w:p>
        </w:tc>
        <w:tc>
          <w:tcPr>
            <w:tcW w:w="0" w:type="auto"/>
            <w:shd w:val="clear" w:color="auto" w:fill="auto"/>
            <w:vAlign w:val="center"/>
          </w:tcPr>
          <w:p w14:paraId="717D056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59A14E7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2447F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4BF2A7F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29 </w:t>
            </w:r>
          </w:p>
        </w:tc>
        <w:tc>
          <w:tcPr>
            <w:tcW w:w="0" w:type="auto"/>
            <w:shd w:val="clear" w:color="auto" w:fill="auto"/>
            <w:vAlign w:val="center"/>
          </w:tcPr>
          <w:p w14:paraId="7924A6C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10寸地鼓</w:t>
            </w:r>
          </w:p>
        </w:tc>
        <w:tc>
          <w:tcPr>
            <w:tcW w:w="0" w:type="auto"/>
            <w:shd w:val="clear" w:color="auto" w:fill="auto"/>
            <w:vAlign w:val="center"/>
          </w:tcPr>
          <w:p w14:paraId="57580D9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尺寸：鼓高190mm，鼓面直径255mm。</w:t>
            </w:r>
          </w:p>
          <w:p w14:paraId="04974B4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材质：桦木鼓圈，尼龙带，塑料鼓角，NC底漆，NC面漆，厚羊皮鼓面。</w:t>
            </w:r>
          </w:p>
          <w:p w14:paraId="692762B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特质：皮质鼓面音色饱满，温暖。鼓棒敲奏鼓面及鼓边可演奏出不同的音色效果。</w:t>
            </w:r>
          </w:p>
        </w:tc>
        <w:tc>
          <w:tcPr>
            <w:tcW w:w="0" w:type="auto"/>
            <w:shd w:val="clear" w:color="auto" w:fill="auto"/>
            <w:vAlign w:val="center"/>
          </w:tcPr>
          <w:p w14:paraId="358D7DD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2F15260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 </w:t>
            </w:r>
          </w:p>
        </w:tc>
      </w:tr>
      <w:tr w14:paraId="1826B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4627252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30 </w:t>
            </w:r>
          </w:p>
        </w:tc>
        <w:tc>
          <w:tcPr>
            <w:tcW w:w="0" w:type="auto"/>
            <w:shd w:val="clear" w:color="auto" w:fill="auto"/>
            <w:vAlign w:val="center"/>
          </w:tcPr>
          <w:p w14:paraId="53964E6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8寸手鼓</w:t>
            </w:r>
          </w:p>
        </w:tc>
        <w:tc>
          <w:tcPr>
            <w:tcW w:w="0" w:type="auto"/>
            <w:shd w:val="clear" w:color="auto" w:fill="auto"/>
            <w:vAlign w:val="center"/>
          </w:tcPr>
          <w:p w14:paraId="422D89B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尺寸：鼓面直径204mm。</w:t>
            </w:r>
          </w:p>
          <w:p w14:paraId="545C495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材质：桦木4层鼓圈，NC底漆+NC面漆，本色（厚羊皮），皮革条，铜泡钉。</w:t>
            </w:r>
          </w:p>
          <w:p w14:paraId="095B8F08">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特质：丰富的低音和清脆的高音音色，鼓圈凹槽方便演奏者拿取，确保演奏舒适。配备收纳盒。</w:t>
            </w:r>
          </w:p>
        </w:tc>
        <w:tc>
          <w:tcPr>
            <w:tcW w:w="0" w:type="auto"/>
            <w:shd w:val="clear" w:color="auto" w:fill="auto"/>
            <w:vAlign w:val="center"/>
          </w:tcPr>
          <w:p w14:paraId="1E3BBD4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0F6AB54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8 </w:t>
            </w:r>
          </w:p>
        </w:tc>
      </w:tr>
      <w:tr w14:paraId="6E5F1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089FEE3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31 </w:t>
            </w:r>
          </w:p>
        </w:tc>
        <w:tc>
          <w:tcPr>
            <w:tcW w:w="0" w:type="auto"/>
            <w:shd w:val="clear" w:color="auto" w:fill="auto"/>
            <w:vAlign w:val="center"/>
          </w:tcPr>
          <w:p w14:paraId="53A09C0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8寸铃鼓</w:t>
            </w:r>
          </w:p>
        </w:tc>
        <w:tc>
          <w:tcPr>
            <w:tcW w:w="0" w:type="auto"/>
            <w:shd w:val="clear" w:color="auto" w:fill="auto"/>
            <w:vAlign w:val="center"/>
          </w:tcPr>
          <w:p w14:paraId="6045A53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材质：鼓面直径204mm。</w:t>
            </w:r>
          </w:p>
          <w:p w14:paraId="3C9D151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材质：桦木4层鼓圈，NC底漆+NC面漆，本色（厚羊皮），铁质电镀镲片，皮革条，铜泡钉。</w:t>
            </w:r>
          </w:p>
          <w:p w14:paraId="1F404C4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特质：鼓面音质饱满，钢制铃片音色高亮、延音效果好。配备收纳盒。</w:t>
            </w:r>
          </w:p>
        </w:tc>
        <w:tc>
          <w:tcPr>
            <w:tcW w:w="0" w:type="auto"/>
            <w:shd w:val="clear" w:color="auto" w:fill="auto"/>
            <w:vAlign w:val="center"/>
          </w:tcPr>
          <w:p w14:paraId="25017F4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036957B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8 </w:t>
            </w:r>
          </w:p>
        </w:tc>
      </w:tr>
      <w:tr w14:paraId="279F0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1D746F2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32 </w:t>
            </w:r>
          </w:p>
        </w:tc>
        <w:tc>
          <w:tcPr>
            <w:tcW w:w="0" w:type="auto"/>
            <w:shd w:val="clear" w:color="auto" w:fill="auto"/>
            <w:vAlign w:val="center"/>
          </w:tcPr>
          <w:p w14:paraId="77D7301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刮胡</w:t>
            </w:r>
          </w:p>
        </w:tc>
        <w:tc>
          <w:tcPr>
            <w:tcW w:w="0" w:type="auto"/>
            <w:shd w:val="clear" w:color="auto" w:fill="auto"/>
            <w:vAlign w:val="center"/>
          </w:tcPr>
          <w:p w14:paraId="3CAF48D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尺寸：长140mm。</w:t>
            </w:r>
          </w:p>
          <w:p w14:paraId="6655571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材质：榉木，NC底漆+NC面漆。</w:t>
            </w:r>
          </w:p>
          <w:p w14:paraId="30487DD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特质：音色明亮，穿透力强。可敲奏、刮奏。</w:t>
            </w:r>
          </w:p>
        </w:tc>
        <w:tc>
          <w:tcPr>
            <w:tcW w:w="0" w:type="auto"/>
            <w:shd w:val="clear" w:color="auto" w:fill="auto"/>
            <w:vAlign w:val="center"/>
          </w:tcPr>
          <w:p w14:paraId="6E9BAC1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副</w:t>
            </w:r>
          </w:p>
        </w:tc>
        <w:tc>
          <w:tcPr>
            <w:tcW w:w="0" w:type="auto"/>
            <w:shd w:val="clear" w:color="auto" w:fill="auto"/>
            <w:vAlign w:val="center"/>
          </w:tcPr>
          <w:p w14:paraId="6EB3D68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8 </w:t>
            </w:r>
          </w:p>
        </w:tc>
      </w:tr>
      <w:tr w14:paraId="2E50A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01C16FE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33 </w:t>
            </w:r>
          </w:p>
        </w:tc>
        <w:tc>
          <w:tcPr>
            <w:tcW w:w="0" w:type="auto"/>
            <w:shd w:val="clear" w:color="auto" w:fill="auto"/>
            <w:vAlign w:val="center"/>
          </w:tcPr>
          <w:p w14:paraId="3D9C7A3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圆舞板</w:t>
            </w:r>
          </w:p>
        </w:tc>
        <w:tc>
          <w:tcPr>
            <w:tcW w:w="0" w:type="auto"/>
            <w:shd w:val="clear" w:color="auto" w:fill="auto"/>
            <w:vAlign w:val="center"/>
          </w:tcPr>
          <w:p w14:paraId="72B96F9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尺寸：直径57mm。</w:t>
            </w:r>
          </w:p>
          <w:p w14:paraId="05628F8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材质：榉木，NC底漆+NC面漆，弹力绳子。</w:t>
            </w:r>
          </w:p>
          <w:p w14:paraId="394DA2C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特质：传统木质乐器，音色干净，使用简单、方便演奏。</w:t>
            </w:r>
          </w:p>
        </w:tc>
        <w:tc>
          <w:tcPr>
            <w:tcW w:w="0" w:type="auto"/>
            <w:shd w:val="clear" w:color="auto" w:fill="auto"/>
            <w:vAlign w:val="center"/>
          </w:tcPr>
          <w:p w14:paraId="167ED49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对</w:t>
            </w:r>
          </w:p>
        </w:tc>
        <w:tc>
          <w:tcPr>
            <w:tcW w:w="0" w:type="auto"/>
            <w:shd w:val="clear" w:color="auto" w:fill="auto"/>
            <w:vAlign w:val="center"/>
          </w:tcPr>
          <w:p w14:paraId="4220381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8 </w:t>
            </w:r>
          </w:p>
        </w:tc>
      </w:tr>
      <w:tr w14:paraId="2DBA8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2293FCE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34 </w:t>
            </w:r>
          </w:p>
        </w:tc>
        <w:tc>
          <w:tcPr>
            <w:tcW w:w="0" w:type="auto"/>
            <w:shd w:val="clear" w:color="auto" w:fill="auto"/>
            <w:vAlign w:val="center"/>
          </w:tcPr>
          <w:p w14:paraId="3B38246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双响筒</w:t>
            </w:r>
          </w:p>
        </w:tc>
        <w:tc>
          <w:tcPr>
            <w:tcW w:w="0" w:type="auto"/>
            <w:shd w:val="clear" w:color="auto" w:fill="auto"/>
            <w:vAlign w:val="center"/>
          </w:tcPr>
          <w:p w14:paraId="478E4F1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尺寸：长192mm。</w:t>
            </w:r>
          </w:p>
          <w:p w14:paraId="4195444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材质：榉木，NC底漆+NC面漆。</w:t>
            </w:r>
          </w:p>
          <w:p w14:paraId="3FC55A5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特质：打棒敲击，高音与低音对比明显，有图案一面为低音。配备收纳盒。</w:t>
            </w:r>
          </w:p>
        </w:tc>
        <w:tc>
          <w:tcPr>
            <w:tcW w:w="0" w:type="auto"/>
            <w:shd w:val="clear" w:color="auto" w:fill="auto"/>
            <w:vAlign w:val="center"/>
          </w:tcPr>
          <w:p w14:paraId="16B1C61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副</w:t>
            </w:r>
          </w:p>
        </w:tc>
        <w:tc>
          <w:tcPr>
            <w:tcW w:w="0" w:type="auto"/>
            <w:shd w:val="clear" w:color="auto" w:fill="auto"/>
            <w:vAlign w:val="center"/>
          </w:tcPr>
          <w:p w14:paraId="04D2D7A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8 </w:t>
            </w:r>
          </w:p>
        </w:tc>
      </w:tr>
      <w:tr w14:paraId="6C5C4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524B138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35 </w:t>
            </w:r>
          </w:p>
        </w:tc>
        <w:tc>
          <w:tcPr>
            <w:tcW w:w="0" w:type="auto"/>
            <w:shd w:val="clear" w:color="auto" w:fill="auto"/>
            <w:vAlign w:val="center"/>
          </w:tcPr>
          <w:p w14:paraId="3257D74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打棒</w:t>
            </w:r>
          </w:p>
        </w:tc>
        <w:tc>
          <w:tcPr>
            <w:tcW w:w="0" w:type="auto"/>
            <w:shd w:val="clear" w:color="auto" w:fill="auto"/>
            <w:vAlign w:val="center"/>
          </w:tcPr>
          <w:p w14:paraId="018CA6C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尺寸：长175mm。</w:t>
            </w:r>
          </w:p>
          <w:p w14:paraId="700C4C2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材质：榉木，NC底漆+NC面漆。</w:t>
            </w:r>
          </w:p>
          <w:p w14:paraId="379DC7F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特质：由极高密度的硬木制成，音色明亮，切割音色穿透力强。配备收纳盒。</w:t>
            </w:r>
          </w:p>
        </w:tc>
        <w:tc>
          <w:tcPr>
            <w:tcW w:w="0" w:type="auto"/>
            <w:shd w:val="clear" w:color="auto" w:fill="auto"/>
            <w:vAlign w:val="center"/>
          </w:tcPr>
          <w:p w14:paraId="60C397E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对</w:t>
            </w:r>
          </w:p>
        </w:tc>
        <w:tc>
          <w:tcPr>
            <w:tcW w:w="0" w:type="auto"/>
            <w:shd w:val="clear" w:color="auto" w:fill="auto"/>
            <w:vAlign w:val="center"/>
          </w:tcPr>
          <w:p w14:paraId="0A87D50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8 </w:t>
            </w:r>
          </w:p>
        </w:tc>
      </w:tr>
      <w:tr w14:paraId="273C5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04BFE27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36 </w:t>
            </w:r>
          </w:p>
        </w:tc>
        <w:tc>
          <w:tcPr>
            <w:tcW w:w="0" w:type="auto"/>
            <w:shd w:val="clear" w:color="auto" w:fill="auto"/>
            <w:vAlign w:val="center"/>
          </w:tcPr>
          <w:p w14:paraId="6FD6484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螺纹单响筒</w:t>
            </w:r>
          </w:p>
        </w:tc>
        <w:tc>
          <w:tcPr>
            <w:tcW w:w="0" w:type="auto"/>
            <w:shd w:val="clear" w:color="auto" w:fill="auto"/>
            <w:vAlign w:val="center"/>
          </w:tcPr>
          <w:p w14:paraId="19C3BCC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尺寸：长190mm。</w:t>
            </w:r>
          </w:p>
          <w:p w14:paraId="058D904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材质：榉木，NC底漆+NC面漆。</w:t>
            </w:r>
          </w:p>
          <w:p w14:paraId="6109B54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特质：木质乐器，音色干净、清脆。螺纹处刮奏即发出长音音效。</w:t>
            </w:r>
          </w:p>
        </w:tc>
        <w:tc>
          <w:tcPr>
            <w:tcW w:w="0" w:type="auto"/>
            <w:shd w:val="clear" w:color="auto" w:fill="auto"/>
            <w:vAlign w:val="center"/>
          </w:tcPr>
          <w:p w14:paraId="12593E8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副</w:t>
            </w:r>
          </w:p>
        </w:tc>
        <w:tc>
          <w:tcPr>
            <w:tcW w:w="0" w:type="auto"/>
            <w:shd w:val="clear" w:color="auto" w:fill="auto"/>
            <w:vAlign w:val="center"/>
          </w:tcPr>
          <w:p w14:paraId="59AE61B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8 </w:t>
            </w:r>
          </w:p>
        </w:tc>
      </w:tr>
      <w:tr w14:paraId="10CB4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4E69785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37 </w:t>
            </w:r>
          </w:p>
        </w:tc>
        <w:tc>
          <w:tcPr>
            <w:tcW w:w="0" w:type="auto"/>
            <w:shd w:val="clear" w:color="auto" w:fill="auto"/>
            <w:vAlign w:val="center"/>
          </w:tcPr>
          <w:p w14:paraId="5C82F2D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螺纹高低梆子</w:t>
            </w:r>
          </w:p>
        </w:tc>
        <w:tc>
          <w:tcPr>
            <w:tcW w:w="0" w:type="auto"/>
            <w:shd w:val="clear" w:color="auto" w:fill="auto"/>
            <w:vAlign w:val="center"/>
          </w:tcPr>
          <w:p w14:paraId="11A977D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尺寸：长210mm。</w:t>
            </w:r>
          </w:p>
          <w:p w14:paraId="7C83092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材质：榉木，NC底漆+NC面漆。</w:t>
            </w:r>
          </w:p>
          <w:p w14:paraId="7AB4CA7A">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特质：音色清脆，高音明亮，低音干净。分奏音质效果明显。</w:t>
            </w:r>
          </w:p>
        </w:tc>
        <w:tc>
          <w:tcPr>
            <w:tcW w:w="0" w:type="auto"/>
            <w:shd w:val="clear" w:color="auto" w:fill="auto"/>
            <w:vAlign w:val="center"/>
          </w:tcPr>
          <w:p w14:paraId="1A102B6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副</w:t>
            </w:r>
          </w:p>
        </w:tc>
        <w:tc>
          <w:tcPr>
            <w:tcW w:w="0" w:type="auto"/>
            <w:shd w:val="clear" w:color="auto" w:fill="auto"/>
            <w:vAlign w:val="center"/>
          </w:tcPr>
          <w:p w14:paraId="3DEC896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8 </w:t>
            </w:r>
          </w:p>
        </w:tc>
      </w:tr>
      <w:tr w14:paraId="37B42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7559DC5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38 </w:t>
            </w:r>
          </w:p>
        </w:tc>
        <w:tc>
          <w:tcPr>
            <w:tcW w:w="0" w:type="auto"/>
            <w:shd w:val="clear" w:color="auto" w:fill="auto"/>
            <w:vAlign w:val="center"/>
          </w:tcPr>
          <w:p w14:paraId="20181F4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龙口梆子</w:t>
            </w:r>
          </w:p>
        </w:tc>
        <w:tc>
          <w:tcPr>
            <w:tcW w:w="0" w:type="auto"/>
            <w:shd w:val="clear" w:color="auto" w:fill="auto"/>
            <w:vAlign w:val="center"/>
          </w:tcPr>
          <w:p w14:paraId="3D18CF1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尺寸：长 200mm。</w:t>
            </w:r>
          </w:p>
          <w:p w14:paraId="23938C6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材质：榉木，NC底漆+NC面漆。</w:t>
            </w:r>
          </w:p>
          <w:p w14:paraId="1E8E729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特质：中空包圆夹口，打棒敲击音色清脆，颗粒感强。</w:t>
            </w:r>
          </w:p>
        </w:tc>
        <w:tc>
          <w:tcPr>
            <w:tcW w:w="0" w:type="auto"/>
            <w:shd w:val="clear" w:color="auto" w:fill="auto"/>
            <w:vAlign w:val="center"/>
          </w:tcPr>
          <w:p w14:paraId="0E2EF2D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副</w:t>
            </w:r>
          </w:p>
        </w:tc>
        <w:tc>
          <w:tcPr>
            <w:tcW w:w="0" w:type="auto"/>
            <w:shd w:val="clear" w:color="auto" w:fill="auto"/>
            <w:vAlign w:val="center"/>
          </w:tcPr>
          <w:p w14:paraId="61871C0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8 </w:t>
            </w:r>
          </w:p>
        </w:tc>
      </w:tr>
      <w:tr w14:paraId="18E9A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38EFB12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39 </w:t>
            </w:r>
          </w:p>
        </w:tc>
        <w:tc>
          <w:tcPr>
            <w:tcW w:w="0" w:type="auto"/>
            <w:shd w:val="clear" w:color="auto" w:fill="auto"/>
            <w:vAlign w:val="center"/>
          </w:tcPr>
          <w:p w14:paraId="18B00FB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沙锤</w:t>
            </w:r>
          </w:p>
        </w:tc>
        <w:tc>
          <w:tcPr>
            <w:tcW w:w="0" w:type="auto"/>
            <w:shd w:val="clear" w:color="auto" w:fill="auto"/>
            <w:vAlign w:val="center"/>
          </w:tcPr>
          <w:p w14:paraId="0F761FF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尺寸：长200mm。</w:t>
            </w:r>
          </w:p>
          <w:p w14:paraId="2A80753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材质：榉木，NC底漆+NC面漆。</w:t>
            </w:r>
          </w:p>
          <w:p w14:paraId="426C03C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特质：手柄抓握感舒适，控制感好。音色饱满。配备收纳盒。</w:t>
            </w:r>
          </w:p>
        </w:tc>
        <w:tc>
          <w:tcPr>
            <w:tcW w:w="0" w:type="auto"/>
            <w:shd w:val="clear" w:color="auto" w:fill="auto"/>
            <w:vAlign w:val="center"/>
          </w:tcPr>
          <w:p w14:paraId="09F2AE5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对</w:t>
            </w:r>
          </w:p>
        </w:tc>
        <w:tc>
          <w:tcPr>
            <w:tcW w:w="0" w:type="auto"/>
            <w:shd w:val="clear" w:color="auto" w:fill="auto"/>
            <w:vAlign w:val="center"/>
          </w:tcPr>
          <w:p w14:paraId="5363781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8 </w:t>
            </w:r>
          </w:p>
        </w:tc>
      </w:tr>
      <w:tr w14:paraId="21800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2FE639A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40 </w:t>
            </w:r>
          </w:p>
        </w:tc>
        <w:tc>
          <w:tcPr>
            <w:tcW w:w="0" w:type="auto"/>
            <w:shd w:val="clear" w:color="auto" w:fill="auto"/>
            <w:vAlign w:val="center"/>
          </w:tcPr>
          <w:p w14:paraId="1BC84B5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沙蛋</w:t>
            </w:r>
          </w:p>
        </w:tc>
        <w:tc>
          <w:tcPr>
            <w:tcW w:w="0" w:type="auto"/>
            <w:shd w:val="clear" w:color="auto" w:fill="auto"/>
            <w:vAlign w:val="center"/>
          </w:tcPr>
          <w:p w14:paraId="15DC6FB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尺寸：高：≥60mm、直径：≥48mm</w:t>
            </w:r>
          </w:p>
          <w:p w14:paraId="19CE9BA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材质：PS塑料颗粒。</w:t>
            </w:r>
          </w:p>
          <w:p w14:paraId="1D4461F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特质：音色清透，音量高，投射力强。配备收纳盒。</w:t>
            </w:r>
          </w:p>
          <w:p w14:paraId="78287C9A">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提供沙蛋检测报告复印件加盖公章。</w:t>
            </w:r>
          </w:p>
        </w:tc>
        <w:tc>
          <w:tcPr>
            <w:tcW w:w="0" w:type="auto"/>
            <w:shd w:val="clear" w:color="auto" w:fill="auto"/>
            <w:vAlign w:val="center"/>
          </w:tcPr>
          <w:p w14:paraId="6C62240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对</w:t>
            </w:r>
          </w:p>
        </w:tc>
        <w:tc>
          <w:tcPr>
            <w:tcW w:w="0" w:type="auto"/>
            <w:shd w:val="clear" w:color="auto" w:fill="auto"/>
            <w:vAlign w:val="center"/>
          </w:tcPr>
          <w:p w14:paraId="48F7939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15 </w:t>
            </w:r>
          </w:p>
        </w:tc>
      </w:tr>
      <w:tr w14:paraId="1815A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641A0E9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41 </w:t>
            </w:r>
          </w:p>
        </w:tc>
        <w:tc>
          <w:tcPr>
            <w:tcW w:w="0" w:type="auto"/>
            <w:shd w:val="clear" w:color="auto" w:fill="auto"/>
            <w:vAlign w:val="center"/>
          </w:tcPr>
          <w:p w14:paraId="2553AD5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棒铃</w:t>
            </w:r>
          </w:p>
        </w:tc>
        <w:tc>
          <w:tcPr>
            <w:tcW w:w="0" w:type="auto"/>
            <w:shd w:val="clear" w:color="auto" w:fill="auto"/>
            <w:vAlign w:val="center"/>
          </w:tcPr>
          <w:p w14:paraId="0A9CA84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尺寸：长210mm。</w:t>
            </w:r>
          </w:p>
          <w:p w14:paraId="475C631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材质：榉木手柄，NC底漆+NC面漆。</w:t>
            </w:r>
          </w:p>
          <w:p w14:paraId="08F4601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特质：铃声音色饱满，丰富。手柄操作性强，确保动态控制配备收纳盒。</w:t>
            </w:r>
          </w:p>
        </w:tc>
        <w:tc>
          <w:tcPr>
            <w:tcW w:w="0" w:type="auto"/>
            <w:shd w:val="clear" w:color="auto" w:fill="auto"/>
            <w:vAlign w:val="center"/>
          </w:tcPr>
          <w:p w14:paraId="2E425A7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22885FC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8 </w:t>
            </w:r>
          </w:p>
        </w:tc>
      </w:tr>
      <w:tr w14:paraId="705DF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290C956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42 </w:t>
            </w:r>
          </w:p>
        </w:tc>
        <w:tc>
          <w:tcPr>
            <w:tcW w:w="0" w:type="auto"/>
            <w:shd w:val="clear" w:color="auto" w:fill="auto"/>
            <w:vAlign w:val="center"/>
          </w:tcPr>
          <w:p w14:paraId="0C45111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手摇铃</w:t>
            </w:r>
          </w:p>
        </w:tc>
        <w:tc>
          <w:tcPr>
            <w:tcW w:w="0" w:type="auto"/>
            <w:shd w:val="clear" w:color="auto" w:fill="auto"/>
            <w:vAlign w:val="center"/>
          </w:tcPr>
          <w:p w14:paraId="206F46D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尺寸：长115mm。</w:t>
            </w:r>
          </w:p>
          <w:p w14:paraId="20CD980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材质：牛皮带子，金属电镀铃铛，榉木手柄，NC底漆+NC面漆。</w:t>
            </w:r>
          </w:p>
          <w:p w14:paraId="618208AA">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特质：经典雪橇铃音色。科学的手握柄，铃声饱满。配备收纳盒。</w:t>
            </w:r>
          </w:p>
        </w:tc>
        <w:tc>
          <w:tcPr>
            <w:tcW w:w="0" w:type="auto"/>
            <w:shd w:val="clear" w:color="auto" w:fill="auto"/>
            <w:vAlign w:val="center"/>
          </w:tcPr>
          <w:p w14:paraId="7B15BCA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5EC3E41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10 </w:t>
            </w:r>
          </w:p>
        </w:tc>
      </w:tr>
      <w:tr w14:paraId="52DCB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02D5992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43 </w:t>
            </w:r>
          </w:p>
        </w:tc>
        <w:tc>
          <w:tcPr>
            <w:tcW w:w="0" w:type="auto"/>
            <w:shd w:val="clear" w:color="auto" w:fill="auto"/>
            <w:vAlign w:val="center"/>
          </w:tcPr>
          <w:p w14:paraId="6B5FB8D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铜镲</w:t>
            </w:r>
          </w:p>
        </w:tc>
        <w:tc>
          <w:tcPr>
            <w:tcW w:w="0" w:type="auto"/>
            <w:shd w:val="clear" w:color="auto" w:fill="auto"/>
            <w:vAlign w:val="center"/>
          </w:tcPr>
          <w:p w14:paraId="2F02F40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尺寸：直径100mm。</w:t>
            </w:r>
          </w:p>
          <w:p w14:paraId="6F44988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材质：黄铜材质，尼龙带。</w:t>
            </w:r>
          </w:p>
          <w:p w14:paraId="51867BD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特质：传统中国乐器，纯铜镲片音色干净，延音长。配备收纳盒。</w:t>
            </w:r>
          </w:p>
        </w:tc>
        <w:tc>
          <w:tcPr>
            <w:tcW w:w="0" w:type="auto"/>
            <w:shd w:val="clear" w:color="auto" w:fill="auto"/>
            <w:vAlign w:val="center"/>
          </w:tcPr>
          <w:p w14:paraId="415EB85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副</w:t>
            </w:r>
          </w:p>
        </w:tc>
        <w:tc>
          <w:tcPr>
            <w:tcW w:w="0" w:type="auto"/>
            <w:shd w:val="clear" w:color="auto" w:fill="auto"/>
            <w:vAlign w:val="center"/>
          </w:tcPr>
          <w:p w14:paraId="276495B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5 </w:t>
            </w:r>
          </w:p>
        </w:tc>
      </w:tr>
      <w:tr w14:paraId="69135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7F68CFF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44 </w:t>
            </w:r>
          </w:p>
        </w:tc>
        <w:tc>
          <w:tcPr>
            <w:tcW w:w="0" w:type="auto"/>
            <w:shd w:val="clear" w:color="auto" w:fill="auto"/>
            <w:vAlign w:val="center"/>
          </w:tcPr>
          <w:p w14:paraId="201D98D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铜锣</w:t>
            </w:r>
          </w:p>
        </w:tc>
        <w:tc>
          <w:tcPr>
            <w:tcW w:w="0" w:type="auto"/>
            <w:shd w:val="clear" w:color="auto" w:fill="auto"/>
            <w:vAlign w:val="center"/>
          </w:tcPr>
          <w:p w14:paraId="2E1408E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尺寸：直径180mm。</w:t>
            </w:r>
          </w:p>
          <w:p w14:paraId="7894774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材质：黄铜材质，尼龙带。</w:t>
            </w:r>
          </w:p>
          <w:p w14:paraId="10865F3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特质：传统中式乐器，低音与边缘处高音相互结合，民族调性强。</w:t>
            </w:r>
          </w:p>
        </w:tc>
        <w:tc>
          <w:tcPr>
            <w:tcW w:w="0" w:type="auto"/>
            <w:shd w:val="clear" w:color="auto" w:fill="auto"/>
            <w:vAlign w:val="center"/>
          </w:tcPr>
          <w:p w14:paraId="60A2C99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副</w:t>
            </w:r>
          </w:p>
        </w:tc>
        <w:tc>
          <w:tcPr>
            <w:tcW w:w="0" w:type="auto"/>
            <w:shd w:val="clear" w:color="auto" w:fill="auto"/>
            <w:vAlign w:val="center"/>
          </w:tcPr>
          <w:p w14:paraId="1BC4613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76B93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53AC59A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45 </w:t>
            </w:r>
          </w:p>
        </w:tc>
        <w:tc>
          <w:tcPr>
            <w:tcW w:w="0" w:type="auto"/>
            <w:shd w:val="clear" w:color="auto" w:fill="auto"/>
            <w:vAlign w:val="center"/>
          </w:tcPr>
          <w:p w14:paraId="359FE9C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铜碰钟</w:t>
            </w:r>
          </w:p>
        </w:tc>
        <w:tc>
          <w:tcPr>
            <w:tcW w:w="0" w:type="auto"/>
            <w:shd w:val="clear" w:color="auto" w:fill="auto"/>
            <w:vAlign w:val="center"/>
          </w:tcPr>
          <w:p w14:paraId="562B5B0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尺寸：长160mm。</w:t>
            </w:r>
          </w:p>
          <w:p w14:paraId="62B3478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材质：榉木手柄，黄铜碰钟，NC底漆+NC面漆。</w:t>
            </w:r>
          </w:p>
          <w:p w14:paraId="32571C3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特质：相互碰奏能发出明亮悠长的金属音质，乐器演奏中长音的最佳表现。</w:t>
            </w:r>
          </w:p>
        </w:tc>
        <w:tc>
          <w:tcPr>
            <w:tcW w:w="0" w:type="auto"/>
            <w:shd w:val="clear" w:color="auto" w:fill="auto"/>
            <w:vAlign w:val="center"/>
          </w:tcPr>
          <w:p w14:paraId="5AED598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对</w:t>
            </w:r>
          </w:p>
        </w:tc>
        <w:tc>
          <w:tcPr>
            <w:tcW w:w="0" w:type="auto"/>
            <w:shd w:val="clear" w:color="auto" w:fill="auto"/>
            <w:vAlign w:val="center"/>
          </w:tcPr>
          <w:p w14:paraId="11414C5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8 </w:t>
            </w:r>
          </w:p>
        </w:tc>
      </w:tr>
      <w:tr w14:paraId="79C2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71F2E1F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46 </w:t>
            </w:r>
          </w:p>
        </w:tc>
        <w:tc>
          <w:tcPr>
            <w:tcW w:w="0" w:type="auto"/>
            <w:shd w:val="clear" w:color="auto" w:fill="auto"/>
            <w:vAlign w:val="center"/>
          </w:tcPr>
          <w:p w14:paraId="7542E51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三角铁</w:t>
            </w:r>
          </w:p>
        </w:tc>
        <w:tc>
          <w:tcPr>
            <w:tcW w:w="0" w:type="auto"/>
            <w:shd w:val="clear" w:color="auto" w:fill="auto"/>
            <w:vAlign w:val="center"/>
          </w:tcPr>
          <w:p w14:paraId="35472A6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尺寸：边长135mm。</w:t>
            </w:r>
          </w:p>
          <w:p w14:paraId="02B6BFE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材质：铁质镀硌，胶皮黑管。</w:t>
            </w:r>
          </w:p>
          <w:p w14:paraId="1CB4B7C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特质：金属特质乐器，音色明亮，绵延。配备收纳架。</w:t>
            </w:r>
          </w:p>
        </w:tc>
        <w:tc>
          <w:tcPr>
            <w:tcW w:w="0" w:type="auto"/>
            <w:shd w:val="clear" w:color="auto" w:fill="auto"/>
            <w:vAlign w:val="center"/>
          </w:tcPr>
          <w:p w14:paraId="320425C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副</w:t>
            </w:r>
          </w:p>
        </w:tc>
        <w:tc>
          <w:tcPr>
            <w:tcW w:w="0" w:type="auto"/>
            <w:shd w:val="clear" w:color="auto" w:fill="auto"/>
            <w:vAlign w:val="center"/>
          </w:tcPr>
          <w:p w14:paraId="5FF959C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8 </w:t>
            </w:r>
          </w:p>
        </w:tc>
      </w:tr>
      <w:tr w14:paraId="5FDBF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718C954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47 </w:t>
            </w:r>
          </w:p>
        </w:tc>
        <w:tc>
          <w:tcPr>
            <w:tcW w:w="0" w:type="auto"/>
            <w:shd w:val="clear" w:color="auto" w:fill="auto"/>
            <w:vAlign w:val="center"/>
          </w:tcPr>
          <w:p w14:paraId="35F9225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阿果果</w:t>
            </w:r>
          </w:p>
        </w:tc>
        <w:tc>
          <w:tcPr>
            <w:tcW w:w="0" w:type="auto"/>
            <w:shd w:val="clear" w:color="auto" w:fill="auto"/>
            <w:vAlign w:val="center"/>
          </w:tcPr>
          <w:p w14:paraId="2A1337D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尺寸：长245mm。</w:t>
            </w:r>
          </w:p>
          <w:p w14:paraId="0AA0BEF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材质：铁质喷涂。</w:t>
            </w:r>
          </w:p>
          <w:p w14:paraId="7D5BD69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特质：音色明亮，两个音调对比强烈，适合双声部演奏。</w:t>
            </w:r>
          </w:p>
        </w:tc>
        <w:tc>
          <w:tcPr>
            <w:tcW w:w="0" w:type="auto"/>
            <w:shd w:val="clear" w:color="auto" w:fill="auto"/>
            <w:vAlign w:val="center"/>
          </w:tcPr>
          <w:p w14:paraId="7D79376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副</w:t>
            </w:r>
          </w:p>
        </w:tc>
        <w:tc>
          <w:tcPr>
            <w:tcW w:w="0" w:type="auto"/>
            <w:shd w:val="clear" w:color="auto" w:fill="auto"/>
            <w:vAlign w:val="center"/>
          </w:tcPr>
          <w:p w14:paraId="6FD7BC0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 </w:t>
            </w:r>
          </w:p>
        </w:tc>
      </w:tr>
      <w:tr w14:paraId="5F7E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7CB65D4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48 </w:t>
            </w:r>
          </w:p>
        </w:tc>
        <w:tc>
          <w:tcPr>
            <w:tcW w:w="0" w:type="auto"/>
            <w:shd w:val="clear" w:color="auto" w:fill="auto"/>
            <w:vAlign w:val="center"/>
          </w:tcPr>
          <w:p w14:paraId="5EA30A9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音感钟</w:t>
            </w:r>
          </w:p>
        </w:tc>
        <w:tc>
          <w:tcPr>
            <w:tcW w:w="0" w:type="auto"/>
            <w:shd w:val="clear" w:color="auto" w:fill="auto"/>
            <w:vAlign w:val="center"/>
          </w:tcPr>
          <w:p w14:paraId="3C1509D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尺寸：直径80mm。</w:t>
            </w:r>
          </w:p>
          <w:p w14:paraId="7F14067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材质：金属铃，塑料底托。</w:t>
            </w:r>
          </w:p>
          <w:p w14:paraId="037FBD0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特质：高音的八个音阶(do re mi fa sol la ti do'）音色明亮，易拿取。</w:t>
            </w:r>
          </w:p>
        </w:tc>
        <w:tc>
          <w:tcPr>
            <w:tcW w:w="0" w:type="auto"/>
            <w:shd w:val="clear" w:color="auto" w:fill="auto"/>
            <w:vAlign w:val="center"/>
          </w:tcPr>
          <w:p w14:paraId="03A0171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shd w:val="clear" w:color="auto" w:fill="auto"/>
            <w:vAlign w:val="center"/>
          </w:tcPr>
          <w:p w14:paraId="2C3CB04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22B54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3D84690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49 </w:t>
            </w:r>
          </w:p>
        </w:tc>
        <w:tc>
          <w:tcPr>
            <w:tcW w:w="0" w:type="auto"/>
            <w:shd w:val="clear" w:color="auto" w:fill="auto"/>
            <w:vAlign w:val="center"/>
          </w:tcPr>
          <w:p w14:paraId="0D16EBB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专业合成键高音打琴</w:t>
            </w:r>
          </w:p>
        </w:tc>
        <w:tc>
          <w:tcPr>
            <w:tcW w:w="0" w:type="auto"/>
            <w:shd w:val="clear" w:color="auto" w:fill="auto"/>
            <w:vAlign w:val="center"/>
          </w:tcPr>
          <w:p w14:paraId="162318F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尺寸：长675mm，琴箱高40mm。</w:t>
            </w:r>
          </w:p>
          <w:p w14:paraId="2CB98CA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材质：橡木箱体，合成琴片，PU底漆+PU面漆。</w:t>
            </w:r>
          </w:p>
          <w:p w14:paraId="0D3FFDD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特质：高音的七个音阶(do re mi fa sol la ti ）音色温润。</w:t>
            </w:r>
          </w:p>
        </w:tc>
        <w:tc>
          <w:tcPr>
            <w:tcW w:w="0" w:type="auto"/>
            <w:shd w:val="clear" w:color="auto" w:fill="auto"/>
            <w:vAlign w:val="center"/>
          </w:tcPr>
          <w:p w14:paraId="2CFCCAD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0" w:type="auto"/>
            <w:shd w:val="clear" w:color="auto" w:fill="auto"/>
            <w:vAlign w:val="center"/>
          </w:tcPr>
          <w:p w14:paraId="34779F1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5711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41F49C3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50 </w:t>
            </w:r>
          </w:p>
        </w:tc>
        <w:tc>
          <w:tcPr>
            <w:tcW w:w="0" w:type="auto"/>
            <w:shd w:val="clear" w:color="auto" w:fill="auto"/>
            <w:vAlign w:val="center"/>
          </w:tcPr>
          <w:p w14:paraId="28FD4D5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专业合成键中音打琴</w:t>
            </w:r>
          </w:p>
        </w:tc>
        <w:tc>
          <w:tcPr>
            <w:tcW w:w="0" w:type="auto"/>
            <w:shd w:val="clear" w:color="auto" w:fill="auto"/>
            <w:vAlign w:val="center"/>
          </w:tcPr>
          <w:p w14:paraId="54AE160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尺寸：长690mm，琴箱高66mm。</w:t>
            </w:r>
          </w:p>
          <w:p w14:paraId="381409D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材质：橡木箱体，合成琴片，PU底漆+PU面漆。</w:t>
            </w:r>
          </w:p>
          <w:p w14:paraId="1D9CB81A">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特质：中音的七个音阶(do re mi fa sol la ti ）音色温润。</w:t>
            </w:r>
          </w:p>
        </w:tc>
        <w:tc>
          <w:tcPr>
            <w:tcW w:w="0" w:type="auto"/>
            <w:shd w:val="clear" w:color="auto" w:fill="auto"/>
            <w:vAlign w:val="center"/>
          </w:tcPr>
          <w:p w14:paraId="2D5D075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0" w:type="auto"/>
            <w:shd w:val="clear" w:color="auto" w:fill="auto"/>
            <w:vAlign w:val="center"/>
          </w:tcPr>
          <w:p w14:paraId="5695B1A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34664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3490197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51 </w:t>
            </w:r>
          </w:p>
        </w:tc>
        <w:tc>
          <w:tcPr>
            <w:tcW w:w="0" w:type="auto"/>
            <w:shd w:val="clear" w:color="auto" w:fill="auto"/>
            <w:vAlign w:val="center"/>
          </w:tcPr>
          <w:p w14:paraId="0269554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专业合成键低音打琴</w:t>
            </w:r>
          </w:p>
        </w:tc>
        <w:tc>
          <w:tcPr>
            <w:tcW w:w="0" w:type="auto"/>
            <w:shd w:val="clear" w:color="auto" w:fill="auto"/>
            <w:vAlign w:val="center"/>
          </w:tcPr>
          <w:p w14:paraId="3EA4381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尺寸：长755mm，琴箱高335mm。</w:t>
            </w:r>
          </w:p>
          <w:p w14:paraId="46267D6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材质：橡木箱体，合成琴片，PU底漆+PU面漆。</w:t>
            </w:r>
          </w:p>
          <w:p w14:paraId="6FE619D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特质：低音的七个音阶(do re mi fa sol la ti ）音色温润。</w:t>
            </w:r>
          </w:p>
        </w:tc>
        <w:tc>
          <w:tcPr>
            <w:tcW w:w="0" w:type="auto"/>
            <w:shd w:val="clear" w:color="auto" w:fill="auto"/>
            <w:vAlign w:val="center"/>
          </w:tcPr>
          <w:p w14:paraId="341AE51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0" w:type="auto"/>
            <w:shd w:val="clear" w:color="auto" w:fill="auto"/>
            <w:vAlign w:val="center"/>
          </w:tcPr>
          <w:p w14:paraId="52C9813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00444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0A74E47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52 </w:t>
            </w:r>
          </w:p>
        </w:tc>
        <w:tc>
          <w:tcPr>
            <w:tcW w:w="0" w:type="auto"/>
            <w:shd w:val="clear" w:color="auto" w:fill="auto"/>
            <w:vAlign w:val="center"/>
          </w:tcPr>
          <w:p w14:paraId="66E4418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海鼓</w:t>
            </w:r>
          </w:p>
        </w:tc>
        <w:tc>
          <w:tcPr>
            <w:tcW w:w="0" w:type="auto"/>
            <w:shd w:val="clear" w:color="auto" w:fill="auto"/>
            <w:vAlign w:val="center"/>
          </w:tcPr>
          <w:p w14:paraId="1F14B61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尺寸：直径255mm。</w:t>
            </w:r>
          </w:p>
          <w:p w14:paraId="2E6178F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材质：桦木鼓圈，NC底漆+NC面漆，蓝色丝带，电镀钢珠，聚酯透明鼓皮。</w:t>
            </w:r>
          </w:p>
          <w:p w14:paraId="51AA3AB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特质：模拟海浪的音色效果，封闭的鼓圈可自由控制，制造舒缓的音色。</w:t>
            </w:r>
          </w:p>
        </w:tc>
        <w:tc>
          <w:tcPr>
            <w:tcW w:w="0" w:type="auto"/>
            <w:shd w:val="clear" w:color="auto" w:fill="auto"/>
            <w:vAlign w:val="center"/>
          </w:tcPr>
          <w:p w14:paraId="3E4F78D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1FD136D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67BF7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759E70F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53 </w:t>
            </w:r>
          </w:p>
        </w:tc>
        <w:tc>
          <w:tcPr>
            <w:tcW w:w="0" w:type="auto"/>
            <w:shd w:val="clear" w:color="auto" w:fill="auto"/>
            <w:vAlign w:val="center"/>
          </w:tcPr>
          <w:p w14:paraId="25A2D46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木质雨声</w:t>
            </w:r>
          </w:p>
        </w:tc>
        <w:tc>
          <w:tcPr>
            <w:tcW w:w="0" w:type="auto"/>
            <w:shd w:val="clear" w:color="auto" w:fill="auto"/>
            <w:vAlign w:val="center"/>
          </w:tcPr>
          <w:p w14:paraId="7F0AE64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尺寸：长350mm。</w:t>
            </w:r>
          </w:p>
          <w:p w14:paraId="0706709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材质：榉木，电镀钢珠，NC底漆+NC面漆。</w:t>
            </w:r>
          </w:p>
          <w:p w14:paraId="398438C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特质：模拟雨天的音色效果，音色像暴雨般，长音效果好。</w:t>
            </w:r>
          </w:p>
        </w:tc>
        <w:tc>
          <w:tcPr>
            <w:tcW w:w="0" w:type="auto"/>
            <w:shd w:val="clear" w:color="auto" w:fill="auto"/>
            <w:vAlign w:val="center"/>
          </w:tcPr>
          <w:p w14:paraId="4E194C6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5DD7707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18C9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0F23472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54 </w:t>
            </w:r>
          </w:p>
        </w:tc>
        <w:tc>
          <w:tcPr>
            <w:tcW w:w="0" w:type="auto"/>
            <w:shd w:val="clear" w:color="auto" w:fill="auto"/>
            <w:vAlign w:val="center"/>
          </w:tcPr>
          <w:p w14:paraId="2DE3299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火车哨</w:t>
            </w:r>
          </w:p>
        </w:tc>
        <w:tc>
          <w:tcPr>
            <w:tcW w:w="0" w:type="auto"/>
            <w:shd w:val="clear" w:color="auto" w:fill="auto"/>
            <w:vAlign w:val="center"/>
          </w:tcPr>
          <w:p w14:paraId="6FD055D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尺寸：长180mm。</w:t>
            </w:r>
          </w:p>
          <w:p w14:paraId="4323ECF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材质：榉木，NC底漆+NC面漆，塑料配件。</w:t>
            </w:r>
          </w:p>
          <w:p w14:paraId="7668851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特质：模拟火车鸣笛音效，对蓝色滤嘴轻吹即可发音。</w:t>
            </w:r>
          </w:p>
        </w:tc>
        <w:tc>
          <w:tcPr>
            <w:tcW w:w="0" w:type="auto"/>
            <w:shd w:val="clear" w:color="auto" w:fill="auto"/>
            <w:vAlign w:val="center"/>
          </w:tcPr>
          <w:p w14:paraId="2E5D5A3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40667AB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432D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2EA8B3D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55 </w:t>
            </w:r>
          </w:p>
        </w:tc>
        <w:tc>
          <w:tcPr>
            <w:tcW w:w="0" w:type="auto"/>
            <w:shd w:val="clear" w:color="auto" w:fill="auto"/>
            <w:vAlign w:val="center"/>
          </w:tcPr>
          <w:p w14:paraId="18139F5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振动器</w:t>
            </w:r>
          </w:p>
        </w:tc>
        <w:tc>
          <w:tcPr>
            <w:tcW w:w="0" w:type="auto"/>
            <w:shd w:val="clear" w:color="auto" w:fill="auto"/>
            <w:vAlign w:val="center"/>
          </w:tcPr>
          <w:p w14:paraId="55DC5EE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尺寸：长250mm。</w:t>
            </w:r>
          </w:p>
          <w:p w14:paraId="015D32A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材质：榉木，铁质电镀配件。</w:t>
            </w:r>
          </w:p>
          <w:p w14:paraId="34059C8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特质：手掌击拍圆球会发出绵延悠长的振动音色。</w:t>
            </w:r>
          </w:p>
        </w:tc>
        <w:tc>
          <w:tcPr>
            <w:tcW w:w="0" w:type="auto"/>
            <w:shd w:val="clear" w:color="auto" w:fill="auto"/>
            <w:vAlign w:val="center"/>
          </w:tcPr>
          <w:p w14:paraId="77482FC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34F881E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69AE3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460C655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56 </w:t>
            </w:r>
          </w:p>
        </w:tc>
        <w:tc>
          <w:tcPr>
            <w:tcW w:w="0" w:type="auto"/>
            <w:shd w:val="clear" w:color="auto" w:fill="auto"/>
            <w:vAlign w:val="center"/>
          </w:tcPr>
          <w:p w14:paraId="3A340D9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手鼓收纳盒</w:t>
            </w:r>
          </w:p>
        </w:tc>
        <w:tc>
          <w:tcPr>
            <w:tcW w:w="0" w:type="auto"/>
            <w:shd w:val="clear" w:color="auto" w:fill="auto"/>
            <w:vAlign w:val="center"/>
          </w:tcPr>
          <w:p w14:paraId="35FCC6C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长≥470mm，宽≥230mm，高≥240mm，松木材质。</w:t>
            </w:r>
          </w:p>
        </w:tc>
        <w:tc>
          <w:tcPr>
            <w:tcW w:w="0" w:type="auto"/>
            <w:shd w:val="clear" w:color="auto" w:fill="auto"/>
            <w:vAlign w:val="center"/>
          </w:tcPr>
          <w:p w14:paraId="069A7AB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741C4EC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48975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435C756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57 </w:t>
            </w:r>
          </w:p>
        </w:tc>
        <w:tc>
          <w:tcPr>
            <w:tcW w:w="0" w:type="auto"/>
            <w:shd w:val="clear" w:color="auto" w:fill="auto"/>
            <w:vAlign w:val="center"/>
          </w:tcPr>
          <w:p w14:paraId="64B0703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铃鼓收纳盒</w:t>
            </w:r>
          </w:p>
        </w:tc>
        <w:tc>
          <w:tcPr>
            <w:tcW w:w="0" w:type="auto"/>
            <w:shd w:val="clear" w:color="auto" w:fill="auto"/>
            <w:vAlign w:val="center"/>
          </w:tcPr>
          <w:p w14:paraId="3AF9421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长≥470mm，宽≥230mm，高≥240mm，松木材质。</w:t>
            </w:r>
          </w:p>
        </w:tc>
        <w:tc>
          <w:tcPr>
            <w:tcW w:w="0" w:type="auto"/>
            <w:shd w:val="clear" w:color="auto" w:fill="auto"/>
            <w:vAlign w:val="center"/>
          </w:tcPr>
          <w:p w14:paraId="319AC53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5977D32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07400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08B4902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58 </w:t>
            </w:r>
          </w:p>
        </w:tc>
        <w:tc>
          <w:tcPr>
            <w:tcW w:w="0" w:type="auto"/>
            <w:shd w:val="clear" w:color="auto" w:fill="auto"/>
            <w:vAlign w:val="center"/>
          </w:tcPr>
          <w:p w14:paraId="03733B5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刮胡收纳盒</w:t>
            </w:r>
          </w:p>
        </w:tc>
        <w:tc>
          <w:tcPr>
            <w:tcW w:w="0" w:type="auto"/>
            <w:shd w:val="clear" w:color="auto" w:fill="auto"/>
            <w:vAlign w:val="center"/>
          </w:tcPr>
          <w:p w14:paraId="4F15924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长≥280mm，宽≥170mm，高≥170mm，松木材质。</w:t>
            </w:r>
          </w:p>
        </w:tc>
        <w:tc>
          <w:tcPr>
            <w:tcW w:w="0" w:type="auto"/>
            <w:shd w:val="clear" w:color="auto" w:fill="auto"/>
            <w:vAlign w:val="center"/>
          </w:tcPr>
          <w:p w14:paraId="280FC80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7F421A9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726CC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12FDB14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59 </w:t>
            </w:r>
          </w:p>
        </w:tc>
        <w:tc>
          <w:tcPr>
            <w:tcW w:w="0" w:type="auto"/>
            <w:shd w:val="clear" w:color="auto" w:fill="auto"/>
            <w:vAlign w:val="center"/>
          </w:tcPr>
          <w:p w14:paraId="3E2B6D2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响板收纳盒</w:t>
            </w:r>
          </w:p>
        </w:tc>
        <w:tc>
          <w:tcPr>
            <w:tcW w:w="0" w:type="auto"/>
            <w:shd w:val="clear" w:color="auto" w:fill="auto"/>
            <w:vAlign w:val="center"/>
          </w:tcPr>
          <w:p w14:paraId="730D2AA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长≥290mm，宽≥240mm，高≥150mm，松木材质。</w:t>
            </w:r>
          </w:p>
        </w:tc>
        <w:tc>
          <w:tcPr>
            <w:tcW w:w="0" w:type="auto"/>
            <w:shd w:val="clear" w:color="auto" w:fill="auto"/>
            <w:vAlign w:val="center"/>
          </w:tcPr>
          <w:p w14:paraId="3E27170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1BBBBEA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1F5B0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27B8063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60 </w:t>
            </w:r>
          </w:p>
        </w:tc>
        <w:tc>
          <w:tcPr>
            <w:tcW w:w="0" w:type="auto"/>
            <w:shd w:val="clear" w:color="auto" w:fill="auto"/>
            <w:vAlign w:val="center"/>
          </w:tcPr>
          <w:p w14:paraId="5021DC9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双响筒收纳盒</w:t>
            </w:r>
          </w:p>
        </w:tc>
        <w:tc>
          <w:tcPr>
            <w:tcW w:w="0" w:type="auto"/>
            <w:shd w:val="clear" w:color="auto" w:fill="auto"/>
            <w:vAlign w:val="center"/>
          </w:tcPr>
          <w:p w14:paraId="3ED5AC18">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长≥210mm，宽≥190mm，高≥140mm，松木材质。</w:t>
            </w:r>
          </w:p>
        </w:tc>
        <w:tc>
          <w:tcPr>
            <w:tcW w:w="0" w:type="auto"/>
            <w:shd w:val="clear" w:color="auto" w:fill="auto"/>
            <w:vAlign w:val="center"/>
          </w:tcPr>
          <w:p w14:paraId="3133E1C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26D5349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27031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3A204D1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61 </w:t>
            </w:r>
          </w:p>
        </w:tc>
        <w:tc>
          <w:tcPr>
            <w:tcW w:w="0" w:type="auto"/>
            <w:shd w:val="clear" w:color="auto" w:fill="auto"/>
            <w:vAlign w:val="center"/>
          </w:tcPr>
          <w:p w14:paraId="46455EC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打棒收纳盒</w:t>
            </w:r>
          </w:p>
        </w:tc>
        <w:tc>
          <w:tcPr>
            <w:tcW w:w="0" w:type="auto"/>
            <w:shd w:val="clear" w:color="auto" w:fill="auto"/>
            <w:vAlign w:val="center"/>
          </w:tcPr>
          <w:p w14:paraId="013CC818">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长≥280mm，宽≥140mm，高≥150mm，松木材质。</w:t>
            </w:r>
          </w:p>
        </w:tc>
        <w:tc>
          <w:tcPr>
            <w:tcW w:w="0" w:type="auto"/>
            <w:shd w:val="clear" w:color="auto" w:fill="auto"/>
            <w:vAlign w:val="center"/>
          </w:tcPr>
          <w:p w14:paraId="24C5C93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4E33C62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7D247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1127CAD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62 </w:t>
            </w:r>
          </w:p>
        </w:tc>
        <w:tc>
          <w:tcPr>
            <w:tcW w:w="0" w:type="auto"/>
            <w:shd w:val="clear" w:color="auto" w:fill="auto"/>
            <w:vAlign w:val="center"/>
          </w:tcPr>
          <w:p w14:paraId="4BBB0B2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龙口梆子收纳盒</w:t>
            </w:r>
          </w:p>
        </w:tc>
        <w:tc>
          <w:tcPr>
            <w:tcW w:w="0" w:type="auto"/>
            <w:shd w:val="clear" w:color="auto" w:fill="auto"/>
            <w:vAlign w:val="center"/>
          </w:tcPr>
          <w:p w14:paraId="2F76109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长≥290mm，宽≥170mm，高≥200mm，松木材质。</w:t>
            </w:r>
          </w:p>
        </w:tc>
        <w:tc>
          <w:tcPr>
            <w:tcW w:w="0" w:type="auto"/>
            <w:shd w:val="clear" w:color="auto" w:fill="auto"/>
            <w:vAlign w:val="center"/>
          </w:tcPr>
          <w:p w14:paraId="6EA9A03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0F8CC09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13743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352A433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63 </w:t>
            </w:r>
          </w:p>
        </w:tc>
        <w:tc>
          <w:tcPr>
            <w:tcW w:w="0" w:type="auto"/>
            <w:shd w:val="clear" w:color="auto" w:fill="auto"/>
            <w:vAlign w:val="center"/>
          </w:tcPr>
          <w:p w14:paraId="0810839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单响筒收纳盒</w:t>
            </w:r>
          </w:p>
        </w:tc>
        <w:tc>
          <w:tcPr>
            <w:tcW w:w="0" w:type="auto"/>
            <w:shd w:val="clear" w:color="auto" w:fill="auto"/>
            <w:vAlign w:val="center"/>
          </w:tcPr>
          <w:p w14:paraId="28579C4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长≥280mm，宽≥170mm，高≥170mm，松木材质。</w:t>
            </w:r>
          </w:p>
        </w:tc>
        <w:tc>
          <w:tcPr>
            <w:tcW w:w="0" w:type="auto"/>
            <w:shd w:val="clear" w:color="auto" w:fill="auto"/>
            <w:vAlign w:val="center"/>
          </w:tcPr>
          <w:p w14:paraId="067568A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3742C03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171B1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3017417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64 </w:t>
            </w:r>
          </w:p>
        </w:tc>
        <w:tc>
          <w:tcPr>
            <w:tcW w:w="0" w:type="auto"/>
            <w:shd w:val="clear" w:color="auto" w:fill="auto"/>
            <w:vAlign w:val="center"/>
          </w:tcPr>
          <w:p w14:paraId="4BD96A2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高低梆子收纳盒</w:t>
            </w:r>
          </w:p>
        </w:tc>
        <w:tc>
          <w:tcPr>
            <w:tcW w:w="0" w:type="auto"/>
            <w:shd w:val="clear" w:color="auto" w:fill="auto"/>
            <w:vAlign w:val="center"/>
          </w:tcPr>
          <w:p w14:paraId="44CF18E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长≥290mm，宽≥230mm，高≥200mm，松木材质。</w:t>
            </w:r>
          </w:p>
        </w:tc>
        <w:tc>
          <w:tcPr>
            <w:tcW w:w="0" w:type="auto"/>
            <w:shd w:val="clear" w:color="auto" w:fill="auto"/>
            <w:vAlign w:val="center"/>
          </w:tcPr>
          <w:p w14:paraId="15F051B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43607EB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2717C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10C57F4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65 </w:t>
            </w:r>
          </w:p>
        </w:tc>
        <w:tc>
          <w:tcPr>
            <w:tcW w:w="0" w:type="auto"/>
            <w:shd w:val="clear" w:color="auto" w:fill="auto"/>
            <w:vAlign w:val="center"/>
          </w:tcPr>
          <w:p w14:paraId="20BBF9F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沙锤收纳盒</w:t>
            </w:r>
          </w:p>
        </w:tc>
        <w:tc>
          <w:tcPr>
            <w:tcW w:w="0" w:type="auto"/>
            <w:shd w:val="clear" w:color="auto" w:fill="auto"/>
            <w:vAlign w:val="center"/>
          </w:tcPr>
          <w:p w14:paraId="4965D97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长≥290mm，宽≥290mm，高≥200mm，松木材质。</w:t>
            </w:r>
          </w:p>
        </w:tc>
        <w:tc>
          <w:tcPr>
            <w:tcW w:w="0" w:type="auto"/>
            <w:shd w:val="clear" w:color="auto" w:fill="auto"/>
            <w:vAlign w:val="center"/>
          </w:tcPr>
          <w:p w14:paraId="3C3851F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2088747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0DFA7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498C26E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66 </w:t>
            </w:r>
          </w:p>
        </w:tc>
        <w:tc>
          <w:tcPr>
            <w:tcW w:w="0" w:type="auto"/>
            <w:shd w:val="clear" w:color="auto" w:fill="auto"/>
            <w:vAlign w:val="center"/>
          </w:tcPr>
          <w:p w14:paraId="45191FF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沙蛋收纳盒</w:t>
            </w:r>
          </w:p>
        </w:tc>
        <w:tc>
          <w:tcPr>
            <w:tcW w:w="0" w:type="auto"/>
            <w:shd w:val="clear" w:color="auto" w:fill="auto"/>
            <w:vAlign w:val="center"/>
          </w:tcPr>
          <w:p w14:paraId="4227968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长≥290mm，宽≥240mm，高≥150mm，松木材质。</w:t>
            </w:r>
          </w:p>
        </w:tc>
        <w:tc>
          <w:tcPr>
            <w:tcW w:w="0" w:type="auto"/>
            <w:shd w:val="clear" w:color="auto" w:fill="auto"/>
            <w:vAlign w:val="center"/>
          </w:tcPr>
          <w:p w14:paraId="7694931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7A46B93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4EA3C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078648D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67 </w:t>
            </w:r>
          </w:p>
        </w:tc>
        <w:tc>
          <w:tcPr>
            <w:tcW w:w="0" w:type="auto"/>
            <w:shd w:val="clear" w:color="auto" w:fill="auto"/>
            <w:vAlign w:val="center"/>
          </w:tcPr>
          <w:p w14:paraId="21D5AC8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棒铃收纳盒</w:t>
            </w:r>
          </w:p>
        </w:tc>
        <w:tc>
          <w:tcPr>
            <w:tcW w:w="0" w:type="auto"/>
            <w:shd w:val="clear" w:color="auto" w:fill="auto"/>
            <w:vAlign w:val="center"/>
          </w:tcPr>
          <w:p w14:paraId="25E8111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长≥290mm，宽≥140mm，高≥150mm，松木材质。</w:t>
            </w:r>
          </w:p>
        </w:tc>
        <w:tc>
          <w:tcPr>
            <w:tcW w:w="0" w:type="auto"/>
            <w:shd w:val="clear" w:color="auto" w:fill="auto"/>
            <w:vAlign w:val="center"/>
          </w:tcPr>
          <w:p w14:paraId="51471B0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6D19575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136CE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30B4820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68 </w:t>
            </w:r>
          </w:p>
        </w:tc>
        <w:tc>
          <w:tcPr>
            <w:tcW w:w="0" w:type="auto"/>
            <w:shd w:val="clear" w:color="auto" w:fill="auto"/>
            <w:vAlign w:val="center"/>
          </w:tcPr>
          <w:p w14:paraId="5EC42F6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手摇铃收纳盒</w:t>
            </w:r>
          </w:p>
        </w:tc>
        <w:tc>
          <w:tcPr>
            <w:tcW w:w="0" w:type="auto"/>
            <w:shd w:val="clear" w:color="auto" w:fill="auto"/>
            <w:vAlign w:val="center"/>
          </w:tcPr>
          <w:p w14:paraId="7EB166C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长≥290mm，宽≥170mm，高≥130mm，松木材质。</w:t>
            </w:r>
          </w:p>
        </w:tc>
        <w:tc>
          <w:tcPr>
            <w:tcW w:w="0" w:type="auto"/>
            <w:shd w:val="clear" w:color="auto" w:fill="auto"/>
            <w:vAlign w:val="center"/>
          </w:tcPr>
          <w:p w14:paraId="4A8D971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1115F3A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5F5F6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615357A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69 </w:t>
            </w:r>
          </w:p>
        </w:tc>
        <w:tc>
          <w:tcPr>
            <w:tcW w:w="0" w:type="auto"/>
            <w:shd w:val="clear" w:color="auto" w:fill="auto"/>
            <w:vAlign w:val="center"/>
          </w:tcPr>
          <w:p w14:paraId="1EDF28A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铜碰钟收纳盒</w:t>
            </w:r>
          </w:p>
        </w:tc>
        <w:tc>
          <w:tcPr>
            <w:tcW w:w="0" w:type="auto"/>
            <w:shd w:val="clear" w:color="auto" w:fill="auto"/>
            <w:vAlign w:val="center"/>
          </w:tcPr>
          <w:p w14:paraId="35BB532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长≥290mm，宽≥140mm，高≥150mm，松木材质。</w:t>
            </w:r>
          </w:p>
        </w:tc>
        <w:tc>
          <w:tcPr>
            <w:tcW w:w="0" w:type="auto"/>
            <w:shd w:val="clear" w:color="auto" w:fill="auto"/>
            <w:vAlign w:val="center"/>
          </w:tcPr>
          <w:p w14:paraId="166AC51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7ACB004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56E29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3A4D1A4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70 </w:t>
            </w:r>
          </w:p>
        </w:tc>
        <w:tc>
          <w:tcPr>
            <w:tcW w:w="0" w:type="auto"/>
            <w:shd w:val="clear" w:color="auto" w:fill="auto"/>
            <w:vAlign w:val="center"/>
          </w:tcPr>
          <w:p w14:paraId="4F81081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铜镲收纳盒</w:t>
            </w:r>
          </w:p>
        </w:tc>
        <w:tc>
          <w:tcPr>
            <w:tcW w:w="0" w:type="auto"/>
            <w:shd w:val="clear" w:color="auto" w:fill="auto"/>
            <w:vAlign w:val="center"/>
          </w:tcPr>
          <w:p w14:paraId="11B3F6D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长≥290mm，宽≥170mm，高≥130mm，松木材质。</w:t>
            </w:r>
          </w:p>
        </w:tc>
        <w:tc>
          <w:tcPr>
            <w:tcW w:w="0" w:type="auto"/>
            <w:shd w:val="clear" w:color="auto" w:fill="auto"/>
            <w:vAlign w:val="center"/>
          </w:tcPr>
          <w:p w14:paraId="28C2CD9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5E6B5D3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1A571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2867B96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71 </w:t>
            </w:r>
          </w:p>
        </w:tc>
        <w:tc>
          <w:tcPr>
            <w:tcW w:w="0" w:type="auto"/>
            <w:shd w:val="clear" w:color="auto" w:fill="auto"/>
            <w:vAlign w:val="center"/>
          </w:tcPr>
          <w:p w14:paraId="3495CF2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三角铁收纳架</w:t>
            </w:r>
          </w:p>
        </w:tc>
        <w:tc>
          <w:tcPr>
            <w:tcW w:w="0" w:type="auto"/>
            <w:shd w:val="clear" w:color="auto" w:fill="auto"/>
            <w:vAlign w:val="center"/>
          </w:tcPr>
          <w:p w14:paraId="2DB3E71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长≥290mm，宽≥60mm，高≥250mm，松木材质。</w:t>
            </w:r>
          </w:p>
        </w:tc>
        <w:tc>
          <w:tcPr>
            <w:tcW w:w="0" w:type="auto"/>
            <w:shd w:val="clear" w:color="auto" w:fill="auto"/>
            <w:vAlign w:val="center"/>
          </w:tcPr>
          <w:p w14:paraId="28DD493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590461E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649BA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7982BBA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72 </w:t>
            </w:r>
          </w:p>
        </w:tc>
        <w:tc>
          <w:tcPr>
            <w:tcW w:w="0" w:type="auto"/>
            <w:shd w:val="clear" w:color="auto" w:fill="auto"/>
            <w:vAlign w:val="center"/>
          </w:tcPr>
          <w:p w14:paraId="1E6C82D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展示柜及收纳盒</w:t>
            </w:r>
          </w:p>
        </w:tc>
        <w:tc>
          <w:tcPr>
            <w:tcW w:w="0" w:type="auto"/>
            <w:shd w:val="clear" w:color="auto" w:fill="auto"/>
            <w:vAlign w:val="center"/>
          </w:tcPr>
          <w:p w14:paraId="0728222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5个/组，1.2生态板。</w:t>
            </w:r>
          </w:p>
          <w:p w14:paraId="4EF81E1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鼓柜约：长1200mm，宽380mm，高1200mm</w:t>
            </w:r>
          </w:p>
          <w:p w14:paraId="646C985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琴柜约：长800mm，宽380mm，高1200mm</w:t>
            </w:r>
          </w:p>
          <w:p w14:paraId="5EC5EAB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小乐器柜约：长1200mm，宽380mm，高1200mm</w:t>
            </w:r>
          </w:p>
          <w:p w14:paraId="0FC6CBC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侧边柜2个，尺寸约：长400mm，宽380mm，高1200mm。</w:t>
            </w:r>
          </w:p>
        </w:tc>
        <w:tc>
          <w:tcPr>
            <w:tcW w:w="0" w:type="auto"/>
            <w:shd w:val="clear" w:color="auto" w:fill="auto"/>
            <w:vAlign w:val="center"/>
          </w:tcPr>
          <w:p w14:paraId="7FD50CD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shd w:val="clear" w:color="auto" w:fill="auto"/>
            <w:vAlign w:val="center"/>
          </w:tcPr>
          <w:p w14:paraId="1CC5145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51033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463A62C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73 </w:t>
            </w:r>
          </w:p>
        </w:tc>
        <w:tc>
          <w:tcPr>
            <w:tcW w:w="0" w:type="auto"/>
            <w:shd w:val="clear" w:color="auto" w:fill="auto"/>
            <w:vAlign w:val="center"/>
          </w:tcPr>
          <w:p w14:paraId="72472CD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蛙鸣筒</w:t>
            </w:r>
          </w:p>
        </w:tc>
        <w:tc>
          <w:tcPr>
            <w:tcW w:w="0" w:type="auto"/>
            <w:shd w:val="clear" w:color="auto" w:fill="auto"/>
            <w:vAlign w:val="center"/>
          </w:tcPr>
          <w:p w14:paraId="5AF4F58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尺寸：长350mm。</w:t>
            </w:r>
          </w:p>
          <w:p w14:paraId="31E7E3C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材质：榉木，NC底漆+NC面漆。</w:t>
            </w:r>
          </w:p>
          <w:p w14:paraId="2A4A5B4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特质：鱼型刮奏乐器，音色明亮，穿透力好。</w:t>
            </w:r>
          </w:p>
        </w:tc>
        <w:tc>
          <w:tcPr>
            <w:tcW w:w="0" w:type="auto"/>
            <w:shd w:val="clear" w:color="auto" w:fill="auto"/>
            <w:vAlign w:val="center"/>
          </w:tcPr>
          <w:p w14:paraId="2C42FA8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副</w:t>
            </w:r>
          </w:p>
        </w:tc>
        <w:tc>
          <w:tcPr>
            <w:tcW w:w="0" w:type="auto"/>
            <w:shd w:val="clear" w:color="auto" w:fill="auto"/>
            <w:vAlign w:val="center"/>
          </w:tcPr>
          <w:p w14:paraId="6D77697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8 </w:t>
            </w:r>
          </w:p>
        </w:tc>
      </w:tr>
      <w:tr w14:paraId="07F74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6134CA8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74 </w:t>
            </w:r>
          </w:p>
        </w:tc>
        <w:tc>
          <w:tcPr>
            <w:tcW w:w="0" w:type="auto"/>
            <w:shd w:val="clear" w:color="auto" w:fill="auto"/>
            <w:vAlign w:val="center"/>
          </w:tcPr>
          <w:p w14:paraId="46AEB2D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北梆子</w:t>
            </w:r>
          </w:p>
        </w:tc>
        <w:tc>
          <w:tcPr>
            <w:tcW w:w="0" w:type="auto"/>
            <w:shd w:val="clear" w:color="auto" w:fill="auto"/>
            <w:vAlign w:val="center"/>
          </w:tcPr>
          <w:p w14:paraId="1FEC75A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长175mm宽60mm高40mm，榉木材质、表面光滑、完整、光亮，无脱皮、裂痕现象。</w:t>
            </w:r>
          </w:p>
        </w:tc>
        <w:tc>
          <w:tcPr>
            <w:tcW w:w="0" w:type="auto"/>
            <w:shd w:val="clear" w:color="auto" w:fill="auto"/>
            <w:vAlign w:val="center"/>
          </w:tcPr>
          <w:p w14:paraId="5B975B2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副</w:t>
            </w:r>
          </w:p>
        </w:tc>
        <w:tc>
          <w:tcPr>
            <w:tcW w:w="0" w:type="auto"/>
            <w:shd w:val="clear" w:color="auto" w:fill="auto"/>
            <w:vAlign w:val="center"/>
          </w:tcPr>
          <w:p w14:paraId="1438ACE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 </w:t>
            </w:r>
          </w:p>
        </w:tc>
      </w:tr>
      <w:tr w14:paraId="2CC1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584057E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75 </w:t>
            </w:r>
          </w:p>
        </w:tc>
        <w:tc>
          <w:tcPr>
            <w:tcW w:w="0" w:type="auto"/>
            <w:shd w:val="clear" w:color="auto" w:fill="auto"/>
            <w:vAlign w:val="center"/>
          </w:tcPr>
          <w:p w14:paraId="1A51A72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南梆子</w:t>
            </w:r>
          </w:p>
        </w:tc>
        <w:tc>
          <w:tcPr>
            <w:tcW w:w="0" w:type="auto"/>
            <w:shd w:val="clear" w:color="auto" w:fill="auto"/>
            <w:vAlign w:val="center"/>
          </w:tcPr>
          <w:p w14:paraId="459CAEE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1、材质：榉木，坚实无疤节或劈裂。</w:t>
            </w:r>
          </w:p>
          <w:p w14:paraId="5364F2DA">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2、规格：梆子长度不小于230mm、直径不小于：40mm,打棒长度210mm，外表光滑、圆弧和棱角适度。</w:t>
            </w:r>
          </w:p>
        </w:tc>
        <w:tc>
          <w:tcPr>
            <w:tcW w:w="0" w:type="auto"/>
            <w:shd w:val="clear" w:color="auto" w:fill="auto"/>
            <w:vAlign w:val="center"/>
          </w:tcPr>
          <w:p w14:paraId="78C8F41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副</w:t>
            </w:r>
          </w:p>
        </w:tc>
        <w:tc>
          <w:tcPr>
            <w:tcW w:w="0" w:type="auto"/>
            <w:shd w:val="clear" w:color="auto" w:fill="auto"/>
            <w:vAlign w:val="center"/>
          </w:tcPr>
          <w:p w14:paraId="2E1DBD7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 </w:t>
            </w:r>
          </w:p>
        </w:tc>
      </w:tr>
      <w:tr w14:paraId="44114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5F1C457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76 </w:t>
            </w:r>
          </w:p>
        </w:tc>
        <w:tc>
          <w:tcPr>
            <w:tcW w:w="0" w:type="auto"/>
            <w:shd w:val="clear" w:color="auto" w:fill="auto"/>
            <w:vAlign w:val="center"/>
          </w:tcPr>
          <w:p w14:paraId="001640E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木鱼</w:t>
            </w:r>
          </w:p>
        </w:tc>
        <w:tc>
          <w:tcPr>
            <w:tcW w:w="0" w:type="auto"/>
            <w:shd w:val="clear" w:color="auto" w:fill="auto"/>
            <w:vAlign w:val="center"/>
          </w:tcPr>
          <w:p w14:paraId="429BF9D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7音一组，椴木</w:t>
            </w:r>
          </w:p>
          <w:p w14:paraId="123DE2E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1、长85宽90高80mm；2、长75宽80高70mm；3、长75宽76高70mm；4、长72宽72高68mm；5、长68宽73高67mm；6、长66宽70高60mm；7、长63宽66高57mm。</w:t>
            </w:r>
          </w:p>
        </w:tc>
        <w:tc>
          <w:tcPr>
            <w:tcW w:w="0" w:type="auto"/>
            <w:shd w:val="clear" w:color="auto" w:fill="auto"/>
            <w:vAlign w:val="center"/>
          </w:tcPr>
          <w:p w14:paraId="0193AC2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shd w:val="clear" w:color="auto" w:fill="auto"/>
            <w:vAlign w:val="center"/>
          </w:tcPr>
          <w:p w14:paraId="52F6F48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02D65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601C246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77 </w:t>
            </w:r>
          </w:p>
        </w:tc>
        <w:tc>
          <w:tcPr>
            <w:tcW w:w="0" w:type="auto"/>
            <w:shd w:val="clear" w:color="auto" w:fill="auto"/>
            <w:vAlign w:val="center"/>
          </w:tcPr>
          <w:p w14:paraId="170A54D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碰钟</w:t>
            </w:r>
          </w:p>
        </w:tc>
        <w:tc>
          <w:tcPr>
            <w:tcW w:w="0" w:type="auto"/>
            <w:shd w:val="clear" w:color="auto" w:fill="auto"/>
            <w:vAlign w:val="center"/>
          </w:tcPr>
          <w:p w14:paraId="4A84174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1、材质：优质铜；</w:t>
            </w:r>
          </w:p>
          <w:p w14:paraId="50BF05E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2、外观：光洁，无毛刺，蓝色系绳；</w:t>
            </w:r>
          </w:p>
          <w:p w14:paraId="2D7DB0B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3、音色清脆、悦耳，发音响亮，余音环绕；延音≥6S；</w:t>
            </w:r>
          </w:p>
          <w:p w14:paraId="446BB6D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4、尺寸:直径44±1mm。</w:t>
            </w:r>
          </w:p>
        </w:tc>
        <w:tc>
          <w:tcPr>
            <w:tcW w:w="0" w:type="auto"/>
            <w:shd w:val="clear" w:color="auto" w:fill="auto"/>
            <w:vAlign w:val="center"/>
          </w:tcPr>
          <w:p w14:paraId="6D81719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副</w:t>
            </w:r>
          </w:p>
        </w:tc>
        <w:tc>
          <w:tcPr>
            <w:tcW w:w="0" w:type="auto"/>
            <w:shd w:val="clear" w:color="auto" w:fill="auto"/>
            <w:vAlign w:val="center"/>
          </w:tcPr>
          <w:p w14:paraId="67E3CD3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4 </w:t>
            </w:r>
          </w:p>
        </w:tc>
      </w:tr>
      <w:tr w14:paraId="465C3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1466596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78 </w:t>
            </w:r>
          </w:p>
        </w:tc>
        <w:tc>
          <w:tcPr>
            <w:tcW w:w="0" w:type="auto"/>
            <w:shd w:val="clear" w:color="auto" w:fill="auto"/>
            <w:vAlign w:val="center"/>
          </w:tcPr>
          <w:p w14:paraId="3A1967E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小军鼓</w:t>
            </w:r>
          </w:p>
        </w:tc>
        <w:tc>
          <w:tcPr>
            <w:tcW w:w="0" w:type="auto"/>
            <w:shd w:val="clear" w:color="auto" w:fill="auto"/>
            <w:vAlign w:val="center"/>
          </w:tcPr>
          <w:p w14:paraId="6536DA6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1、声学品质</w:t>
            </w:r>
          </w:p>
          <w:p w14:paraId="662F924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1.1音色音质：发音灵敏、清晰、音色可调性强、无杂音、响带（砂带）反应灵敏</w:t>
            </w:r>
          </w:p>
          <w:p w14:paraId="77452FE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 发音持续时间：≥3s</w:t>
            </w:r>
          </w:p>
          <w:p w14:paraId="0929606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2、尺寸要求：</w:t>
            </w:r>
          </w:p>
          <w:p w14:paraId="445E60A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鼓外径：（ 354 ）mm/±（ 4 ）mm</w:t>
            </w:r>
          </w:p>
          <w:p w14:paraId="623119F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鼓腔厚度：（ 6.4 ）mm/±（ 0.3 ）mm</w:t>
            </w:r>
          </w:p>
          <w:p w14:paraId="673447B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鼓腔圆度：≤5mm</w:t>
            </w:r>
          </w:p>
          <w:p w14:paraId="2316E38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鼓高度：（ 145 ）mm/±（ 1 ）mm</w:t>
            </w:r>
          </w:p>
          <w:p w14:paraId="46D4F2A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骨膜压圈内径与外径差：（ 3.25 ）mm/±（0.75 ）mm</w:t>
            </w:r>
          </w:p>
          <w:p w14:paraId="0B78114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骨膜承受静压力：演奏状态下的骨膜压力在（98±1）N时，不破裂</w:t>
            </w:r>
          </w:p>
          <w:p w14:paraId="6D9023E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骨膜耐久性：在骨膜任意一点用（40±2）N的力以100次/min的频率，连续敲击3000次后骨膜不破裂</w:t>
            </w:r>
          </w:p>
          <w:p w14:paraId="3572CA6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3、材质及工艺</w:t>
            </w:r>
          </w:p>
          <w:p w14:paraId="77B5939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3.1 材质：骨膜选用天然皮膜或人工合成皮膜</w:t>
            </w:r>
          </w:p>
          <w:p w14:paraId="3538D1E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3.2外观：鼓腔表面光滑、平整，装饰面贴合严密、牢固、无划痕、破损，漆膜色泽协调。骨膜表面平整、无折痕、无波纹、无损伤。金属件表面镀层牢固、完整、光亮、无脱皮、露底</w:t>
            </w:r>
          </w:p>
        </w:tc>
        <w:tc>
          <w:tcPr>
            <w:tcW w:w="0" w:type="auto"/>
            <w:shd w:val="clear" w:color="auto" w:fill="auto"/>
            <w:vAlign w:val="center"/>
          </w:tcPr>
          <w:p w14:paraId="0D26AAC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面</w:t>
            </w:r>
          </w:p>
        </w:tc>
        <w:tc>
          <w:tcPr>
            <w:tcW w:w="0" w:type="auto"/>
            <w:shd w:val="clear" w:color="auto" w:fill="auto"/>
            <w:vAlign w:val="center"/>
          </w:tcPr>
          <w:p w14:paraId="568152F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41A17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79A0306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79 </w:t>
            </w:r>
          </w:p>
        </w:tc>
        <w:tc>
          <w:tcPr>
            <w:tcW w:w="0" w:type="auto"/>
            <w:shd w:val="clear" w:color="auto" w:fill="auto"/>
            <w:vAlign w:val="center"/>
          </w:tcPr>
          <w:p w14:paraId="2EC761C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大军鼓</w:t>
            </w:r>
          </w:p>
        </w:tc>
        <w:tc>
          <w:tcPr>
            <w:tcW w:w="0" w:type="auto"/>
            <w:shd w:val="clear" w:color="auto" w:fill="auto"/>
            <w:vAlign w:val="center"/>
          </w:tcPr>
          <w:p w14:paraId="06389B4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1、声学品质</w:t>
            </w:r>
          </w:p>
          <w:p w14:paraId="5D14792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1.1音色音质：发音灵敏、清晰、音色可调性强、无杂音、响带（砂带）反应灵敏</w:t>
            </w:r>
          </w:p>
          <w:p w14:paraId="1DD2761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 发音持续时间：≥3s</w:t>
            </w:r>
          </w:p>
          <w:p w14:paraId="78A41C0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2、尺寸要求：</w:t>
            </w:r>
          </w:p>
          <w:p w14:paraId="483DC48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鼓外径：（ 655 ）mm/±（ 5 ）mm</w:t>
            </w:r>
          </w:p>
          <w:p w14:paraId="21302A1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鼓腔厚度：（ 6.4 ）mm/±（ 0.3 ）mm</w:t>
            </w:r>
          </w:p>
          <w:p w14:paraId="1D6D537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鼓腔圆度：≤5mm</w:t>
            </w:r>
          </w:p>
          <w:p w14:paraId="7F1ECBF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鼓高度：（ 300 ）mm/±（ 2 ）mm</w:t>
            </w:r>
          </w:p>
          <w:p w14:paraId="0F392F2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骨膜压圈内径与外径差：（ 3.5 ）mm/±（0.5 ）mm</w:t>
            </w:r>
          </w:p>
          <w:p w14:paraId="78E95E4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骨膜承受静压力：演奏状态下的骨膜压力在（98±1）N时，不破裂</w:t>
            </w:r>
          </w:p>
          <w:p w14:paraId="1410216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骨膜耐久性：在骨膜任意一点用（40±2）N的力以100次/min的频率，连续敲击3000次后骨膜不破裂</w:t>
            </w:r>
          </w:p>
          <w:p w14:paraId="238F3E8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3、材质及工艺</w:t>
            </w:r>
          </w:p>
          <w:p w14:paraId="2D4C411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3.1 材质：骨膜选用天然皮膜或人工合成皮膜</w:t>
            </w:r>
          </w:p>
          <w:p w14:paraId="2AC61BD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3.2外观：鼓腔表面光滑、平整，装饰面贴合严密、牢固、无划痕、破损，漆膜色泽协调。骨膜表面平整、无折痕、无波纹、无损伤。金属件表面镀层牢固、完整、光亮、无脱皮、露底</w:t>
            </w:r>
          </w:p>
        </w:tc>
        <w:tc>
          <w:tcPr>
            <w:tcW w:w="0" w:type="auto"/>
            <w:shd w:val="clear" w:color="auto" w:fill="auto"/>
            <w:vAlign w:val="center"/>
          </w:tcPr>
          <w:p w14:paraId="50586A4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面</w:t>
            </w:r>
          </w:p>
        </w:tc>
        <w:tc>
          <w:tcPr>
            <w:tcW w:w="0" w:type="auto"/>
            <w:shd w:val="clear" w:color="auto" w:fill="auto"/>
            <w:vAlign w:val="center"/>
          </w:tcPr>
          <w:p w14:paraId="3C3813C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1E974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gridSpan w:val="5"/>
            <w:shd w:val="clear" w:color="auto" w:fill="auto"/>
            <w:noWrap/>
            <w:vAlign w:val="center"/>
          </w:tcPr>
          <w:p w14:paraId="72CF6E9F">
            <w:pPr>
              <w:jc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合唱教室</w:t>
            </w:r>
          </w:p>
        </w:tc>
      </w:tr>
      <w:tr w14:paraId="7BC30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451E223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c>
          <w:tcPr>
            <w:tcW w:w="0" w:type="auto"/>
            <w:shd w:val="clear" w:color="auto" w:fill="auto"/>
            <w:vAlign w:val="center"/>
          </w:tcPr>
          <w:p w14:paraId="453833A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音箱</w:t>
            </w:r>
          </w:p>
        </w:tc>
        <w:tc>
          <w:tcPr>
            <w:tcW w:w="0" w:type="auto"/>
            <w:shd w:val="clear" w:color="auto" w:fill="auto"/>
            <w:vAlign w:val="center"/>
          </w:tcPr>
          <w:p w14:paraId="1887A7E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 扬声器单元：10寸，1.33寸ABS号角；</w:t>
            </w:r>
          </w:p>
          <w:p w14:paraId="5AD7733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 音箱形式：低音反射式；</w:t>
            </w:r>
          </w:p>
          <w:p w14:paraId="24071D5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 外观及箱体：水性撒点漆，15mm中密度纤维板；</w:t>
            </w:r>
          </w:p>
          <w:p w14:paraId="31B1B02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 额定功率：250W(AES)/8Ω</w:t>
            </w:r>
          </w:p>
          <w:p w14:paraId="5587B4A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5.特性灵敏度：96dB/W/m</w:t>
            </w:r>
          </w:p>
          <w:p w14:paraId="553DB61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6.输出声压级：119dB/W/m(Continues)；125dB/W/m(Peak)</w:t>
            </w:r>
          </w:p>
          <w:p w14:paraId="5FDEE32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7.额定频率范围:70Hz~ 20KHz</w:t>
            </w:r>
          </w:p>
          <w:p w14:paraId="4F7A951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8.吊挂点：多点M8螺丝吊装孔位</w:t>
            </w:r>
          </w:p>
          <w:p w14:paraId="2820D72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9.支撑座：底部φ38mm支撑座 </w:t>
            </w:r>
          </w:p>
          <w:p w14:paraId="7406AD0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10.输入接口：Neutrik NL4MP 四芯×2</w:t>
            </w:r>
          </w:p>
        </w:tc>
        <w:tc>
          <w:tcPr>
            <w:tcW w:w="0" w:type="auto"/>
            <w:shd w:val="clear" w:color="auto" w:fill="auto"/>
            <w:vAlign w:val="center"/>
          </w:tcPr>
          <w:p w14:paraId="754A5E2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只</w:t>
            </w:r>
          </w:p>
        </w:tc>
        <w:tc>
          <w:tcPr>
            <w:tcW w:w="0" w:type="auto"/>
            <w:shd w:val="clear" w:color="auto" w:fill="auto"/>
            <w:vAlign w:val="center"/>
          </w:tcPr>
          <w:p w14:paraId="2C0D208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 </w:t>
            </w:r>
          </w:p>
        </w:tc>
      </w:tr>
      <w:tr w14:paraId="1BBF3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010F669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 </w:t>
            </w:r>
          </w:p>
        </w:tc>
        <w:tc>
          <w:tcPr>
            <w:tcW w:w="0" w:type="auto"/>
            <w:shd w:val="clear" w:color="auto" w:fill="auto"/>
            <w:vAlign w:val="center"/>
          </w:tcPr>
          <w:p w14:paraId="1F3E6E9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音箱</w:t>
            </w:r>
          </w:p>
        </w:tc>
        <w:tc>
          <w:tcPr>
            <w:tcW w:w="0" w:type="auto"/>
            <w:shd w:val="clear" w:color="auto" w:fill="auto"/>
            <w:vAlign w:val="center"/>
          </w:tcPr>
          <w:p w14:paraId="0A08FBF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 扬声器单元：8寸，1寸ABS号角；</w:t>
            </w:r>
          </w:p>
          <w:p w14:paraId="3260E25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 音箱形式：低音反射式；</w:t>
            </w:r>
          </w:p>
          <w:p w14:paraId="7593EBE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 外观及箱体：水性撒点漆，15mm中密度纤维板；</w:t>
            </w:r>
          </w:p>
          <w:p w14:paraId="19AE23F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 额定功率：150W(AES)/8Ω</w:t>
            </w:r>
          </w:p>
          <w:p w14:paraId="2A60B9D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5.特性灵敏度：94dB/W/m</w:t>
            </w:r>
          </w:p>
          <w:p w14:paraId="328E615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6.输出声压级：116dB/W/m(Continues)；122dB/W/m(Peak)</w:t>
            </w:r>
          </w:p>
          <w:p w14:paraId="6F8C694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7.额定频率范围:70Hz~ 20KHz</w:t>
            </w:r>
          </w:p>
          <w:p w14:paraId="2C381F2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8.吊挂点：多点M8螺丝吊装孔位</w:t>
            </w:r>
          </w:p>
          <w:p w14:paraId="4D97626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9.支撑座：底部φ38mm支撑座 </w:t>
            </w:r>
          </w:p>
          <w:p w14:paraId="6C757F6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10.输入接口：Neutrik NL4MP 四芯×2</w:t>
            </w:r>
          </w:p>
        </w:tc>
        <w:tc>
          <w:tcPr>
            <w:tcW w:w="0" w:type="auto"/>
            <w:shd w:val="clear" w:color="auto" w:fill="auto"/>
            <w:vAlign w:val="center"/>
          </w:tcPr>
          <w:p w14:paraId="659ECC7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只</w:t>
            </w:r>
          </w:p>
        </w:tc>
        <w:tc>
          <w:tcPr>
            <w:tcW w:w="0" w:type="auto"/>
            <w:shd w:val="clear" w:color="auto" w:fill="auto"/>
            <w:vAlign w:val="center"/>
          </w:tcPr>
          <w:p w14:paraId="2CC4306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 </w:t>
            </w:r>
          </w:p>
        </w:tc>
      </w:tr>
      <w:tr w14:paraId="093DC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7ECAA24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3 </w:t>
            </w:r>
          </w:p>
        </w:tc>
        <w:tc>
          <w:tcPr>
            <w:tcW w:w="0" w:type="auto"/>
            <w:shd w:val="clear" w:color="auto" w:fill="auto"/>
            <w:vAlign w:val="center"/>
          </w:tcPr>
          <w:p w14:paraId="4A3FE4B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功放</w:t>
            </w:r>
          </w:p>
        </w:tc>
        <w:tc>
          <w:tcPr>
            <w:tcW w:w="0" w:type="auto"/>
            <w:shd w:val="clear" w:color="auto" w:fill="auto"/>
            <w:vAlign w:val="center"/>
          </w:tcPr>
          <w:p w14:paraId="321C1D2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 额定功率：2×300W/8Ω(Stereo),2×450W/4Ω(Stereo),900W/8Ω (Bridge)；</w:t>
            </w:r>
          </w:p>
          <w:p w14:paraId="27FA64A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2.额定频率范围：20Hz~20KHz </w:t>
            </w:r>
          </w:p>
          <w:p w14:paraId="3E062B0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3.总谐波失真：≤0.1%(@1KHz)</w:t>
            </w:r>
          </w:p>
          <w:p w14:paraId="5C4DC19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4.信噪比（a计权）： ≥105dB </w:t>
            </w:r>
          </w:p>
          <w:p w14:paraId="471B2B7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5.电源适应范围：交流220V±10%/50Hz</w:t>
            </w:r>
          </w:p>
          <w:p w14:paraId="35E288E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6.工业结构：铝型材</w:t>
            </w:r>
          </w:p>
          <w:p w14:paraId="6998242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7.保护功能：开机软启动，智能削峰限幅，智能控制强制散热</w:t>
            </w:r>
          </w:p>
          <w:p w14:paraId="76385D3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8.输入接口：标准XLR+TRS1/4"</w:t>
            </w:r>
          </w:p>
          <w:p w14:paraId="0559940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9.工作模式：高通、低通和直通</w:t>
            </w:r>
          </w:p>
        </w:tc>
        <w:tc>
          <w:tcPr>
            <w:tcW w:w="0" w:type="auto"/>
            <w:shd w:val="clear" w:color="auto" w:fill="auto"/>
            <w:vAlign w:val="center"/>
          </w:tcPr>
          <w:p w14:paraId="75904BE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0" w:type="auto"/>
            <w:shd w:val="clear" w:color="auto" w:fill="auto"/>
            <w:vAlign w:val="center"/>
          </w:tcPr>
          <w:p w14:paraId="713754B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 </w:t>
            </w:r>
          </w:p>
        </w:tc>
      </w:tr>
      <w:tr w14:paraId="44163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5A3C49F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4 </w:t>
            </w:r>
          </w:p>
        </w:tc>
        <w:tc>
          <w:tcPr>
            <w:tcW w:w="0" w:type="auto"/>
            <w:shd w:val="clear" w:color="auto" w:fill="auto"/>
            <w:vAlign w:val="center"/>
          </w:tcPr>
          <w:p w14:paraId="28CDCFD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音频矩阵</w:t>
            </w:r>
          </w:p>
        </w:tc>
        <w:tc>
          <w:tcPr>
            <w:tcW w:w="0" w:type="auto"/>
            <w:shd w:val="clear" w:color="auto" w:fill="auto"/>
            <w:vAlign w:val="center"/>
          </w:tcPr>
          <w:p w14:paraId="58AA503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1、支持自动混音，反馈消除，回声消除，噪声消除模块</w:t>
            </w:r>
          </w:p>
          <w:p w14:paraId="0A01997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2、输入：前级放大、信号发生器、扩展器、压缩器、5段参量均衡、自动增益、闪避器等</w:t>
            </w:r>
          </w:p>
          <w:p w14:paraId="098415D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3、输出：31段图示均衡、延时器、分频器、限幅器</w:t>
            </w:r>
          </w:p>
          <w:p w14:paraId="4C25B11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4、全功能矩阵混音功能</w:t>
            </w:r>
          </w:p>
          <w:p w14:paraId="072EFE2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5、USB背景音乐播放与录制功能</w:t>
            </w:r>
          </w:p>
          <w:p w14:paraId="241FCB2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6、支持Windows,IOS平台客户端</w:t>
            </w:r>
          </w:p>
          <w:p w14:paraId="72EA013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7、支持外接RS232控制</w:t>
            </w:r>
          </w:p>
          <w:p w14:paraId="4417ABB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8、支持场景预设功能</w:t>
            </w:r>
          </w:p>
          <w:p w14:paraId="3794D73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9、断电自动保护记忆功能</w:t>
            </w:r>
          </w:p>
          <w:p w14:paraId="42861C0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10、每通道可独立设置中文名称；</w:t>
            </w:r>
          </w:p>
          <w:p w14:paraId="6420B48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11、每通道最大延时2S；</w:t>
            </w:r>
          </w:p>
          <w:p w14:paraId="195BB12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12、支持多用户管理，用户名可设置为中文；</w:t>
            </w:r>
          </w:p>
          <w:p w14:paraId="212E71B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13、支持摄像跟踪功能。</w:t>
            </w:r>
          </w:p>
          <w:p w14:paraId="03CC779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14、模拟最大增益不小于50dB</w:t>
            </w:r>
          </w:p>
          <w:p w14:paraId="5362B22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15、信噪比：＞99dB</w:t>
            </w:r>
          </w:p>
          <w:p w14:paraId="3998826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16、最大电平（输入输出）：+21dBu</w:t>
            </w:r>
          </w:p>
          <w:p w14:paraId="310E22B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15、模拟通道数：4进4出</w:t>
            </w:r>
          </w:p>
          <w:p w14:paraId="7A01E9A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17、频率响应：（20~20KHz） ±0.2dB</w:t>
            </w:r>
          </w:p>
          <w:p w14:paraId="6871A5F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18、每个通道支持48V幻象电源</w:t>
            </w:r>
          </w:p>
        </w:tc>
        <w:tc>
          <w:tcPr>
            <w:tcW w:w="0" w:type="auto"/>
            <w:shd w:val="clear" w:color="auto" w:fill="auto"/>
            <w:vAlign w:val="center"/>
          </w:tcPr>
          <w:p w14:paraId="15F09E9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0" w:type="auto"/>
            <w:shd w:val="clear" w:color="auto" w:fill="auto"/>
            <w:vAlign w:val="center"/>
          </w:tcPr>
          <w:p w14:paraId="6AD0DD6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091BF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3ACCE95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5 </w:t>
            </w:r>
          </w:p>
        </w:tc>
        <w:tc>
          <w:tcPr>
            <w:tcW w:w="0" w:type="auto"/>
            <w:shd w:val="clear" w:color="auto" w:fill="auto"/>
            <w:vAlign w:val="center"/>
          </w:tcPr>
          <w:p w14:paraId="5997790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反馈抑制器</w:t>
            </w:r>
          </w:p>
        </w:tc>
        <w:tc>
          <w:tcPr>
            <w:tcW w:w="0" w:type="auto"/>
            <w:shd w:val="clear" w:color="auto" w:fill="auto"/>
            <w:vAlign w:val="center"/>
          </w:tcPr>
          <w:p w14:paraId="49C6399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1.最大输入电平：+16dB(@+4dB额定电平)，+2dB(@-20dB额定电平)</w:t>
            </w:r>
          </w:p>
          <w:p w14:paraId="214943A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2.频率响应： 20Hz~20KHz (±1dB)</w:t>
            </w:r>
          </w:p>
          <w:p w14:paraId="3C03088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3.总谐波失真：≤0.01%</w:t>
            </w:r>
          </w:p>
          <w:p w14:paraId="3892476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4.噪声电平： 1.0mv </w:t>
            </w:r>
          </w:p>
          <w:p w14:paraId="7A46E83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5.电源适应范围：交流220V±10%/50Hz</w:t>
            </w:r>
          </w:p>
          <w:p w14:paraId="12CEA81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6.反馈模式：双通道12个可编程滤波器</w:t>
            </w:r>
          </w:p>
          <w:p w14:paraId="496368F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7.设置方式：手动滤波，自动滤波</w:t>
            </w:r>
          </w:p>
          <w:p w14:paraId="1E68A48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8.预设模式：语音，音乐</w:t>
            </w:r>
          </w:p>
          <w:p w14:paraId="0C1D7283">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9.保护方式：状态锁定开关</w:t>
            </w:r>
          </w:p>
        </w:tc>
        <w:tc>
          <w:tcPr>
            <w:tcW w:w="0" w:type="auto"/>
            <w:shd w:val="clear" w:color="auto" w:fill="auto"/>
            <w:vAlign w:val="center"/>
          </w:tcPr>
          <w:p w14:paraId="0D3F61E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0" w:type="auto"/>
            <w:shd w:val="clear" w:color="auto" w:fill="auto"/>
            <w:vAlign w:val="center"/>
          </w:tcPr>
          <w:p w14:paraId="2A00BF9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74CFA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7CA131F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6 </w:t>
            </w:r>
          </w:p>
        </w:tc>
        <w:tc>
          <w:tcPr>
            <w:tcW w:w="0" w:type="auto"/>
            <w:shd w:val="clear" w:color="auto" w:fill="auto"/>
            <w:vAlign w:val="center"/>
          </w:tcPr>
          <w:p w14:paraId="07459D7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有线话筒</w:t>
            </w:r>
          </w:p>
        </w:tc>
        <w:tc>
          <w:tcPr>
            <w:tcW w:w="0" w:type="auto"/>
            <w:shd w:val="clear" w:color="auto" w:fill="auto"/>
            <w:vAlign w:val="center"/>
          </w:tcPr>
          <w:p w14:paraId="2DA3C5D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产品特点：</w:t>
            </w:r>
          </w:p>
          <w:p w14:paraId="0408A4B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1.镀金是音头，高精度分离式线路；</w:t>
            </w:r>
          </w:p>
          <w:p w14:paraId="5E6DC67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2.两个拾音头背靠放置，实现心型、全向等指向特性；</w:t>
            </w:r>
          </w:p>
          <w:p w14:paraId="33CC14E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3.低切开关，应对高混响场所；</w:t>
            </w:r>
          </w:p>
          <w:p w14:paraId="188397D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4.配套防震架，有效应对震动噪音；</w:t>
            </w:r>
          </w:p>
          <w:p w14:paraId="428564C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5.频响宽，失真小，动态范围大；</w:t>
            </w:r>
          </w:p>
          <w:p w14:paraId="7BCEA24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6.灵敏度衰减开关，应对大动态拾音场合；</w:t>
            </w:r>
          </w:p>
          <w:p w14:paraId="2DC993FF">
            <w:pPr>
              <w:pStyle w:val="18"/>
              <w:rPr>
                <w:rFonts w:hint="eastAsia"/>
                <w:highlight w:val="none"/>
                <w:lang w:val="en-US" w:eastAsia="zh-CN"/>
              </w:rPr>
            </w:pPr>
          </w:p>
          <w:p w14:paraId="494045D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参数说明</w:t>
            </w:r>
          </w:p>
          <w:p w14:paraId="39A90A4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1.指 向 性：心型、全向（通过开关切换）</w:t>
            </w:r>
          </w:p>
          <w:p w14:paraId="6B7A7B9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2.频率响应：40Hz-17KHz</w:t>
            </w:r>
          </w:p>
          <w:p w14:paraId="4157704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3.灵 敏 度：-36dB±3dB   （增益开关于0dB)</w:t>
            </w:r>
          </w:p>
          <w:p w14:paraId="5DB4C2E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4.额定输出阻抗：≤600Ω</w:t>
            </w:r>
          </w:p>
          <w:p w14:paraId="67E83EB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5.切换开关：增益开关（0dB/-10dB)、低切开关</w:t>
            </w:r>
          </w:p>
          <w:p w14:paraId="7535032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6.最大输入声压级：125dB（at 1KHz≤1%THD，0dB）</w:t>
            </w:r>
          </w:p>
          <w:p w14:paraId="3671EA0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7.信 噪 比：≥68 dB</w:t>
            </w:r>
          </w:p>
          <w:p w14:paraId="3016AFF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8.幻象电源：48V</w:t>
            </w:r>
          </w:p>
        </w:tc>
        <w:tc>
          <w:tcPr>
            <w:tcW w:w="0" w:type="auto"/>
            <w:shd w:val="clear" w:color="auto" w:fill="auto"/>
            <w:vAlign w:val="center"/>
          </w:tcPr>
          <w:p w14:paraId="27919E8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shd w:val="clear" w:color="auto" w:fill="auto"/>
            <w:vAlign w:val="center"/>
          </w:tcPr>
          <w:p w14:paraId="2136331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3 </w:t>
            </w:r>
          </w:p>
        </w:tc>
      </w:tr>
      <w:tr w14:paraId="70DF8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0D419FD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7 </w:t>
            </w:r>
          </w:p>
        </w:tc>
        <w:tc>
          <w:tcPr>
            <w:tcW w:w="0" w:type="auto"/>
            <w:shd w:val="clear" w:color="auto" w:fill="auto"/>
            <w:vAlign w:val="center"/>
          </w:tcPr>
          <w:p w14:paraId="69BDB25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调音台</w:t>
            </w:r>
          </w:p>
        </w:tc>
        <w:tc>
          <w:tcPr>
            <w:tcW w:w="0" w:type="auto"/>
            <w:shd w:val="clear" w:color="auto" w:fill="auto"/>
            <w:vAlign w:val="center"/>
          </w:tcPr>
          <w:p w14:paraId="5AFCED5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1.输入阻抗：线路/10KΩ，话筒/3KΩ</w:t>
            </w:r>
          </w:p>
          <w:p w14:paraId="090E9C0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2.输出阻抗：主输出/75Ω，编组输出/150Ω</w:t>
            </w:r>
          </w:p>
          <w:p w14:paraId="012A345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3.平衡线路输入：12路</w:t>
            </w:r>
          </w:p>
          <w:p w14:paraId="1B6333F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4.立体声输入：1路</w:t>
            </w:r>
          </w:p>
          <w:p w14:paraId="37B8070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5.立体声输出：1路</w:t>
            </w:r>
          </w:p>
          <w:p w14:paraId="2D9EF46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6.编组输出：2路</w:t>
            </w:r>
          </w:p>
          <w:p w14:paraId="6FC99D3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7.频率响应：20Hz~20KHz (±0.5dB)</w:t>
            </w:r>
          </w:p>
          <w:p w14:paraId="7E0F0E4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8.总谐波失真：≤0.05%(@1KHz)</w:t>
            </w:r>
          </w:p>
          <w:p w14:paraId="30FE4C6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9.机架式调音台，带USB接口支持WMA、MP3格式音乐播放</w:t>
            </w:r>
          </w:p>
          <w:p w14:paraId="485F886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10.幻象电源：48V；</w:t>
            </w:r>
          </w:p>
          <w:p w14:paraId="1BF0281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11.参量均衡：三段，High/12KHz，Mid/2.5KHz，Low/80Hz；</w:t>
            </w:r>
          </w:p>
          <w:p w14:paraId="3CF53D9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12.内置数字效果器模式：16种；</w:t>
            </w:r>
          </w:p>
          <w:p w14:paraId="752A0B1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13.LED电平表：2×12点</w:t>
            </w:r>
          </w:p>
        </w:tc>
        <w:tc>
          <w:tcPr>
            <w:tcW w:w="0" w:type="auto"/>
            <w:shd w:val="clear" w:color="auto" w:fill="auto"/>
            <w:vAlign w:val="center"/>
          </w:tcPr>
          <w:p w14:paraId="0BF7CE4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0" w:type="auto"/>
            <w:shd w:val="clear" w:color="auto" w:fill="auto"/>
            <w:vAlign w:val="center"/>
          </w:tcPr>
          <w:p w14:paraId="1AD2C40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7CE9C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452291E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8 </w:t>
            </w:r>
          </w:p>
        </w:tc>
        <w:tc>
          <w:tcPr>
            <w:tcW w:w="0" w:type="auto"/>
            <w:shd w:val="clear" w:color="auto" w:fill="auto"/>
            <w:vAlign w:val="center"/>
          </w:tcPr>
          <w:p w14:paraId="1E80C3C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电源时序器</w:t>
            </w:r>
          </w:p>
        </w:tc>
        <w:tc>
          <w:tcPr>
            <w:tcW w:w="0" w:type="auto"/>
            <w:shd w:val="clear" w:color="auto" w:fill="auto"/>
            <w:vAlign w:val="center"/>
          </w:tcPr>
          <w:p w14:paraId="687C93F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1.总额定输入电压电流：220V/30A</w:t>
            </w:r>
          </w:p>
          <w:p w14:paraId="191FD94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2.通道额定输入电压电流：220V/10A</w:t>
            </w:r>
          </w:p>
          <w:p w14:paraId="3233EE9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3.时序控制通道：8个</w:t>
            </w:r>
          </w:p>
          <w:p w14:paraId="1EEBBF6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4.工作电压：180V~240V</w:t>
            </w:r>
          </w:p>
          <w:p w14:paraId="2F83A05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5.工作频率：50/60HZ±5%</w:t>
            </w:r>
          </w:p>
          <w:p w14:paraId="3777301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6.插座类型：万用插座</w:t>
            </w:r>
          </w:p>
          <w:p w14:paraId="11BB1C1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7.控制方式：手动控制，RS232控制</w:t>
            </w:r>
          </w:p>
          <w:p w14:paraId="66CA4CB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8.联机方式：可联机控制</w:t>
            </w:r>
          </w:p>
          <w:p w14:paraId="3102975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9.保护功能：过流和短路保护</w:t>
            </w:r>
          </w:p>
        </w:tc>
        <w:tc>
          <w:tcPr>
            <w:tcW w:w="0" w:type="auto"/>
            <w:shd w:val="clear" w:color="auto" w:fill="auto"/>
            <w:vAlign w:val="center"/>
          </w:tcPr>
          <w:p w14:paraId="54BDC28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0" w:type="auto"/>
            <w:shd w:val="clear" w:color="auto" w:fill="auto"/>
            <w:vAlign w:val="center"/>
          </w:tcPr>
          <w:p w14:paraId="04EC950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18B4A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4FAA780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9 </w:t>
            </w:r>
          </w:p>
        </w:tc>
        <w:tc>
          <w:tcPr>
            <w:tcW w:w="0" w:type="auto"/>
            <w:shd w:val="clear" w:color="auto" w:fill="auto"/>
            <w:vAlign w:val="center"/>
          </w:tcPr>
          <w:p w14:paraId="224449F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无线话筒</w:t>
            </w:r>
          </w:p>
        </w:tc>
        <w:tc>
          <w:tcPr>
            <w:tcW w:w="0" w:type="auto"/>
            <w:shd w:val="clear" w:color="auto" w:fill="auto"/>
            <w:vAlign w:val="center"/>
          </w:tcPr>
          <w:p w14:paraId="272F79A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产品特点：</w:t>
            </w:r>
          </w:p>
          <w:p w14:paraId="1612401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1、国际标准机箱，便于安装；</w:t>
            </w:r>
          </w:p>
          <w:p w14:paraId="71E546A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2、220V电源直接供电，无需电源适配器，消除适配器损坏的影响；</w:t>
            </w:r>
          </w:p>
          <w:p w14:paraId="1D5C180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3.电源可级联，多套叠机，只需一路电源输入；</w:t>
            </w:r>
          </w:p>
          <w:p w14:paraId="1517B09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4、群组功能：机内已预置经计算无互调干扰的多组频点，根据叠机数量的多少和当前环节直接选用对应的群组即可；</w:t>
            </w:r>
          </w:p>
          <w:p w14:paraId="14CFC20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5.SCAN功能，一键扫描无干扰频点，无需繁琐的调节；</w:t>
            </w:r>
          </w:p>
          <w:p w14:paraId="257D524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6、天线分集式接收及数字导音，杂音锁定双重静音控制技术，接收稳定无杂音；同时，导音可根据需要关闭或打开；</w:t>
            </w:r>
          </w:p>
          <w:p w14:paraId="0338A58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7、面板同步显示RF、AF、群组、频率、电池电量、静噪前度等；</w:t>
            </w:r>
          </w:p>
          <w:p w14:paraId="617791E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8、单键飞梭功能，调节快速方便；</w:t>
            </w:r>
          </w:p>
          <w:p w14:paraId="513EB56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9、静噪强度0~25dB分6级可调；</w:t>
            </w:r>
          </w:p>
          <w:p w14:paraId="44E41FC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10、天线可级联，多套叠机时可不再使用天线分配器；</w:t>
            </w:r>
          </w:p>
          <w:p w14:paraId="4F9B35E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11、既支持各路单独输出，也支持混合输出；</w:t>
            </w:r>
          </w:p>
          <w:p w14:paraId="1F397D8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12、MIC/LINE输出切换，适应性更强；</w:t>
            </w:r>
          </w:p>
          <w:p w14:paraId="2C8ABFD3">
            <w:pPr>
              <w:pStyle w:val="18"/>
              <w:rPr>
                <w:rFonts w:hint="eastAsia"/>
                <w:highlight w:val="none"/>
                <w:lang w:val="en-US" w:eastAsia="zh-CN"/>
              </w:rPr>
            </w:pPr>
          </w:p>
          <w:p w14:paraId="5D4687D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参数说明：</w:t>
            </w:r>
          </w:p>
          <w:p w14:paraId="77CBCE6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1、频率范围：640.000-690.000MHZ</w:t>
            </w:r>
          </w:p>
          <w:p w14:paraId="38AAC7C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2、接收方式：天线分集</w:t>
            </w:r>
          </w:p>
          <w:p w14:paraId="630E096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3、S/N比：&gt;100dB(A)</w:t>
            </w:r>
          </w:p>
          <w:p w14:paraId="0C23668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4、频响：80Hz-15kHz</w:t>
            </w:r>
          </w:p>
          <w:p w14:paraId="1A38136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5、静音控制：0~25dB 6级可调；</w:t>
            </w:r>
          </w:p>
          <w:p w14:paraId="4A4EF42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6、天线：50Ω，TNC接头</w:t>
            </w:r>
          </w:p>
          <w:p w14:paraId="3E3611B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7、电源：220V</w:t>
            </w:r>
          </w:p>
        </w:tc>
        <w:tc>
          <w:tcPr>
            <w:tcW w:w="0" w:type="auto"/>
            <w:shd w:val="clear" w:color="auto" w:fill="auto"/>
            <w:vAlign w:val="center"/>
          </w:tcPr>
          <w:p w14:paraId="0C2B49D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shd w:val="clear" w:color="auto" w:fill="auto"/>
            <w:vAlign w:val="center"/>
          </w:tcPr>
          <w:p w14:paraId="7E152C4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3E151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0204695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10 </w:t>
            </w:r>
          </w:p>
        </w:tc>
        <w:tc>
          <w:tcPr>
            <w:tcW w:w="0" w:type="auto"/>
            <w:shd w:val="clear" w:color="auto" w:fill="auto"/>
            <w:vAlign w:val="center"/>
          </w:tcPr>
          <w:p w14:paraId="578E3B4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航空机柜</w:t>
            </w:r>
          </w:p>
        </w:tc>
        <w:tc>
          <w:tcPr>
            <w:tcW w:w="0" w:type="auto"/>
            <w:shd w:val="clear" w:color="auto" w:fill="auto"/>
            <w:vAlign w:val="center"/>
          </w:tcPr>
          <w:p w14:paraId="2893426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1、产品采用高密度黑色砂面防火板，具有防火、防水、耐酸碱、耐划伤功能。</w:t>
            </w:r>
          </w:p>
          <w:p w14:paraId="670A74A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2、前后盖内粘贴防震、防潮EVA减震材料。</w:t>
            </w:r>
          </w:p>
          <w:p w14:paraId="0AFBB16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3、箱盖内粘贴一套话筒成型珍珠棉。方便客户放置无线话筒发射器。</w:t>
            </w:r>
          </w:p>
          <w:p w14:paraId="20E823C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4、1.5mm厚双包铝、1.2mm厚双V铝型材、1.2mm厚L型铝型材均氧化成铝本色；连接机箱的TM5*18大扁机丝和M5的法兰盘螺母均采用镀铬处理。</w:t>
            </w:r>
          </w:p>
          <w:p w14:paraId="5989F37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5、4个3寸静音万向脚轮，滚针轴承，其中两个带刹车，方便演出固定。</w:t>
            </w:r>
          </w:p>
          <w:p w14:paraId="1AA1ED0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6、蝴蝶挂锁、大抽手、中角直码、大球包均采用镀铬表面处理。</w:t>
            </w:r>
          </w:p>
          <w:p w14:paraId="61F1737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7、4个牢固镀铬把手，方便设备搬运。</w:t>
            </w:r>
          </w:p>
          <w:p w14:paraId="5F07EAF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8、本产品采用10套快装蝴蝶挂锁，牢固锁紧箱盖和箱体，便于运输流动。</w:t>
            </w:r>
          </w:p>
          <w:p w14:paraId="6D7E337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9、本产品外形美观大方、漏印精美、结实经久耐用。</w:t>
            </w:r>
          </w:p>
        </w:tc>
        <w:tc>
          <w:tcPr>
            <w:tcW w:w="0" w:type="auto"/>
            <w:shd w:val="clear" w:color="auto" w:fill="auto"/>
            <w:vAlign w:val="center"/>
          </w:tcPr>
          <w:p w14:paraId="11CE5BE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0" w:type="auto"/>
            <w:shd w:val="clear" w:color="auto" w:fill="auto"/>
            <w:vAlign w:val="center"/>
          </w:tcPr>
          <w:p w14:paraId="219E5B7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04FAA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77FBB17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11 </w:t>
            </w:r>
          </w:p>
        </w:tc>
        <w:tc>
          <w:tcPr>
            <w:tcW w:w="0" w:type="auto"/>
            <w:shd w:val="clear" w:color="auto" w:fill="auto"/>
            <w:vAlign w:val="center"/>
          </w:tcPr>
          <w:p w14:paraId="049883A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钢琴</w:t>
            </w:r>
          </w:p>
        </w:tc>
        <w:tc>
          <w:tcPr>
            <w:tcW w:w="0" w:type="auto"/>
            <w:shd w:val="clear" w:color="auto" w:fill="auto"/>
            <w:vAlign w:val="center"/>
          </w:tcPr>
          <w:p w14:paraId="00575E3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1.工作条件： 成品应放在室内保管。相对湿度为40％－70的条件下应能正常工作。</w:t>
            </w:r>
          </w:p>
          <w:p w14:paraId="1BC620A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2.技术性能指标</w:t>
            </w:r>
          </w:p>
          <w:p w14:paraId="5A37C0F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2.1尺寸和重量</w:t>
            </w:r>
          </w:p>
          <w:p w14:paraId="3367549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2.1.1高度：1200 mm</w:t>
            </w:r>
          </w:p>
          <w:p w14:paraId="204E0B1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2.1.2长度：1506 mm</w:t>
            </w:r>
          </w:p>
          <w:p w14:paraId="22E2E6E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2.1.3宽度：586 mm</w:t>
            </w:r>
          </w:p>
          <w:p w14:paraId="072F981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2.1.4重量：220/257kg</w:t>
            </w:r>
          </w:p>
          <w:p w14:paraId="1443557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2.1.5琴弦：采用</w:t>
            </w:r>
            <w:r>
              <w:rPr>
                <w:rFonts w:hint="eastAsia" w:ascii="宋体" w:hAnsi="宋体" w:eastAsia="宋体" w:cs="宋体"/>
                <w:b/>
                <w:bCs/>
                <w:i w:val="0"/>
                <w:iCs w:val="0"/>
                <w:color w:val="000000"/>
                <w:kern w:val="0"/>
                <w:sz w:val="21"/>
                <w:szCs w:val="21"/>
                <w:highlight w:val="none"/>
                <w:u w:val="none"/>
                <w:lang w:val="en-US" w:eastAsia="zh-CN" w:bidi="ar"/>
              </w:rPr>
              <w:t>优质琴钢丝</w:t>
            </w:r>
            <w:r>
              <w:rPr>
                <w:rFonts w:hint="eastAsia" w:ascii="宋体" w:hAnsi="宋体" w:eastAsia="宋体" w:cs="宋体"/>
                <w:i w:val="0"/>
                <w:iCs w:val="0"/>
                <w:color w:val="000000"/>
                <w:kern w:val="0"/>
                <w:sz w:val="21"/>
                <w:szCs w:val="21"/>
                <w:highlight w:val="none"/>
                <w:u w:val="none"/>
                <w:lang w:val="en-US" w:eastAsia="zh-CN" w:bidi="ar"/>
              </w:rPr>
              <w:t>，1#低音弦长度：1150 mm</w:t>
            </w:r>
          </w:p>
          <w:p w14:paraId="62AD1A7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2.1.6弦槌：采用</w:t>
            </w:r>
            <w:r>
              <w:rPr>
                <w:rFonts w:hint="eastAsia" w:ascii="宋体" w:hAnsi="宋体" w:eastAsia="宋体" w:cs="宋体"/>
                <w:b/>
                <w:bCs/>
                <w:i w:val="0"/>
                <w:iCs w:val="0"/>
                <w:color w:val="000000"/>
                <w:kern w:val="0"/>
                <w:sz w:val="21"/>
                <w:szCs w:val="21"/>
                <w:highlight w:val="none"/>
                <w:u w:val="none"/>
                <w:lang w:val="en-US" w:eastAsia="zh-CN" w:bidi="ar"/>
              </w:rPr>
              <w:t>优质呢毡</w:t>
            </w:r>
            <w:r>
              <w:rPr>
                <w:rFonts w:hint="eastAsia" w:ascii="宋体" w:hAnsi="宋体" w:eastAsia="宋体" w:cs="宋体"/>
                <w:i w:val="0"/>
                <w:iCs w:val="0"/>
                <w:color w:val="000000"/>
                <w:kern w:val="0"/>
                <w:sz w:val="21"/>
                <w:szCs w:val="21"/>
                <w:highlight w:val="none"/>
                <w:u w:val="none"/>
                <w:lang w:val="en-US" w:eastAsia="zh-CN" w:bidi="ar"/>
              </w:rPr>
              <w:t>，重量：约6－10克。</w:t>
            </w:r>
          </w:p>
          <w:p w14:paraId="79C18F3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2.1.7音板：上下两层白松实木木皮加强音板的抗拉张力，使音板在任何环境下都能保持稳定状态，不会变形和开裂。为了保证音源系统的稳定性和良好的共振性，采用了世界上最先进的五轴联动设备加工音板框，音板尺寸：1435×942mm2</w:t>
            </w:r>
          </w:p>
          <w:p w14:paraId="675DB9F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2.2材料：</w:t>
            </w:r>
          </w:p>
          <w:p w14:paraId="003D165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2.2.1弦轴板：采用钢琴专用色木多层板，使音的稳定性和持久性更有保证。</w:t>
            </w:r>
          </w:p>
          <w:p w14:paraId="03B51AC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2.2.2弦码：采用钢琴专用色木多层板，硬度高、不开裂、音波阻抗小，具有良好的导音性能。</w:t>
            </w:r>
          </w:p>
          <w:p w14:paraId="75F7801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2.2.3弦轴：45＃钢（调质处理）</w:t>
            </w:r>
          </w:p>
          <w:p w14:paraId="6734B7B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2.2.4中踏瓣：专用钢丝拉线</w:t>
            </w:r>
          </w:p>
          <w:p w14:paraId="3ADD9FE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2.2.5活动杆：特种金属</w:t>
            </w:r>
          </w:p>
          <w:p w14:paraId="10EE778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2.2.6 干燥处理：木制件经过两年以上的自然风干，再根据不同的部件采用不同的烘干方式释放木材的内应力，呢毡经过防潮、防蛀、防霉处理。</w:t>
            </w:r>
          </w:p>
          <w:p w14:paraId="1599ADA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2.2.7 键盘盖：带内置安全缓降装置。</w:t>
            </w:r>
          </w:p>
          <w:p w14:paraId="74C37C8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2.2.8 键盘：全音域88键，</w:t>
            </w:r>
          </w:p>
          <w:p w14:paraId="1693B41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2.2.9 踏板：全功能三瓣式。</w:t>
            </w:r>
          </w:p>
          <w:p w14:paraId="547E2CE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2.2.10外观涂装：底层为高密度聚脂板，再涂饰底漆及高硬度防裂亮光面漆。</w:t>
            </w:r>
          </w:p>
        </w:tc>
        <w:tc>
          <w:tcPr>
            <w:tcW w:w="0" w:type="auto"/>
            <w:shd w:val="clear" w:color="auto" w:fill="auto"/>
            <w:vAlign w:val="center"/>
          </w:tcPr>
          <w:p w14:paraId="7704B7D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0" w:type="auto"/>
            <w:shd w:val="clear" w:color="auto" w:fill="auto"/>
            <w:vAlign w:val="center"/>
          </w:tcPr>
          <w:p w14:paraId="058CFC9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6703C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15AF04C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12 </w:t>
            </w:r>
          </w:p>
        </w:tc>
        <w:tc>
          <w:tcPr>
            <w:tcW w:w="0" w:type="auto"/>
            <w:shd w:val="clear" w:color="auto" w:fill="auto"/>
            <w:vAlign w:val="center"/>
          </w:tcPr>
          <w:p w14:paraId="4EA4ED0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指挥台（含指挥棒）</w:t>
            </w:r>
          </w:p>
        </w:tc>
        <w:tc>
          <w:tcPr>
            <w:tcW w:w="0" w:type="auto"/>
            <w:shd w:val="clear" w:color="auto" w:fill="auto"/>
            <w:vAlign w:val="center"/>
          </w:tcPr>
          <w:p w14:paraId="22DBF2B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便携可调/折叠式指挥台</w:t>
            </w:r>
          </w:p>
          <w:p w14:paraId="40C7527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谱台板尺寸:60*33公分</w:t>
            </w:r>
          </w:p>
          <w:p w14:paraId="0C97032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二层台板尺寸:30*44公分</w:t>
            </w:r>
          </w:p>
          <w:p w14:paraId="5EC171F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谱台板高度尺寸:80-120公分</w:t>
            </w:r>
          </w:p>
          <w:p w14:paraId="18C4C48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护栏高度尺寸:高93公分 宽:76公分</w:t>
            </w:r>
          </w:p>
          <w:p w14:paraId="119EB483">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站台尺寸:100*120*22公分</w:t>
            </w:r>
          </w:p>
        </w:tc>
        <w:tc>
          <w:tcPr>
            <w:tcW w:w="0" w:type="auto"/>
            <w:shd w:val="clear" w:color="auto" w:fill="auto"/>
            <w:vAlign w:val="center"/>
          </w:tcPr>
          <w:p w14:paraId="041857B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5E4AC3A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2A309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79B3FA6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13 </w:t>
            </w:r>
          </w:p>
        </w:tc>
        <w:tc>
          <w:tcPr>
            <w:tcW w:w="0" w:type="auto"/>
            <w:shd w:val="clear" w:color="auto" w:fill="auto"/>
            <w:vAlign w:val="center"/>
          </w:tcPr>
          <w:p w14:paraId="76AE44E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合唱台</w:t>
            </w:r>
          </w:p>
        </w:tc>
        <w:tc>
          <w:tcPr>
            <w:tcW w:w="0" w:type="auto"/>
            <w:shd w:val="clear" w:color="auto" w:fill="auto"/>
            <w:vAlign w:val="center"/>
          </w:tcPr>
          <w:p w14:paraId="2FD9046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1200*1200*660mm。采用1.7cm樟子松板制作，内衬1.7cm樟子松板加固。合唱台分三级，每级宽400mm，高220mm。</w:t>
            </w:r>
          </w:p>
        </w:tc>
        <w:tc>
          <w:tcPr>
            <w:tcW w:w="0" w:type="auto"/>
            <w:shd w:val="clear" w:color="auto" w:fill="auto"/>
            <w:vAlign w:val="center"/>
          </w:tcPr>
          <w:p w14:paraId="24677E3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组</w:t>
            </w:r>
          </w:p>
        </w:tc>
        <w:tc>
          <w:tcPr>
            <w:tcW w:w="0" w:type="auto"/>
            <w:shd w:val="clear" w:color="auto" w:fill="auto"/>
            <w:vAlign w:val="center"/>
          </w:tcPr>
          <w:p w14:paraId="66231EF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5 </w:t>
            </w:r>
          </w:p>
        </w:tc>
      </w:tr>
      <w:tr w14:paraId="7B5AA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5675308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14 </w:t>
            </w:r>
          </w:p>
        </w:tc>
        <w:tc>
          <w:tcPr>
            <w:tcW w:w="0" w:type="auto"/>
            <w:shd w:val="clear" w:color="auto" w:fill="auto"/>
            <w:vAlign w:val="center"/>
          </w:tcPr>
          <w:p w14:paraId="288CF35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大谱台</w:t>
            </w:r>
          </w:p>
        </w:tc>
        <w:tc>
          <w:tcPr>
            <w:tcW w:w="0" w:type="auto"/>
            <w:shd w:val="clear" w:color="auto" w:fill="auto"/>
            <w:vAlign w:val="center"/>
          </w:tcPr>
          <w:p w14:paraId="63EFDC5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适合所有乐器配套使用</w:t>
            </w:r>
          </w:p>
          <w:p w14:paraId="3DAE8B8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材料：铁、铝合金、塑料</w:t>
            </w:r>
          </w:p>
          <w:p w14:paraId="71C3E6D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普板尺寸：500*340mm</w:t>
            </w:r>
          </w:p>
          <w:p w14:paraId="1C8B417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整体高度：730-1400mm</w:t>
            </w:r>
          </w:p>
          <w:p w14:paraId="6EA2325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外表处理工艺：静电喷粉</w:t>
            </w:r>
          </w:p>
        </w:tc>
        <w:tc>
          <w:tcPr>
            <w:tcW w:w="0" w:type="auto"/>
            <w:shd w:val="clear" w:color="auto" w:fill="auto"/>
            <w:vAlign w:val="center"/>
          </w:tcPr>
          <w:p w14:paraId="195AE9E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31EA9C3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48 </w:t>
            </w:r>
          </w:p>
        </w:tc>
      </w:tr>
      <w:tr w14:paraId="32974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3A10FF9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15 </w:t>
            </w:r>
          </w:p>
        </w:tc>
        <w:tc>
          <w:tcPr>
            <w:tcW w:w="0" w:type="auto"/>
            <w:shd w:val="clear" w:color="auto" w:fill="auto"/>
            <w:noWrap/>
            <w:vAlign w:val="center"/>
          </w:tcPr>
          <w:p w14:paraId="0841833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音乐折叠椅</w:t>
            </w:r>
          </w:p>
        </w:tc>
        <w:tc>
          <w:tcPr>
            <w:tcW w:w="0" w:type="auto"/>
            <w:shd w:val="clear" w:color="auto" w:fill="auto"/>
            <w:vAlign w:val="center"/>
          </w:tcPr>
          <w:p w14:paraId="35FF89F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格参数：展开尺寸520*450*810mm，坐垫高度450mm,坐垫靠背写字板均采用PP材料，注塑一体成型，椅子架采用1.0厚钢管，配带钢制书网。</w:t>
            </w:r>
          </w:p>
        </w:tc>
        <w:tc>
          <w:tcPr>
            <w:tcW w:w="0" w:type="auto"/>
            <w:shd w:val="clear" w:color="auto" w:fill="auto"/>
            <w:noWrap/>
            <w:vAlign w:val="center"/>
          </w:tcPr>
          <w:p w14:paraId="5F57146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把</w:t>
            </w:r>
          </w:p>
        </w:tc>
        <w:tc>
          <w:tcPr>
            <w:tcW w:w="0" w:type="auto"/>
            <w:shd w:val="clear" w:color="auto" w:fill="auto"/>
            <w:noWrap/>
            <w:vAlign w:val="center"/>
          </w:tcPr>
          <w:p w14:paraId="23B4D60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48 </w:t>
            </w:r>
          </w:p>
        </w:tc>
      </w:tr>
      <w:tr w14:paraId="4EE4A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gridSpan w:val="5"/>
            <w:shd w:val="clear" w:color="auto" w:fill="auto"/>
            <w:vAlign w:val="center"/>
          </w:tcPr>
          <w:p w14:paraId="7540D863">
            <w:pPr>
              <w:jc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舞蹈、形体教室</w:t>
            </w:r>
          </w:p>
        </w:tc>
      </w:tr>
      <w:tr w14:paraId="79579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3C677B1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c>
          <w:tcPr>
            <w:tcW w:w="0" w:type="auto"/>
            <w:shd w:val="clear" w:color="auto" w:fill="auto"/>
            <w:vAlign w:val="center"/>
          </w:tcPr>
          <w:p w14:paraId="3830570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智慧钢琴</w:t>
            </w:r>
            <w:r>
              <w:rPr>
                <w:rFonts w:hint="eastAsia" w:ascii="宋体" w:hAnsi="宋体" w:cs="宋体"/>
                <w:b/>
                <w:bCs/>
                <w:i w:val="0"/>
                <w:iCs w:val="0"/>
                <w:color w:val="000000"/>
                <w:kern w:val="0"/>
                <w:sz w:val="21"/>
                <w:szCs w:val="21"/>
                <w:highlight w:val="none"/>
                <w:u w:val="none"/>
                <w:lang w:val="en-US" w:eastAsia="zh-CN" w:bidi="ar"/>
              </w:rPr>
              <w:t>（核心产品）</w:t>
            </w:r>
          </w:p>
        </w:tc>
        <w:tc>
          <w:tcPr>
            <w:tcW w:w="0" w:type="auto"/>
            <w:shd w:val="clear" w:color="auto" w:fill="auto"/>
            <w:vAlign w:val="center"/>
          </w:tcPr>
          <w:p w14:paraId="069C00B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智慧钢琴一体化设计、触摸屏幕镶嵌在钢琴中、不接受外挂、要求智慧钢琴硬件与系统部分为同一品牌。</w:t>
            </w:r>
          </w:p>
          <w:p w14:paraId="35E9BCB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一、智慧钢琴硬件部分：</w:t>
            </w:r>
          </w:p>
          <w:p w14:paraId="25CF0AB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1.整体尺寸: L1530mm x H1210mm x W610mm</w:t>
            </w:r>
          </w:p>
          <w:p w14:paraId="6259A0A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2.铁板: 大尺寸全围铁牌，采用传统翻砂铸造工艺，高度 ≥1130mm</w:t>
            </w:r>
          </w:p>
          <w:p w14:paraId="7F15D9B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3.弦槌: 羊毛毡，优质红木榔头</w:t>
            </w:r>
          </w:p>
          <w:p w14:paraId="5CFAE7F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4.制音毡: 平板毡、三角毡和坑毡采用顶级羊毛毡</w:t>
            </w:r>
          </w:p>
          <w:p w14:paraId="6605DAB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5.琴弦: 圆形弦，优质镀锡防锈钢线,最大有效弦长≥ 1185mm</w:t>
            </w:r>
          </w:p>
          <w:p w14:paraId="1A62FB9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6.击弦机: 运动木制件为优质实木材料</w:t>
            </w:r>
          </w:p>
          <w:p w14:paraId="728E3AC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7.音板 :优质云杉木制作的加强实木音板</w:t>
            </w:r>
          </w:p>
          <w:p w14:paraId="33496B1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8.肋木: ≥11根优质云杉木</w:t>
            </w:r>
          </w:p>
          <w:p w14:paraId="73E405C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9.弦轴板 :≥18层优质硬木交错拼接弦轴板</w:t>
            </w:r>
          </w:p>
          <w:p w14:paraId="6FF9B18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10.键盘 :实木云杉木黑键，砝码平衡加铅处理</w:t>
            </w:r>
          </w:p>
          <w:p w14:paraId="3DDCFCB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11.音头纽: 不易变形优质角木材料</w:t>
            </w:r>
          </w:p>
          <w:p w14:paraId="6E268E8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12.连接顶杆: 不易变形优质角木材料</w:t>
            </w:r>
          </w:p>
          <w:p w14:paraId="482254D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13.中盘 :优质松木细木工板</w:t>
            </w:r>
          </w:p>
          <w:p w14:paraId="764E157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14.弦码 :榉木多层板制作</w:t>
            </w:r>
          </w:p>
          <w:p w14:paraId="09717CB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15.背柱: 云杉，五根背柱榫接技术</w:t>
            </w:r>
          </w:p>
          <w:p w14:paraId="3FD996F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16.钢琴凳: 原装实木皮革升降琴凳</w:t>
            </w:r>
          </w:p>
          <w:p w14:paraId="37E0704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17.备注: 所有钢琴配有内置缓降器、键盘布、擦琴手套、脚轮脚垫、保养剂、防潮管。</w:t>
            </w:r>
          </w:p>
          <w:p w14:paraId="489FF67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18.显示部分 ≥43.5（4K高清）</w:t>
            </w:r>
          </w:p>
          <w:p w14:paraId="7CF61C6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19.处理器 英特尔 第四代酷睿≥i5-4460 @ 3.2GHz 四核</w:t>
            </w:r>
          </w:p>
          <w:p w14:paraId="09A17F7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20.内存 8GB</w:t>
            </w:r>
          </w:p>
          <w:p w14:paraId="15F118B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21.显卡 2G</w:t>
            </w:r>
          </w:p>
          <w:p w14:paraId="535CBC3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22.主硬盘 256GB/固态硬盘）</w:t>
            </w:r>
          </w:p>
          <w:p w14:paraId="7A02A2A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23.网卡 千兆网卡</w:t>
            </w:r>
          </w:p>
          <w:p w14:paraId="2206663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24.声卡 高保真音频</w:t>
            </w:r>
          </w:p>
          <w:p w14:paraId="11E6725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25.分辨率≥3840*1080</w:t>
            </w:r>
          </w:p>
          <w:p w14:paraId="53C7356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26.功放板≥总功率80W，低音喇叭25W，中音喇叭25W，高音20W</w:t>
            </w:r>
          </w:p>
          <w:p w14:paraId="1C925B5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27.自动演奏要求：</w:t>
            </w:r>
          </w:p>
          <w:p w14:paraId="1D1D3C6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27.1输入电压：≥220V~240V，输出电压直流：40V、9V，电源功率：650W。</w:t>
            </w:r>
          </w:p>
          <w:p w14:paraId="5A87002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27.2力度级别：≥256级</w:t>
            </w:r>
          </w:p>
          <w:p w14:paraId="5337C07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27.3击键频数：≥9次以上/秒</w:t>
            </w:r>
          </w:p>
          <w:p w14:paraId="03FC921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27.4支持≥30个同时按键数</w:t>
            </w:r>
          </w:p>
          <w:p w14:paraId="03C9388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27.5持续播放时间：≥24小时以上</w:t>
            </w:r>
          </w:p>
          <w:p w14:paraId="0CAB009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27.6支持中小学课本乐谱及拓展乐谱的自动演奏。</w:t>
            </w:r>
          </w:p>
          <w:p w14:paraId="38DD0CA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27.7支持踏板、调音、连音、顿音等变音记号的自动演奏。</w:t>
            </w:r>
          </w:p>
          <w:p w14:paraId="5EBB0B9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27.8MIDI接口与USB两种接口、自动检测：支持</w:t>
            </w:r>
          </w:p>
          <w:p w14:paraId="344C7A1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27.9支持中小学数字化音乐教学系统链接，支持五线谱简谱双乐谱演奏驱动，支持乐谱速度调节，乐谱任意位置演奏、单音演奏。</w:t>
            </w:r>
          </w:p>
          <w:p w14:paraId="60312BF0">
            <w:pPr>
              <w:pStyle w:val="18"/>
              <w:rPr>
                <w:rFonts w:hint="eastAsia"/>
                <w:highlight w:val="none"/>
                <w:lang w:val="en-US" w:eastAsia="zh-CN"/>
              </w:rPr>
            </w:pPr>
          </w:p>
          <w:p w14:paraId="536F480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二、智慧钢琴系统部分：</w:t>
            </w:r>
          </w:p>
          <w:p w14:paraId="092E9A8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钢琴演奏</w:t>
            </w:r>
          </w:p>
          <w:p w14:paraId="5C8E538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钢琴演奏模块包含丰富的资源包含：钢琴弹奏常用钢琴曲目不低于1000首、车尔尼849演奏法不低于30课、钢琴弹奏基础视频教室不低于300个教学视频、钢琴百科不低于30个。</w:t>
            </w:r>
          </w:p>
          <w:p w14:paraId="58E9CE4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钢琴演奏包含：钢琴教学、演奏理论、钢琴百科、视频讲堂四个模块。</w:t>
            </w:r>
          </w:p>
          <w:p w14:paraId="15292CA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钢琴教学：</w:t>
            </w:r>
          </w:p>
          <w:p w14:paraId="0F4E1DC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1、首界面可选择需要演奏的钢琴教程、选择对应的单元、也可打开本地jmc格式谱曲课件</w:t>
            </w:r>
          </w:p>
          <w:p w14:paraId="70BC6B4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2、最近使用：可直接打开最近使用的10次钢琴演奏教学曲谱。</w:t>
            </w:r>
          </w:p>
          <w:p w14:paraId="49B1DC6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3、钢琴曲谱可跟进弹奏者习惯进行五线谱、简谱的一键转换。</w:t>
            </w:r>
          </w:p>
          <w:p w14:paraId="07F7768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4、教学示范可以教学示范：具有曲谱、指法影像、虚拟键盘同步对照显示，虚拟键盘具有对应键位的颜色提示。</w:t>
            </w:r>
          </w:p>
          <w:p w14:paraId="15DA5CF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5、教学示范：指法显示画面可根据不同电钢琴、电子琴调节高度调节、画面支持上下拖动。</w:t>
            </w:r>
          </w:p>
          <w:p w14:paraId="2345A52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 跟弹模式：可选择左右手、双手弹奏、跟弹开始后对应需要弹奏的键位、音柱、音符同步显示、下个需要弹奏的键位会已浅红色显示。</w:t>
            </w:r>
          </w:p>
          <w:p w14:paraId="1610D1A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7、跟弹模式：具有节拍器功能、节拍器自动识别钢琴谱节拍、速度进行进奏提示。</w:t>
            </w:r>
          </w:p>
          <w:p w14:paraId="4F80D95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8、跟弹模式：可选择跟弹的速度、速选择：0.5、0.75、1.0、1.25、1.5倍速可选。</w:t>
            </w:r>
          </w:p>
          <w:p w14:paraId="1A67834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9、跟弹模式：可以瀑布流、音符同步对照显示，可分为双手、左手、右手三种跟弹方式，虚拟键盘具有对应键位的颜色预提示，弹奏的虚拟键盘键位颜色高亮。</w:t>
            </w:r>
          </w:p>
          <w:p w14:paraId="6B759F3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弹奏数据:详情弹奏数据，数据包含：完美、弹早、弹晚、弹漏、弹错分别对应黄色、蓝色、紫色、灰色、红色；且可以查看弹奏详情，弹对的音符为默认为黑色，弹早、弹晚在对应音符前后展示、弹漏为灰色，弹错则为红色。</w:t>
            </w:r>
          </w:p>
          <w:p w14:paraId="51F4B32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11、弹奏测评模式：具有节拍器功能演奏时节拍器同步播放声音提示。</w:t>
            </w:r>
          </w:p>
          <w:p w14:paraId="0E45CC8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12、音量选择:包括总音量调节、范奏和伴奏音频音量调节，支持左右手声部音量调节。</w:t>
            </w:r>
          </w:p>
          <w:p w14:paraId="6DA5FC9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13、自由弹奏模式：具有范奏、伴奏功能，弹奏前可进行试听，也可跟随范奏、伴奏同步弹奏，音频支持循环播放。</w:t>
            </w:r>
          </w:p>
          <w:p w14:paraId="77F0D71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14、视频示范：钢琴谱曲具有真人视频示范、视频播放0.5、0.75、1.0、1.25、1.5倍速可选、音量0-100可选。</w:t>
            </w:r>
          </w:p>
          <w:p w14:paraId="24D1B50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15、虚拟键盘键位数量支持实体键、61、88键选择虚拟键盘可一键显隐音名、唱名，调式转换时音名、唱名也会发生对应变换。 </w:t>
            </w:r>
          </w:p>
          <w:p w14:paraId="107D312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动感乐器：</w:t>
            </w:r>
          </w:p>
          <w:p w14:paraId="7B42009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具备架子鼓、电子鼓机、吉他、竖笛、口琴、葫芦丝、哑鼓精灵等乐器</w:t>
            </w:r>
          </w:p>
          <w:p w14:paraId="3F5A72E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架子鼓：</w:t>
            </w:r>
          </w:p>
          <w:p w14:paraId="74D8967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1、包含架子鼓、军乐团、奥夫尔、自由组合四种可选。</w:t>
            </w:r>
          </w:p>
          <w:p w14:paraId="5AAB1D1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2、具有12个彩色立体按键：按键包含：底鼓、军鼓、军鼓边、踩镲合、踩镲开、吊镲、高、中、低嗵鼓、拍手、沙锤、串铃等，敲击对应按键发出对应音色。</w:t>
            </w:r>
          </w:p>
          <w:p w14:paraId="44C8E5A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3、军乐团具有8个彩色立体按键：按键包含：大鼓、军鼓、大擦、小擦、青年号低音sol、青年号do、青年号mi、青年号sol，敲击对应按键发出对应音色。</w:t>
            </w:r>
          </w:p>
          <w:p w14:paraId="278526E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奥尔夫具有12个彩色立体按键:按键包含：响板、响棒、卡巴萨、三角铁、木鱼、蛙鸣筒、牛铃、串铃、铃鼓、风铃、沙锤、沙弹等，敲击对应按键发出对应音色（需第三方检测机构出具的测试报告体现此条功能）。</w:t>
            </w:r>
          </w:p>
          <w:p w14:paraId="40DA8E4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5、★自由组合具有12个彩色立体按键:点击对应按钮可以跳出乐器组合从架子鼓、军乐团、奥尔夫中选择对应乐器进行组合（需第三方检测机构出具的测试报告体现此条功能）。</w:t>
            </w:r>
          </w:p>
          <w:p w14:paraId="0D633B7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6、★上下换行：可将上排乐器音色和下方乐器音色对调位置，方便教师切换乐器音色位置（需第三方检测机构出具的测试报告体现此条功能）。</w:t>
            </w:r>
          </w:p>
          <w:p w14:paraId="0419B14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6、可插入音频配乐：演奏音色和配乐同时发声，配乐可显示时常、播放进度，播放进度可通过进度条拖动。</w:t>
            </w:r>
          </w:p>
          <w:p w14:paraId="57AB996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7、音频播放音量与乐器演奏音量可自由调节、音量调节范围：0-100可选。</w:t>
            </w:r>
          </w:p>
          <w:p w14:paraId="7DB17B2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8、音频音乐库：包含不低于5首歌曲可选。</w:t>
            </w:r>
          </w:p>
          <w:p w14:paraId="4962A6D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电鼓机：</w:t>
            </w:r>
          </w:p>
          <w:p w14:paraId="4384796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1、界面具有具有不同的按键对应不同音色，对应音色可进行修改，可进行添加16路音色，每个音色对应16个按键可进行选择，最多可选择252个按键进行合成乐谱。</w:t>
            </w:r>
          </w:p>
          <w:p w14:paraId="2290882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2、类型选择：基本节奏、八六拍、流行、切分节奏、巴萨诺瓦、华尔兹、浩室音乐、深箱、现代模拟等可选。</w:t>
            </w:r>
          </w:p>
          <w:p w14:paraId="4CD5EF3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3、可选择播放和循环播放，播放速度40-208可选、播放声音0-100可选。</w:t>
            </w:r>
          </w:p>
          <w:p w14:paraId="5C7B21D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吉他：</w:t>
            </w:r>
          </w:p>
          <w:p w14:paraId="0089819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1、虚拟吉他和虚拟键盘均可进行弹奏，弹奏虚拟键盘后对应吉他弦位同步高亮显示。</w:t>
            </w:r>
          </w:p>
          <w:p w14:paraId="24474B9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2、具有26个吉他品格图：点击吉他品格图，虚拟键盘、吉他对应品位同步高亮显示。</w:t>
            </w:r>
          </w:p>
          <w:p w14:paraId="5F254C3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3、标准古典吉他模型可以触摸任意琴弦任意品格进行弹奏，有白色圆点显示。虚拟钢琴键可以对应高亮显示。</w:t>
            </w:r>
          </w:p>
          <w:p w14:paraId="7085352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竖笛</w:t>
            </w:r>
          </w:p>
          <w:p w14:paraId="14009A4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1、★点击3D乐器，跳转出竖笛3D模型，可以拖动进行旋转查看乐器构造，也可一键重置恢复默认位置（需第三方检测机构出具的测试报告体现此条功能）。</w:t>
            </w:r>
          </w:p>
          <w:p w14:paraId="7E28B34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2、★弹奏虚拟键盘对应竖笛孔位同步高亮显示。竖笛类型可选择：8孔C调、8孔F调、6孔C调、6孔F调四种可选（需第三方检测机构出具的测试报告体现此条功能）。</w:t>
            </w:r>
          </w:p>
          <w:p w14:paraId="52E775A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3、对照谱表：可打开指法对照按键，对应谱表自动生成竖笛指法参照，竖笛指法与音符上下排列。</w:t>
            </w:r>
          </w:p>
          <w:p w14:paraId="05CBEC2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4、谱曲播放时竖笛孔位、虚拟键盘、音符三位一体高亮显示，也可点击单音进行学习、框选区域播放。</w:t>
            </w:r>
          </w:p>
          <w:p w14:paraId="0604FEB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5、★竖笛谱曲：演奏时谱表，虚拟键盘、竖笛孔位同步高亮显示，播放速度可选择：0.5、0.75、1、1.25、1.5倍速调节。五线谱谱表、简谱谱表可一键互转（需第三方检测机构出具的测试报告体现此条功能）。</w:t>
            </w:r>
          </w:p>
          <w:p w14:paraId="037D151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口琴：</w:t>
            </w:r>
          </w:p>
          <w:p w14:paraId="786F2C1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1、弹奏虚拟键盘对应口琴按键同步高亮显示。具有吹奏提示，点开后对应显示吸、吹提示。</w:t>
            </w:r>
          </w:p>
          <w:p w14:paraId="4377FB9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2、具有口琴谱曲，谱曲播放时虚拟钢琴键位、谱曲、口琴同步高亮显示对应键位。</w:t>
            </w:r>
          </w:p>
          <w:p w14:paraId="416676E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3、具有口琴视频教程，演示内容谱曲与口琴按键同步显示。</w:t>
            </w:r>
          </w:p>
          <w:p w14:paraId="02D3A71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4、口琴演奏时五线谱谱表、虚拟键盘、口琴孔位同步高亮显示，播放速度可选择：0.5、0.75、1、1.25、1.5倍速调节。五线谱谱表可一键转换为简谱谱表。</w:t>
            </w:r>
          </w:p>
          <w:p w14:paraId="6AFB30B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5、★音调设置：五线谱、简谱课件可以进行移调选择15种调式，其中含5种直选键：降全音、降半音、原调（还原）、升半音、升全音（需第三方检测机构出具的测试报告体现此条功能）。</w:t>
            </w:r>
          </w:p>
          <w:p w14:paraId="7337AD5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哑鼓精灵：</w:t>
            </w:r>
          </w:p>
          <w:p w14:paraId="280A42A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系统分为：通关课程、PK课程、专属课程三个模块、游戏小诺人物四种形态可选、课程背景两种可选</w:t>
            </w:r>
          </w:p>
          <w:p w14:paraId="77AFE14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通关课程：</w:t>
            </w:r>
          </w:p>
          <w:p w14:paraId="7294034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通关课程难度选择为：启蒙、初级、中级、高级四级可选。</w:t>
            </w:r>
          </w:p>
          <w:p w14:paraId="2ED47C8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1、可选择课程：课程不低于60课时（不少于30分钟/课时）可选择、不同课程不同训练内容：如全音符、全音符与全音休止符、四分音符、四分音符双跳、四分音符复合跳、二分音符、四分休止符等。</w:t>
            </w:r>
          </w:p>
          <w:p w14:paraId="4D87F3C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2、每个课时均可选择趣味模式、鼓谱模式</w:t>
            </w:r>
          </w:p>
          <w:p w14:paraId="4A87FEC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2.1、趣味模式以大战外星人游戏为主题、外星人和精灵已对战模式进行节奏、节拍的练习。</w:t>
            </w:r>
          </w:p>
          <w:p w14:paraId="13B386B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2.2、节奏速度0.6-3.0倍速可选、在节奏敲击过程中会显示：Perfect、Good、Miss等各多少次。</w:t>
            </w:r>
          </w:p>
          <w:p w14:paraId="6AAD6EC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2.3、谱曲进度在屏幕上已进度条形式体现，延迟进度：-2000至2000之间可选。</w:t>
            </w:r>
          </w:p>
          <w:p w14:paraId="20523E1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2.4、练习完成后可显示个人练习信息、成绩结算、系统排名等。</w:t>
            </w:r>
          </w:p>
          <w:p w14:paraId="09B91AC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2.5鼓谱模式：直接展现为谱曲内容、进度条指引练习进度、演奏完成后可显示课件演奏通过率、max bo co、Perfect、Good、Miss等信息</w:t>
            </w:r>
          </w:p>
          <w:p w14:paraId="6407715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PK课程：</w:t>
            </w:r>
          </w:p>
          <w:p w14:paraId="2840812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PK课程分为：手速王、节奏王、耐力王三个模块。</w:t>
            </w:r>
          </w:p>
          <w:p w14:paraId="5D0A7DC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 手速王：挑战时间可选为：30、60、90、120、150、180等，选择每个时间后可选择击打次数选择：击打次数300-2300次可选。</w:t>
            </w:r>
          </w:p>
          <w:p w14:paraId="351D854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1.1、开始后打击次数：已游戏射箭模式开始、可同步显示打击次数、时间进度等。</w:t>
            </w:r>
          </w:p>
          <w:p w14:paraId="02384CF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1.2、打击结束后可查看个人练习信息、打击次数、系统排名等。</w:t>
            </w:r>
          </w:p>
          <w:p w14:paraId="317BEE0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2、节奏王：分为初级、中级、高级三个级别、级别难度同步增加。</w:t>
            </w:r>
          </w:p>
          <w:p w14:paraId="260913A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2.1、点击开始后谱曲已进度滚动呈现、打击中的音符已绿色表示、未中音符为红色表示、打击中动画人物也同步动态刺稻草人。</w:t>
            </w:r>
          </w:p>
          <w:p w14:paraId="5DE347B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3、耐力王：分为80、100、120、140、180、200BPM耐力</w:t>
            </w:r>
          </w:p>
          <w:p w14:paraId="506FE4C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3.1选择不同耐力阶段可进入打击游戏、可根据节奏进行打击、完成后可显示得分、排名。</w:t>
            </w:r>
          </w:p>
        </w:tc>
        <w:tc>
          <w:tcPr>
            <w:tcW w:w="0" w:type="auto"/>
            <w:shd w:val="clear" w:color="auto" w:fill="auto"/>
            <w:vAlign w:val="center"/>
          </w:tcPr>
          <w:p w14:paraId="6FFF6F3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0" w:type="auto"/>
            <w:shd w:val="clear" w:color="auto" w:fill="auto"/>
            <w:vAlign w:val="center"/>
          </w:tcPr>
          <w:p w14:paraId="178D74B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681EE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25F5DC6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 </w:t>
            </w:r>
          </w:p>
        </w:tc>
        <w:tc>
          <w:tcPr>
            <w:tcW w:w="0" w:type="auto"/>
            <w:shd w:val="clear" w:color="auto" w:fill="auto"/>
            <w:vAlign w:val="center"/>
          </w:tcPr>
          <w:p w14:paraId="6BC8538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舞蹈教学资源</w:t>
            </w:r>
          </w:p>
        </w:tc>
        <w:tc>
          <w:tcPr>
            <w:tcW w:w="0" w:type="auto"/>
            <w:shd w:val="clear" w:color="auto" w:fill="auto"/>
            <w:vAlign w:val="center"/>
          </w:tcPr>
          <w:p w14:paraId="2984E5F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少儿舞蹈视频教程零基础基本功教材幼儿启蒙成品舞蹈示范教学课程；</w:t>
            </w:r>
          </w:p>
          <w:p w14:paraId="1724A30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民族舞视频教程藏族傣族舞朝鲜舞蒙古舞蹈教学成品舞跳舞入门课程；</w:t>
            </w:r>
          </w:p>
          <w:p w14:paraId="730FD10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街舞视频教程零基础入门自学舞蹈课程跳舞学习街舞基本功教学视频；</w:t>
            </w:r>
          </w:p>
          <w:p w14:paraId="0151DD1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爵士舞视频教程零基础入门自学成品舞课程韩舞现代舞跳舞教学视频；</w:t>
            </w:r>
          </w:p>
          <w:p w14:paraId="67A1FCD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古典舞视频教程零基础入门自学成品舞基本功身韵教学汉服舞蹈课程；</w:t>
            </w:r>
          </w:p>
          <w:p w14:paraId="07B99AE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肚皮舞视频教程零基础自学入门动作分解舞蹈教学肚皮舞跳舞课程；</w:t>
            </w:r>
          </w:p>
          <w:p w14:paraId="6249B08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拉丁舞视频教程成人零基础自学恰恰桑巴伦巴舞蹈课程拉丁舞教学；</w:t>
            </w:r>
          </w:p>
          <w:p w14:paraId="1A9338C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瑜伽视频教程初学者零基础入门自学瑜伽课程孕妇产后修复瑜伽教学；</w:t>
            </w:r>
          </w:p>
          <w:p w14:paraId="2B0B461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鬼步舞视频教程零基础入门鬼步舞蹈课程自学鬼步舞分解教学视频；</w:t>
            </w:r>
          </w:p>
          <w:p w14:paraId="6ECC1EF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中国舞基本功教程少儿技巧软开度北舞教材视频音乐教案；</w:t>
            </w:r>
          </w:p>
          <w:p w14:paraId="380BAB0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大学生中职舞蹈基础课件PPT配套教案word古典芭蕾民族民间舞蹈；</w:t>
            </w:r>
          </w:p>
          <w:p w14:paraId="7C5BAFE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学前教育专业幼儿舞蹈创编课程教学课件PPT；</w:t>
            </w:r>
          </w:p>
          <w:p w14:paraId="0D39BCC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舞蹈 PPT教学课件 ppt学习素材资料 高职电子版；</w:t>
            </w:r>
          </w:p>
          <w:p w14:paraId="2B5A915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舞蹈教案课件ppt芭蕾古典少数民族民间舞蹈教学大纲习题答案全套；</w:t>
            </w:r>
          </w:p>
          <w:p w14:paraId="4D4C28E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2023年爵士舞零基础教程基本功入门舞蹈培训视频教学韩舞跳舞课程；</w:t>
            </w:r>
          </w:p>
          <w:p w14:paraId="7169015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少数民族舞教程视频教学藏族傣族舞蹈朝鲜舞蒙古舞零基础入门课程；</w:t>
            </w:r>
          </w:p>
        </w:tc>
        <w:tc>
          <w:tcPr>
            <w:tcW w:w="0" w:type="auto"/>
            <w:shd w:val="clear" w:color="auto" w:fill="auto"/>
            <w:vAlign w:val="center"/>
          </w:tcPr>
          <w:p w14:paraId="0D8CAFC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shd w:val="clear" w:color="auto" w:fill="auto"/>
            <w:vAlign w:val="center"/>
          </w:tcPr>
          <w:p w14:paraId="3745098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2190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036103C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3 </w:t>
            </w:r>
          </w:p>
        </w:tc>
        <w:tc>
          <w:tcPr>
            <w:tcW w:w="0" w:type="auto"/>
            <w:shd w:val="clear" w:color="auto" w:fill="auto"/>
            <w:vAlign w:val="center"/>
          </w:tcPr>
          <w:p w14:paraId="2956963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把杆</w:t>
            </w:r>
          </w:p>
        </w:tc>
        <w:tc>
          <w:tcPr>
            <w:tcW w:w="0" w:type="auto"/>
            <w:shd w:val="clear" w:color="auto" w:fill="auto"/>
            <w:vAlign w:val="center"/>
          </w:tcPr>
          <w:p w14:paraId="3C25246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普通落地支架参数：支架采用钢管焊接而成，采用静电喷涂工艺，颜色珍珠白、高亮。活动升降內芯为优质电镀圆管，螺旋拉销式升降控制装备，升降高度可调节40cm。标准舞蹈把杆升降高度为80-120cm，幼儿园高度为：60-100cm</w:t>
            </w:r>
          </w:p>
        </w:tc>
        <w:tc>
          <w:tcPr>
            <w:tcW w:w="0" w:type="auto"/>
            <w:shd w:val="clear" w:color="auto" w:fill="auto"/>
            <w:vAlign w:val="center"/>
          </w:tcPr>
          <w:p w14:paraId="49AD4CE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米</w:t>
            </w:r>
          </w:p>
        </w:tc>
        <w:tc>
          <w:tcPr>
            <w:tcW w:w="0" w:type="auto"/>
            <w:shd w:val="clear" w:color="auto" w:fill="auto"/>
            <w:vAlign w:val="center"/>
          </w:tcPr>
          <w:p w14:paraId="2741477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15 </w:t>
            </w:r>
          </w:p>
        </w:tc>
      </w:tr>
      <w:tr w14:paraId="59584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736C165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4 </w:t>
            </w:r>
          </w:p>
        </w:tc>
        <w:tc>
          <w:tcPr>
            <w:tcW w:w="0" w:type="auto"/>
            <w:shd w:val="clear" w:color="auto" w:fill="auto"/>
            <w:vAlign w:val="center"/>
          </w:tcPr>
          <w:p w14:paraId="3E8A74A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12寸扁鼓（含架）</w:t>
            </w:r>
          </w:p>
        </w:tc>
        <w:tc>
          <w:tcPr>
            <w:tcW w:w="0" w:type="auto"/>
            <w:shd w:val="clear" w:color="auto" w:fill="auto"/>
            <w:vAlign w:val="center"/>
          </w:tcPr>
          <w:p w14:paraId="380C3D7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1、外观：鼓体着色均匀，无流挂现象；鼓锤表面打磨光滑，无疤疖；</w:t>
            </w:r>
          </w:p>
          <w:p w14:paraId="6B93D00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2、声音饱满，浑厚；延音≥2S；</w:t>
            </w:r>
          </w:p>
          <w:p w14:paraId="43EF95B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3、尺寸:鼓面直径445-455mm，鼓体高度220-230mm；鼓锤锤头直径12-15mm；鼓锤长度：220-230mm；</w:t>
            </w:r>
          </w:p>
          <w:p w14:paraId="334B938A">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4、装配：铁质万向轮鼓架；挂环安装牢固；鼓皮无褶皱，破损，张力适度；鼓钉色泽光亮，安装牢固，间隔均匀。</w:t>
            </w:r>
          </w:p>
        </w:tc>
        <w:tc>
          <w:tcPr>
            <w:tcW w:w="0" w:type="auto"/>
            <w:shd w:val="clear" w:color="auto" w:fill="auto"/>
            <w:vAlign w:val="center"/>
          </w:tcPr>
          <w:p w14:paraId="64AA646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2CA48D6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3 </w:t>
            </w:r>
          </w:p>
        </w:tc>
      </w:tr>
      <w:tr w14:paraId="438A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7F70034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5 </w:t>
            </w:r>
          </w:p>
        </w:tc>
        <w:tc>
          <w:tcPr>
            <w:tcW w:w="0" w:type="auto"/>
            <w:shd w:val="clear" w:color="auto" w:fill="auto"/>
            <w:vAlign w:val="center"/>
          </w:tcPr>
          <w:p w14:paraId="1892CDE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舞蹈垫收纳车</w:t>
            </w:r>
          </w:p>
        </w:tc>
        <w:tc>
          <w:tcPr>
            <w:tcW w:w="0" w:type="auto"/>
            <w:shd w:val="clear" w:color="auto" w:fill="auto"/>
            <w:vAlign w:val="center"/>
          </w:tcPr>
          <w:p w14:paraId="4830574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1.尺寸：W820*D400*H1050mm；</w:t>
            </w:r>
          </w:p>
          <w:p w14:paraId="3DA5D6A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2.材质：实木多层板，铝合金收纳杆；厚度25mm,基材采用优质实木多层板，面贴优质三聚氰安纸，ABS直封边制作，</w:t>
            </w:r>
          </w:p>
          <w:p w14:paraId="1B9E24D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3.功能：用于舞蹈垫的收纳，底部配置高品质万向轮，方便移动。</w:t>
            </w:r>
          </w:p>
        </w:tc>
        <w:tc>
          <w:tcPr>
            <w:tcW w:w="0" w:type="auto"/>
            <w:shd w:val="clear" w:color="auto" w:fill="auto"/>
            <w:vAlign w:val="center"/>
          </w:tcPr>
          <w:p w14:paraId="4F398AA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0" w:type="auto"/>
            <w:shd w:val="clear" w:color="auto" w:fill="auto"/>
            <w:vAlign w:val="center"/>
          </w:tcPr>
          <w:p w14:paraId="0E7F384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 </w:t>
            </w:r>
          </w:p>
        </w:tc>
      </w:tr>
      <w:tr w14:paraId="32EFC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5BEEBE4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6 </w:t>
            </w:r>
          </w:p>
        </w:tc>
        <w:tc>
          <w:tcPr>
            <w:tcW w:w="0" w:type="auto"/>
            <w:shd w:val="clear" w:color="auto" w:fill="auto"/>
            <w:vAlign w:val="center"/>
          </w:tcPr>
          <w:p w14:paraId="1E6935A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星形舞蹈垫</w:t>
            </w:r>
          </w:p>
        </w:tc>
        <w:tc>
          <w:tcPr>
            <w:tcW w:w="0" w:type="auto"/>
            <w:shd w:val="clear" w:color="auto" w:fill="auto"/>
            <w:vAlign w:val="center"/>
          </w:tcPr>
          <w:p w14:paraId="193F6AF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1.尺寸：Φ400*H80mm；</w:t>
            </w:r>
          </w:p>
          <w:p w14:paraId="425320F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2.材质：乙烯-醋酸乙烯共聚物；</w:t>
            </w:r>
          </w:p>
          <w:p w14:paraId="7A4EA3E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3.工艺：乙烯-醋酸乙烯共聚物加纳米新材料，经特殊发泡处理，耐磨高密度超强耐低温，中间圆孔设计，方便叠放收纳。</w:t>
            </w:r>
          </w:p>
        </w:tc>
        <w:tc>
          <w:tcPr>
            <w:tcW w:w="0" w:type="auto"/>
            <w:shd w:val="clear" w:color="auto" w:fill="auto"/>
            <w:vAlign w:val="center"/>
          </w:tcPr>
          <w:p w14:paraId="72571AF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767EBB0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10 </w:t>
            </w:r>
          </w:p>
        </w:tc>
      </w:tr>
      <w:tr w14:paraId="19DE7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0762249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7 </w:t>
            </w:r>
          </w:p>
        </w:tc>
        <w:tc>
          <w:tcPr>
            <w:tcW w:w="0" w:type="auto"/>
            <w:shd w:val="clear" w:color="auto" w:fill="auto"/>
            <w:vAlign w:val="center"/>
          </w:tcPr>
          <w:p w14:paraId="3D7322E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圆形舞蹈垫</w:t>
            </w:r>
          </w:p>
        </w:tc>
        <w:tc>
          <w:tcPr>
            <w:tcW w:w="0" w:type="auto"/>
            <w:shd w:val="clear" w:color="auto" w:fill="auto"/>
            <w:vAlign w:val="center"/>
          </w:tcPr>
          <w:p w14:paraId="67757C8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1.尺寸：Φ400*H80mm；</w:t>
            </w:r>
          </w:p>
          <w:p w14:paraId="583316B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2.材质：乙烯-醋酸乙烯共聚物；</w:t>
            </w:r>
          </w:p>
          <w:p w14:paraId="74D566E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3.工艺：乙烯-醋酸乙烯共聚物加纳米新材料，经特殊发泡处理，耐磨高密度超强耐低温，中间圆孔设计，方便叠放收纳。</w:t>
            </w:r>
          </w:p>
        </w:tc>
        <w:tc>
          <w:tcPr>
            <w:tcW w:w="0" w:type="auto"/>
            <w:shd w:val="clear" w:color="auto" w:fill="auto"/>
            <w:vAlign w:val="center"/>
          </w:tcPr>
          <w:p w14:paraId="7F9018D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513FD01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10 </w:t>
            </w:r>
          </w:p>
        </w:tc>
      </w:tr>
      <w:tr w14:paraId="7AD1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58EF9E8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8 </w:t>
            </w:r>
          </w:p>
        </w:tc>
        <w:tc>
          <w:tcPr>
            <w:tcW w:w="0" w:type="auto"/>
            <w:shd w:val="clear" w:color="auto" w:fill="auto"/>
            <w:vAlign w:val="center"/>
          </w:tcPr>
          <w:p w14:paraId="3DA17B0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五边形舞蹈垫</w:t>
            </w:r>
          </w:p>
        </w:tc>
        <w:tc>
          <w:tcPr>
            <w:tcW w:w="0" w:type="auto"/>
            <w:shd w:val="clear" w:color="auto" w:fill="auto"/>
            <w:vAlign w:val="center"/>
          </w:tcPr>
          <w:p w14:paraId="4DD06B6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1.尺寸：Φ400*H80mm；</w:t>
            </w:r>
          </w:p>
          <w:p w14:paraId="59D0B81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2.材质：乙烯-醋酸乙烯共聚物；</w:t>
            </w:r>
          </w:p>
          <w:p w14:paraId="05515C4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3.工艺：乙烯-醋酸乙烯共聚物加纳米新材料，经特殊发泡处理，耐磨高密度超强耐低温，中间圆孔设计，方便叠放收纳。</w:t>
            </w:r>
          </w:p>
        </w:tc>
        <w:tc>
          <w:tcPr>
            <w:tcW w:w="0" w:type="auto"/>
            <w:shd w:val="clear" w:color="auto" w:fill="auto"/>
            <w:vAlign w:val="center"/>
          </w:tcPr>
          <w:p w14:paraId="676E193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6B9B1BE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10 </w:t>
            </w:r>
          </w:p>
        </w:tc>
      </w:tr>
      <w:tr w14:paraId="70DF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751FBF9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9 </w:t>
            </w:r>
          </w:p>
        </w:tc>
        <w:tc>
          <w:tcPr>
            <w:tcW w:w="0" w:type="auto"/>
            <w:shd w:val="clear" w:color="auto" w:fill="auto"/>
            <w:vAlign w:val="center"/>
          </w:tcPr>
          <w:p w14:paraId="1C6A8D8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舞蹈凳</w:t>
            </w:r>
          </w:p>
        </w:tc>
        <w:tc>
          <w:tcPr>
            <w:tcW w:w="0" w:type="auto"/>
            <w:shd w:val="clear" w:color="auto" w:fill="auto"/>
            <w:vAlign w:val="center"/>
          </w:tcPr>
          <w:p w14:paraId="57FC8B2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简约现代所设计、超纤皮方形黑色、材质：超纤皮。35*35*60cm。</w:t>
            </w:r>
          </w:p>
        </w:tc>
        <w:tc>
          <w:tcPr>
            <w:tcW w:w="0" w:type="auto"/>
            <w:shd w:val="clear" w:color="auto" w:fill="auto"/>
            <w:vAlign w:val="center"/>
          </w:tcPr>
          <w:p w14:paraId="031E55E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55EC441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20 </w:t>
            </w:r>
          </w:p>
        </w:tc>
      </w:tr>
      <w:tr w14:paraId="1FC44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04745DA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10 </w:t>
            </w:r>
          </w:p>
        </w:tc>
        <w:tc>
          <w:tcPr>
            <w:tcW w:w="0" w:type="auto"/>
            <w:shd w:val="clear" w:color="auto" w:fill="auto"/>
            <w:vAlign w:val="center"/>
          </w:tcPr>
          <w:p w14:paraId="2D64636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舞蹈压腿凳</w:t>
            </w:r>
          </w:p>
        </w:tc>
        <w:tc>
          <w:tcPr>
            <w:tcW w:w="0" w:type="auto"/>
            <w:shd w:val="clear" w:color="auto" w:fill="auto"/>
            <w:vAlign w:val="center"/>
          </w:tcPr>
          <w:p w14:paraId="30B099C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练功凳，尺寸：24*30*200cm，松木实木整料，无拼接，中间海绵一层，表面采用皮革包裹。</w:t>
            </w:r>
          </w:p>
        </w:tc>
        <w:tc>
          <w:tcPr>
            <w:tcW w:w="0" w:type="auto"/>
            <w:shd w:val="clear" w:color="auto" w:fill="auto"/>
            <w:vAlign w:val="center"/>
          </w:tcPr>
          <w:p w14:paraId="17E59CA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40BE405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5 </w:t>
            </w:r>
          </w:p>
        </w:tc>
      </w:tr>
      <w:tr w14:paraId="7B645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7DBFBFE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11 </w:t>
            </w:r>
          </w:p>
        </w:tc>
        <w:tc>
          <w:tcPr>
            <w:tcW w:w="0" w:type="auto"/>
            <w:shd w:val="clear" w:color="auto" w:fill="auto"/>
            <w:vAlign w:val="center"/>
          </w:tcPr>
          <w:p w14:paraId="4736B55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舞蹈压腿砖</w:t>
            </w:r>
          </w:p>
        </w:tc>
        <w:tc>
          <w:tcPr>
            <w:tcW w:w="0" w:type="auto"/>
            <w:shd w:val="clear" w:color="auto" w:fill="auto"/>
            <w:vAlign w:val="center"/>
          </w:tcPr>
          <w:p w14:paraId="31D666D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环保材质，无害物质，防水性强，不易沾水，高密度海绵泡沫砖，尺寸：23*15*7cm。</w:t>
            </w:r>
          </w:p>
        </w:tc>
        <w:tc>
          <w:tcPr>
            <w:tcW w:w="0" w:type="auto"/>
            <w:shd w:val="clear" w:color="auto" w:fill="auto"/>
            <w:vAlign w:val="center"/>
          </w:tcPr>
          <w:p w14:paraId="4023824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2E47CBD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50 </w:t>
            </w:r>
          </w:p>
        </w:tc>
      </w:tr>
      <w:tr w14:paraId="5B7D3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499F31F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12 </w:t>
            </w:r>
          </w:p>
        </w:tc>
        <w:tc>
          <w:tcPr>
            <w:tcW w:w="0" w:type="auto"/>
            <w:shd w:val="clear" w:color="auto" w:fill="auto"/>
            <w:vAlign w:val="center"/>
          </w:tcPr>
          <w:p w14:paraId="3E31384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舞蹈垫</w:t>
            </w:r>
          </w:p>
        </w:tc>
        <w:tc>
          <w:tcPr>
            <w:tcW w:w="0" w:type="auto"/>
            <w:shd w:val="clear" w:color="auto" w:fill="auto"/>
            <w:vAlign w:val="center"/>
          </w:tcPr>
          <w:p w14:paraId="5960B1C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尺寸：180*80cm，高密度NBR材质，厚度：1cm。</w:t>
            </w:r>
          </w:p>
        </w:tc>
        <w:tc>
          <w:tcPr>
            <w:tcW w:w="0" w:type="auto"/>
            <w:shd w:val="clear" w:color="auto" w:fill="auto"/>
            <w:vAlign w:val="center"/>
          </w:tcPr>
          <w:p w14:paraId="09B48CC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面</w:t>
            </w:r>
          </w:p>
        </w:tc>
        <w:tc>
          <w:tcPr>
            <w:tcW w:w="0" w:type="auto"/>
            <w:shd w:val="clear" w:color="auto" w:fill="auto"/>
            <w:vAlign w:val="center"/>
          </w:tcPr>
          <w:p w14:paraId="748E6DB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20 </w:t>
            </w:r>
          </w:p>
        </w:tc>
      </w:tr>
      <w:tr w14:paraId="735E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0ACAF5A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13 </w:t>
            </w:r>
          </w:p>
        </w:tc>
        <w:tc>
          <w:tcPr>
            <w:tcW w:w="0" w:type="auto"/>
            <w:shd w:val="clear" w:color="auto" w:fill="auto"/>
            <w:vAlign w:val="center"/>
          </w:tcPr>
          <w:p w14:paraId="1DA81A4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舞蹈垫收纳车</w:t>
            </w:r>
          </w:p>
        </w:tc>
        <w:tc>
          <w:tcPr>
            <w:tcW w:w="0" w:type="auto"/>
            <w:shd w:val="clear" w:color="auto" w:fill="auto"/>
            <w:vAlign w:val="center"/>
          </w:tcPr>
          <w:p w14:paraId="1308625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四层，尺寸约100*85*110cm，2cm方管，金属烤漆工艺，万向轮设计移动方便</w:t>
            </w:r>
          </w:p>
        </w:tc>
        <w:tc>
          <w:tcPr>
            <w:tcW w:w="0" w:type="auto"/>
            <w:shd w:val="clear" w:color="auto" w:fill="auto"/>
            <w:vAlign w:val="center"/>
          </w:tcPr>
          <w:p w14:paraId="5B1936F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5B59D20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6424B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5B5B027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14 </w:t>
            </w:r>
          </w:p>
        </w:tc>
        <w:tc>
          <w:tcPr>
            <w:tcW w:w="0" w:type="auto"/>
            <w:shd w:val="clear" w:color="auto" w:fill="auto"/>
            <w:vAlign w:val="center"/>
          </w:tcPr>
          <w:p w14:paraId="22CF9D6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舞蹈练功球</w:t>
            </w:r>
          </w:p>
        </w:tc>
        <w:tc>
          <w:tcPr>
            <w:tcW w:w="0" w:type="auto"/>
            <w:shd w:val="clear" w:color="auto" w:fill="auto"/>
            <w:vAlign w:val="center"/>
          </w:tcPr>
          <w:p w14:paraId="325283F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直径：55cm，加厚防爆，</w:t>
            </w:r>
          </w:p>
        </w:tc>
        <w:tc>
          <w:tcPr>
            <w:tcW w:w="0" w:type="auto"/>
            <w:shd w:val="clear" w:color="auto" w:fill="auto"/>
            <w:vAlign w:val="center"/>
          </w:tcPr>
          <w:p w14:paraId="33BD8BA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1FCA3DE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10 </w:t>
            </w:r>
          </w:p>
        </w:tc>
      </w:tr>
      <w:tr w14:paraId="53A0B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6A19999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15 </w:t>
            </w:r>
          </w:p>
        </w:tc>
        <w:tc>
          <w:tcPr>
            <w:tcW w:w="0" w:type="auto"/>
            <w:shd w:val="clear" w:color="auto" w:fill="auto"/>
            <w:vAlign w:val="center"/>
          </w:tcPr>
          <w:p w14:paraId="5E71B73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舞蹈拉力带</w:t>
            </w:r>
          </w:p>
        </w:tc>
        <w:tc>
          <w:tcPr>
            <w:tcW w:w="0" w:type="auto"/>
            <w:shd w:val="clear" w:color="auto" w:fill="auto"/>
            <w:vAlign w:val="center"/>
          </w:tcPr>
          <w:p w14:paraId="01F73BF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TP面料，拉丁弹力带，尺寸：90*5cm。</w:t>
            </w:r>
          </w:p>
        </w:tc>
        <w:tc>
          <w:tcPr>
            <w:tcW w:w="0" w:type="auto"/>
            <w:shd w:val="clear" w:color="auto" w:fill="auto"/>
            <w:vAlign w:val="center"/>
          </w:tcPr>
          <w:p w14:paraId="46A9DC2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根</w:t>
            </w:r>
          </w:p>
        </w:tc>
        <w:tc>
          <w:tcPr>
            <w:tcW w:w="0" w:type="auto"/>
            <w:shd w:val="clear" w:color="auto" w:fill="auto"/>
            <w:vAlign w:val="center"/>
          </w:tcPr>
          <w:p w14:paraId="5C71A5D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50 </w:t>
            </w:r>
          </w:p>
        </w:tc>
      </w:tr>
      <w:tr w14:paraId="380BF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7421AA3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16 </w:t>
            </w:r>
          </w:p>
        </w:tc>
        <w:tc>
          <w:tcPr>
            <w:tcW w:w="0" w:type="auto"/>
            <w:shd w:val="clear" w:color="auto" w:fill="auto"/>
            <w:vAlign w:val="center"/>
          </w:tcPr>
          <w:p w14:paraId="71E9892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功率放大器</w:t>
            </w:r>
          </w:p>
        </w:tc>
        <w:tc>
          <w:tcPr>
            <w:tcW w:w="0" w:type="auto"/>
            <w:shd w:val="clear" w:color="auto" w:fill="auto"/>
            <w:vAlign w:val="center"/>
          </w:tcPr>
          <w:p w14:paraId="644FF2C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一款多功能合并式功率放大器，采用全分离器件、全频带双通道的高保真功率放大系统。</w:t>
            </w:r>
          </w:p>
          <w:p w14:paraId="7EDC76D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本机可接4路话筒输入（其中包含2路有线话筒输入，1路无线话筒输入，1路USB型2.4G无线话筒输入。），3组线路输入，1路定压广播信号输入（可节省一对广播音箱）。</w:t>
            </w:r>
          </w:p>
          <w:p w14:paraId="69400F8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本机具有一组线路输出，一组录音输出（输出音量独立可调），A+B组功率输出。</w:t>
            </w:r>
          </w:p>
          <w:p w14:paraId="51B01C9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本机话筒、线路的音量可独立调节，且话筒具有高低音2段均衡，具有环保麦克风插口自带+48V幻像电源。</w:t>
            </w:r>
          </w:p>
          <w:p w14:paraId="3195EE3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该机还带有RS232接口，可实现电脑联机或中控控制，带有定压广播信号优先播放功能。本机具有高保真、高清晰、性能稳定可靠等特点，且带有过流、过载、超温、直流保护等功能，可广泛应用于学校、音乐教室、厅堂、中小型会议室等语音扩声场合。 </w:t>
            </w:r>
          </w:p>
          <w:p w14:paraId="3BBE7ED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 额定功率 ： 2×110W/8Ω 2×165W/4Ω</w:t>
            </w:r>
          </w:p>
          <w:p w14:paraId="56BCD78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1.输出功率 ：2×220W</w:t>
            </w:r>
          </w:p>
          <w:p w14:paraId="381E7C5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2.峰值功率 ：2×300W</w:t>
            </w:r>
          </w:p>
          <w:p w14:paraId="3B1CAD8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3.频率响应 ：20Hz-20KHz ±1dB</w:t>
            </w:r>
          </w:p>
          <w:p w14:paraId="78DB51D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4.输入灵敏度 ：话筒 15mv±2mv 线路300mv±30mv</w:t>
            </w:r>
          </w:p>
          <w:p w14:paraId="23770A9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5.失真度 ：≤0.5%</w:t>
            </w:r>
          </w:p>
          <w:p w14:paraId="17FC81B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6.话筒高低音 ：提衰10dB±2dB</w:t>
            </w:r>
          </w:p>
          <w:p w14:paraId="582AD87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7.幻像电源 ：+48V</w:t>
            </w:r>
          </w:p>
          <w:p w14:paraId="291C3F1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8.额定电源电压 ：交流220V/50Hz</w:t>
            </w:r>
          </w:p>
          <w:p w14:paraId="2C8941A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9.中控接口 ：RS232</w:t>
            </w:r>
          </w:p>
          <w:p w14:paraId="17B79BB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10.整机尺寸 ：≥480×380×100（mm）</w:t>
            </w:r>
          </w:p>
          <w:p w14:paraId="790D0CE3">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11.最大功率消耗 ：500W</w:t>
            </w:r>
          </w:p>
        </w:tc>
        <w:tc>
          <w:tcPr>
            <w:tcW w:w="0" w:type="auto"/>
            <w:shd w:val="clear" w:color="auto" w:fill="auto"/>
            <w:vAlign w:val="center"/>
          </w:tcPr>
          <w:p w14:paraId="7DCD44F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0" w:type="auto"/>
            <w:shd w:val="clear" w:color="auto" w:fill="auto"/>
            <w:vAlign w:val="center"/>
          </w:tcPr>
          <w:p w14:paraId="16086A0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4506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256C976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17 </w:t>
            </w:r>
          </w:p>
        </w:tc>
        <w:tc>
          <w:tcPr>
            <w:tcW w:w="0" w:type="auto"/>
            <w:shd w:val="clear" w:color="auto" w:fill="auto"/>
            <w:vAlign w:val="center"/>
          </w:tcPr>
          <w:p w14:paraId="79C5994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无线话筒</w:t>
            </w:r>
          </w:p>
        </w:tc>
        <w:tc>
          <w:tcPr>
            <w:tcW w:w="0" w:type="auto"/>
            <w:shd w:val="clear" w:color="auto" w:fill="auto"/>
            <w:vAlign w:val="center"/>
          </w:tcPr>
          <w:p w14:paraId="5C8B1AE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1、国际标准机箱，便于安装；</w:t>
            </w:r>
          </w:p>
          <w:p w14:paraId="2D91DE5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2、220V电源直接供电，无需电源适配器，消除适配器损坏的影响；</w:t>
            </w:r>
          </w:p>
          <w:p w14:paraId="6F5BD48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3.电源可级联，多套叠机，只需一路电源输入；</w:t>
            </w:r>
          </w:p>
          <w:p w14:paraId="47C41BF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4、群组功能：机内已预置经计算无互调干扰的多组频点，根据叠机数量的多少和当前环节直接选用对应的群组即可；</w:t>
            </w:r>
          </w:p>
          <w:p w14:paraId="7AD962A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5.SCAN功能，一键扫描无干扰频点，无需繁琐的调节；</w:t>
            </w:r>
          </w:p>
          <w:p w14:paraId="2B5D394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6、天线分集式接收及数字导音，杂音锁定双重静音控制技术，接收稳定无杂音；同时，导音可根据需要关闭或打开；</w:t>
            </w:r>
          </w:p>
          <w:p w14:paraId="69D6390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7、面板同步显示RF、AF、群组、频率、电池电量、静噪前度等；</w:t>
            </w:r>
          </w:p>
          <w:p w14:paraId="78B4A4D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8、单键飞梭功能，调节快速方便；</w:t>
            </w:r>
          </w:p>
          <w:p w14:paraId="51251AD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9、静噪强度0~25dB分6级可调；</w:t>
            </w:r>
          </w:p>
          <w:p w14:paraId="2D66FEF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10、天线可级联，多套叠机时可不再使用天线分配器；</w:t>
            </w:r>
          </w:p>
          <w:p w14:paraId="16DFBDD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11、既支持各路单独输出，也支持混合输出；</w:t>
            </w:r>
          </w:p>
          <w:p w14:paraId="7EA7E9A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12、MIC/LINE输出切换，适应性更强；</w:t>
            </w:r>
          </w:p>
          <w:p w14:paraId="3A3986E4">
            <w:pPr>
              <w:pStyle w:val="18"/>
              <w:rPr>
                <w:rFonts w:hint="eastAsia"/>
                <w:highlight w:val="none"/>
                <w:lang w:val="en-US" w:eastAsia="zh-CN"/>
              </w:rPr>
            </w:pPr>
          </w:p>
          <w:p w14:paraId="764879C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参数说明：</w:t>
            </w:r>
          </w:p>
          <w:p w14:paraId="38EDA4C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1、频率范围：640.000-690.000MHZ</w:t>
            </w:r>
          </w:p>
          <w:p w14:paraId="0EDDC36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2、接收方式：天线分集</w:t>
            </w:r>
          </w:p>
          <w:p w14:paraId="667D845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3、S/N比：&gt;100dB(A)</w:t>
            </w:r>
          </w:p>
          <w:p w14:paraId="70ED5A8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4、频响：80Hz-15kHz</w:t>
            </w:r>
          </w:p>
          <w:p w14:paraId="1CCBD01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5、静音控制：0~25dB 6级可调；</w:t>
            </w:r>
          </w:p>
          <w:p w14:paraId="669117F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6、天线：50Ω，TNC接头</w:t>
            </w:r>
          </w:p>
          <w:p w14:paraId="477A64D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7、电源：220V</w:t>
            </w:r>
          </w:p>
        </w:tc>
        <w:tc>
          <w:tcPr>
            <w:tcW w:w="0" w:type="auto"/>
            <w:shd w:val="clear" w:color="auto" w:fill="auto"/>
            <w:vAlign w:val="center"/>
          </w:tcPr>
          <w:p w14:paraId="06DD9DF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shd w:val="clear" w:color="auto" w:fill="auto"/>
            <w:vAlign w:val="center"/>
          </w:tcPr>
          <w:p w14:paraId="7748590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5D64F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500EFA1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18 </w:t>
            </w:r>
          </w:p>
        </w:tc>
        <w:tc>
          <w:tcPr>
            <w:tcW w:w="0" w:type="auto"/>
            <w:shd w:val="clear" w:color="auto" w:fill="auto"/>
            <w:vAlign w:val="center"/>
          </w:tcPr>
          <w:p w14:paraId="60988C0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音箱</w:t>
            </w:r>
          </w:p>
        </w:tc>
        <w:tc>
          <w:tcPr>
            <w:tcW w:w="0" w:type="auto"/>
            <w:shd w:val="clear" w:color="auto" w:fill="auto"/>
            <w:vAlign w:val="center"/>
          </w:tcPr>
          <w:p w14:paraId="71F8BA6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教学音箱配有专业吊挂支架，方便音箱多角度旋转。操作简易快捷、安全可靠；主要用于全音域扩声、语言扩声、会议系统等。</w:t>
            </w:r>
          </w:p>
          <w:p w14:paraId="6A03C2B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箱体表面 采用环保水性漆，防滑、耐磨 。采用钢质防护网，内衬专业声学透声网。箱体采用12mm优质中密度纤维板，强度高、密度大，可以有效的减少箱体谐振。</w:t>
            </w:r>
          </w:p>
          <w:p w14:paraId="0E25DA2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6.5英寸轻量化大功率、长冲程Ferrite低音驱动单元和1英寸丝膜高音单元；120°×120°覆盖角设计，具有均匀且平滑的轴向和偏轴向的响应，使声音的音场更为开阔、结像清晰。精确设计的分频器优化了频率响应，提升了中频人声表现力，且具有高频保护电路。</w:t>
            </w:r>
          </w:p>
          <w:p w14:paraId="041F764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技术参数</w:t>
            </w:r>
          </w:p>
          <w:p w14:paraId="3631A18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1、额定/峰值功率：   80W /320 W  </w:t>
            </w:r>
          </w:p>
          <w:p w14:paraId="698978B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2、额定阻抗：      8Ω</w:t>
            </w:r>
          </w:p>
          <w:p w14:paraId="762208F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3、特性灵敏度：     91dB/W/m</w:t>
            </w:r>
          </w:p>
          <w:p w14:paraId="5F7ABD0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4、输出声压级：     110dB/W/m(Continues)；116 dB/W/m(Peak)</w:t>
            </w:r>
          </w:p>
          <w:p w14:paraId="3748958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5、额定频率范围:     65 ~ 20000Hz</w:t>
            </w:r>
          </w:p>
          <w:p w14:paraId="7C23D04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6、覆盖角度H×V：    120º×120º</w:t>
            </w:r>
          </w:p>
          <w:p w14:paraId="4246028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7、扬声器单元：    LF:6.5 英寸   HF: 1英寸丝膜高音</w:t>
            </w:r>
          </w:p>
          <w:p w14:paraId="501D771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8、箱体材料：      12mm中密度纤维板</w:t>
            </w:r>
          </w:p>
          <w:p w14:paraId="7856737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9、输入接口：      压缩式接插座  </w:t>
            </w:r>
          </w:p>
          <w:p w14:paraId="1BE72EA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10、吊挂点：       多点M8 螺丝吊装孔位</w:t>
            </w:r>
          </w:p>
          <w:p w14:paraId="0533A15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11、箱体尺寸(mm)：    约390(H)×230 (W)×200(D)</w:t>
            </w:r>
          </w:p>
        </w:tc>
        <w:tc>
          <w:tcPr>
            <w:tcW w:w="0" w:type="auto"/>
            <w:shd w:val="clear" w:color="auto" w:fill="auto"/>
            <w:vAlign w:val="center"/>
          </w:tcPr>
          <w:p w14:paraId="275F4AC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对</w:t>
            </w:r>
          </w:p>
        </w:tc>
        <w:tc>
          <w:tcPr>
            <w:tcW w:w="0" w:type="auto"/>
            <w:shd w:val="clear" w:color="auto" w:fill="auto"/>
            <w:vAlign w:val="center"/>
          </w:tcPr>
          <w:p w14:paraId="1B27788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634C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3B71B60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19 </w:t>
            </w:r>
          </w:p>
        </w:tc>
        <w:tc>
          <w:tcPr>
            <w:tcW w:w="0" w:type="auto"/>
            <w:shd w:val="clear" w:color="auto" w:fill="auto"/>
            <w:vAlign w:val="center"/>
          </w:tcPr>
          <w:p w14:paraId="7044704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机柜</w:t>
            </w:r>
          </w:p>
        </w:tc>
        <w:tc>
          <w:tcPr>
            <w:tcW w:w="0" w:type="auto"/>
            <w:shd w:val="clear" w:color="auto" w:fill="auto"/>
            <w:vAlign w:val="center"/>
          </w:tcPr>
          <w:p w14:paraId="379C567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1、材料采用优质冷轧钢板，表面处理采用脱脂、酸洗、磷化、静电喷塑；</w:t>
            </w:r>
          </w:p>
          <w:p w14:paraId="5C45CC8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2、柜尺寸约1000mm，颜色黑色。</w:t>
            </w:r>
          </w:p>
        </w:tc>
        <w:tc>
          <w:tcPr>
            <w:tcW w:w="0" w:type="auto"/>
            <w:shd w:val="clear" w:color="auto" w:fill="auto"/>
            <w:vAlign w:val="center"/>
          </w:tcPr>
          <w:p w14:paraId="2FBA5D0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shd w:val="clear" w:color="auto" w:fill="auto"/>
            <w:vAlign w:val="center"/>
          </w:tcPr>
          <w:p w14:paraId="637CAD3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33F9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shd w:val="clear" w:color="auto" w:fill="auto"/>
            <w:vAlign w:val="center"/>
          </w:tcPr>
          <w:p w14:paraId="4AA9475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20 </w:t>
            </w:r>
          </w:p>
        </w:tc>
        <w:tc>
          <w:tcPr>
            <w:tcW w:w="0" w:type="auto"/>
            <w:shd w:val="clear" w:color="auto" w:fill="auto"/>
            <w:vAlign w:val="center"/>
          </w:tcPr>
          <w:p w14:paraId="3AE283A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一体化点歌机</w:t>
            </w:r>
          </w:p>
        </w:tc>
        <w:tc>
          <w:tcPr>
            <w:tcW w:w="0" w:type="auto"/>
            <w:shd w:val="clear" w:color="auto" w:fill="auto"/>
            <w:vAlign w:val="center"/>
          </w:tcPr>
          <w:p w14:paraId="32ABA9F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1、滑屏、手写、触摸屏操作功能，三维视觉效果操作画面</w:t>
            </w:r>
          </w:p>
          <w:p w14:paraId="7D7D863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2、完美歌库全部歌曲均为真人原唱画面，原声/伴唱切换</w:t>
            </w:r>
          </w:p>
          <w:p w14:paraId="36C1922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3、幻影功能显示器和电视同时播放。</w:t>
            </w:r>
          </w:p>
          <w:p w14:paraId="06C7EC3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4、效果功能在播放所点歌曲同时能叠加播放掌声、鲜花、喝彩、倒彩、爱心、口哨等效果声音，为K歌增加气氛</w:t>
            </w:r>
          </w:p>
          <w:p w14:paraId="43848E3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5、防震技术超强稳定性，免调试，免维护，象家电一样即开即用。</w:t>
            </w:r>
          </w:p>
          <w:p w14:paraId="7B5684F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6、支持格式全面支持VCD，DVD，AVI,.DAT,.MPG,MP3,JEPG,BMP等格式，适用范围广泛，方便实用</w:t>
            </w:r>
          </w:p>
          <w:p w14:paraId="78BAA4A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7、Ｕ盘加歌可自行U盘随意添加歌曲，也可从客服处定制批量加歌、随心所欲更新歌库。</w:t>
            </w:r>
          </w:p>
          <w:p w14:paraId="127C2CB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8、点歌方式无需翻阅点歌本，可按字数、拼音、手写、语种、歌星、类别或歌曲编号进行点歌</w:t>
            </w:r>
          </w:p>
          <w:p w14:paraId="2066CD2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9、支持控制支持遥控器，鼠标，键盘控制</w:t>
            </w:r>
          </w:p>
          <w:p w14:paraId="4C470D1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10、双屏显示可同时连接电脑显示器和电视。体贴方便。</w:t>
            </w:r>
          </w:p>
          <w:p w14:paraId="2D7900B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11、2TB容量，1.5万首DVD清晰度MV  </w:t>
            </w:r>
          </w:p>
        </w:tc>
        <w:tc>
          <w:tcPr>
            <w:tcW w:w="0" w:type="auto"/>
            <w:shd w:val="clear" w:color="auto" w:fill="auto"/>
            <w:vAlign w:val="center"/>
          </w:tcPr>
          <w:p w14:paraId="037F05A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0" w:type="auto"/>
            <w:shd w:val="clear" w:color="auto" w:fill="auto"/>
            <w:vAlign w:val="center"/>
          </w:tcPr>
          <w:p w14:paraId="19BE0DF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7228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2901BB8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24 </w:t>
            </w:r>
          </w:p>
        </w:tc>
        <w:tc>
          <w:tcPr>
            <w:tcW w:w="0" w:type="auto"/>
            <w:shd w:val="clear" w:color="auto" w:fill="auto"/>
            <w:noWrap/>
            <w:vAlign w:val="center"/>
          </w:tcPr>
          <w:p w14:paraId="3E8AD54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落地镜</w:t>
            </w:r>
          </w:p>
        </w:tc>
        <w:tc>
          <w:tcPr>
            <w:tcW w:w="0" w:type="auto"/>
            <w:shd w:val="clear" w:color="auto" w:fill="auto"/>
            <w:vAlign w:val="center"/>
          </w:tcPr>
          <w:p w14:paraId="5A2B0E9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镜面厚度不低于5mm。优质防水镜面含边框。</w:t>
            </w:r>
          </w:p>
        </w:tc>
        <w:tc>
          <w:tcPr>
            <w:tcW w:w="0" w:type="auto"/>
            <w:shd w:val="clear" w:color="auto" w:fill="auto"/>
            <w:noWrap/>
            <w:vAlign w:val="center"/>
          </w:tcPr>
          <w:p w14:paraId="144ED19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平米</w:t>
            </w:r>
          </w:p>
        </w:tc>
        <w:tc>
          <w:tcPr>
            <w:tcW w:w="0" w:type="auto"/>
            <w:shd w:val="clear" w:color="auto" w:fill="auto"/>
            <w:vAlign w:val="center"/>
          </w:tcPr>
          <w:p w14:paraId="5E2CDF2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30 </w:t>
            </w:r>
          </w:p>
        </w:tc>
      </w:tr>
      <w:tr w14:paraId="52A4E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trPr>
        <w:tc>
          <w:tcPr>
            <w:tcW w:w="0" w:type="auto"/>
            <w:shd w:val="clear" w:color="auto" w:fill="auto"/>
            <w:vAlign w:val="center"/>
          </w:tcPr>
          <w:p w14:paraId="135FBA1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25 </w:t>
            </w:r>
          </w:p>
        </w:tc>
        <w:tc>
          <w:tcPr>
            <w:tcW w:w="0" w:type="auto"/>
            <w:shd w:val="clear" w:color="auto" w:fill="auto"/>
            <w:noWrap/>
            <w:vAlign w:val="center"/>
          </w:tcPr>
          <w:p w14:paraId="32E30FC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装饰装修</w:t>
            </w:r>
          </w:p>
        </w:tc>
        <w:tc>
          <w:tcPr>
            <w:tcW w:w="0" w:type="auto"/>
            <w:shd w:val="clear" w:color="auto" w:fill="auto"/>
            <w:vAlign w:val="center"/>
          </w:tcPr>
          <w:p w14:paraId="7A7575F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定制</w:t>
            </w:r>
          </w:p>
        </w:tc>
        <w:tc>
          <w:tcPr>
            <w:tcW w:w="0" w:type="auto"/>
            <w:shd w:val="clear" w:color="auto" w:fill="auto"/>
            <w:noWrap/>
            <w:vAlign w:val="center"/>
          </w:tcPr>
          <w:p w14:paraId="6147038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w:t>
            </w:r>
          </w:p>
        </w:tc>
        <w:tc>
          <w:tcPr>
            <w:tcW w:w="0" w:type="auto"/>
            <w:shd w:val="clear" w:color="auto" w:fill="auto"/>
            <w:vAlign w:val="center"/>
          </w:tcPr>
          <w:p w14:paraId="731BA42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r>
      <w:tr w14:paraId="7B5DB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auto"/>
            <w:gridSpan w:val="5"/>
            <w:shd w:val="clear" w:color="auto" w:fill="auto"/>
            <w:vAlign w:val="center"/>
          </w:tcPr>
          <w:p w14:paraId="1DBF2DAC">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智慧书法教室</w:t>
            </w:r>
          </w:p>
        </w:tc>
      </w:tr>
      <w:tr w14:paraId="779BE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nil"/>
              <w:left w:val="single" w:color="000000" w:sz="4" w:space="0"/>
              <w:bottom w:val="single" w:color="000000" w:sz="4" w:space="0"/>
              <w:right w:val="single" w:color="000000" w:sz="4" w:space="0"/>
            </w:tcBorders>
            <w:shd w:val="clear" w:color="auto" w:fill="auto"/>
            <w:vAlign w:val="center"/>
          </w:tcPr>
          <w:p w14:paraId="638DE75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0" w:type="auto"/>
            <w:tcBorders>
              <w:top w:val="nil"/>
              <w:left w:val="single" w:color="000000" w:sz="4" w:space="0"/>
              <w:bottom w:val="single" w:color="000000" w:sz="4" w:space="0"/>
              <w:right w:val="single" w:color="000000" w:sz="4" w:space="0"/>
            </w:tcBorders>
            <w:shd w:val="clear" w:color="auto" w:fill="auto"/>
            <w:vAlign w:val="center"/>
          </w:tcPr>
          <w:p w14:paraId="278E811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教师书画条案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A1821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1.规格：200cm×80cm×75cm；</w:t>
            </w:r>
          </w:p>
          <w:p w14:paraId="6160674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2.古典书桌设计，烤漆处理；</w:t>
            </w:r>
          </w:p>
          <w:p w14:paraId="4007B8B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3.全部卯榫结构；</w:t>
            </w:r>
          </w:p>
          <w:p w14:paraId="1F8549A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4.支持将本方案中的中控、教师手绘屏、直播系统集成在中控条案中；</w:t>
            </w:r>
          </w:p>
          <w:p w14:paraId="302675C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5.砚台：≥20cm×13cm×2.5cm，材质：螺纹石；</w:t>
            </w:r>
          </w:p>
          <w:p w14:paraId="2035EE9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6.毛笔笔架：≥36cm×34cm×10cm，材质: 鸡翅木；</w:t>
            </w:r>
          </w:p>
          <w:p w14:paraId="2F429D9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7.笔洗：≥7.5cm×20cm，材质：优质陶瓷；</w:t>
            </w:r>
          </w:p>
          <w:p w14:paraId="4E29242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8.砚台水滴：陶瓷；</w:t>
            </w:r>
          </w:p>
          <w:p w14:paraId="1379739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9.镇尺：加重型黑梓木；</w:t>
            </w:r>
          </w:p>
          <w:p w14:paraId="055B647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10.笔搁：卧式笔架，材质：实木；</w:t>
            </w:r>
          </w:p>
          <w:p w14:paraId="32F1D97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11.毛毡：≥1×2米，可以水洗反复使用；</w:t>
            </w:r>
          </w:p>
          <w:p w14:paraId="04D716A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12.笔筒：≥12.5cm×9.5cm，材质: 黑檀；</w:t>
            </w:r>
          </w:p>
          <w:p w14:paraId="1834AE0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13.毛笔套装：笔头材质为纯狼毫；笔杆材质：天然黑湘妃；大号毛笔尺寸：出锋≥3.8cm、口径≥1.1cm、全长≥26.5cm；中号毛笔：出锋≥3.3cm、口径≥0.9cm、全长≥26.0cm；小号毛笔：出锋≥2.8cm，口径≥0.8cm，全长≥25.5cm；</w:t>
            </w:r>
          </w:p>
          <w:p w14:paraId="20E5CC4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14.配套实木方凳1个。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61A47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E8EC9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797B9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DF81A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55739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书画教学展示台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74B66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1.★拍摄架：≥10千克，全金属构架,摄像机竖立的主支架杆须立于拍摄架底座板的左上角；（需第三方检测机构出具的测试报告体现此条功能）</w:t>
            </w:r>
          </w:p>
          <w:p w14:paraId="13578CC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2.支持清晰拍摄软硬笔的书写；</w:t>
            </w:r>
          </w:p>
          <w:p w14:paraId="08645E9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3.配置3台摄像机从不同角度拍摄；</w:t>
            </w:r>
          </w:p>
          <w:p w14:paraId="2B8FC9D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4.摄像机3台。</w:t>
            </w:r>
          </w:p>
          <w:p w14:paraId="35BF192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（1）拍摄面积：大于A3幅面（距离镜头≥45cm处）；长宽高：≤120 mm×70 mm×70 mm，直播画面分辨率：1920×1080，自动亮度调节；支持自动对焦功能。</w:t>
            </w:r>
          </w:p>
          <w:p w14:paraId="5BFBA00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（2）总像素：不小于500万；帧数：≥30FPS，实时输出画面高速流畅，移动展示物体无明显拖尾、模糊、延迟等现象；</w:t>
            </w:r>
          </w:p>
          <w:p w14:paraId="42F1A14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 输出接口：RJ45；</w:t>
            </w:r>
          </w:p>
          <w:p w14:paraId="277613C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（4） 电源：DC12V； </w:t>
            </w:r>
          </w:p>
          <w:p w14:paraId="63C857F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5.支持保存镜头位置，支持6个档位设置，需要时可一键调出，自动恢复到相应位置；</w:t>
            </w:r>
          </w:p>
          <w:p w14:paraId="6BCBBBC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6.支持场景式网络课堂教学系统直接调取3台摄像机使用；</w:t>
            </w:r>
          </w:p>
          <w:p w14:paraId="45CE9D4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7.★支持正面摄像机、侧面摄像机拍摄长宽均不大于3毫米的字（可清晰辨识文字内容），拍摄高度不低于65厘米；（需第三方检测机构出具的测试报告体现此条功能）</w:t>
            </w:r>
          </w:p>
          <w:p w14:paraId="47491A7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8.摄像机机壳为全封闭结构，镜头必须封闭在摄像机机壳内部，防止落尘或者不慎操作损坏镜头；</w:t>
            </w:r>
          </w:p>
          <w:p w14:paraId="4B7187F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9.软件界面可调整缩放倍数，并立即展示缩放后的效果。缩放后可全自动对焦清晰显示或通过软件界面手动对焦清晰显示。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15E05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28BC9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62C5A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FCC21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1629E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书法教学直播系统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B4540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1．系统支持连接书画教学展示台的三台摄像机同时拍摄直播、录像，其中两台摄像机进行同时拍摄录课，另一台摄像机录制授课特写画面；</w:t>
            </w:r>
          </w:p>
          <w:p w14:paraId="0E1E5A9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软件界面同时显示正面、侧面、特写三个画面，并在画面上进行标识，画面上标识正面、侧面、特写。支持单镜头画面、双镜头画面、三镜头画面、画中画四种录播模式功能，四种显示模式都直接双击切换。支持三台摄像机的视频语音录制功能；支持三个画面同步回放功能；支持播放文件时间显示数字走表功能；支持在软件内直接修改视频、图片文件名，支持拍摄的视频文件自带拍摄年、月、日、时、分、秒信息。</w:t>
            </w:r>
          </w:p>
          <w:p w14:paraId="795CE79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3.支持快镜头播放、暂停功能；</w:t>
            </w:r>
          </w:p>
          <w:p w14:paraId="0ECC266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4.支持慢镜头播放、暂停功能；</w:t>
            </w:r>
          </w:p>
          <w:p w14:paraId="58D9B1E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5.支持摄像机自动录音功能，软件调节声音大小；</w:t>
            </w:r>
          </w:p>
          <w:p w14:paraId="781BD68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6.支持在画面上任意批注功能；</w:t>
            </w:r>
          </w:p>
          <w:p w14:paraId="68A8951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7.教师在示范书写的时候，可以在界面同时展现要示范的例字的视频、例字多个字体、例字的多个碑帖，显示在软件摄像机拍摄的界面，字帖可随意放大缩小，可随意放在软件界面的任何位置；</w:t>
            </w:r>
          </w:p>
          <w:p w14:paraId="0FC7CC4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8.支持一键抓图、看图功能；</w:t>
            </w:r>
          </w:p>
          <w:p w14:paraId="01B3361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 支持正面、侧面、特写三个镜头具有设置功能；</w:t>
            </w:r>
          </w:p>
          <w:p w14:paraId="6F8885A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 支持设置功能包括缩放、指定档位功能；</w:t>
            </w:r>
          </w:p>
          <w:p w14:paraId="1FBB049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 缩放：支持鼠标滚轮调节缩放比例功能；</w:t>
            </w:r>
          </w:p>
          <w:p w14:paraId="35E35DC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 支持缩放比例自动对焦，调节缩放比例，选择自动对焦，系统依据缩放比例自动对焦。</w:t>
            </w:r>
          </w:p>
          <w:p w14:paraId="1DFDD05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 支持教师把调整好的缩放和焦距参数快捷保存到指定档位，下次使用时可以一键选档，一键快捷切换档位时，摄像机缩放和焦距自动调节到本档位的对应参数；支持保存6个档位。</w:t>
            </w:r>
            <w:r>
              <w:rPr>
                <w:rFonts w:hint="eastAsia" w:ascii="宋体" w:hAnsi="宋体" w:eastAsia="宋体" w:cs="宋体"/>
                <w:i w:val="0"/>
                <w:iCs w:val="0"/>
                <w:strike w:val="0"/>
                <w:dstrike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需第三方检测机构出具的测试报告体现此条功能</w:t>
            </w:r>
            <w:r>
              <w:rPr>
                <w:rFonts w:hint="eastAsia" w:ascii="宋体" w:hAnsi="宋体" w:eastAsia="宋体" w:cs="宋体"/>
                <w:i w:val="0"/>
                <w:iCs w:val="0"/>
                <w:strike w:val="0"/>
                <w:dstrike w:val="0"/>
                <w:color w:val="000000"/>
                <w:kern w:val="0"/>
                <w:sz w:val="21"/>
                <w:szCs w:val="21"/>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A0320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30547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724AA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53C75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33E1C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书法分组教学软件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38CBA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1.该软件由智慧书法教学系统界面进入；</w:t>
            </w:r>
          </w:p>
          <w:p w14:paraId="0C3F822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点击分组教学，进入分组教学软件界面，点击布局进入班级布局界面，支持新增班级名称、修改班级名称、删除班级功能、新增学生（包括姓名、生日、性别、账号、密码）、修改学生信息、删除学生信息。具备成批录入学生的功能;</w:t>
            </w:r>
          </w:p>
          <w:p w14:paraId="26FBB07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3.布局的行、列的数量可以自行设置，具备按行顺序排位、按列顺序排位、按行随机排位、按列随机排位的功能。</w:t>
            </w:r>
          </w:p>
          <w:p w14:paraId="62AB317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新增分组功能要求分组数量、每组人数不受限制，选择改组组员，具有一键全选、一键选取全列、一键选取全行，支持按住鼠标左键任意拖选学生进入分组。点击组名，要求指派任务、重编组员、修改分组组名、解散本组的功能。</w:t>
            </w:r>
          </w:p>
          <w:p w14:paraId="2DADC880">
            <w:pPr>
              <w:keepNext w:val="0"/>
              <w:keepLines w:val="0"/>
              <w:widowControl/>
              <w:suppressLineNumbers w:val="0"/>
              <w:jc w:val="left"/>
              <w:textAlignment w:val="center"/>
              <w:rPr>
                <w:rFonts w:hint="eastAsia" w:ascii="宋体" w:hAnsi="宋体" w:eastAsia="宋体" w:cs="宋体"/>
                <w:i w:val="0"/>
                <w:iCs w:val="0"/>
                <w:strike w:val="0"/>
                <w:dstrike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5.★点击任意一个组名进入指派任务界面，要求能指派该组听课、自学、字帖、碑帖、集创、兴趣体验的功能。</w:t>
            </w:r>
            <w:r>
              <w:rPr>
                <w:rFonts w:hint="eastAsia" w:ascii="宋体" w:hAnsi="宋体" w:eastAsia="宋体" w:cs="宋体"/>
                <w:i w:val="0"/>
                <w:iCs w:val="0"/>
                <w:strike w:val="0"/>
                <w:dstrike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需第三方检测机构出具的测试报告体现此条功能</w:t>
            </w:r>
            <w:r>
              <w:rPr>
                <w:rFonts w:hint="eastAsia" w:ascii="宋体" w:hAnsi="宋体" w:eastAsia="宋体" w:cs="宋体"/>
                <w:i w:val="0"/>
                <w:iCs w:val="0"/>
                <w:strike w:val="0"/>
                <w:dstrike w:val="0"/>
                <w:color w:val="000000"/>
                <w:kern w:val="0"/>
                <w:sz w:val="21"/>
                <w:szCs w:val="21"/>
                <w:highlight w:val="none"/>
                <w:u w:val="none"/>
                <w:lang w:val="en-US" w:eastAsia="zh-CN" w:bidi="ar"/>
              </w:rPr>
              <w:t>）</w:t>
            </w:r>
          </w:p>
          <w:p w14:paraId="142F748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点击任意一个组名进入指派任务界面，选择字帖指派界面，能指派软笔、硬笔字帖，字帖选择范围不少于3种笔类、5种字体、20个作者、30个作品的字帖，支持字帖搜索功能，支持一键重置功能。搜索界面要求界面右边出现搜索字的所有字帖，并标明作者和字帖名称。</w:t>
            </w:r>
          </w:p>
          <w:p w14:paraId="13AF348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点击任意一个组名进入指派任务界面，选择碑帖指派界面，要求能推送不低于80套古代名家的碑帖，其中要求王羲之的字帖不低于20套，颜真卿的碑帖不低于12套，欧阳询的碑帖不低于8套，赵孟頫的字帖不低于25套，苏轼的字帖不低于20套，支持碑帖搜索功能。</w:t>
            </w:r>
          </w:p>
          <w:p w14:paraId="24B869E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8.点击任意一个组名进入指派任务界面，选择集创指派界面，要求能指派折扇、团扇、条幅、横幅、斗方、对联、中堂不同类型的作品，作品总数不低于150个。</w:t>
            </w:r>
          </w:p>
          <w:p w14:paraId="0E10DAC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点击任意一个组名进入指派任务界面，选择兴趣体验指派界面，要求能指派“我会识书体”兴趣体验（必须包括“我会识欧体”、“我会识颜体”、“我会识柳体”、“我会识赵体”）、“我会拼字体”兴趣体验（必须包括“我会拼欧体” 、“我会拼颜体”、“我会拼柳体”、“我会拼赵体”）、“碑帖寻美文”、“拓碑”、“辩音识字”兴趣体验教学。</w:t>
            </w:r>
          </w:p>
          <w:p w14:paraId="3A6E295A">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兴趣体验识书体模块：支持欧体、颜体、柳体、赵体四大书体的字体识别，从屏幕上方随机降落单字字帖，要求学生在临摹台点击降落的字帖，系统自动判断“正确”或者“错误”，并自动进入正确和错误的篮子中，正确书体的字帖降落至屏幕底端前未被点击，将判断为“丢失”，要求能查看正确、错误、丢失的个数，以及错误和丢失的详细情况，告知错误的原因。错误或丢失次数达到五次，体验自动结束。体验过程中支持查看本人得分和班级最高分，体验结束后支持查看排名榜，支持学生点击“重新开始”进入体验。字帖下落的速度越来越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EEFB3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C0E47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22340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51A79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DC951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电子点签系统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F7D1C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1.可按年级、班级进行自动电子排座；</w:t>
            </w:r>
          </w:p>
          <w:p w14:paraId="00E1E1C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2.支持自动按行、列随机或者自动排位；</w:t>
            </w:r>
          </w:p>
          <w:p w14:paraId="584562E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3.支持排位信息自动发布到相对应的交互式数字临摹台，并把学生姓名显示在临摹台上；</w:t>
            </w:r>
          </w:p>
          <w:p w14:paraId="6564ABC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4.学生按照临摹台上的姓名就坐，并通过手指触控的方式点击自己的姓名，实现签到功能；</w:t>
            </w:r>
          </w:p>
          <w:p w14:paraId="787B87A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5.老师自动获取学生签到信息，明确知道学生上课考勤情况；</w:t>
            </w:r>
          </w:p>
          <w:p w14:paraId="42CCFE2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6.支持自动统计学生考勤情况，查看历史详情；</w:t>
            </w:r>
          </w:p>
          <w:p w14:paraId="0AA3985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7.支持批量导入学生信息；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8F126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50243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25DC2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96077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EE970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书法字帖排版系统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8E7D9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1.支持1-500个字内，任意字体数量排版功能，随意设置字格大小，调节字格的宽、高，支持鼠标滚轮选择模板。</w:t>
            </w:r>
          </w:p>
          <w:p w14:paraId="1E57CBE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2.支持拼音搜索，可同时输入多字拼音，直接搜索多字；支持多字文本搜索；支持书写字体历史记录。</w:t>
            </w:r>
          </w:p>
          <w:p w14:paraId="1A16977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演示汉字笔顺功能：具备一笔一划功能，每一笔划自动按照顺序排列组成单字。动态笔划功能，每一笔以动画起笔收笔的方式，按照笔划顺序展现。具备笔划分拆功能，每一笔都占一格，书写过的笔划用彩色标识出来，整体直观展现单字笔划过程。每个字的偏旁和非偏旁部分，都是通过两种颜色区分出来。</w:t>
            </w:r>
          </w:p>
          <w:p w14:paraId="45FD3F7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4.支持在软件界面直接点播现代书法家书写的颜欧柳赵及字体中偏旁、例字的视频。可以实时同步临摹台显示。</w:t>
            </w:r>
          </w:p>
          <w:p w14:paraId="1128495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5.支持字帖文件随意排版及混排。</w:t>
            </w:r>
          </w:p>
          <w:p w14:paraId="72A868E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6.支持电子字帖全屏显示，通过调整排版规格可控制每个字的大小和位置。</w:t>
            </w:r>
          </w:p>
          <w:p w14:paraId="42FA04C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7.内置篆、隶、楷、行、草五种软笔字体字帖文件，不少于2万字的字帖库资源。</w:t>
            </w:r>
          </w:p>
          <w:p w14:paraId="6A617DB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8.支持米字格、回字格、九宫格、田字格、大方格选项。</w:t>
            </w:r>
          </w:p>
          <w:p w14:paraId="5B369DA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9.支持进行集字练习；具备一键排版六步教学法。</w:t>
            </w:r>
          </w:p>
          <w:p w14:paraId="7B8ED65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10.支持边看边练，左边是书法家视频教学，右边是学生临摹书法家字帖功能；</w:t>
            </w:r>
          </w:p>
          <w:p w14:paraId="759E6A4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11.支持字体使用的历史记录；</w:t>
            </w:r>
          </w:p>
          <w:p w14:paraId="49270E3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12.支持老师自定义适合自己教学的排版模板；</w:t>
            </w:r>
          </w:p>
          <w:p w14:paraId="342BB56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13.支持一字多体排版；</w:t>
            </w:r>
          </w:p>
          <w:p w14:paraId="7AC22F1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14.支持硬笔字体排版，学生临摹。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83C2A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34641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76813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BB7B8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31924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书法集创系统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1BF10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1.支持折扇、团扇、条幅、横幅、斗方、对联、中堂等模式集字创作功能，从1言到500言随意编辑排版功能，支持字体大小缩放功能；</w:t>
            </w:r>
          </w:p>
          <w:p w14:paraId="69494A8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2.支持自定义创作作品类型功能；</w:t>
            </w:r>
          </w:p>
          <w:p w14:paraId="5097454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3.支持字体自适应大小功能，后面排版的字体自动适应第一个排版好的字体大小；</w:t>
            </w:r>
          </w:p>
          <w:p w14:paraId="2926337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4.支持自适应角度调整，字体智能化自动调整摆放角度；</w:t>
            </w:r>
          </w:p>
          <w:p w14:paraId="50CB49B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5.支持文件新建、修改、保存、放大缩小、临摹功能； </w:t>
            </w:r>
          </w:p>
          <w:p w14:paraId="63D1D90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包含重修三门记、陋室铭、六体千字文、灵隐禅师塔铭、黄庭经、淮云院记、后赤壁赋、归来辞去、道德经、东铭、大学、感兴诗并序、多宝塔碑、颜勤礼碑、颜家庙碑、颜体合成创作、赵体合成创作等多个创作字体模块内容；</w:t>
            </w:r>
          </w:p>
          <w:p w14:paraId="7981E8F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7.支持一键还原功能；</w:t>
            </w:r>
          </w:p>
          <w:p w14:paraId="4D2ACEB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8.支持文字和拼音搜索功能；</w:t>
            </w:r>
          </w:p>
          <w:p w14:paraId="6E94773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9.在配置互动模块时，支持老师一键收取学习集创练习作品的功能。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418E7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E3EE4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38887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155FA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6DB68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三笔字板书示范书写软件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7786B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1.软件支持选用白板、黑板、宣纸和画布四种模式作为背景底纹；</w:t>
            </w:r>
          </w:p>
          <w:p w14:paraId="4BBD7C3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2.软件支持米字格、田字格、田回格、九宫格、方格和无格作为写字用底格；</w:t>
            </w:r>
          </w:p>
          <w:p w14:paraId="5648C18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3.软件排版支持从一字格到十五字格共十种不同排版方式；</w:t>
            </w:r>
          </w:p>
          <w:p w14:paraId="075BA22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4.笔型：支持毛笔、铅笔、钢笔、粉笔、刀笔、水彩笔、艺术笔1、艺术笔2、艺术笔3、艺术笔4、标注、橡皮共12种书写功能。</w:t>
            </w:r>
          </w:p>
          <w:p w14:paraId="4293C1A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5.软件支持标注和具有橡皮擦功能；</w:t>
            </w:r>
          </w:p>
          <w:p w14:paraId="4C60B85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6.支持笔锋粗细、浓度、锐利可调控；</w:t>
            </w:r>
          </w:p>
          <w:p w14:paraId="7A37C3F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7.支持色板，颜色可自由设置；</w:t>
            </w:r>
          </w:p>
          <w:p w14:paraId="0A05C25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8.具有全屏显示功能；</w:t>
            </w:r>
          </w:p>
          <w:p w14:paraId="6E0D1A8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9.支持在字体排版软件界面、视频资源库软件界面、视频直播软件界面、碑帖查询软件界面、课程讲义软件界面进行批注、点评功能；</w:t>
            </w:r>
          </w:p>
          <w:p w14:paraId="1A45B70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10.支持一键清屏功能。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221F3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FDA98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49793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BF254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3AE59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书法教学视频资源平台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17CE0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1.具备对平台资源进行控制、查询、播放及备课调整功能。</w:t>
            </w:r>
          </w:p>
          <w:p w14:paraId="2D755C7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2.内置初级、中级（一）、中级（二）、高级的高清毛笔书法示范讲解视频。</w:t>
            </w:r>
          </w:p>
          <w:p w14:paraId="49D57FE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3.含各年级课时的毛笔示范视频，针对每一个字，每一个笔画都有教学视频。</w:t>
            </w:r>
          </w:p>
          <w:p w14:paraId="78E5714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4.每个视频都配有教学音频讲解。</w:t>
            </w:r>
          </w:p>
          <w:p w14:paraId="548F3C1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5.视频资源均为高清拍摄，可观察运笔方式。</w:t>
            </w:r>
          </w:p>
          <w:p w14:paraId="572397F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6.视频资源按照每一例字的结构、笔画、结体规律进行分类，可以一键式调取任一课时内的视频资料。</w:t>
            </w:r>
          </w:p>
          <w:p w14:paraId="7F84E65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7.支持老师管理密码功能。</w:t>
            </w:r>
          </w:p>
          <w:p w14:paraId="49DBE31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8.支持批注功能。</w:t>
            </w:r>
          </w:p>
          <w:p w14:paraId="5E16662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9.支持硬笔视频资源。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7D129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E87C8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285F5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C36B2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AE608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书法教学查询系统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C8AC9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1.碑帖资源查询可实现通过年代、作者、字帖名字进行智能化检索，并可任意放大缩小拖动字帖。</w:t>
            </w:r>
          </w:p>
          <w:p w14:paraId="4A3BB7E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2.支持通过原图模式、高光模式、荧光模式、红外模式、3D模式进行碑帖的查看欣赏以及临摹。</w:t>
            </w:r>
          </w:p>
          <w:p w14:paraId="597CEC3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3.创作碑帖素材查询可通过关键字检索功能来搜索相应的碑帖素材。</w:t>
            </w:r>
          </w:p>
          <w:p w14:paraId="16739FA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4.支持输入文字、拼音搜索功能，支持临摹、欣赏选项按钮；支持黑白反向功能，原贴是白底黑字的可以直接转换成黑底白字，原贴是黑底白字的可以直接转换成白底黑字。</w:t>
            </w:r>
          </w:p>
          <w:p w14:paraId="7D61325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5.内含中国历代高清碑帖，包含临摹范本全部碑帖，有楷书、隶书、行书；包含欣赏作品全部碑帖，有篆、隶、草、楷、行五种字体。包含其他碑帖，包含篆、隶、草、楷、行五种字体，不少于10000张。</w:t>
            </w:r>
          </w:p>
          <w:p w14:paraId="00770E4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6.支持批注功能。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A9538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ACDCC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7A104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FB2B8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56956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场景式网络课堂教学系统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B3F89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一、教师授课端软件：</w:t>
            </w:r>
          </w:p>
          <w:p w14:paraId="6DC7C13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1.软件必须是从智慧书法教学系统界面直接点击进入。</w:t>
            </w:r>
          </w:p>
          <w:p w14:paraId="71A35B5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支持教师创建自己的直播课程，直播课程中可包含多个章节与课时，每个课时均可独立直播，也可单独设置直播时间。每个直播课程均可进行分类，支持课程定价以及点播时收费，课程可以设置课程名称，可上传图片封面。图片封面支持放大、缩小、剪切，还可实时预览效果，可设置简介，还可增加详细图文介绍。图文介绍包含以下功能：文字加粗，文字倾斜，文字下划线，文字删除线，段落靠左，段落居中，段落靠后，段落居中自动调整，支持设置段落编号或设置段落图形，支持设置左右缩进，支持设置文字颜色，文字背景色，支持插入链接，支持插入图形，也可插入网络视频，支持清除格式。创建课程时，支持加入多个章节，每个章节均可独立定义名称。创建章节后，每个章节均可增加多个独立课时。均可自定义本课时名称。课时分为直播、点播两种，点播课时可上传视频文件供点播使用，上传视频文件后可自动计算并展现本课时时长。直播课时可定义直播开始的日期以及时间，支持一键查看当前时间。编辑课时时，支持通过图标区分点播和直播课程。支持课时跨章节直接拖拽调整结构。</w:t>
            </w:r>
          </w:p>
          <w:p w14:paraId="30C99A5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教师申请功能，支持通过输入教师姓名、手机号、短信验证、密码设置、个人介绍、头像等信息，提交注册，可查询审核状态，查询时需要手机验证码审核教师身份。支持待审核课程查询，支持通过课程名称查询，支持通过注册时间查询，支持通过审核状态查询。可一键取消课程审核申请。可一键查看审核状态。</w:t>
            </w:r>
          </w:p>
          <w:p w14:paraId="21283F6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可分类查看拥有的所有课程列表，可通过名称或名称简写对课程进行模糊查询。可修改课程。修改内容包括，课程分类，课程名称，课程价格，课程封面，简介与详情，可重新编辑章节，还可重新编辑所有课时，编辑后自动进入审核状态。可删除课程。可查看最近的直播情况。支持查看针对某个课程的订单数量以及预估收益，具备一年期间的购买趋势分析图，可查看用户评价，并对不同星级评价分类统计百分比，可按各种星级评价查看该星级下的所有观看者的评价。学校可自定义收费课程，支持课程账户管理，支持银行卡管理，自动计算可提现金额，支持提现到指定银行卡，可查询累计收入，可以直方图方式展示最近一年内的购买趋势。可按照课程名称以及订单时间查询订购记录，对所有提现可按照提现时间列出明细，也可以根据提现时间进行查询，支持用户打赏，可查询一段时间内的打赏明细。</w:t>
            </w:r>
          </w:p>
          <w:p w14:paraId="7644897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教师现场直播授课时，可切换不同的三维场景，三维场景支持不低于4个不同位置的场景大屏设置，不同的大屏可同时播放不同的内容。可将视频设置到三维场景的场景大屏，并在所有学生端同时进行播放。直播授课时，教师能同时调入6个或以上视频、3个或以上的摄像机、以及3个或以上的ppt在同一个界面上进行播放，并且上述的每个画面都可分别进行大小调整，学生端能同时观看上述的所有画面。教师可针对正在授课的任意一个视频设置任意的播放位置，并立即生效。可将教师的实时授课画面设置到三维场景的场景大屏并同时播放，并同步传输至学生端；教师在直播授课时支持随时插入PPT并进行及时播放；在直播授课时能设置字幕动画，并立即生效、学生进行观看。</w:t>
            </w:r>
          </w:p>
          <w:p w14:paraId="3C0EE2F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课程同时支持直播与点播。支持下载所有课程的视频，支持视频本地编辑后再次上传更新。支持在线预览。现场直播授课的同时，系统可自动录制直播课堂的所有视频或者授课过程，并形成课程供学生进行回放观看。</w:t>
            </w:r>
          </w:p>
          <w:p w14:paraId="7ACE9E9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三维场景支持远景、近景、特写，直播授课过程中教师可以任意切换三种方式，切换后学生端立即生效、进行观看。三维场景支持摇臂、进、退的动画模式，直播授课过程中教师可以任意切换三种动画模式，切换后学生端立即生效、进行观看。支持传输控制、减少噪点和减少阴影的设置。支持视频的亮度、对比度、伽马值、色调的设置。支持设置帧率、颜色空间和输出大小。教师授课直播时可切换为画中画方式。直播授课时可设置让图像翻转；支持单独对音频进行音量大小、播放位置的设置。支持字幕编辑功能，并可选择字体、大小、颜色。支持文字和图片的滚动设置，支持设置滚动方向和速度。文字样式可设置加粗、下划线、删除线、倾斜。</w:t>
            </w:r>
          </w:p>
          <w:p w14:paraId="72C1098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在课时详情中一键进入直播。支持一键初始化直播配置。支持修改密码，修改密码时，支持通过手机号进行二次验证。支持设备测试功能，可测试多个摄像头和多个麦克风等设备，展现测试结果，支持重新检测。支持预览所有带摄像头的客户端的实时视频，支持与其中某个观众进行视频连线交流，交流期间，其他用户均可观看交互过程。以画中画形式展示双方视频，可切换放大本方或客户端视频。直播期间，可通过微信扫码将视频推送到微信群或微信好友。支持限制转发功能。支持老师禁言或请出的功能。教师现场直播授课时，直播场景内容自动加载上次退出时的配置，可以直播教师端直播系统摄像头拍摄内容，可以直播临摹台学生书写过程，可以共享教师屏幕，支持多显示器一键切换，可以添加全局背景音乐，支持设置背景音乐音量、进度、是否循环播放，更换背景音乐，要求直播讲师端、PC端、移动端这三端互通。</w:t>
            </w:r>
          </w:p>
          <w:p w14:paraId="3D4C371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二、接收客户端软件：</w:t>
            </w:r>
          </w:p>
          <w:p w14:paraId="6654985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9.客户端软件必须是从智慧书法教学系统界面直接进入。</w:t>
            </w:r>
          </w:p>
          <w:p w14:paraId="52B1BFA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支持查看当前以及即将开播的直播课程，可查看当前的热门课程，还可查看全部可用课程。可查询当前以及随后一周内的正在直播的课程，以及待直播的课程。直播课程课程开始前，系统自动为订阅用户发送提醒收看的短信。可查询最新课程和热门课程。可查看课程列表以及课程的详细信息，可查看教师介绍以及课程介绍。教师介绍包括教师的个人详情，还包括教师的所有已开放的在线课程，包括直播与点播课程。课程详情中包含，课程的介绍，以及课程的章节与所有具体课时，每个课时均可显示课程时长，观看完毕后系统可自动记录并调取本课程最后一次所学的课时，支持从此课时后继续学习。可查看本课程的热门程度以及订购费用。</w:t>
            </w:r>
          </w:p>
          <w:p w14:paraId="2BE42B2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支持通过课时列表点击后直接进入直播或点播观看界面，在此界面中可以查看课程详细信息，包括课程名称，教师，以及所有章节中的课时。查看课程详情时，支持一键进入点播或直播。播放中可随时调整视频质量，包括标清、高清、超清。支持1080P视频播放。观看直播时，可查看直播开始时间、参与人数、教师信息，可切换视频质量，包括标清、高清以及超清，可全屏，可预览本地摄像头，支持举手发言功能。支持视频互动，互动时，可允许主播通过视频方式与本地进行交流。可查看当前在线人数以及用户明细，可以与当前所有在线用户以及教师进行文字聊天，可以发送表情图形。可支持表情与文本混合发送，可支持200字的文本内容。</w:t>
            </w:r>
          </w:p>
          <w:p w14:paraId="2F4CA2E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支持查看学习历史记录，并可进行复习。可查看个人的所有订单，以及费用明细，可通过课程名称以及订单时间查询订单详情。支持修改个人信息，包括昵称、手机号码以及头像，头像支持放大、缩小、剪切，还可实时预览效果。</w:t>
            </w:r>
          </w:p>
          <w:p w14:paraId="465CD9D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13.客户端学习点播课程可以从上次学习位置开始播放：将课程加入学习后，进入某个点播课程时，自动从上次退出时的播放位置开始播放，比如某个课时上次看了5分钟，那么这次播放时会自动从5分钟开始播放。</w:t>
            </w:r>
          </w:p>
          <w:p w14:paraId="631E221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14.可查看所有教师以及教师的详细介绍，还可以查看教师的课程列表并播放相应课程。可按照课程分类，课程名称，教师姓名对课程进行搜索。</w:t>
            </w:r>
          </w:p>
          <w:p w14:paraId="08FB5AC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三、移动客户端软件：</w:t>
            </w:r>
          </w:p>
          <w:p w14:paraId="743D19D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15.支持通过安卓以及IOS的微信小程序参与直播或点播。支持轮播图，轮播图中可进入课程详情，课时详情。可显示最近的系统消息，可查看最近一年或更长时间的系统消息。可查看当天进行的直播。可查看近期的热门课程。可按照课程的分类查询以及查看课程详情。可查看课程的封面，介绍，观众星级评价，评价人数，热门程度，可一键将课程或课时分享到微信群或微信好友，可查看课程的章节，以及每个章节下的详细课时。学生可对课程进行星级评价，查看当前的综合评分。查看各种评价的百分比。按照日期查看评价详情。支持通过课程名称，教师姓名对课程进行模糊搜索。保留最近的搜索历史记录，可用于快速搜索,支持对最近所有用户的搜索内容进行统计并将最热门的搜索内容提炼为热词，供用户进行快捷搜索。提供对教师的详细介绍，可查看教师的姓名，个人简介，以及此教师的课程列表，在课程列表中，可直接进入直播或点播。可自动记录学习历史并进入复习功能，可显示对课程的学习进度，可统计当日学习时长，以及连续学习天数和累计学习天数。可收藏课时，并在个人中心查看所收藏课时。可将课时加入学习列表。可购买付费课时，并在个人中心查看已购课时，以及订单详情。可修改个人资料包括昵称、手机号，支持通过手机验证码验证用户个人身份。</w:t>
            </w:r>
          </w:p>
          <w:p w14:paraId="22E41F9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要求通过微信扫码进入直播间，并与讲师、PC端用户三方进行文字、表情符号交流。支持进入课时讨论组与PC端用户以及教师同时交流。可在线咨询系统客服。移动端学习点播课程可以从上次学习位置开始播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5E6D8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0A348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08D58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49EB5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5FE78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书法课程讲义系统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F0169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★1.系统全部软笔课程不少于700课时（不少于30分钟/课时）；36套硬笔课程系统，包含初上、初下、中上、中下、高上、高下六阶段课程，在36个班级一体机或智慧屏上安装，免费使用期限不少于1年（须提供</w:t>
            </w:r>
            <w:r>
              <w:rPr>
                <w:rFonts w:hint="eastAsia" w:ascii="宋体" w:hAnsi="宋体" w:eastAsia="宋体" w:cs="宋体"/>
                <w:i w:val="0"/>
                <w:iCs w:val="0"/>
                <w:strike w:val="0"/>
                <w:dstrike w:val="0"/>
                <w:color w:val="auto"/>
                <w:kern w:val="0"/>
                <w:sz w:val="21"/>
                <w:szCs w:val="21"/>
                <w:highlight w:val="none"/>
                <w:u w:val="none"/>
                <w:lang w:val="en-US" w:eastAsia="zh-CN" w:bidi="ar"/>
              </w:rPr>
              <w:t>佐证材料</w:t>
            </w:r>
            <w:r>
              <w:rPr>
                <w:rFonts w:hint="eastAsia" w:ascii="宋体" w:hAnsi="宋体" w:eastAsia="宋体" w:cs="宋体"/>
                <w:i w:val="0"/>
                <w:iCs w:val="0"/>
                <w:color w:val="auto"/>
                <w:kern w:val="0"/>
                <w:sz w:val="21"/>
                <w:szCs w:val="21"/>
                <w:highlight w:val="none"/>
                <w:u w:val="none"/>
                <w:lang w:val="en-US" w:eastAsia="zh-CN" w:bidi="ar"/>
              </w:rPr>
              <w:t>）；</w:t>
            </w:r>
          </w:p>
          <w:p w14:paraId="142EC54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包含颜体1、颜体2、欧、柳、赵5套基本课程，每套课程各128课时（不少于30分钟/课时），均是独立的软件模块，支持查看范字的书写要点讲解，书写示范视频讲解，单钩、双钩、笔法、示意图，核心示范字的文字演变，每课时都有书法知识点讲解；</w:t>
            </w:r>
          </w:p>
          <w:p w14:paraId="5E0ECED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 包括初级、中级上、中级下、高级的课程128课时（30分钟/课时），均是独立的软件模块，支持查看范字的书写要点讲解，书写示范视频讲解，单钩、双钩、笔法、示意图，核心示范字的文字演变，每课时都有书法知识点讲解；</w:t>
            </w:r>
          </w:p>
          <w:p w14:paraId="6BC6282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颜欧柳赵的配套讲义中，每个课时均具有通过拼字游戏进行书法结构练习：教师一键推送拼字游戏到学生端临摹台，学生临摹台变为手指触控操作，拖动被拆分的字体笔画，在米字格中进行拼字，拼字完成可显示原帖，系统可自动打分和排名，支持多次重复拼字学习；</w:t>
            </w:r>
          </w:p>
          <w:p w14:paraId="24984E0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5.配套讲义中每一课都包含“示范讲解”、“观察规律”、 “动手体验”、“知识扩展”、 “课堂练习”、“课堂检测”、“回帖学习”环节；</w:t>
            </w:r>
          </w:p>
          <w:p w14:paraId="6F091BC9">
            <w:pPr>
              <w:keepNext w:val="0"/>
              <w:keepLines w:val="0"/>
              <w:widowControl/>
              <w:suppressLineNumbers w:val="0"/>
              <w:jc w:val="left"/>
              <w:textAlignment w:val="center"/>
              <w:rPr>
                <w:rFonts w:hint="eastAsia" w:ascii="宋体" w:hAnsi="宋体" w:eastAsia="宋体" w:cs="宋体"/>
                <w:i w:val="0"/>
                <w:iCs w:val="0"/>
                <w:strike w:val="0"/>
                <w:dstrike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示范讲解：包含偏旁、例字的讲解和示范书写。偏旁讲解部分包括书写要点和专家示范视频。例字讲解包括专家示范视频、书写要点，具有拼音、释义、笔画的文字描述、偏旁、结构、书体、作者、作品出处的基本信息，有行笔路线动画（要求手写体），笔顺视图（要求手写体，按照笔顺每幅图增加一个笔画），笔势视图（要求手写体，用箭头、粗细、路线体现出笔画的起笔、行笔、收笔方法），单钩视图（要求手写体），双钩视图，碑帖原图，碑帖修复图（要求按照原帖风格和书体特征进行修复），碑帖修复提取图（修复之后提取，并放在米字格中）。该模块还集成了书体对比、练习等功能。练习功能支持修改例字的底格、换字、自动生成六步临摹。</w:t>
            </w:r>
            <w:r>
              <w:rPr>
                <w:rFonts w:hint="eastAsia" w:ascii="宋体" w:hAnsi="宋体" w:eastAsia="宋体" w:cs="宋体"/>
                <w:i w:val="0"/>
                <w:iCs w:val="0"/>
                <w:strike w:val="0"/>
                <w:dstrike w:val="0"/>
                <w:color w:val="000000"/>
                <w:kern w:val="0"/>
                <w:sz w:val="21"/>
                <w:szCs w:val="21"/>
                <w:highlight w:val="none"/>
                <w:u w:val="none"/>
                <w:lang w:val="en-US" w:eastAsia="zh-CN" w:bidi="ar"/>
              </w:rPr>
              <w:t>（需在第三方检测机构出具的测试报告体现此条功能）</w:t>
            </w:r>
          </w:p>
          <w:p w14:paraId="0ED2009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书体对比：在示范讲解环节中要包括例字的书体对比，支持每个例字自动调取欧体、颜体、柳体、赵体、隶书、篆书、行书、草书字帖进行对比，当该字的某书体有多种时支持选字，选出的字帖要包括书体、书家、碑帖名称，选出的所有字帖以放大的方式呈现在屏幕上。</w:t>
            </w:r>
          </w:p>
          <w:p w14:paraId="7F87216E">
            <w:pPr>
              <w:keepNext w:val="0"/>
              <w:keepLines w:val="0"/>
              <w:widowControl/>
              <w:suppressLineNumbers w:val="0"/>
              <w:jc w:val="left"/>
              <w:textAlignment w:val="center"/>
              <w:rPr>
                <w:rFonts w:hint="eastAsia" w:ascii="宋体" w:hAnsi="宋体" w:eastAsia="宋体" w:cs="宋体"/>
                <w:i w:val="0"/>
                <w:iCs w:val="0"/>
                <w:strike w:val="0"/>
                <w:dstrike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观察规律：该功能可培养学生观察能力、对比分析总结能力。同一个字具有不同的书体，通过观察某一笔画（如撇画）或者某一部件（如女部）在该字的不同书体中的形态，总结出该笔画（如撇画）或者该部件（如女部）的一般规律。同时系统给出参考性答案。</w:t>
            </w:r>
            <w:r>
              <w:rPr>
                <w:rFonts w:hint="eastAsia" w:ascii="宋体" w:hAnsi="宋体" w:eastAsia="宋体" w:cs="宋体"/>
                <w:i w:val="0"/>
                <w:iCs w:val="0"/>
                <w:strike w:val="0"/>
                <w:dstrike w:val="0"/>
                <w:color w:val="000000"/>
                <w:kern w:val="0"/>
                <w:sz w:val="21"/>
                <w:szCs w:val="21"/>
                <w:highlight w:val="none"/>
                <w:u w:val="none"/>
                <w:lang w:val="en-US" w:eastAsia="zh-CN" w:bidi="ar"/>
              </w:rPr>
              <w:t>（需在第三方检测机构出具的测试报告体现此条功能）</w:t>
            </w:r>
          </w:p>
          <w:p w14:paraId="18F4B1FC">
            <w:pPr>
              <w:keepNext w:val="0"/>
              <w:keepLines w:val="0"/>
              <w:widowControl/>
              <w:suppressLineNumbers w:val="0"/>
              <w:jc w:val="left"/>
              <w:textAlignment w:val="center"/>
              <w:rPr>
                <w:rFonts w:hint="eastAsia" w:ascii="宋体" w:hAnsi="宋体" w:eastAsia="宋体" w:cs="宋体"/>
                <w:i w:val="0"/>
                <w:iCs w:val="0"/>
                <w:strike w:val="0"/>
                <w:dstrike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动手体验：包含“试一试”、“拼一拼”、“写一写”环节，在“试一试”环节中，通过单钩、双钩、画轮廓的练习，让学生去深度感知笔画和结构；在“拼一拼”环节中，将例字分解成几部分推送到学生临摹台，让学生通过拼字游戏进一步对结构进行感知和实践，并对所有学生进行排名；在“写一写”环节中，让学生进行摹写和临写，并且将笔法图放在最左边，便于学生进行临摹。</w:t>
            </w:r>
            <w:r>
              <w:rPr>
                <w:rFonts w:hint="eastAsia" w:ascii="宋体" w:hAnsi="宋体" w:eastAsia="宋体" w:cs="宋体"/>
                <w:i w:val="0"/>
                <w:iCs w:val="0"/>
                <w:strike w:val="0"/>
                <w:dstrike w:val="0"/>
                <w:color w:val="000000"/>
                <w:kern w:val="0"/>
                <w:sz w:val="21"/>
                <w:szCs w:val="21"/>
                <w:highlight w:val="none"/>
                <w:u w:val="none"/>
                <w:lang w:val="en-US" w:eastAsia="zh-CN" w:bidi="ar"/>
              </w:rPr>
              <w:t>（需在第三方检测机构出具的测试报告体现此条功能）</w:t>
            </w:r>
          </w:p>
          <w:p w14:paraId="776B8E2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知识扩展：包括本节课典型例字的文字源流，列出甲骨文、篆书、隶书、草书、行书、楷书的图片，同时以文字的方式列出“说文解字”的内容。同时包含其他的一个书法类的知识，书法知识涉及到文字、书家、书写材料、碑帖知识、书论等内容。</w:t>
            </w:r>
          </w:p>
          <w:p w14:paraId="61B50DE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课堂练习：自动生成本节课的主要例字或者偏旁的字帖供学生练习，字帖按照六步临摹法生成（六步临摹法：摹-摹-摹-临-摹-临），在该软件界面中支持一键换书体、一键换底格（米字格、田字格、九宫格、田回格、大方格）、一键换字体颜色、选择其他例字、修改字格数量、收取作业的功能；</w:t>
            </w:r>
          </w:p>
          <w:p w14:paraId="1CBFB5A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课堂检测：该环节实现收作业并进行智能评测，收取作业通过学生互动终端一次性收取所有学生的作业（不能通过手机拍照来收取作业），收取作业后在教师机界面能看到所有学生的作业图片（在同一界面看到所有图片），并能对任一学生的作业进行智能评测，从笔画、结构、整体自动生成文字型问题描述、配合图片指出问题并给出改进建议。</w:t>
            </w:r>
          </w:p>
          <w:p w14:paraId="26B3B368">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回帖学习：该环节回归到本节课对应的原始碑帖进行学习，首先在对应的碑帖上用红圈标识出该字，点击该字可出现这个字的基本信息、笔顺视图、行笔路线、笔势视图、单钩视图、双钩视图、碑帖修复图、修复提取图；同时该碑帖上所有的字都能出现对应的简体，所有字都能呈现基本信息、笔顺视图、行笔路线、笔势视图、单钩视图、双钩视图、碑帖修复图、修复提取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E401A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8225D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75122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203FC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3DEC0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碑帖深度学习软件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C6727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1.该软件从智慧书法教学系统界面进入，支持打开碑帖深度学习软件，要求在碑帖深度学习软件界面上出现《九成宫碑》、《多宝塔碑》、《玄秘塔碑》、《颜勤礼碑》、《三门记》、《曹全碑》、《兰亭序》。</w:t>
            </w:r>
          </w:p>
          <w:p w14:paraId="38EE4B6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点击碑帖名称，出现碑帖的相应图片，要求相应的碑帖图片可进行拖动条、滚轮、数字加减三种方式进行缩放。可通过翻页按钮选择该碑帖的任意一张图片，要求该图片可缩放和拖动，选择图片后鼠标点击碑帖上的任意一个字，要求碑帖上该字的右下角自动出现对应的简体字；</w:t>
            </w:r>
          </w:p>
          <w:p w14:paraId="396F41E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3.点击单字后，该单字的碑帖原图出现在界面左侧；再点击左侧的碑帖原图，可查看笔顺图，要求笔顺图中的每一笔为硬笔手写体；</w:t>
            </w:r>
          </w:p>
          <w:p w14:paraId="04FAFF1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4.可查看该字的行笔路线动画，要求行笔路线动画的每一笔为硬笔手写体；</w:t>
            </w:r>
          </w:p>
          <w:p w14:paraId="2B578B4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5.可查看该字的笔势视图，视图中的每一个笔画的起笔、行笔、转折处要求用手写箭头标识出来；</w:t>
            </w:r>
          </w:p>
          <w:p w14:paraId="03DCC64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6.可查看该字的单钩视图、双钩视图，单钩视图要求为硬笔手写体；</w:t>
            </w:r>
          </w:p>
          <w:p w14:paraId="1F17322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7.可查看碑帖原图和碑帖修复图，要求碑帖修复图为对破损的碑帖进行原意修复，修复后的字帖要求笔画完整、不允许变形、背景干净无污；</w:t>
            </w:r>
          </w:p>
          <w:p w14:paraId="3802F9A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8.可查看碑帖修复提取图，要求碑帖修复图经过处理后变成背景透明字体，并放在米字格中；</w:t>
            </w:r>
          </w:p>
          <w:p w14:paraId="71CFA1F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可查看该字的其他书体，要求该字对应的颜体、欧体、柳体、赵体、隶书、篆书、草书同时自动出现在界面上，并且点击任何一种书体可出现该书体对应的多个字帖，继续点击字帖可以放大的方式自动排列在界面上进行书体对比；</w:t>
            </w:r>
          </w:p>
          <w:p w14:paraId="66DDEF0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可直接进入练习界面，左侧为碑帖原图，右侧为米字格，要求在该界面可以直接进行换字操作，换字操作可直接选取系统中的其他一个字进行练习；要求可直接切换到该字的其他书体进行练习；要求练习界面可以修改底格，包括米字格、田字格、九宫格、田回格、大方格；要求可直接切换到六步临摹法，出现“摹-摹-摹-临-摹-临” 的模式进行练习。</w:t>
            </w:r>
            <w:r>
              <w:rPr>
                <w:rFonts w:hint="eastAsia" w:ascii="宋体" w:hAnsi="宋体" w:eastAsia="宋体" w:cs="宋体"/>
                <w:i w:val="0"/>
                <w:iCs w:val="0"/>
                <w:strike w:val="0"/>
                <w:dstrike w:val="0"/>
                <w:color w:val="000000"/>
                <w:kern w:val="0"/>
                <w:sz w:val="21"/>
                <w:szCs w:val="21"/>
                <w:highlight w:val="none"/>
                <w:u w:val="none"/>
                <w:lang w:val="en-US" w:eastAsia="zh-CN" w:bidi="ar"/>
              </w:rPr>
              <w:t>（需在第三方检测机构出具的测试报告体现此条功能）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F973B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0BD77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4A457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2199B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A7BE2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软笔书法Ai智能评价软件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F906D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1.通过学生互动终端收取所有学生的书法练习作业。老师在教师端一次性收齐所有学生的作业。支持查看作业历史记录，并查看某次作业中所有学生的电子版练习作业，也可单独查看某位学生的作业。</w:t>
            </w:r>
          </w:p>
          <w:p w14:paraId="031119A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2.在书法教学云平台的课程讲义软件中，支持对所配套的全部毛笔楷书课程中涉及的所有讲解例字进行自动智能评价。</w:t>
            </w:r>
          </w:p>
          <w:p w14:paraId="72B0F20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3.对于某个学生多次书写的同一个字，每次的练习测评结果形成折线图，并可查看每次测评的详细结果。</w:t>
            </w:r>
          </w:p>
          <w:p w14:paraId="79ECC7F9">
            <w:pPr>
              <w:keepNext w:val="0"/>
              <w:keepLines w:val="0"/>
              <w:widowControl/>
              <w:suppressLineNumbers w:val="0"/>
              <w:jc w:val="left"/>
              <w:textAlignment w:val="center"/>
              <w:rPr>
                <w:rFonts w:hint="eastAsia" w:ascii="宋体" w:hAnsi="宋体" w:eastAsia="宋体" w:cs="宋体"/>
                <w:i w:val="0"/>
                <w:iCs w:val="0"/>
                <w:strike w:val="0"/>
                <w:dstrike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★4.对于某个学生多次书写的同名笔画（例如：不同字中的撇划），每次的练习测评结果形成折线图，并可查看该笔画每次测评的详细结果，并能查看当时练习的整字及评测结果。</w:t>
            </w:r>
            <w:r>
              <w:rPr>
                <w:rFonts w:hint="eastAsia" w:ascii="宋体" w:hAnsi="宋体" w:eastAsia="宋体" w:cs="宋体"/>
                <w:i w:val="0"/>
                <w:iCs w:val="0"/>
                <w:strike w:val="0"/>
                <w:dstrike w:val="0"/>
                <w:color w:val="000000"/>
                <w:kern w:val="0"/>
                <w:sz w:val="21"/>
                <w:szCs w:val="21"/>
                <w:highlight w:val="none"/>
                <w:u w:val="none"/>
                <w:lang w:val="en-US" w:eastAsia="zh-CN" w:bidi="ar"/>
              </w:rPr>
              <w:t>（需在第三方检测机构出具的测试报告体现此条功能）</w:t>
            </w:r>
          </w:p>
          <w:p w14:paraId="7BB9EC3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5.针对学生互动终端收取的作业（而不是通过手机或平板电脑单独采集的作业），可对作业上的多字同时进行智能评测分析，可查看作业中任意字的评测结果。</w:t>
            </w:r>
          </w:p>
          <w:p w14:paraId="26CC0AB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6.支持整体自动智能评测功能，根据作业与原帖的符合程度进行打分。</w:t>
            </w:r>
          </w:p>
          <w:p w14:paraId="143C04A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7.可对字的结构进行自动智能评测，评测时根据每个字的复杂程度从多个评价维度进行分析，不同的字的结构不同，其评价维度的名称、数量不完全相同。</w:t>
            </w:r>
          </w:p>
          <w:p w14:paraId="65DF960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8.对结构智能评测时，每个字的评价维度均配有教学视频。</w:t>
            </w:r>
          </w:p>
          <w:p w14:paraId="3FF5ADD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9.对结构智能评测时，按照每个字的评价维度，自动描述该字的结构方面出现的每一个问题，并自动给出文字性的指导建议，针对书写出现的每个问题都自动给出指导图片和书写指导视频。</w:t>
            </w:r>
          </w:p>
          <w:p w14:paraId="47B4A95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10.可对作业中单字的每个笔画进行自动智能评价，对有问题的笔画自动突出标识。</w:t>
            </w:r>
          </w:p>
          <w:p w14:paraId="5C1A39F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11.笔画智能评价时，可自动将作业中的每个笔画与原帖的笔画进行图片对比。</w:t>
            </w:r>
          </w:p>
          <w:p w14:paraId="742887A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12.笔画智能评价时，对书写出现问题的每一个笔画都自动描述书写问题，并自动给出指导意见。</w:t>
            </w:r>
          </w:p>
          <w:p w14:paraId="239F91D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13.支持对智能评价结果自动生成整体评测报告。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A822A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9C6C2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22670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CB488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00AE1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作品虚拟展馆展示系统软件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214A5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一、展示参观</w:t>
            </w:r>
          </w:p>
          <w:p w14:paraId="44E7DE3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1.虚拟展馆入口支持学校真实场景融入。</w:t>
            </w:r>
          </w:p>
          <w:p w14:paraId="05645B7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2.支持展示特定场所的3D实景，支持展示虚拟3D展馆。虚拟展馆设有路径点用于3D漫游。</w:t>
            </w:r>
          </w:p>
          <w:p w14:paraId="2A2C9CD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3.虚拟展馆可展示书法作品、美术作品、碑帖图，也可展示视频，视频支持自动播放和手动播放两种方式。</w:t>
            </w:r>
          </w:p>
          <w:p w14:paraId="3302897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4.参观者可查看作品介绍、作者介绍，可对作品或视频进行点赞或留言。点击作品时，可对作品进行全幅画面欣赏，也可自由缩放展示。</w:t>
            </w:r>
          </w:p>
          <w:p w14:paraId="7F3FF19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5.在虚拟场景的房间内，支持参观者使用3D形象，不同参观者进入房间后可以看到其他参观者的实时位置以及走动过程，点击其他参观者，可进行互动交流。</w:t>
            </w:r>
          </w:p>
          <w:p w14:paraId="1D497F1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6.在虚拟场景中 ，可以通过键盘控制进行平滑移动，也可通过预设的位置点进行快速移动，还可调出快速导航功能，进行房间切换或场景切换。</w:t>
            </w:r>
          </w:p>
          <w:p w14:paraId="3F0B63AA">
            <w:pPr>
              <w:keepNext w:val="0"/>
              <w:keepLines w:val="0"/>
              <w:widowControl/>
              <w:suppressLineNumbers w:val="0"/>
              <w:jc w:val="left"/>
              <w:textAlignment w:val="center"/>
              <w:rPr>
                <w:rFonts w:hint="eastAsia" w:ascii="宋体" w:hAnsi="宋体" w:eastAsia="宋体" w:cs="宋体"/>
                <w:i w:val="0"/>
                <w:iCs w:val="0"/>
                <w:strike w:val="0"/>
                <w:dstrike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7.★在虚拟场景模式下的房间内，可进行专注方式观赏。专注方式下，可打开或关闭房间灯光，可打开探照灯聚焦显示关键区域，也可打开灯光跟随效果，随时照明用户周围区域的作品。</w:t>
            </w:r>
            <w:r>
              <w:rPr>
                <w:rFonts w:hint="eastAsia" w:ascii="宋体" w:hAnsi="宋体" w:eastAsia="宋体" w:cs="宋体"/>
                <w:i w:val="0"/>
                <w:iCs w:val="0"/>
                <w:strike w:val="0"/>
                <w:dstrike w:val="0"/>
                <w:color w:val="000000"/>
                <w:kern w:val="0"/>
                <w:sz w:val="21"/>
                <w:szCs w:val="21"/>
                <w:highlight w:val="none"/>
                <w:u w:val="none"/>
                <w:lang w:val="en-US" w:eastAsia="zh-CN" w:bidi="ar"/>
              </w:rPr>
              <w:t>（需在第三方检测机构出具的测试报告体现此条功能）</w:t>
            </w:r>
          </w:p>
          <w:p w14:paraId="5CDF71F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二、展馆管理</w:t>
            </w:r>
          </w:p>
          <w:p w14:paraId="140991C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8.可设置学校简介，学校简介包含文字描述以及封面图片。</w:t>
            </w:r>
          </w:p>
          <w:p w14:paraId="7EF125F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9.可进行作品管理，作品可单独上传，也支持使用智慧书法教室的互动教学系统批量采集。可进行视频素材管理。</w:t>
            </w:r>
          </w:p>
          <w:p w14:paraId="2B125AE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支持创建基于真实场景、虚拟场景或真实虚拟场景混合模式的展馆。系统内置不同风格的虚拟场景建筑设计方案，用户可使用不同方案进行自由组合，方案内的各种建筑还可自主设计布局。虚拟展馆搭建后，可将作品、视频布置到真实场景或虚拟场景中。</w:t>
            </w:r>
          </w:p>
          <w:p w14:paraId="09442D2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11.作品具备装裱功能，可使用中堂、斗方装裱形式。视频可加多种边框装饰效果。</w:t>
            </w:r>
          </w:p>
          <w:p w14:paraId="34B8FE2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12.可设置展馆的背景音乐，进入展馆后自动播放。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67BCB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211A4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14FB6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A9F03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3E62B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中控系统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F24E5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1.开机界面即是智慧书法教学系统平台界面，通过主机系统直接控制书法直播系统、大屏、软件等软硬件；</w:t>
            </w:r>
          </w:p>
          <w:p w14:paraId="01CEBFB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2.支持统一授课模式，把教师端软件直接同步到学生端交互式数字临摹台；</w:t>
            </w:r>
          </w:p>
          <w:p w14:paraId="0E3FBF6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3.教师在控制系统软件平台上直接可以切换到自主学习模式，学生独立使用临摹台上的学生端软件；</w:t>
            </w:r>
          </w:p>
          <w:p w14:paraId="2A0101B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4.支持所有学生端临摹台智能洗笔的统一控制；</w:t>
            </w:r>
          </w:p>
          <w:p w14:paraId="1878687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5.系统平台有独立的音乐背景模块软件；</w:t>
            </w:r>
          </w:p>
          <w:p w14:paraId="338A229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6.板书专用手写屏规格：</w:t>
            </w:r>
          </w:p>
          <w:p w14:paraId="3791DC4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显示尺寸：≥21.5寸（16:9）；</w:t>
            </w:r>
          </w:p>
          <w:p w14:paraId="149E51E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解析度：≥1920*1080；</w:t>
            </w:r>
          </w:p>
          <w:p w14:paraId="0D08229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对比度：≥1000:1；</w:t>
            </w:r>
          </w:p>
          <w:p w14:paraId="0736481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感应方式：电磁式；</w:t>
            </w:r>
          </w:p>
          <w:p w14:paraId="328A20A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分辨率：≥2000Lpi；</w:t>
            </w:r>
          </w:p>
          <w:p w14:paraId="36EFF22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反应速度：≥200点/秒；</w:t>
            </w:r>
          </w:p>
          <w:p w14:paraId="27A6AFC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压感：≥2048级；</w:t>
            </w:r>
          </w:p>
          <w:p w14:paraId="30B049F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压感笔1支。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66290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42DCD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6A8AC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7A76D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A1BBE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学生互动拍摄及Ai握笔监测系统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91AC4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软笔Ai握笔姿势智能监测硬件和学生互动拍摄硬件融合一体，软笔Ai握笔姿势智能监测系统的监测硬件在互动拍摄架立杆中间偏下位置，学生互动拍摄硬件在互动拍摄架“7”字型横杆的下方，互动拍摄硬件具有笔架功能，支持同时挂三只毛笔。</w:t>
            </w:r>
          </w:p>
          <w:p w14:paraId="2FFE1414">
            <w:pPr>
              <w:keepNext w:val="0"/>
              <w:keepLines w:val="0"/>
              <w:widowControl/>
              <w:suppressLineNumbers w:val="0"/>
              <w:jc w:val="left"/>
              <w:textAlignment w:val="center"/>
              <w:rPr>
                <w:rFonts w:hint="eastAsia" w:ascii="宋体" w:hAnsi="宋体" w:eastAsia="宋体" w:cs="宋体"/>
                <w:i w:val="0"/>
                <w:iCs w:val="0"/>
                <w:strike w:val="0"/>
                <w:dstrike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2.★学生端临摹台的软件支持互动拍摄及握笔姿势监测硬件，互动拍摄硬件与现有学生端临摹台的硬件对接；互动拍摄通过USB连接交互式数字临摹台进行供电，USB线在桌面上不外露。</w:t>
            </w:r>
            <w:r>
              <w:rPr>
                <w:rFonts w:hint="eastAsia" w:ascii="宋体" w:hAnsi="宋体" w:eastAsia="宋体" w:cs="宋体"/>
                <w:i w:val="0"/>
                <w:iCs w:val="0"/>
                <w:strike w:val="0"/>
                <w:dstrike w:val="0"/>
                <w:color w:val="000000"/>
                <w:kern w:val="0"/>
                <w:sz w:val="21"/>
                <w:szCs w:val="21"/>
                <w:highlight w:val="none"/>
                <w:u w:val="none"/>
                <w:lang w:val="en-US" w:eastAsia="zh-CN" w:bidi="ar"/>
              </w:rPr>
              <w:t>（需在第三方检测机构出具的测试报告体现此条功能）</w:t>
            </w:r>
          </w:p>
          <w:p w14:paraId="4F0F308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3.拍摄硬件帧速率：≥24帧。</w:t>
            </w:r>
          </w:p>
          <w:p w14:paraId="2009F3D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4.具备学生座位图功能，老师可管理班级、学生，并对学生进行排坐，形成座位图。</w:t>
            </w:r>
          </w:p>
          <w:p w14:paraId="5205458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5.老师直接双击座位图上的学生姓名即可查看该学生书写过程，支持老师通过控制系统切换每一个学生的书写过程实时传输到大屏和其他同学的临摹台上欣赏查看。</w:t>
            </w:r>
          </w:p>
          <w:p w14:paraId="2170ED0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6.一键收取作业:教师在中控台上可一键收取作业，作业按照学生座位图的顺序和位置关系进行排列。</w:t>
            </w:r>
          </w:p>
          <w:p w14:paraId="3F120F1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7.支持书写过程分享到本班，老师与同学实时观看其他同学的书写过程及作品。</w:t>
            </w:r>
          </w:p>
          <w:p w14:paraId="6030252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8.支持老师对任一学生的作品进行查看、讲评，并通过互动系统供其他学生观看讲评。</w:t>
            </w:r>
          </w:p>
          <w:p w14:paraId="0541D31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当出现握笔姿势错误时，学生端临摹台屏幕左上角显示握笔姿势错误提示图标。点击提示图标，系统会显示学生的握笔姿势具体的错误情况，以文字和图片拍摄方式同时给出监测到的握笔姿势错误，并配有正确姿势的文字和视频讲解。</w:t>
            </w:r>
          </w:p>
          <w:p w14:paraId="286A79F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当出现握笔姿势错误时，教师端系统能实时监测并出现握笔姿势错误提示，点击提示图标，能显示错误握笔人员所在临摹台的位置信息，能显示握笔姿势的具体错误情况，以文字和图片拍摄方式同时给出监测到的握笔姿势错误，并配有正确姿势的文字和视频讲解。</w:t>
            </w:r>
          </w:p>
          <w:p w14:paraId="5915122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11.教师机系统能监测到所有学生的握笔姿势错误情况，并形成记录。可通过查看记录显示错误握笔人员所在临摹台的位置信息，以文字和图片拍摄方式同时给出监测到的握笔姿势错误。</w:t>
            </w:r>
          </w:p>
          <w:p w14:paraId="1CA815D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12.学生端和教师端能监测到握杆错误、食指上翘错误、五指分开错误等多种常见的握笔姿势错误。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FD645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D1C19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r>
      <w:tr w14:paraId="4FC9A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F5406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4E708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交互式书法练习台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C463C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1.仿古设计，弧形腿，框架结构：松木；</w:t>
            </w:r>
          </w:p>
          <w:p w14:paraId="13E3453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2.规格：≤134cm×60cm×75cm；左右两边两个墨盒孔，长宽：≤13.8cm×7.8cm；左右两边两个临摹台开关孔，长宽：≤7.5cm×1.8cm；洗笔器开关孔直径：≤1.6cm；桌面厚度：≥3.5cm；</w:t>
            </w:r>
          </w:p>
          <w:p w14:paraId="2F85B9A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3.交互式数字临摹台能无缝嵌入至书法桌，嵌入后临摹台与书法桌表面水平，为一体化设计；</w:t>
            </w:r>
          </w:p>
          <w:p w14:paraId="35B8541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4.书法桌学生一侧具有嵌入式临摹台开关，音频接口，USB接口；</w:t>
            </w:r>
          </w:p>
          <w:p w14:paraId="58161A9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5.专业笔搁；</w:t>
            </w:r>
          </w:p>
          <w:p w14:paraId="3213A183">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6.配套实木方凳2个。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232E9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D679C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28</w:t>
            </w:r>
          </w:p>
        </w:tc>
      </w:tr>
      <w:tr w14:paraId="0C26D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CFAE5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4949C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智能笔洗系统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FB0BA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1.教师端通过书法教学系统软件控制笔洗，具备一键启用、禁用笔洗系统和教师端一键洗笔功能，当启用笔洗系统时，学生可以通过临摹台控制自己座位上的笔洗，当开启一键洗笔功能时，洗笔系统会自动出水；</w:t>
            </w:r>
          </w:p>
          <w:p w14:paraId="5B742BF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2.洗笔系统具备临摹台控制模式和教师端系统一键洗笔模式；</w:t>
            </w:r>
          </w:p>
          <w:p w14:paraId="5FC8D01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3.学生触控临摹台软件界面控制笔洗，可以选择润笔功能、洗笔功能选项，学生可以根据需要进行选择；</w:t>
            </w:r>
          </w:p>
          <w:p w14:paraId="68577CD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4.教师端系统一键洗笔功能下，教师端系统可以一键开启所有临摹台的笔洗，学生获得30秒的洗笔时间，30秒后笔洗自动关闭；</w:t>
            </w:r>
          </w:p>
          <w:p w14:paraId="6C1BE74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5.笔洗系统启动后，笔洗漏斗内始终保持2cm高水位的存水量；</w:t>
            </w:r>
          </w:p>
          <w:p w14:paraId="6F135E8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6.笔洗系统的出水口不超过桌面(在笔洗漏斗的上口平面以下）、笔洗系统的漏斗具有防溢出功能。直径10cm防溢出漏斗1个。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22CC6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72283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28</w:t>
            </w:r>
          </w:p>
        </w:tc>
      </w:tr>
      <w:tr w14:paraId="4A25E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6F0F6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98EE5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学生互动拍摄系统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EC3A7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学生端临摹台的软件支持互动拍摄硬件，互动拍摄硬件与现有学生端临摹台的硬件对接，硬件固定到学生书法桌上；互动拍摄硬件具有笔架功能，支持同时挂三只毛笔；（需提供产品硬件实物图片，验收时需与图片内容比对）</w:t>
            </w:r>
          </w:p>
          <w:p w14:paraId="0FBA23E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2.通过USB连接交互式数字临摹台进行供电，USB线在桌面上不外露；</w:t>
            </w:r>
          </w:p>
          <w:p w14:paraId="3FE578C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3.帧速率不低于24帧；</w:t>
            </w:r>
          </w:p>
          <w:p w14:paraId="086EE9B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4.具备学生座位图功能，老师可管理班级、学生，并对学生进行排坐，形成座位图；</w:t>
            </w:r>
          </w:p>
          <w:p w14:paraId="6362BBE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5.老师直接双击座位图上的学生姓名即可查看该学生书写过程，支持老师通过控制系统切换每一个学生的书写过程实时传输到大屏和其他同学的临摹台上欣赏查看；</w:t>
            </w:r>
          </w:p>
          <w:p w14:paraId="5FB3F92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6.一键收取作业:教师在中控台上可一键收取作业，作业按照学生座位图的顺序和位置关系进行排列；</w:t>
            </w:r>
          </w:p>
          <w:p w14:paraId="5197879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7.支持书写过程分享到本班，老师与同学实时观看其他同学的书写过程及作品；</w:t>
            </w:r>
          </w:p>
          <w:p w14:paraId="38AAA53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8.支持老师对任一学生的作品进行查看、讲评，并通过互动系统供其他学生观看讲评。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7CCEC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732B2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48</w:t>
            </w:r>
          </w:p>
        </w:tc>
      </w:tr>
      <w:tr w14:paraId="24A76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2951D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82C99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交互式数字临摹台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9ED30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1.一体化设计，基于iOS或者Android系统，支持远程升级。高清临摹：支持学生用宣纸、毛笔传统的方式进行高清临摹，能临摹长宽均不大于1cm的电子字帖。</w:t>
            </w:r>
          </w:p>
          <w:p w14:paraId="32D4ECC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2.★临摹台支持网络供电功能，只需要在临摹台的网络接口插入一根网线，即可实现临摹台的供电和网络接入的功能。（需提供产品实物照片，验收时需与实物对比）</w:t>
            </w:r>
          </w:p>
          <w:p w14:paraId="7DAF415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支持十点触控功能，可用手指直接操控系统；支持分屏触控功能，支持临摹台左边一半能触控，即左边可以播放例字视频，并可以暂停或者快进以及调节音量大小；右边一半不能触控，右边排版好当前播放的例字字帖，可以实现摹帖和临帖；支持手指双击碑帖自动放大缩小功能；</w:t>
            </w:r>
          </w:p>
          <w:p w14:paraId="3FA05A5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4.高可视角度：＞80/80/80/80 （上下左右）；</w:t>
            </w:r>
          </w:p>
          <w:p w14:paraId="2BC39A4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5.摹帖屏可承重60kg以上无裂痕；</w:t>
            </w:r>
          </w:p>
          <w:p w14:paraId="3C7C51E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6.防水：临摹屏支持防水功能；</w:t>
            </w:r>
          </w:p>
          <w:p w14:paraId="45D9D0F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7.耐磨：临摹区面板可抗击100000次以上自然摩擦无划痕；</w:t>
            </w:r>
          </w:p>
          <w:p w14:paraId="1D4819F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8.护眼功能：发光柔和护眼，亮度低于260cd/m2；</w:t>
            </w:r>
          </w:p>
          <w:p w14:paraId="036C456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9.支持RJ45接口；</w:t>
            </w:r>
          </w:p>
          <w:p w14:paraId="56AD536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10.支持WiFi连接；</w:t>
            </w:r>
          </w:p>
          <w:p w14:paraId="3FB04AC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11.摹帖屏显示尺寸：＞45cm×25cm；分辨率：1920×1080；</w:t>
            </w:r>
          </w:p>
          <w:p w14:paraId="0444109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12.临摹台外置分体式接口：耳机插孔、USB接口、电源开关，并将分体式接口嵌入在临摹桌桌面前侧（学生座位一侧）；</w:t>
            </w:r>
          </w:p>
          <w:p w14:paraId="4739B54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13.支持自主学习模式下的碑帖临摹功能；</w:t>
            </w:r>
          </w:p>
          <w:p w14:paraId="569D5C7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14.支持一键自动更新碑帖功能；</w:t>
            </w:r>
          </w:p>
          <w:p w14:paraId="7D423A8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15.支持一键系统整体升级功能； </w:t>
            </w:r>
          </w:p>
          <w:p w14:paraId="2D9183D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16.上电自动开机，直接进入学生自主学习软件界面，通过学校、班级、账号、密码登录，直接触控操作软件系统；</w:t>
            </w:r>
          </w:p>
          <w:p w14:paraId="38BC53F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17.碑帖系统：支持碑帖手指八点触控放大缩小功能，支持临帖电子毛毡功能，电子毛毡能触控放大缩小，位置随意摆放，支持碑帖通过年代、字体、作者搜索选择功能；</w:t>
            </w:r>
          </w:p>
          <w:p w14:paraId="1B08844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18.练习系统：支持字体排版功能，支持书体、作者、字形、笔类、笔画、偏旁、结构排版字体，支持字格数量的设置功能，支持米字格、田字格、九宫格、田回格、大方格多种背景随意变化，支持一键清空功能；</w:t>
            </w:r>
          </w:p>
          <w:p w14:paraId="37C9E1E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19.名家课堂系统：具备专家视频课程。</w:t>
            </w:r>
          </w:p>
          <w:p w14:paraId="5D8E0C5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20.支持软件方式调节音量和亮度的功能；</w:t>
            </w:r>
          </w:p>
          <w:p w14:paraId="7274050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21.支持统一授课模式和自主学习模式切换功能，模式切换由老师控制；</w:t>
            </w:r>
          </w:p>
          <w:p w14:paraId="21AEF12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22.支持学生通过自己账号登陆书法学习平台，拍照上传自己的书法作品，支持将软笔书写过程进行录制上传，同时支持查看自己的历史作品和书写过程视频记录（该功能需配备教学互动系统）；</w:t>
            </w:r>
          </w:p>
          <w:p w14:paraId="05FB907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23.临摹台的学习书法软件平台有“润笔”和“洗笔”按钮，通过软件触控操作，智能笔洗自动出水。</w:t>
            </w:r>
          </w:p>
          <w:p w14:paraId="264D932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24.包含颜体1、颜体2、欧、柳、赵5套基本课程，每套课程各128课时（不少于30分钟/课时），共640课时；每一课都包含“基础知识”、“初步印象”、“继续观察”、“示范讲解”、 “动手体验”、“知识扩展”、 “课堂练习”、“课堂检测”、“回帖学习”等教学环节；</w:t>
            </w:r>
          </w:p>
          <w:p w14:paraId="4077CD2A">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25.教学环节---基础知识：根据本节课的内容设计基础知识的内容，书法知识涉及笔墨纸砚基本工具、书写姿势、握笔姿势基本要求以及书家、书写材料、碑帖知识、书论一系列内容。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82AF3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9DD43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56</w:t>
            </w:r>
          </w:p>
        </w:tc>
      </w:tr>
      <w:tr w14:paraId="1650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D525B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4DD37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高清网络多通道同步传输系统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A9E54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1.网络类型：RJ45、无线WiFi；</w:t>
            </w:r>
          </w:p>
          <w:p w14:paraId="30B5230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2.通过网络将教师端软件系统同步传输到交互式数字临摹台；</w:t>
            </w:r>
          </w:p>
          <w:p w14:paraId="096ECE5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3.传输内容：教师端视频、教师端音频、教师端图片、教师端文本；</w:t>
            </w:r>
          </w:p>
          <w:p w14:paraId="16DADF9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4.支持通过网络与所有终端进行通信。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8B12E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35D2D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56</w:t>
            </w:r>
          </w:p>
        </w:tc>
      </w:tr>
      <w:tr w14:paraId="12C5E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DC7FD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71C84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学生镇尺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B6681A">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专业镇尺，软材质，磁吸式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10F45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C206C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56</w:t>
            </w:r>
          </w:p>
        </w:tc>
      </w:tr>
      <w:tr w14:paraId="475FB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793D9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791CE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学生毛笔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C068B3">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学生练习专用毛笔。兼毫中锋。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8D5FC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10029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56</w:t>
            </w:r>
          </w:p>
        </w:tc>
      </w:tr>
      <w:tr w14:paraId="4944A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A3259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9D6D5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多功能墨盒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63C9D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1.墨盒嵌入在桌面；材质：ABS；</w:t>
            </w:r>
          </w:p>
          <w:p w14:paraId="276D4A6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2.外观尺寸：≤140×80×33mm；墨盒盖尺寸：≤140.mm×80.mm×6.5mm；墨盒右边水池：≤46×67mm，墨盒左上墨水池：≤33×56mm，左下舔笔台：≤33×56mm，左上角引流槽一个。</w:t>
            </w:r>
          </w:p>
          <w:p w14:paraId="64281FA4">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3.墨盒采用微倒扣防挥发设计，所盛墨汁可保持百日以上不干涸。墨盒集刮笔、舔笔、润笔功能于一体。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64C3D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ED387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56</w:t>
            </w:r>
          </w:p>
        </w:tc>
      </w:tr>
      <w:tr w14:paraId="7BD96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1FF13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FDA5A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临摹专用纸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E1E23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书法专用临摹纸，100张/包，半生熟，兼具吸水性和不渗墨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F4B3F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6125C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56</w:t>
            </w:r>
          </w:p>
        </w:tc>
      </w:tr>
      <w:tr w14:paraId="4F6F8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593F7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464EE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环境改造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04674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1、后墙作品展示区布设；</w:t>
            </w:r>
          </w:p>
          <w:p w14:paraId="25F1857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2、地面铺设木地板，暗线开槽布线；</w:t>
            </w:r>
          </w:p>
          <w:p w14:paraId="7410404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3、包裹暖气，中式窗帘</w:t>
            </w:r>
          </w:p>
          <w:p w14:paraId="5886B9C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4、中式吊顶及中式吸顶灯</w:t>
            </w:r>
          </w:p>
          <w:p w14:paraId="3100F69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5、前墙背景，水槽*2</w:t>
            </w:r>
          </w:p>
          <w:p w14:paraId="41F58D3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6、墙面墙布、不锈钢地脚线、书画作品软装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1703C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DA5F3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38931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5B14A90">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常规美术教室</w:t>
            </w:r>
          </w:p>
        </w:tc>
      </w:tr>
      <w:tr w14:paraId="1A1CE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D95DE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7E5F4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书画教学展示台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2BF075">
            <w:pPr>
              <w:keepNext w:val="0"/>
              <w:keepLines w:val="0"/>
              <w:widowControl/>
              <w:suppressLineNumbers w:val="0"/>
              <w:jc w:val="left"/>
              <w:textAlignment w:val="center"/>
              <w:rPr>
                <w:rFonts w:hint="eastAsia" w:ascii="宋体" w:hAnsi="宋体" w:eastAsia="宋体" w:cs="宋体"/>
                <w:i w:val="0"/>
                <w:iCs w:val="0"/>
                <w:strike w:val="0"/>
                <w:dstrike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1.★拍摄架：≥10千克，全金属构架,摄像机竖立的主支架杆须立于拍摄架底座板的左上角；</w:t>
            </w:r>
            <w:r>
              <w:rPr>
                <w:rFonts w:hint="eastAsia" w:ascii="宋体" w:hAnsi="宋体" w:eastAsia="宋体" w:cs="宋体"/>
                <w:i w:val="0"/>
                <w:iCs w:val="0"/>
                <w:strike w:val="0"/>
                <w:dstrike w:val="0"/>
                <w:color w:val="000000"/>
                <w:kern w:val="0"/>
                <w:sz w:val="21"/>
                <w:szCs w:val="21"/>
                <w:highlight w:val="none"/>
                <w:u w:val="none"/>
                <w:lang w:val="en-US" w:eastAsia="zh-CN" w:bidi="ar"/>
              </w:rPr>
              <w:t>（需在第三方检测机构出具的测试报告体现此条功能）</w:t>
            </w:r>
          </w:p>
          <w:p w14:paraId="2F4729E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2.支持清晰拍摄软硬笔的书写；</w:t>
            </w:r>
          </w:p>
          <w:p w14:paraId="39CCC67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3.配置3台摄像机从不同角度拍摄；</w:t>
            </w:r>
          </w:p>
          <w:p w14:paraId="25B94A3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4.摄像机3台。</w:t>
            </w:r>
          </w:p>
          <w:p w14:paraId="22D49E8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（1）拍摄面积：大于A3幅面（距离镜头≥45cm处）；长宽高：≤120 mm×70 mm×70 mm，直播画面分辨率：1920×1080，自动亮度调节；支持自动对焦功能。</w:t>
            </w:r>
          </w:p>
          <w:p w14:paraId="62F350D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（2）总像素：500万；帧数：≥30FPS，实时输出画面高速流畅，移动展示物体无明显拖尾、模糊、延迟等现象；</w:t>
            </w:r>
          </w:p>
          <w:p w14:paraId="0F818B3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 输出接口：RJ45；</w:t>
            </w:r>
          </w:p>
          <w:p w14:paraId="53D052B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（4） 电源：DC12V； </w:t>
            </w:r>
          </w:p>
          <w:p w14:paraId="46AEFB9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5.支持保存镜头位置，支持6个档位设置，需要时可一键调出，自动恢复到相应位置；</w:t>
            </w:r>
          </w:p>
          <w:p w14:paraId="50D0816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6.支持场景式网络课堂教学系统直接调取3台摄像机使用；</w:t>
            </w:r>
          </w:p>
          <w:p w14:paraId="3ABF09DD">
            <w:pPr>
              <w:keepNext w:val="0"/>
              <w:keepLines w:val="0"/>
              <w:widowControl/>
              <w:suppressLineNumbers w:val="0"/>
              <w:jc w:val="left"/>
              <w:textAlignment w:val="center"/>
              <w:rPr>
                <w:rFonts w:hint="eastAsia" w:ascii="宋体" w:hAnsi="宋体" w:eastAsia="宋体" w:cs="宋体"/>
                <w:i w:val="0"/>
                <w:iCs w:val="0"/>
                <w:strike/>
                <w:dstrike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7.★支持正面摄像机、侧面摄像机拍摄长宽均不大于3毫米的字（可清晰辨识文字内容），拍摄高度不低于65厘米；</w:t>
            </w:r>
            <w:r>
              <w:rPr>
                <w:rFonts w:hint="eastAsia" w:ascii="宋体" w:hAnsi="宋体" w:eastAsia="宋体" w:cs="宋体"/>
                <w:i w:val="0"/>
                <w:iCs w:val="0"/>
                <w:strike w:val="0"/>
                <w:dstrike w:val="0"/>
                <w:color w:val="000000"/>
                <w:kern w:val="0"/>
                <w:sz w:val="21"/>
                <w:szCs w:val="21"/>
                <w:highlight w:val="none"/>
                <w:u w:val="none"/>
                <w:lang w:val="en-US" w:eastAsia="zh-CN" w:bidi="ar"/>
              </w:rPr>
              <w:t>（需在第三方检测机构出具的测试报告体现此条功能）</w:t>
            </w:r>
          </w:p>
          <w:p w14:paraId="19F4809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8.摄像机机壳为全封闭结构，镜头必须封闭在摄像机机壳内部，防止落尘或者不慎操作损坏镜头；</w:t>
            </w:r>
          </w:p>
          <w:p w14:paraId="15A81D04">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9.软件界面可调整缩放倍数，并立即展示缩放后的效果。缩放后可全自动对焦清晰显示或通过软件界面手动对焦清晰显示。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16809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FAD38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444BA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8481C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85CD1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书画教学直播系统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220D1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1．系统支持连接书画教学展示台的三台摄像机同时拍摄直播、录像，其中两台摄像机进行同时拍摄录课，另一台摄像机录制授课特写画面；</w:t>
            </w:r>
          </w:p>
          <w:p w14:paraId="49A845A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软件界面同时显示正面、侧面、特写三个画面，并在画面上进行标识，画面上标识正面、侧面、特写。支持单镜头画面、双镜头画面、三镜头画面、画中画四种录播模式功能，四种显示模式都直接双击切换。支持三台摄像机的视频语音录制功能；支持三个画面同步回放功能；支持播放文件时间显示数字走表功能；支持在软件内直接修改视频、图片文件名，支持拍摄的视频文件自带拍摄年、月、日、时、分、秒信息。</w:t>
            </w:r>
          </w:p>
          <w:p w14:paraId="7B58EAA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3.支持快镜头播放、暂停功能；</w:t>
            </w:r>
          </w:p>
          <w:p w14:paraId="5CB6079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4.支持慢镜头播放、暂停功能；</w:t>
            </w:r>
          </w:p>
          <w:p w14:paraId="36DE73C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5.支持摄像机自动录音功能，软件调节声音大小；</w:t>
            </w:r>
          </w:p>
          <w:p w14:paraId="10C81D0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6.支持在画面上任意批注功能；</w:t>
            </w:r>
          </w:p>
          <w:p w14:paraId="30CEAA7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7.教师在示范书写的时候，可以在界面同时展现要示范的例字的视频、例字多个字体、例字的多个碑帖，显示在软件摄像机拍摄的界面，字帖可随意放大缩小，可随意放在软件界面的任何位置；</w:t>
            </w:r>
          </w:p>
          <w:p w14:paraId="04631CF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8.支持一键抓图、看图功能；</w:t>
            </w:r>
          </w:p>
          <w:p w14:paraId="7448BA1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 支持正面、侧面、特写三个镜头具有设置功能；</w:t>
            </w:r>
          </w:p>
          <w:p w14:paraId="5F7ACC0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 支持设置功能包括缩放、指定档位功能；</w:t>
            </w:r>
          </w:p>
          <w:p w14:paraId="417A464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 缩放：支持鼠标滚轮调节缩放比例功能；</w:t>
            </w:r>
          </w:p>
          <w:p w14:paraId="4E360DC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 支持缩放比例自动对焦，调节缩放比例，选择自动对焦，系统依据缩放比例自动对焦。</w:t>
            </w:r>
          </w:p>
          <w:p w14:paraId="1DE95C3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 支持教师把调整好的缩放和焦距参数快捷保存到指定档位，下次使用时可以一键选档，一键快捷切换档位时，摄像机缩放和焦距自动调节到本档位的对应参数；支持保存6个档位。</w:t>
            </w:r>
            <w:r>
              <w:rPr>
                <w:rFonts w:hint="eastAsia" w:ascii="宋体" w:hAnsi="宋体" w:eastAsia="宋体" w:cs="宋体"/>
                <w:i w:val="0"/>
                <w:iCs w:val="0"/>
                <w:strike w:val="0"/>
                <w:dstrike w:val="0"/>
                <w:color w:val="000000"/>
                <w:kern w:val="0"/>
                <w:sz w:val="21"/>
                <w:szCs w:val="21"/>
                <w:highlight w:val="none"/>
                <w:u w:val="none"/>
                <w:lang w:val="en-US" w:eastAsia="zh-CN" w:bidi="ar"/>
              </w:rPr>
              <w:t>（需在第三方检测机构出具的测试报告体现此条功能）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C15E1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BCD13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4DB70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84BBF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0" w:type="auto"/>
            <w:tcBorders>
              <w:top w:val="nil"/>
              <w:left w:val="single" w:color="000000" w:sz="4" w:space="0"/>
              <w:bottom w:val="single" w:color="000000" w:sz="4" w:space="0"/>
              <w:right w:val="single" w:color="000000" w:sz="4" w:space="0"/>
            </w:tcBorders>
            <w:shd w:val="clear" w:color="auto" w:fill="auto"/>
            <w:vAlign w:val="center"/>
          </w:tcPr>
          <w:p w14:paraId="142D746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教师书画条案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414AA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1.规格：200cm×80cm×75cm；</w:t>
            </w:r>
          </w:p>
          <w:p w14:paraId="3512B7F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2.古典书桌设计，烤漆处理；</w:t>
            </w:r>
          </w:p>
          <w:p w14:paraId="1063EF8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3.全部卯榫结构；</w:t>
            </w:r>
          </w:p>
          <w:p w14:paraId="12F7EA1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4.支持将本方案中的中控、教师手绘屏、直播系统集成在中控条案中；</w:t>
            </w:r>
          </w:p>
          <w:p w14:paraId="7865BAA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5.砚台：≥20cm×13cm×2.5cm，材质：螺纹石；</w:t>
            </w:r>
          </w:p>
          <w:p w14:paraId="475C862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6.毛笔笔架：≥36cm×34cm×10cm，材质: 鸡翅木；</w:t>
            </w:r>
          </w:p>
          <w:p w14:paraId="582F445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7.笔洗：≥7.5cm×20cm，材质：优质陶瓷；</w:t>
            </w:r>
          </w:p>
          <w:p w14:paraId="51EB469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8.砚台水滴：陶瓷；</w:t>
            </w:r>
          </w:p>
          <w:p w14:paraId="7965BE3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9.镇尺：加重型黑梓木；</w:t>
            </w:r>
          </w:p>
          <w:p w14:paraId="2DDA32E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10.笔搁：卧式笔架，材质：实木；</w:t>
            </w:r>
          </w:p>
          <w:p w14:paraId="527F609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11.毛毡：≥1×2米，可以水洗反复使用；</w:t>
            </w:r>
          </w:p>
          <w:p w14:paraId="211D574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12.笔筒：≥12.5cm×9.5cm，材质: 黑檀；</w:t>
            </w:r>
          </w:p>
          <w:p w14:paraId="6E7B484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13.毛笔套装：笔头材质为纯狼毫；笔杆材质：天然黑湘妃；大号毛笔尺寸：出锋≥3.8cm、口径≥1.1cm、全长≥26.5cm；中号毛笔：出锋≥3.3cm、口径≥0.9cm、全长≥26.0cm；小号毛笔：出锋≥2.8cm，口径≥0.8cm，全长≥25.5cm；</w:t>
            </w:r>
          </w:p>
          <w:p w14:paraId="6C0F281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14.配套实木方凳1个。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1D31D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60CFC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59057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C9B14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AEFD0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中控系统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19A83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1.开机界面即是智慧书法教学系统平台界面，通过主机系统直接控制书法直播系统、大屏、软件等软硬件；</w:t>
            </w:r>
          </w:p>
          <w:p w14:paraId="56D1718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2.支持统一授课模式，把教师端软件直接同步到学生端交互式数字临摹台；</w:t>
            </w:r>
          </w:p>
          <w:p w14:paraId="594EA97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3.教师在控制系统软件平台上直接可以切换到自主学习模式，学生独立使用临摹台上的学生端软件；</w:t>
            </w:r>
          </w:p>
          <w:p w14:paraId="0E12406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4.支持所有学生端临摹台智能洗笔的统一控制；</w:t>
            </w:r>
          </w:p>
          <w:p w14:paraId="05B9423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5.系统平台有独立的音乐背景模块软件；</w:t>
            </w:r>
          </w:p>
          <w:p w14:paraId="5233F63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6.板书专用手写屏规格：显示尺寸：≥21.5寸（16:9）；解析度：≥1920*1080；对比度：≥1000:1；感应方式：电磁式；分辨率：≥2000Lpi；</w:t>
            </w:r>
          </w:p>
          <w:p w14:paraId="0E252D4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反应速度：≥200点/秒；压感：≥2048级；压感笔1支。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F9151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E10CF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77268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7C0CC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9D209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写生教具（1）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3BD7B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石膏像包含：阿古力巴切面1件，腊空半面1件，太阳神头像1件，海盗头像1件，小大卫头像1件，亚历山大1件，要求石膏像色泽洁白，轮廓清晰，形态逼真，表面无裂纹无沙眼。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BC50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95A4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r>
      <w:tr w14:paraId="2BDE7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24FDB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EF481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写生教具（2）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FD49F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圆球、四棱锥、六棱锥、长方体、正方体、圆柱体、六棱柱、圆锥、方带方、方锥带方、圆锥带圆、多面体、八棱柱、圆切、十二面体，要求色泽洁白，轮廓清晰。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A779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DA07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r>
      <w:tr w14:paraId="7CAC9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309CD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CD0D9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写生教具（3）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09BD8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蜡果六件，花瓶2件，仿瓷瓷碗2件，仿瓷瓷盘2件，砂锅2件，陶罐2件，玻璃制品4件，不锈钢器皿2件。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15A6B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E02C5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r>
      <w:tr w14:paraId="6D7BE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06E95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249A0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静物台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178A4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1.尺寸600*800*620mm，</w:t>
            </w:r>
          </w:p>
          <w:p w14:paraId="2A3ED61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2.材质：红榉木。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0A99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CB4B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r>
      <w:tr w14:paraId="58758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413E5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18E5F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衬布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AF7DA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1.尺寸≥1000×2000mm；</w:t>
            </w:r>
          </w:p>
          <w:p w14:paraId="472AFCD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2.棉、麻、丝、绒各色。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A434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40E0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w:t>
            </w:r>
          </w:p>
        </w:tc>
      </w:tr>
      <w:tr w14:paraId="460BF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01ABB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31FB6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写生灯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83391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1.立式可升降,落地升降总高度1260mm-2600mm;</w:t>
            </w:r>
          </w:p>
          <w:p w14:paraId="6432CA5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3.聚光灯罩合金板喷塑，直径≥260mm;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2D75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6920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r>
      <w:tr w14:paraId="6FBD5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AB867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42CD4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民间美术欣赏及写生样本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EA4A6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中国结、京剧脸谱、扎染、蜡染、皮影、年画、木板年画、剪纸、面具、泥塑、玩具、风车、纹样、风筝、唐三彩、彩陶器、瓷器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4306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63D8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035F3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AFDC4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80900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人体结构活动模型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013A7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1.高度≥400mm，</w:t>
            </w:r>
          </w:p>
          <w:p w14:paraId="60C9DA0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2.材质：木质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CDDA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A942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r>
      <w:tr w14:paraId="3F80F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E7B6F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32549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教师画架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12174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1.画架整体尺寸≥580*650*1400mm;</w:t>
            </w:r>
          </w:p>
          <w:p w14:paraId="3A556B5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2.材质：榉木;</w:t>
            </w:r>
          </w:p>
          <w:p w14:paraId="716471E4">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3.表面平整光滑、无毛刺、裂纹和疖疤。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96643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FF930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6951A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09022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D49AE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教师画板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DE08F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1.尺寸≥600×900×18mm，</w:t>
            </w:r>
          </w:p>
          <w:p w14:paraId="0E4FD7D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2.椴木板，边框松木。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9FB10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EAAD4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1B6F1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C6A2F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18A35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学生画板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68722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1.尺寸≥600×450×18mm;</w:t>
            </w:r>
          </w:p>
          <w:p w14:paraId="5723CF5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2.椴木板，边框松木。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D4CB5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6DAF4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56</w:t>
            </w:r>
          </w:p>
        </w:tc>
      </w:tr>
      <w:tr w14:paraId="24DCC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3E6BA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6CA38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学生画架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5550A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1.尺寸≥560*850*1400（1880）mm；</w:t>
            </w:r>
          </w:p>
          <w:p w14:paraId="0520CFB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2.材质：红榉木；</w:t>
            </w:r>
          </w:p>
          <w:p w14:paraId="58ACBAC8">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3.表面平整光滑、无毛刺、裂纹和疖疤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F6A58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361DE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56</w:t>
            </w:r>
          </w:p>
        </w:tc>
      </w:tr>
      <w:tr w14:paraId="200EA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DDD4C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07852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写生凳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BFC4B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1.直径≥300mm；</w:t>
            </w:r>
          </w:p>
          <w:p w14:paraId="525506E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2.材质：红榉木，可升降。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66BA7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830C6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57</w:t>
            </w:r>
          </w:p>
        </w:tc>
      </w:tr>
      <w:tr w14:paraId="10993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4968A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214D7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水彩画工具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20521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水彩画笔1～12#各一支，12格梅花调色盘，吸水海绵，可折叠水桶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E740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CB31A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57</w:t>
            </w:r>
          </w:p>
        </w:tc>
      </w:tr>
      <w:tr w14:paraId="2BC08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57D7F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169EB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水粉画工具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21DA7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水粉画笔1～12#各一支，椭圆1/3调色盘 400mm*290mm*1.2mm，24格调色盒带盖，可折叠水桶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3237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AFC51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57</w:t>
            </w:r>
          </w:p>
        </w:tc>
      </w:tr>
      <w:tr w14:paraId="169F9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B36E0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03881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素描工具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CBF6FA">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素描铅笔一套包括：2H2支、2B4支、HB1支、B2支、3B1支、4B1支、5B1支、6B1支、7B1支、8B1支），橡皮1块、可塑橡皮1块、美工刀1把、炭笔、炭条、铅笔延长器、纸笔各1支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C0EA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E73C9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57</w:t>
            </w:r>
          </w:p>
        </w:tc>
      </w:tr>
      <w:tr w14:paraId="59AE9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3DB16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90308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不锈钢纸夹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727DF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不锈钢材质，山形票夹，约可夹250张纸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4770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8D306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57</w:t>
            </w:r>
          </w:p>
        </w:tc>
      </w:tr>
      <w:tr w14:paraId="3D9B4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8345D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630D4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画纸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C8A09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160g，4k水彩画纸、水粉纸和素描纸各一袋，每袋20张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29FB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12CF1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29</w:t>
            </w:r>
          </w:p>
        </w:tc>
      </w:tr>
      <w:tr w14:paraId="7ECBE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2E183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DBA1E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水彩画颜料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85C1B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水彩颜料24色12ml/支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61537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09C15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29</w:t>
            </w:r>
          </w:p>
        </w:tc>
      </w:tr>
      <w:tr w14:paraId="23A95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EDDB6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86524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水粉颜料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E09D5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水粉颜料24色12ml/支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0BA8C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E4726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29</w:t>
            </w:r>
          </w:p>
        </w:tc>
      </w:tr>
      <w:tr w14:paraId="54CB5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1DCC3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1D064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展示画框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DC202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1.尺寸≥600mm×450mm，边框宽22mm厚31mm；</w:t>
            </w:r>
          </w:p>
          <w:p w14:paraId="513EFE8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2.实木画框；</w:t>
            </w:r>
          </w:p>
          <w:p w14:paraId="7F2CDDC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3.配背板，高透明亚克力面，挂钩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5C44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9576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r>
      <w:tr w14:paraId="4CD01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F9C9F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4D56C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展示画框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1E9FC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1.尺寸≥600mm×900mm，边框宽22mm厚31mm；</w:t>
            </w:r>
          </w:p>
          <w:p w14:paraId="1E192CB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2.实木画框；</w:t>
            </w:r>
          </w:p>
          <w:p w14:paraId="5E9475D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3.配背板，高透明亚克力面，挂钩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CC7D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6707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r>
      <w:tr w14:paraId="110E3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2FFA4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C3639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氛围营造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4BF6E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1、后墙作品展示区布设；</w:t>
            </w:r>
          </w:p>
          <w:p w14:paraId="5F0AB80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2、地面铺设木地板</w:t>
            </w:r>
          </w:p>
          <w:p w14:paraId="6C790AD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3、包裹暖气，窗帘</w:t>
            </w:r>
          </w:p>
          <w:p w14:paraId="31BF7AA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4、吊顶及中式吸顶灯</w:t>
            </w:r>
          </w:p>
          <w:p w14:paraId="7061F7F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5、前墙背景，水槽*2</w:t>
            </w:r>
          </w:p>
          <w:p w14:paraId="5EEC523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6、墙面墙布、不锈钢地脚线、书画作品软装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8378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296D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35BC9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7AFB48A">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体育器材</w:t>
            </w:r>
          </w:p>
        </w:tc>
      </w:tr>
      <w:tr w14:paraId="1AF89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E550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8D74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篮球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AF550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重量为：567-650 克，PU 材质，橡胶内胆，7 号球，周长： 74.9-78cm，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E8C5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7EB9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55</w:t>
            </w:r>
          </w:p>
        </w:tc>
      </w:tr>
      <w:tr w14:paraId="780B8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C752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6807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足球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73D12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周长：680mm-700mm，重量：410-450g，PVC丁基内胆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A0DC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B8E5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55</w:t>
            </w:r>
          </w:p>
        </w:tc>
      </w:tr>
      <w:tr w14:paraId="15A52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190A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CD5B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排球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48430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规格：5 号排球，PU，丁基内胆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499D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1EEC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55</w:t>
            </w:r>
          </w:p>
        </w:tc>
      </w:tr>
      <w:tr w14:paraId="0BE22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7617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7097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气压计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CAA01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裁判员测量球的气压用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061C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46E5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14:paraId="6867B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5A82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0DC2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组合式球类推车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22D5F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材质：加粗加厚钢材，工艺：烤漆，加大号球车，90.5cm*80.5cm*98cm，可装7号篮球35个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EA14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FB60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r>
      <w:tr w14:paraId="5B447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376E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3494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电动充气泵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7F431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升级静音单缸电动充气泵，出气量大，适用于各种球类充气，节时省力，更快更安全。220V电源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205D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4280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r>
      <w:tr w14:paraId="36A55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781F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93AA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羽毛球柱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EBAE6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1、拉网中央高度：1524士5mm </w:t>
            </w:r>
          </w:p>
          <w:p w14:paraId="4396600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2、网柱高度：1550士8mm</w:t>
            </w:r>
          </w:p>
          <w:p w14:paraId="28714C9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3、球网两端高度：球网两端高度不应高于拉网中央高度26mm，且两端应相等。4、环保要求：器材使用的非金属零部件及金属表面涂饰层，在正常使用中，不应存在染色、掉沫以及感官所能觉察到的较浓异味等现象。  </w:t>
            </w:r>
          </w:p>
          <w:p w14:paraId="16F0F67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5、表面质量要求：钢铁制件表面应进行防锈处理，表面光滑光亮、色泽均匀、结合牢固，无起皮脱落现象，无明显流痕、花斑、结点等缺陷。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0303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6EC0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14:paraId="1FD14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4CD2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042C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羽毛球网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17520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p>
          <w:p w14:paraId="4F60942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基本尺寸：</w:t>
            </w:r>
          </w:p>
          <w:p w14:paraId="019E93E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1）球网长度：6100mm</w:t>
            </w:r>
          </w:p>
          <w:p w14:paraId="1F1E7F5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2）球网宽度：760mm</w:t>
            </w:r>
          </w:p>
          <w:p w14:paraId="4F9FE1C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3）网孔长度：18mm</w:t>
            </w:r>
          </w:p>
          <w:p w14:paraId="06E928A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4）网孔宽度：18mm</w:t>
            </w:r>
          </w:p>
          <w:p w14:paraId="09FC114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5）球网左右包边宽度：50mm</w:t>
            </w:r>
          </w:p>
          <w:p w14:paraId="21CE189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6）球网上包边宽度：70mm</w:t>
            </w:r>
          </w:p>
          <w:p w14:paraId="573B1A0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7）网线直径：1.8mm</w:t>
            </w:r>
          </w:p>
          <w:p w14:paraId="08FEF82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外观结构：网孔大小应基本一致，同一张网上不应有超过两个明显的接头。网孔的水平线与球网上包边基本平行。球网应牢固，针脚整齐，无跳针、漏针现象，球网边宽对折整齐，重叠偏差不大于5mm，球网不应有发霉现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BEBC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C413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14:paraId="7BEA5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741B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4A836">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羽毛球地胶</w:t>
            </w:r>
          </w:p>
          <w:p w14:paraId="0E7EF4B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（含收卷器）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C39A46">
            <w:pPr>
              <w:keepNext w:val="0"/>
              <w:keepLines w:val="0"/>
              <w:widowControl/>
              <w:numPr>
                <w:ilvl w:val="0"/>
                <w:numId w:val="10"/>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总厚度：4.7MM，外观颜色：草地绿</w:t>
            </w:r>
          </w:p>
          <w:p w14:paraId="2B5BD38C">
            <w:pPr>
              <w:keepNext w:val="0"/>
              <w:keepLines w:val="0"/>
              <w:widowControl/>
              <w:numPr>
                <w:ilvl w:val="0"/>
                <w:numId w:val="10"/>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②珍珠沙状耐磨防滑层 </w:t>
            </w:r>
          </w:p>
          <w:p w14:paraId="794D9E9E">
            <w:pPr>
              <w:keepNext w:val="0"/>
              <w:keepLines w:val="0"/>
              <w:widowControl/>
              <w:numPr>
                <w:ilvl w:val="0"/>
                <w:numId w:val="10"/>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③高模量玻纤防收缩层 </w:t>
            </w:r>
          </w:p>
          <w:p w14:paraId="6CA2F488">
            <w:pPr>
              <w:keepNext w:val="0"/>
              <w:keepLines w:val="0"/>
              <w:widowControl/>
              <w:numPr>
                <w:ilvl w:val="0"/>
                <w:numId w:val="10"/>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④高密度泡沫缓冲层 </w:t>
            </w:r>
          </w:p>
          <w:p w14:paraId="4ED18A30">
            <w:pPr>
              <w:keepNext w:val="0"/>
              <w:keepLines w:val="0"/>
              <w:widowControl/>
              <w:numPr>
                <w:ilvl w:val="0"/>
                <w:numId w:val="10"/>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⑤六角吸盘防移动技术</w:t>
            </w:r>
          </w:p>
          <w:p w14:paraId="3DABEBED">
            <w:pPr>
              <w:keepNext w:val="0"/>
              <w:keepLines w:val="0"/>
              <w:widowControl/>
              <w:numPr>
                <w:ilvl w:val="0"/>
                <w:numId w:val="10"/>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1、外观质量颜色：色泽均匀，无明显色差，无裂痕。</w:t>
            </w:r>
          </w:p>
          <w:p w14:paraId="7F0152B2">
            <w:pPr>
              <w:keepNext w:val="0"/>
              <w:keepLines w:val="0"/>
              <w:widowControl/>
              <w:numPr>
                <w:ilvl w:val="0"/>
                <w:numId w:val="10"/>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2、硬度（邵A）：≥57（度）。</w:t>
            </w:r>
          </w:p>
          <w:p w14:paraId="49F3D6FC">
            <w:pPr>
              <w:keepNext w:val="0"/>
              <w:keepLines w:val="0"/>
              <w:widowControl/>
              <w:numPr>
                <w:ilvl w:val="0"/>
                <w:numId w:val="10"/>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3、防火燃烧性能B1级.</w:t>
            </w:r>
          </w:p>
          <w:p w14:paraId="43DFB56D">
            <w:pPr>
              <w:keepNext w:val="0"/>
              <w:keepLines w:val="0"/>
              <w:widowControl/>
              <w:numPr>
                <w:ilvl w:val="0"/>
                <w:numId w:val="10"/>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4、可溶性重金属铅含量≤20mg/㎡；</w:t>
            </w:r>
          </w:p>
          <w:p w14:paraId="064F93E9">
            <w:pPr>
              <w:keepNext w:val="0"/>
              <w:keepLines w:val="0"/>
              <w:widowControl/>
              <w:numPr>
                <w:ilvl w:val="0"/>
                <w:numId w:val="10"/>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5、可溶性重金属镉含量≤20mg/㎡.</w:t>
            </w:r>
          </w:p>
          <w:p w14:paraId="3EC0A887">
            <w:pPr>
              <w:keepNext w:val="0"/>
              <w:keepLines w:val="0"/>
              <w:widowControl/>
              <w:numPr>
                <w:ilvl w:val="0"/>
                <w:numId w:val="10"/>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6、氯乙烯含量：未检出.</w:t>
            </w:r>
          </w:p>
          <w:p w14:paraId="11224FC2">
            <w:pPr>
              <w:keepNext w:val="0"/>
              <w:keepLines w:val="0"/>
              <w:widowControl/>
              <w:numPr>
                <w:ilvl w:val="0"/>
                <w:numId w:val="10"/>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w:t>
            </w:r>
            <w:r>
              <w:rPr>
                <w:rFonts w:hint="eastAsia" w:ascii="宋体" w:hAnsi="宋体" w:eastAsia="宋体" w:cs="宋体"/>
                <w:i w:val="0"/>
                <w:iCs w:val="0"/>
                <w:strike w:val="0"/>
                <w:dstrike w:val="0"/>
                <w:color w:val="000000"/>
                <w:kern w:val="0"/>
                <w:sz w:val="21"/>
                <w:szCs w:val="21"/>
                <w:highlight w:val="none"/>
                <w:u w:val="none"/>
                <w:lang w:val="en-US" w:eastAsia="zh-CN" w:bidi="ar"/>
              </w:rPr>
              <w:t>连</w:t>
            </w:r>
            <w:r>
              <w:rPr>
                <w:rFonts w:hint="eastAsia" w:ascii="宋体" w:hAnsi="宋体" w:eastAsia="宋体" w:cs="宋体"/>
                <w:i w:val="0"/>
                <w:iCs w:val="0"/>
                <w:color w:val="000000"/>
                <w:kern w:val="0"/>
                <w:sz w:val="21"/>
                <w:szCs w:val="21"/>
                <w:highlight w:val="none"/>
                <w:u w:val="none"/>
                <w:lang w:val="en-US" w:eastAsia="zh-CN" w:bidi="ar"/>
              </w:rPr>
              <w:t>撕裂强度结果需在15kn/m-60kn/m之间</w:t>
            </w:r>
          </w:p>
          <w:p w14:paraId="0BF5088D">
            <w:pPr>
              <w:keepNext w:val="0"/>
              <w:keepLines w:val="0"/>
              <w:widowControl/>
              <w:numPr>
                <w:ilvl w:val="0"/>
                <w:numId w:val="10"/>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8、抗磨损性能损失需在79mg-370mg之间</w:t>
            </w:r>
          </w:p>
          <w:p w14:paraId="2FAC8A90">
            <w:pPr>
              <w:keepNext w:val="0"/>
              <w:keepLines w:val="0"/>
              <w:widowControl/>
              <w:numPr>
                <w:ilvl w:val="0"/>
                <w:numId w:val="10"/>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9、抗剥离横向Y及纵向X同时≥53N</w:t>
            </w:r>
          </w:p>
          <w:p w14:paraId="4241C91B">
            <w:pPr>
              <w:keepNext w:val="0"/>
              <w:keepLines w:val="0"/>
              <w:widowControl/>
              <w:numPr>
                <w:ilvl w:val="0"/>
                <w:numId w:val="10"/>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10、弯曲性检测结果为无开裂</w:t>
            </w:r>
          </w:p>
          <w:p w14:paraId="3B16BFC0">
            <w:pPr>
              <w:keepNext w:val="0"/>
              <w:keepLines w:val="0"/>
              <w:widowControl/>
              <w:numPr>
                <w:ilvl w:val="0"/>
                <w:numId w:val="11"/>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焊接强度平均焊接强度≥</w:t>
            </w:r>
            <w:r>
              <w:rPr>
                <w:rFonts w:hint="eastAsia" w:ascii="宋体" w:hAnsi="宋体" w:eastAsia="宋体" w:cs="宋体"/>
                <w:i w:val="0"/>
                <w:iCs w:val="0"/>
                <w:strike w:val="0"/>
                <w:dstrike w:val="0"/>
                <w:color w:val="auto"/>
                <w:kern w:val="0"/>
                <w:sz w:val="21"/>
                <w:szCs w:val="21"/>
                <w:highlight w:val="none"/>
                <w:u w:val="none"/>
                <w:lang w:val="en-US" w:eastAsia="zh-CN" w:bidi="ar"/>
              </w:rPr>
              <w:t>1200N/50MM</w:t>
            </w:r>
            <w:r>
              <w:rPr>
                <w:rFonts w:hint="eastAsia" w:ascii="宋体" w:hAnsi="宋体" w:eastAsia="宋体" w:cs="宋体"/>
                <w:i w:val="0"/>
                <w:iCs w:val="0"/>
                <w:color w:val="auto"/>
                <w:kern w:val="0"/>
                <w:sz w:val="21"/>
                <w:szCs w:val="21"/>
                <w:highlight w:val="none"/>
                <w:u w:val="none"/>
                <w:lang w:val="en-US" w:eastAsia="zh-CN" w:bidi="ar"/>
              </w:rPr>
              <w:t>.最</w:t>
            </w:r>
            <w:r>
              <w:rPr>
                <w:rFonts w:hint="eastAsia" w:ascii="宋体" w:hAnsi="宋体" w:eastAsia="宋体" w:cs="宋体"/>
                <w:i w:val="0"/>
                <w:iCs w:val="0"/>
                <w:color w:val="000000"/>
                <w:kern w:val="0"/>
                <w:sz w:val="21"/>
                <w:szCs w:val="21"/>
                <w:highlight w:val="none"/>
                <w:u w:val="none"/>
                <w:lang w:val="en-US" w:eastAsia="zh-CN" w:bidi="ar"/>
              </w:rPr>
              <w:t>小焊接强度大于</w:t>
            </w:r>
            <w:r>
              <w:rPr>
                <w:rFonts w:hint="eastAsia" w:ascii="宋体" w:hAnsi="宋体" w:eastAsia="宋体" w:cs="宋体"/>
                <w:i w:val="0"/>
                <w:iCs w:val="0"/>
                <w:strike w:val="0"/>
                <w:dstrike w:val="0"/>
                <w:color w:val="auto"/>
                <w:kern w:val="0"/>
                <w:sz w:val="21"/>
                <w:szCs w:val="21"/>
                <w:highlight w:val="none"/>
                <w:u w:val="none"/>
                <w:lang w:val="en-US" w:eastAsia="zh-CN" w:bidi="ar"/>
              </w:rPr>
              <w:t>1150N/50MM</w:t>
            </w:r>
          </w:p>
          <w:p w14:paraId="39768ED6">
            <w:pPr>
              <w:keepNext w:val="0"/>
              <w:keepLines w:val="0"/>
              <w:widowControl/>
              <w:numPr>
                <w:ilvl w:val="0"/>
                <w:numId w:val="11"/>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紫外线老化≥28000小时</w:t>
            </w:r>
          </w:p>
          <w:p w14:paraId="608ED4BB">
            <w:pPr>
              <w:keepNext w:val="0"/>
              <w:keepLines w:val="0"/>
              <w:widowControl/>
              <w:numPr>
                <w:ilvl w:val="0"/>
                <w:numId w:val="11"/>
              </w:numPr>
              <w:suppressLineNumbers w:val="0"/>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臭氧老化</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28000小时</w:t>
            </w:r>
          </w:p>
          <w:p w14:paraId="2FF218CE">
            <w:pPr>
              <w:keepNext w:val="0"/>
              <w:keepLines w:val="0"/>
              <w:widowControl/>
              <w:numPr>
                <w:ilvl w:val="0"/>
                <w:numId w:val="11"/>
              </w:numPr>
              <w:suppressLineNumbers w:val="0"/>
              <w:ind w:left="0" w:leftChars="0" w:firstLine="0" w:firstLineChars="0"/>
              <w:jc w:val="left"/>
              <w:textAlignment w:val="center"/>
              <w:rPr>
                <w:rFonts w:hint="eastAsia" w:ascii="宋体" w:hAnsi="宋体" w:eastAsia="宋体" w:cs="宋体"/>
                <w:i w:val="0"/>
                <w:iCs w:val="0"/>
                <w:strike w:val="0"/>
                <w:dstrike w:val="0"/>
                <w:color w:val="auto"/>
                <w:kern w:val="0"/>
                <w:sz w:val="21"/>
                <w:szCs w:val="21"/>
                <w:highlight w:val="none"/>
                <w:u w:val="none"/>
                <w:lang w:val="en-US" w:eastAsia="zh-CN" w:bidi="ar"/>
              </w:rPr>
            </w:pPr>
            <w:r>
              <w:rPr>
                <w:rFonts w:hint="eastAsia" w:ascii="宋体" w:hAnsi="宋体" w:eastAsia="宋体" w:cs="宋体"/>
                <w:i w:val="0"/>
                <w:iCs w:val="0"/>
                <w:strike w:val="0"/>
                <w:dstrike w:val="0"/>
                <w:color w:val="auto"/>
                <w:kern w:val="0"/>
                <w:sz w:val="21"/>
                <w:szCs w:val="21"/>
                <w:highlight w:val="none"/>
                <w:u w:val="none"/>
                <w:lang w:val="en-US" w:eastAsia="zh-CN" w:bidi="ar"/>
              </w:rPr>
              <w:t>耐湿热</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strike w:val="0"/>
                <w:dstrike w:val="0"/>
                <w:color w:val="auto"/>
                <w:kern w:val="0"/>
                <w:sz w:val="21"/>
                <w:szCs w:val="21"/>
                <w:highlight w:val="none"/>
                <w:u w:val="none"/>
                <w:lang w:val="en-US" w:eastAsia="zh-CN" w:bidi="ar"/>
              </w:rPr>
              <w:t>30000小时</w:t>
            </w:r>
          </w:p>
          <w:p w14:paraId="439FB224">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trike w:val="0"/>
                <w:dstrike w:val="0"/>
                <w:color w:val="auto"/>
                <w:kern w:val="0"/>
                <w:sz w:val="21"/>
                <w:szCs w:val="21"/>
                <w:highlight w:val="none"/>
                <w:u w:val="none"/>
                <w:lang w:val="en-US" w:eastAsia="zh-CN" w:bidi="ar"/>
              </w:rPr>
              <w:t>15、中性盐雾</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strike w:val="0"/>
                <w:dstrike w:val="0"/>
                <w:color w:val="auto"/>
                <w:kern w:val="0"/>
                <w:sz w:val="21"/>
                <w:szCs w:val="21"/>
                <w:highlight w:val="none"/>
                <w:u w:val="none"/>
                <w:lang w:val="en-US" w:eastAsia="zh-CN" w:bidi="ar"/>
              </w:rPr>
              <w:t>30000小时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B431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541A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64CDE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3EAF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3B28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羽毛球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51A2F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12支/筒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6A3E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576D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100</w:t>
            </w:r>
          </w:p>
        </w:tc>
      </w:tr>
      <w:tr w14:paraId="133BB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A107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D569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羽毛球拍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7162D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钢合金一体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C6C7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04D8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30</w:t>
            </w:r>
          </w:p>
        </w:tc>
      </w:tr>
      <w:tr w14:paraId="449B6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A85D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D215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排球柱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1E3FA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1.移动式 ABS底座，底座配有高档地轮，方便移动。</w:t>
            </w:r>
          </w:p>
          <w:p w14:paraId="6E33AD6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2.柱高 1550mm--2042 mm 三用可调，可上下升降(适用羽、气、排),使用直径 89 变 76 钢管，壁厚不低于 2.75m</w:t>
            </w:r>
          </w:p>
          <w:p w14:paraId="6767B41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3.支架顶端加一滑动凹槽，金属紧线器，金属摇把，轻松拉紧网绳，不会松动，内侧配有不锈钢挂钩固定球网4.外表采用静电喷涂，硬度达到2H,确保户外长期使用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4449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8184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5B3AA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5EEF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3E3B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排球网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A49E4A">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四包边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F04A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3C74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44323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7A6F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8BF1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匹克球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D67B4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40孔训练匹克球，注塑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9A27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2DB5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200</w:t>
            </w:r>
          </w:p>
        </w:tc>
      </w:tr>
      <w:tr w14:paraId="0B621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1944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3299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匹克球拍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DFE1B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玻纤+磨砂，类型：进攻型，尺寸：419*180mm，拍面厚度：16mm，握把长度：140mm，手柄周长：107mm，重量：230g，是否包边：是（TPE包边），成型方式：冷压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27DB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83D7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100</w:t>
            </w:r>
          </w:p>
        </w:tc>
      </w:tr>
      <w:tr w14:paraId="6B519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4DE2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7229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移动匹克球柱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A55D0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产品材质：优质钢管</w:t>
            </w:r>
          </w:p>
          <w:p w14:paraId="754FA05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立柱尺寸：38.1x50.8mm</w:t>
            </w:r>
          </w:p>
          <w:p w14:paraId="412D3C8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球网材质：2mm涤纶无结网绳</w:t>
            </w:r>
          </w:p>
          <w:p w14:paraId="2F3DCF9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净    重：≥20KG/副</w:t>
            </w:r>
          </w:p>
          <w:p w14:paraId="7D5151B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组装尺寸：6.67x0.56x0.92米</w:t>
            </w:r>
          </w:p>
          <w:p w14:paraId="0503B644">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产品特点：轻便、移动便捷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7282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F949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r>
      <w:tr w14:paraId="1A698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C759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2C7D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室内匹克球地胶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AB55E9">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①总厚度：3.0MM，外观颜色：蓝色</w:t>
            </w:r>
          </w:p>
          <w:p w14:paraId="34E972F5">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②珍珠沙状高韧分子超强耐磨防滑层 </w:t>
            </w:r>
          </w:p>
          <w:p w14:paraId="3F94F5B0">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③超纤聚酯网格稳定防收缩层 </w:t>
            </w:r>
          </w:p>
          <w:p w14:paraId="3C41DA51">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④高密度通体弹球层 </w:t>
            </w:r>
          </w:p>
          <w:p w14:paraId="1FCD7494">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⑤圆点式防移动技术</w:t>
            </w:r>
          </w:p>
          <w:p w14:paraId="2DEF7237">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1、外观质量颜色：色泽均匀，无明显色差，无裂痕。</w:t>
            </w:r>
          </w:p>
          <w:p w14:paraId="34C233AF">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2、硬度（邵A）：≥57（度）。</w:t>
            </w:r>
          </w:p>
          <w:p w14:paraId="7621DB32">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3、防火燃烧性能B1级.</w:t>
            </w:r>
          </w:p>
          <w:p w14:paraId="54719B9C">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4、可溶性重金属铅含量≤20mg/㎡；</w:t>
            </w:r>
          </w:p>
          <w:p w14:paraId="3DFDA55F">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5、可溶性重金属镉含量≤20mg/㎡.</w:t>
            </w:r>
          </w:p>
          <w:p w14:paraId="5E2F3D27">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6、氯乙烯含量：未检出.</w:t>
            </w:r>
          </w:p>
          <w:p w14:paraId="7BD0F9B2">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7、撕裂强度结果需在15kn/m-60kn/m之间</w:t>
            </w:r>
          </w:p>
          <w:p w14:paraId="75880C54">
            <w:pPr>
              <w:keepNext w:val="0"/>
              <w:keepLines w:val="0"/>
              <w:widowControl/>
              <w:numPr>
                <w:ilvl w:val="0"/>
                <w:numId w:val="12"/>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抗磨损性能损失需在79mg-370mg之间</w:t>
            </w:r>
          </w:p>
          <w:p w14:paraId="0D4B6C58">
            <w:pPr>
              <w:keepNext w:val="0"/>
              <w:keepLines w:val="0"/>
              <w:widowControl/>
              <w:numPr>
                <w:ilvl w:val="0"/>
                <w:numId w:val="12"/>
              </w:numPr>
              <w:suppressLineNumbers w:val="0"/>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抗剥离横向Y及纵向X同时≥53N</w:t>
            </w:r>
          </w:p>
          <w:p w14:paraId="2F30BFC0">
            <w:pPr>
              <w:keepNext w:val="0"/>
              <w:keepLines w:val="0"/>
              <w:widowControl/>
              <w:numPr>
                <w:ilvl w:val="0"/>
                <w:numId w:val="12"/>
              </w:numPr>
              <w:suppressLineNumbers w:val="0"/>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弯曲性检测结果为无开裂</w:t>
            </w:r>
          </w:p>
          <w:p w14:paraId="5F2E2C10">
            <w:pPr>
              <w:keepNext w:val="0"/>
              <w:keepLines w:val="0"/>
              <w:widowControl/>
              <w:numPr>
                <w:ilvl w:val="0"/>
                <w:numId w:val="0"/>
              </w:numPr>
              <w:suppressLineNumbers w:val="0"/>
              <w:ind w:leftChars="0"/>
              <w:jc w:val="left"/>
              <w:textAlignment w:val="center"/>
              <w:rPr>
                <w:rFonts w:hint="eastAsia" w:ascii="宋体" w:hAnsi="宋体" w:eastAsia="宋体" w:cs="宋体"/>
                <w:i w:val="0"/>
                <w:iCs w:val="0"/>
                <w:strike w:val="0"/>
                <w:dstrike w:val="0"/>
                <w:color w:val="auto"/>
                <w:kern w:val="0"/>
                <w:sz w:val="21"/>
                <w:szCs w:val="21"/>
                <w:highlight w:val="none"/>
                <w:u w:val="none"/>
                <w:lang w:val="en-US" w:eastAsia="zh-CN" w:bidi="ar"/>
              </w:rPr>
            </w:pPr>
            <w:r>
              <w:rPr>
                <w:rFonts w:hint="eastAsia" w:ascii="宋体" w:hAnsi="宋体" w:eastAsia="宋体" w:cs="宋体"/>
                <w:i w:val="0"/>
                <w:iCs w:val="0"/>
                <w:strike w:val="0"/>
                <w:dstrike w:val="0"/>
                <w:color w:val="auto"/>
                <w:kern w:val="0"/>
                <w:sz w:val="21"/>
                <w:szCs w:val="21"/>
                <w:highlight w:val="none"/>
                <w:u w:val="none"/>
                <w:lang w:val="en-US" w:eastAsia="zh-CN" w:bidi="ar"/>
              </w:rPr>
              <w:t>11、焊接强度平均焊接强度≥1200N/50MM.最小焊接强度≥1150N/50MM</w:t>
            </w:r>
          </w:p>
          <w:p w14:paraId="4E6376EB">
            <w:pPr>
              <w:keepNext w:val="0"/>
              <w:keepLines w:val="0"/>
              <w:widowControl/>
              <w:numPr>
                <w:ilvl w:val="0"/>
                <w:numId w:val="0"/>
              </w:numPr>
              <w:suppressLineNumbers w:val="0"/>
              <w:jc w:val="left"/>
              <w:textAlignment w:val="center"/>
              <w:rPr>
                <w:rFonts w:hint="eastAsia" w:ascii="宋体" w:hAnsi="宋体" w:eastAsia="宋体" w:cs="宋体"/>
                <w:i w:val="0"/>
                <w:iCs w:val="0"/>
                <w:strike w:val="0"/>
                <w:dstrike w:val="0"/>
                <w:color w:val="auto"/>
                <w:kern w:val="0"/>
                <w:sz w:val="21"/>
                <w:szCs w:val="21"/>
                <w:highlight w:val="none"/>
                <w:u w:val="none"/>
                <w:lang w:val="en-US" w:eastAsia="zh-CN" w:bidi="ar"/>
              </w:rPr>
            </w:pPr>
            <w:r>
              <w:rPr>
                <w:rFonts w:hint="eastAsia" w:ascii="宋体" w:hAnsi="宋体" w:eastAsia="宋体" w:cs="宋体"/>
                <w:i w:val="0"/>
                <w:iCs w:val="0"/>
                <w:strike w:val="0"/>
                <w:dstrike w:val="0"/>
                <w:color w:val="auto"/>
                <w:kern w:val="0"/>
                <w:sz w:val="21"/>
                <w:szCs w:val="21"/>
                <w:highlight w:val="none"/>
                <w:u w:val="none"/>
                <w:lang w:val="en-US" w:eastAsia="zh-CN" w:bidi="ar"/>
              </w:rPr>
              <w:t>12、紫外线老化≥28000小时</w:t>
            </w:r>
          </w:p>
          <w:p w14:paraId="5D455232">
            <w:pPr>
              <w:keepNext w:val="0"/>
              <w:keepLines w:val="0"/>
              <w:widowControl/>
              <w:numPr>
                <w:ilvl w:val="0"/>
                <w:numId w:val="0"/>
              </w:numPr>
              <w:suppressLineNumbers w:val="0"/>
              <w:jc w:val="left"/>
              <w:textAlignment w:val="center"/>
              <w:rPr>
                <w:rFonts w:hint="eastAsia" w:ascii="宋体" w:hAnsi="宋体" w:eastAsia="宋体" w:cs="宋体"/>
                <w:i w:val="0"/>
                <w:iCs w:val="0"/>
                <w:strike w:val="0"/>
                <w:dstrike w:val="0"/>
                <w:color w:val="auto"/>
                <w:kern w:val="0"/>
                <w:sz w:val="21"/>
                <w:szCs w:val="21"/>
                <w:highlight w:val="none"/>
                <w:u w:val="none"/>
                <w:lang w:val="en-US" w:eastAsia="zh-CN" w:bidi="ar"/>
              </w:rPr>
            </w:pPr>
            <w:r>
              <w:rPr>
                <w:rFonts w:hint="eastAsia" w:ascii="宋体" w:hAnsi="宋体" w:eastAsia="宋体" w:cs="宋体"/>
                <w:i w:val="0"/>
                <w:iCs w:val="0"/>
                <w:strike w:val="0"/>
                <w:dstrike w:val="0"/>
                <w:color w:val="auto"/>
                <w:kern w:val="0"/>
                <w:sz w:val="21"/>
                <w:szCs w:val="21"/>
                <w:highlight w:val="none"/>
                <w:u w:val="none"/>
                <w:lang w:val="en-US" w:eastAsia="zh-CN" w:bidi="ar"/>
              </w:rPr>
              <w:t>13、臭氧老化≥28000小时</w:t>
            </w:r>
          </w:p>
          <w:p w14:paraId="61F65059">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14、耐湿热</w:t>
            </w:r>
            <w:r>
              <w:rPr>
                <w:rFonts w:hint="eastAsia" w:ascii="宋体" w:hAnsi="宋体" w:eastAsia="宋体" w:cs="宋体"/>
                <w:i w:val="0"/>
                <w:iCs w:val="0"/>
                <w:strike w:val="0"/>
                <w:dstrike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30000小时</w:t>
            </w:r>
          </w:p>
          <w:p w14:paraId="533B2E4F">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trike w:val="0"/>
                <w:dstrike w:val="0"/>
                <w:color w:val="auto"/>
                <w:kern w:val="0"/>
                <w:sz w:val="21"/>
                <w:szCs w:val="21"/>
                <w:highlight w:val="none"/>
                <w:u w:val="none"/>
                <w:lang w:val="en-US" w:eastAsia="zh-CN" w:bidi="ar"/>
              </w:rPr>
              <w:t>15、中性盐雾≥30000小时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1DA5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F150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14:paraId="181A8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8017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EBBC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室外乒乓球台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CEE7A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1、乒乓球桌尺寸为：2740mm×1525mm ×760mm。</w:t>
            </w:r>
          </w:p>
          <w:p w14:paraId="11C5804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2、球台台腿（φ60×3）mm标准焊管作为支撑立柱，保证整体的稳定性。</w:t>
            </w:r>
          </w:p>
          <w:p w14:paraId="4C2CD4D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台面材质为SMC，台面底部采用网格加强筋结构；台板边框总厚度为50mm；且台板材料厚度≥5mm；台板具有密度大、弹性好、耐酸碱、耐热、防潮等；台面端、边线和中线为白色，油漆牢固，漆色均匀一致，无脱漆、无明显的斑点，厚度无手感凸起感觉。加强筋根部厚度≥4 mm；加强筋顶部厚度≥4 mm；加强筋组数（每块）四组；台面弹性为230—260mm。</w:t>
            </w:r>
          </w:p>
          <w:p w14:paraId="7FC182B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4、台面背部采用20*30钢管支撑架链接，支撑框架管厚为2mm，半块板支撑框架为四横四纵支撑管链接。</w:t>
            </w:r>
          </w:p>
          <w:p w14:paraId="5850DD2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5、球网采用金属材质结构，保证网的刚性，不变形；网的两端插入球网支架后用螺栓紧固；球台网及网架防锈、防松、防盗、防损坏。</w:t>
            </w:r>
          </w:p>
          <w:p w14:paraId="44002DC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6、球台铁件表面采用静电喷塑表面光滑平整；球台所有连接件均采用镀锌螺栓。</w:t>
            </w:r>
          </w:p>
          <w:p w14:paraId="19EDBFF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7、产品均环保，无毒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467F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4C4F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r>
      <w:tr w14:paraId="6C45A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1B12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E357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乒乓球网架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CD7EE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网材质：化纤、棉  网柱材质：钢材 重量：≥650克  夹口宽度‌：适配夹口厚度≤3厘米的乒乓球桌  网高‌：高度为15.2厘米  球柱产品采用优质钢材生产并选用国际新流行的钳式设计，质量可靠，使用方便；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47D3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8343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w:t>
            </w:r>
          </w:p>
        </w:tc>
      </w:tr>
      <w:tr w14:paraId="1021D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D7AC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E7E3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乒乓球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7A294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白色， ABS材质，一星，10个装/盒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0691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D6C5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100</w:t>
            </w:r>
          </w:p>
        </w:tc>
      </w:tr>
      <w:tr w14:paraId="06BDD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2FED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EC54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乒乓球拍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201628">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进攻性双拍，短柄直拍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D42E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3BEF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w:t>
            </w:r>
          </w:p>
        </w:tc>
      </w:tr>
      <w:tr w14:paraId="43D97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20B5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BC07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11人制足球门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1886D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1.产品名称：11人制足球门 （含网）                                                                              2.产品尺寸：球门内净基本尺寸：长×高×宽=7320×2440×1800（㎜）</w:t>
            </w:r>
          </w:p>
          <w:p w14:paraId="10EE869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3.产品构成：足球门由立杆、横梁、两侧撑杆、两侧横杆和后侧横杆组成。</w:t>
            </w:r>
          </w:p>
          <w:p w14:paraId="74D9FB8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4.门柱直径114mm*2.75mm，横梁114*2.75mm。</w:t>
            </w:r>
          </w:p>
          <w:p w14:paraId="104690A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5.横梁和立杆上没有可能危害到运动员安全的连接物件露在外面。球门组装完成后，立杆与地面垂直，横梁与立杆的夹角为90°，连接件周边处理圆滑，无棱角。</w:t>
            </w:r>
          </w:p>
          <w:p w14:paraId="44A678E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6.为保证球门的整体稳定性，在球门后侧横杆位置配置了球门固定压板，保证球门的位置不因运动员的冲撞而移动位置。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CAD8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5CA0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05CA1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CB7D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C555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拔河绳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2E920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1．拔河绳应用麻绳多股绞合而成。2．绳长约30m，直径φ30mm；3．绳的两端结孔，绳的质地无霉变、腐朽、虫咬等缺陷。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2C48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B8E3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14:paraId="5BD0D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A60C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B0C0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短跳绳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4E15B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短跳绳，绳长度2600mm～2800mm，直径4.0mm.塑料海绵手柄，手柄长度为120-140mm，直径16-30mm。绳材质为pvc不透明磨砂材料制成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B2EF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BAE4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60</w:t>
            </w:r>
          </w:p>
        </w:tc>
      </w:tr>
      <w:tr w14:paraId="306AF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96E8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773B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长跳绳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3A7CD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跳绳的绳和柄应采用无毒、环保、适宜的材料制成。绳长7000mm,直径φ8mm-φ9mm。柄长120mm～140mm,直径φ26mm-φ33mm（木质手柄）。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E828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677F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w:t>
            </w:r>
          </w:p>
        </w:tc>
      </w:tr>
      <w:tr w14:paraId="639FE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B2A0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D2E9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标志桶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3AE4D4">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50cm高，圆锥体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8E09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E75F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50</w:t>
            </w:r>
          </w:p>
        </w:tc>
      </w:tr>
      <w:tr w14:paraId="08EDF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B31B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806C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标志杆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CA6BE4">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标志旗1.5米铝合金杆带旗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F7F2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4CF0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50</w:t>
            </w:r>
          </w:p>
        </w:tc>
      </w:tr>
      <w:tr w14:paraId="085FC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E945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2ACD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实心球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EF803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1.产品名称：充气胶球</w:t>
            </w:r>
          </w:p>
          <w:p w14:paraId="2EB73E5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2.产品规格：3kg，直径16-18cm左右</w:t>
            </w:r>
          </w:p>
          <w:p w14:paraId="2D82F12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3.产品颜色：蓝色</w:t>
            </w:r>
          </w:p>
          <w:p w14:paraId="7A52DD5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4.外层优质环保塑胶合成，球体表面进行防滑处理，使用寿命长，摇晃无声音，可充气</w:t>
            </w:r>
          </w:p>
          <w:p w14:paraId="2667FC1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5.适合投掷训练使用。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635C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88B8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w:t>
            </w:r>
          </w:p>
        </w:tc>
      </w:tr>
      <w:tr w14:paraId="78695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41D7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B562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实心球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62458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1.产品名称：充气胶球</w:t>
            </w:r>
          </w:p>
          <w:p w14:paraId="36B64C0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2.产品规格：5kg，直径16-18cm左右</w:t>
            </w:r>
          </w:p>
          <w:p w14:paraId="4200039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3.产品颜色：蓝色</w:t>
            </w:r>
          </w:p>
          <w:p w14:paraId="4E40292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4.外层优质环保塑胶合成，球体表面进行防滑处理，使用寿命长，摇晃无声音，可充气。</w:t>
            </w:r>
          </w:p>
          <w:p w14:paraId="20AFB45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5.适合投掷训练使用。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ACDC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257C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w:t>
            </w:r>
          </w:p>
        </w:tc>
      </w:tr>
      <w:tr w14:paraId="7142A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BF5B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2583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秒表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950A3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三行显示总段，100 道记忆， 以 1/100 秒为单位测量 100 小时，可在操作中读取记忆， 时间、日历显示，50 米防水。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0C5E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7FFD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r>
      <w:tr w14:paraId="0B221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9718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1FEE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室外篮球架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BA4E6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移动式单臂篮球架</w:t>
            </w:r>
          </w:p>
          <w:p w14:paraId="413011D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1、产品规格</w:t>
            </w:r>
          </w:p>
          <w:p w14:paraId="50442C4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篮球架伸臂长2.25m，</w:t>
            </w:r>
            <w:r>
              <w:rPr>
                <w:rFonts w:hint="eastAsia" w:ascii="宋体" w:hAnsi="宋体" w:eastAsia="宋体" w:cs="宋体"/>
                <w:i w:val="0"/>
                <w:iCs w:val="0"/>
                <w:color w:val="000000"/>
                <w:kern w:val="0"/>
                <w:sz w:val="21"/>
                <w:szCs w:val="21"/>
                <w:highlight w:val="none"/>
                <w:u w:val="none"/>
                <w:lang w:val="en-US" w:eastAsia="zh-CN" w:bidi="ar"/>
              </w:rPr>
              <w:t>篮圈上沿离地面3.05m，篮架底座尺寸长x宽=2.0x1（m）。</w:t>
            </w:r>
          </w:p>
          <w:p w14:paraId="26AE38B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2、产品用材</w:t>
            </w:r>
          </w:p>
          <w:p w14:paraId="074CA3D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球架立柱采用定制口150x150x4优质大圆角方管制作，圆角R30mm，造型美观，安全性高；篮架伸臂采用分段结构，伸臂后端（连接立柱部分）采用δ4后优质钢材，伸臂前段采用δ3进口优质铁板在连续模中进行冲压成型，保持产品的美观性和统配性，伸臂上拉杆固定孔均采用冲压成型后焊接内置螺母，篮架立柱底板采用优质精密铸钢件制作，造型美观大方，性能安全可靠，篮架上拉杆采用Φ48×2圆管与后拉杆采用口50×40×3优质方管在特制弯管设备上一次成型，避免电焊及焊渣易引起生锈的隐患。球架底座采用δ3进口优质铁板在自动机器人线辅助冲压成型后再由全自动焊接线进行焊接。为了增强球架的使用安全性，单只球架可放置配重物不少于510kg。</w:t>
            </w:r>
          </w:p>
          <w:p w14:paraId="1EC4EA8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3、篮板</w:t>
            </w:r>
          </w:p>
          <w:p w14:paraId="1A7FFE2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规格：1800x1050（mm），篮板配用国际通用的高强度安全玻璃篮板，玻璃厚度不小于12mm，具有透明度高、耐侯性好、抗老化、耐腐蚀、不易模糊等特点，并在篮板下沿及侧面覆盖有保护条，能保护运动员运动时不受伤害。</w:t>
            </w:r>
          </w:p>
          <w:p w14:paraId="3B696F2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4、篮圈</w:t>
            </w:r>
          </w:p>
          <w:p w14:paraId="06BC96E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    篮圈采用φ17实心圆钢制作，圈下焊有冲压成型的圆弧形网钩，十二段均匀分布留适当间隙，配篮网。篮圈抗弯性能好，水平固定在篮板上，与篮架连接的钢板和篮圈盖板均采用优质钢板一次冲压成型，造型美观。</w:t>
            </w:r>
          </w:p>
          <w:p w14:paraId="46E2EB1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5、紧固件</w:t>
            </w:r>
          </w:p>
          <w:p w14:paraId="4C17AED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篮架所有紧固件均采用热镀锌处理，能保证长年不生锈。</w:t>
            </w:r>
          </w:p>
          <w:p w14:paraId="11B1756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6、移动</w:t>
            </w:r>
          </w:p>
          <w:p w14:paraId="108C7B6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    篮架置有走轮，配有操纵杆(转向和升降共用)，操作方便，仅需一人操作就可轻松移动篮架。</w:t>
            </w:r>
          </w:p>
          <w:p w14:paraId="3AFB238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7、防护措施</w:t>
            </w:r>
          </w:p>
          <w:p w14:paraId="456E503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篮架前立柱、底座前部配有专用护套，能有效地保护运动员免受撞击，底座下部设有防震垫，能有效的保证使用时的安全性及美观性。</w:t>
            </w:r>
          </w:p>
          <w:p w14:paraId="514D5D6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8、表面处理</w:t>
            </w:r>
          </w:p>
          <w:p w14:paraId="786C14C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喷涂工件的表面处理分二个阶段，前处理阶段使工件获得质量优良的介质层，增加防锈涂膜与金属基体的结合力，是提高产品表面处理能力的必备基础措施。表面处理阶段是将粉末通过高压静电作用均匀涂敷在被涂物体上的过程。当涂层达到一定厚度后，进入烘炉加热，涂料熔融固化，形成厚度均匀、质地牢固的涂层。器材均在全自动喷涂流水线上作业，经抛丸——水洗——脱脂——水洗——纯水洗——无磷转化——纯水洗——纯水洗——吹干——水份烘干——静电粉末——固化——强冷等过程。产品涂层附着力1级，铅笔硬度达2H+。产品具有耐酸碱、耐湿热、抗老化、外观美观等优点，能适合潮湿和酸雨环境，且前处理过程以及产品涂料配方均不含有毒元素，避免损害使用者的健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BB88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94BB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14:paraId="25B9D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5ED6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2AFD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地埋单杠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C5BDB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 直埋式，主立柱采用直径≥110mm，壁厚≥3mm的标准国际钢管</w:t>
            </w:r>
          </w:p>
          <w:p w14:paraId="46F759E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 单杠有效使用宽度大于1220mm，两柱立柱中心距离1350mm；杠面直径≥30mm</w:t>
            </w:r>
          </w:p>
          <w:p w14:paraId="58AA40F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  柱子连接采用圆盘封顶式连接，3条M10不锈钢防盗螺栓坚固，螺栓底部增加止退 平垫进行止退，采用直径114mm，厚度6mm的圆盘封闭柱头，避免进入雨水，周圈倒角R3；</w:t>
            </w:r>
          </w:p>
          <w:p w14:paraId="786B102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 缓冲层厚度300mm，更加安全可靠，避免出现意外伤害；</w:t>
            </w:r>
          </w:p>
          <w:p w14:paraId="2572E2B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 器材立柱埋入深度不小于600mm，地埋尺寸不小于600*600*700mm；</w:t>
            </w:r>
          </w:p>
          <w:p w14:paraId="0C2157A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 器材铭牌采用全不锈钢腐蚀，尺寸为200*90mm，拉铆钉坚固，边缘紧贴立柱，二 维码标识牌采用全不锈钢腐蚀，尺寸为90*60，壁厚0.8mm，避免造成勾挂伤害；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C00D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EC19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r>
      <w:tr w14:paraId="68423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6042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5616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双杠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6B642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铸铁双杠  215KG立柱由铸件，</w:t>
            </w:r>
          </w:p>
          <w:p w14:paraId="6AAF3A1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钢管，实心钢组合而成。</w:t>
            </w:r>
          </w:p>
          <w:p w14:paraId="24F24F8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钢管直径48mm，厚3mm。</w:t>
            </w:r>
          </w:p>
          <w:p w14:paraId="175956F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内升降杆为直径30mm冷拔钢，</w:t>
            </w:r>
          </w:p>
          <w:p w14:paraId="4998DE2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长600mm镀锌，</w:t>
            </w:r>
          </w:p>
          <w:p w14:paraId="61DE387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横杆长3500mm弹簧钢，</w:t>
            </w:r>
          </w:p>
          <w:p w14:paraId="2353EAF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外包高压聚乙烯塑料，</w:t>
            </w:r>
          </w:p>
          <w:p w14:paraId="5075BAA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断面为鸭蛋圆形。</w:t>
            </w:r>
          </w:p>
          <w:p w14:paraId="7F7CFEE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安装将双杠固定于地面，</w:t>
            </w:r>
          </w:p>
          <w:p w14:paraId="62E6FBA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规格参考：杠高可调1300-1700mm，</w:t>
            </w:r>
          </w:p>
          <w:p w14:paraId="0164B3B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两杠间距420-620mm可调。</w:t>
            </w:r>
          </w:p>
          <w:p w14:paraId="5B40D20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底座采用两块燕尾式铸铁。</w:t>
            </w:r>
          </w:p>
          <w:p w14:paraId="4BE9A6BA">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中间连接座为4mm槽钢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C2E6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8624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r>
      <w:tr w14:paraId="5F66F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5AB8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C045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肋木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F0150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规格：L1400×W110×H2100㎜</w:t>
            </w:r>
          </w:p>
          <w:p w14:paraId="49DED06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 直埋式</w:t>
            </w:r>
          </w:p>
          <w:p w14:paraId="29A9EBE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 横杠为直径≥3mm，厚度≥3m的国标钢管;全部整体焊接，牢固耐用；</w:t>
            </w:r>
          </w:p>
          <w:p w14:paraId="214638A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 器材立柱埋入深度不小于600mm，地埋尺寸不小于600*600*700mm；</w:t>
            </w:r>
          </w:p>
          <w:p w14:paraId="3DD41DD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 缓冲层厚度300mm，最下端横杆距地面距离大于400mm，更加安全可靠，避免出现 意外伤害；</w:t>
            </w:r>
          </w:p>
          <w:p w14:paraId="42D0E1E8">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 器材铭牌采用全不锈钢腐蚀，尺寸为200*90mm，拉铆钉坚固，边缘紧贴立柱，二维码标识牌采用全不锈钢腐蚀，尺寸为90*60，壁厚0.8mm，避免造成勾挂伤害；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D042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093B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r>
      <w:tr w14:paraId="33152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94E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5B0D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云梯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701FF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  直埋式，主立柱采用直径≥11mm，壁厚≥3mm的国标钢管，立柱横向间距3400mm，纵向间距≥800mm；</w:t>
            </w:r>
          </w:p>
          <w:p w14:paraId="7F2A95B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 支撑横管为直径32mm，壁厚3mm的国标钢管，支撑管中心点距离立柱一端大于500mm； </w:t>
            </w:r>
          </w:p>
          <w:p w14:paraId="61641BF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 主架弯采用直径60mm，壁厚3mm的标准国际钢管，与柱子连接采用圆盘封顶式连接，连接板直径114mm，厚度3mm，4条M10不锈钢防盗螺栓坚固，符合合国标要求；</w:t>
            </w:r>
          </w:p>
          <w:p w14:paraId="139032B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 器材铭牌采用全不锈钢腐蚀，尺寸为200*90mm，拉铆钉坚固，边缘紧贴立柱，避免造成勾挂伤害；</w:t>
            </w:r>
          </w:p>
          <w:p w14:paraId="476ECE3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 缓冲层厚度300mm，避免为使用者造成意外的伤害；</w:t>
            </w:r>
          </w:p>
          <w:p w14:paraId="27E9F42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 器材立柱埋入深度不小于600mm，地埋尺寸不小于500*500*700mm；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9475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09C2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14:paraId="7E6BD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672C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E2C0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比赛跳高架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B2150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1.产品名称：高档跳高架                                                                     2.产品材质：立柱：铝合金，底座：铸铁。</w:t>
            </w:r>
          </w:p>
          <w:p w14:paraId="547D279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3.产品重量：≥31kg</w:t>
            </w:r>
          </w:p>
          <w:p w14:paraId="2F82FBC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产品结构：跳高架由底座，微调支脚，固定立柱，导杆，横杆托架等构成。产品形式简介，结构合理，可拆装，便于运输和包装。底座为铸铁底座，一次性铸造成型，底部设有PU滚轮，移动方便。跳高架横杆托架采用钢制，具有防腐蚀性，安全，牢固等优点</w:t>
            </w:r>
          </w:p>
          <w:p w14:paraId="6E5CD45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5.跳高架固定立柱采用40*60mm的铝合金方管和3*3cm的附件组合而成，升降方便。调节范围：600-2600mm。</w:t>
            </w:r>
          </w:p>
          <w:p w14:paraId="11A94C1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6.所有钢制件均经除锈，磷化后在自动喷涂线上喷塑。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C229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1470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14:paraId="20BC2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C4AF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D86D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跳高横竿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03BF9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1.产品名称；跳高横杆</w:t>
            </w:r>
          </w:p>
          <w:p w14:paraId="160952F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2.产品材质：横杆采用玻璃钢材质制成，横杆接头采用特殊的外形结构制作而成</w:t>
            </w:r>
          </w:p>
          <w:p w14:paraId="5B55B91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3.产品规格：产品有横杆和横杆接头组成，跳高横杆总长为4m±2cm，圆形部分直径为30mm±1mm，横杆两端宽30-35mm，长15-20cm，毛重约1.5kg。</w:t>
            </w:r>
          </w:p>
          <w:p w14:paraId="621113B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4.用途及性能：横杆由三部分组成即圆杆和两端，横杆两端横截面应呈圆形或半圆形，质地坚硬，表面平滑。</w:t>
            </w:r>
          </w:p>
          <w:p w14:paraId="7BB5915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5.产品颜色：横杆颜色红、黄相间。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6CCF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F527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r>
      <w:tr w14:paraId="25C17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60A2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5685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跳高海绵垫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A8985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1.产品名称：跳高海绵包</w:t>
            </w:r>
          </w:p>
          <w:p w14:paraId="207ADE9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2.基本尺寸：长*宽*厚=5*3*0.7m </w:t>
            </w:r>
          </w:p>
          <w:p w14:paraId="5F2467E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产品构成：海绵包主要由海绵垫主体，覆盖层组成。海绵包主体由三层重磅发泡海绵组成，弹力均衡，柔软适中，海绵包中层结构以‘井’字型框架组合，用以满足落地时人体对弹性及缓冲作用的要求。海绵垫覆盖层厚100mm，用搭扣将其与拼装好的垫子连接，所有拉链不得外露，以免伤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BBF3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09BD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1A8AF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6835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A5E2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跳高海绵垫底架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EF5C7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1.产品名称：跳高海绵包底架                                                                                           2.基本尺寸：≥4.5×2.8×0.1（m）；</w:t>
            </w:r>
          </w:p>
          <w:p w14:paraId="7D0F4A0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3.重要组成：跳高海绵垫底架由四小块底架通过连接片连接而成。</w:t>
            </w:r>
          </w:p>
          <w:p w14:paraId="0263703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4.产品具有耐酸碱、耐湿热、抗老化、外观美观等优点，能适合潮湿和酸雨环境，且前处理过程以及产品涂料配方均不含有毒元素，避免损害使用者的健康。所有钢制件均经除锈，磷化后在自动喷涂线上喷塑。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43F6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1EE7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7F95F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AF64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9E73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跳高海绵垫防护棚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ED566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1.产品名称：海绵包防护棚</w:t>
            </w:r>
          </w:p>
          <w:p w14:paraId="0E5B3C8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产品材质：产品主要有彩钢板和框架组成，主梁采用50*100mm，壁厚2mm，框架采用50*50、50*25、25*25mm，壁厚1.2mm，顶棚采用50*25、25*25cm，壁厚1.2mm的方管拼装焊接围成，顶棚上面覆厚0.6mm的彩钢板，设有漏雨槽，能放置漏雨，所有钢质件均经除锈、磷化后在自动喷涂线上喷塑，颜色为蓝色，外形美观，大方，底部设有走轮移动方便。</w:t>
            </w:r>
          </w:p>
          <w:p w14:paraId="183651AA">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3.产品尺寸：5.4×3.4m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143C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CEDF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3DBA6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07C1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2E72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比赛跨栏架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D47F8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1.产品名称：高档比赛跨栏架</w:t>
            </w:r>
          </w:p>
          <w:p w14:paraId="684E499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2.跨栏架操作方法：双手握住两边立柱刻泵，上下升降。底部方管内装有配重块，握住手柄根据高度可调节配重。保证各个高度的跨栏架需3.6千克最多不超过4千克的力方可推到。                                                                                         3.跨栏架可调节高度为762,838,914,991,1067mm（高度允许误差±3mm），跨栏架宽为1.1米。</w:t>
            </w:r>
          </w:p>
          <w:p w14:paraId="4A260DD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跨栏架主要由底部方管，底横杆，立柱内管立柱外管以及跨栏板等组成。跨栏板为ABS成型塑料，可回收，其规格为1200*70*20（mm）。管材均采用专用钢型材，跨栏架立柱外管采用Φ38mm钢管制成，立柱内管采用Φ32mm钢管制成，底横杆采用Φ32mm钢管制成，底座配重管采用50*50mm方管制成。</w:t>
            </w:r>
          </w:p>
          <w:p w14:paraId="7B83D4B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5.产品重量：总重约11kg</w:t>
            </w:r>
          </w:p>
          <w:p w14:paraId="52DEF9F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所有钢制件均经除锈，磷化后在自动喷涂线上采用纯聚酯粉末喷涂完成最后表面处理，涂层厚度70-80um，铅笔硬度大3H+，涂膜无变化，划格处单面腐蚀&lt;2mm，产品具有耐酸碱、耐湿热、抗老化等特点，能适合潮湿和酸雨环境，适用于室外使用，且产品涂料配方不含有毒元素，避免损害使用者健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BD37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8333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r>
      <w:tr w14:paraId="2CE90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07D3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FA9C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软式跨栏架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D3226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1.产品名称：安全训练跨栏架</w:t>
            </w:r>
          </w:p>
          <w:p w14:paraId="4022FC6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2.产品使用：将两侧立柱外管插在主体立柱上，双手握住两边立柱刻泵，调节升降高度。</w:t>
            </w:r>
          </w:p>
          <w:p w14:paraId="1D425A8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3.产品规格：跨栏架可调节高度为762,838,914,991,1067（mm）（高度允许误差±3mm）</w:t>
            </w:r>
          </w:p>
          <w:p w14:paraId="05912B4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跨栏架主要由底部方管，立柱以及栏板等组成。底部方管60mm×40mm的优质钢管，立柱采用φ32mm的钢管，升降管采用φ38mm钢管。栏板为中间分开型，内置不锈钢管，外套高密度海绵套筒。管材均采用专用钢型材，无配重。</w:t>
            </w:r>
          </w:p>
          <w:p w14:paraId="482F10B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5.产品重量：重约8.5kg</w:t>
            </w:r>
          </w:p>
          <w:p w14:paraId="7D53009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6.所有钢制件均经除锈，磷化后在自动喷涂线上喷塑，产品具有耐酸碱，耐湿热，抗老化等特点，能适合潮湿和酸雨环境，产品涂料均不含有毒元素，避免损害使用者健康。</w:t>
            </w:r>
          </w:p>
          <w:p w14:paraId="0F82901A">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7.此产品适用于训练，横杆可前后摆动，提高训练的安全性。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233C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C48E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r>
      <w:tr w14:paraId="36DC3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6509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9888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起跑器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7FA8A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1.产品名称：铝合金起跑器（6mm）</w:t>
            </w:r>
          </w:p>
          <w:p w14:paraId="1F501E5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2.产品材质：铝合金板，脚蹬表面聚氨酯塑胶粘贴，表面处理采用拉丝阳极氧化着灰色处理</w:t>
            </w:r>
          </w:p>
          <w:p w14:paraId="5741FC5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3.产品规格：主体全长：900mm，总宽为：420mm，厚6mm。踏板底座为190*160*115mm厚度6mm。踏板活动板为235*146*6mm。</w:t>
            </w:r>
          </w:p>
          <w:p w14:paraId="09BBF10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4.产品性能：起跑器把手固定在主体中间，用Ø20铝棒加工制成。调节高度为5级调节。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1DE3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09FA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r>
      <w:tr w14:paraId="792A3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2EE7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4D31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标志旗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46AD9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1.产品名称：标志旗                                                                                       2.外形尺寸：旗面35×50mm，高0.7m，                                                                            3.主要材质：钢制、涤纶布面，不锈钢底座</w:t>
            </w:r>
          </w:p>
          <w:p w14:paraId="270FDA8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4.产品颜色：红、白、黄、绿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0331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B66E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r>
      <w:tr w14:paraId="2179D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5A59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3D31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海绵垫（体操垫）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11A4D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1.名称：体操垫</w:t>
            </w:r>
          </w:p>
          <w:p w14:paraId="142E5DF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2.主要材质：外套为优质 PVC 材质、内衬压缩海绵，具有防滑性、耐磨性，内置海绵一次成型无接缝，无味环保</w:t>
            </w:r>
          </w:p>
          <w:p w14:paraId="1EEFABB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3.外形尺寸:2*1*0.1m</w:t>
            </w:r>
          </w:p>
          <w:p w14:paraId="1692D2C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4.外观质量：体操垫的四角为直角，带拉手，方便移动，表面平整、无皱折，色泽一致</w:t>
            </w:r>
          </w:p>
          <w:p w14:paraId="6006EC0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5.用途以及性能：休息以及训练使用。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A674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ECB3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25</w:t>
            </w:r>
          </w:p>
        </w:tc>
      </w:tr>
      <w:tr w14:paraId="06790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29FB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C47C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折叠小跳垫（体操垫）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FF444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1.名称：体操垫</w:t>
            </w:r>
          </w:p>
          <w:p w14:paraId="21DDAEF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2.主要材质：外套为优质帆布材质、内衬EPE海绵，具有防滑性、耐磨性，内置海绵一次成型无接缝，无味环保</w:t>
            </w:r>
          </w:p>
          <w:p w14:paraId="424FF43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3.外形尺寸:1.2×0.6×0.05m</w:t>
            </w:r>
          </w:p>
          <w:p w14:paraId="5A9E1F9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4.外观质量：体操垫的四角为直角，带拉手，方便移动，表面平整、无皱折，色泽一致</w:t>
            </w:r>
          </w:p>
          <w:p w14:paraId="1E18BC1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5.用途以及性能：休息以及训练使用。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876B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DC43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55</w:t>
            </w:r>
          </w:p>
        </w:tc>
      </w:tr>
      <w:tr w14:paraId="5C074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796C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1291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终点裁判台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AFF6D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1.产品名称：16人可伸缩裁判台                                                                               2.产品规格:裁判台共八层，每层两人；展开长480cm宽160cm高260cm。收缩后长宽高2.6*1.6*2.7m。                             </w:t>
            </w:r>
          </w:p>
          <w:p w14:paraId="50A4A10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3.产品材质：钢制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D4EE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D214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1A6F8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96C5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3C48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发令台+烟屏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068901">
            <w:pPr>
              <w:keepNext w:val="0"/>
              <w:keepLines w:val="0"/>
              <w:widowControl/>
              <w:suppressLineNumbers w:val="0"/>
              <w:spacing w:after="220" w:afterAutospacing="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1.产品名称：发令台（含烟屏）                                                                          2.发令台基本外形尺寸：长×宽×高=550×560×960（㎜）</w:t>
            </w:r>
          </w:p>
          <w:p w14:paraId="5C804A00">
            <w:pPr>
              <w:keepNext w:val="0"/>
              <w:keepLines w:val="0"/>
              <w:widowControl/>
              <w:suppressLineNumbers w:val="0"/>
              <w:spacing w:after="220" w:afterAutospacing="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3.产品颜色：主体颜色为红色</w:t>
            </w:r>
          </w:p>
          <w:p w14:paraId="507464E8">
            <w:pPr>
              <w:keepNext w:val="0"/>
              <w:keepLines w:val="0"/>
              <w:widowControl/>
              <w:suppressLineNumbers w:val="0"/>
              <w:spacing w:after="220" w:afterAutospacing="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4.产品材质：优质钢制作而成，所有钢制件均经除锈，磷化后在自动喷涂线上喷塑。</w:t>
            </w:r>
          </w:p>
          <w:p w14:paraId="672BFEE4">
            <w:pPr>
              <w:keepNext w:val="0"/>
              <w:keepLines w:val="0"/>
              <w:widowControl/>
              <w:suppressLineNumbers w:val="0"/>
              <w:spacing w:after="220" w:afterAutospacing="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5.产品用途：适用于国内外比赛、训练使用。</w:t>
            </w:r>
          </w:p>
          <w:p w14:paraId="33367C79">
            <w:pPr>
              <w:keepNext w:val="0"/>
              <w:keepLines w:val="0"/>
              <w:widowControl/>
              <w:suppressLineNumbers w:val="0"/>
              <w:spacing w:after="220" w:afterAutospacing="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发令台主要由底架和推手柄组成，底架主要采用方管拼焊而成，底架踏脚板采用防滑踏垫，便于站人；推手柄采用圆管制作。发令台设置有插管，可放置配套设施（发令烟屏），发令台底部设置有滚轮，移动方便。</w:t>
            </w:r>
          </w:p>
          <w:p w14:paraId="53FBDB18">
            <w:pPr>
              <w:keepNext w:val="0"/>
              <w:keepLines w:val="0"/>
              <w:widowControl/>
              <w:suppressLineNumbers w:val="0"/>
              <w:spacing w:after="220" w:afterAutospacing="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7.发令烟屏由烟屏支架和烟屏两部分组成。烟屏支架采用22×22×1.2mm圆管制作，高度可调。</w:t>
            </w:r>
          </w:p>
          <w:p w14:paraId="0AC6B815">
            <w:pPr>
              <w:keepNext w:val="0"/>
              <w:keepLines w:val="0"/>
              <w:widowControl/>
              <w:suppressLineNumbers w:val="0"/>
              <w:spacing w:after="220" w:afterAutospacing="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烟屏规格尺寸：外径φ500㎜，采用δ1.2㎜铁板冲压成型，烟屏内设预埋螺母，通过螺栓与支架紧固。产品具有耐酸碱、耐湿热、抗老化、外观美观等优点，能适合潮湿和酸雨环境，且前处理过程以及产品涂料配方均不含有毒元素，避免损害使用者的健康。</w:t>
            </w:r>
          </w:p>
          <w:p w14:paraId="667372C7">
            <w:pPr>
              <w:pStyle w:val="18"/>
              <w:rPr>
                <w:rFonts w:hint="eastAsia"/>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4A62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5BBD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2A1B4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7778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49F9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器材架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DDE59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2米*2米*0.6米，承重 200 公斤及以上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BB3F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283A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r>
      <w:tr w14:paraId="7C530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5BED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E94AB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龙门举重机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B4A8A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1.主立管规格：F50.8×76.2×2.5 ；F76.2×3</w:t>
            </w:r>
          </w:p>
          <w:p w14:paraId="467B390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2.产品尺寸：1390×1747×2442（mm）；</w:t>
            </w:r>
          </w:p>
          <w:p w14:paraId="46D3802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3.产品重量：≥153kg.配重：≤300kg；</w:t>
            </w:r>
          </w:p>
          <w:p w14:paraId="7BD9F49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4.把手：铝质把手表面独特的滚花纹路有效增加握力并防止滑动，使锻炼动作更加舒适.有效；                              </w:t>
            </w:r>
          </w:p>
          <w:p w14:paraId="0DC45A9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5.阻力形式：杠铃片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BB28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921D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1A6A8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7FCE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CE3E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电动跑步机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4F88E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1.类别：S，精度等级：B   人体质量 ≤150kg.机身自重 ≥175kg</w:t>
            </w:r>
          </w:p>
          <w:p w14:paraId="32EB1E9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2.电机交流功率：2.2kW   输入功率：2.3kW</w:t>
            </w:r>
          </w:p>
          <w:p w14:paraId="4D479E2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3.电流要求 15A 电源电压 220-240V</w:t>
            </w:r>
          </w:p>
          <w:p w14:paraId="78E17BE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4.速度范围 0.5-20km/h，坡度范围 0-15%</w:t>
            </w:r>
          </w:p>
          <w:p w14:paraId="5B14031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5.2%,4%,6%,8%,10%,12%(坡度);2,4,6,8,10,12(速度)</w:t>
            </w:r>
          </w:p>
          <w:p w14:paraId="689E69B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6.显示窗口 6 LED + Matrix 8×16</w:t>
            </w:r>
          </w:p>
          <w:p w14:paraId="2891E8C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7.显示信息 TIME（时间）,TVG SPEED（平均速度）,DISTANCE（距离）,STEPS（步数）,HEART RATE（心率）,CALORIES（热量）,CAL/HOUR（每小时热量）,INCLINE（坡度）,SPEED（速度）,DOT MATRIX（点阵）。</w:t>
            </w:r>
          </w:p>
          <w:p w14:paraId="385E9D2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8.固定程序 手动模式（快速启动模式）, 目标模式3种（时间.距离.热量）, 固定模式5种：P1-P5, 用户模式2种：U1和U2,心率模式3种：HR1 HR2 HR3</w:t>
            </w:r>
          </w:p>
          <w:p w14:paraId="7CA8E49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9.跑带厚度 2.3mm. 跑板厚度 25.4mm.跑带品牌 西格林</w:t>
            </w:r>
          </w:p>
          <w:p w14:paraId="3D5D902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10.心率监测 手握心率</w:t>
            </w:r>
          </w:p>
          <w:p w14:paraId="0C1D03B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11.轴管直径 前:76.5mm ，后:76.5mm </w:t>
            </w:r>
          </w:p>
          <w:p w14:paraId="1AFF985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12.跑步表面尺寸 1524×560mm.产品尺寸 2206X923X1579（mm）    </w:t>
            </w:r>
          </w:p>
          <w:p w14:paraId="4BE2E87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13.主立管规格：50.8x152.4x2mm，底盘边管规格：50x100x2mm </w:t>
            </w:r>
          </w:p>
          <w:p w14:paraId="5453B3A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14.上机高度 250mm</w:t>
            </w:r>
          </w:p>
          <w:p w14:paraId="748C0DE8">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15.置物架 手机架1/ 水杯架2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B8B2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4602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0706F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5C4F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17B0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商用椭圆运转机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B5879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1.7LED窗口 + 16×40矩阵，控制面板的按键、窗口及警示说明以中文为主，方便国内用户使用</w:t>
            </w:r>
          </w:p>
          <w:p w14:paraId="457281E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2.四种运动模式（有氧、随机、燃脂、减重），3个心率控制程序（65%、75%、85%）、3个目标程序（里程、时间、热量）、快捷启动</w:t>
            </w:r>
          </w:p>
          <w:p w14:paraId="2641764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3.阻力：电磁  </w:t>
            </w:r>
          </w:p>
          <w:p w14:paraId="00AD824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4.阻力等级：≥20   </w:t>
            </w:r>
          </w:p>
          <w:p w14:paraId="21E26E7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5.自发电，功率：350w.</w:t>
            </w:r>
          </w:p>
          <w:p w14:paraId="2CEB183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6.人体质量：≤160kg</w:t>
            </w:r>
          </w:p>
          <w:p w14:paraId="5A204FD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7.类别：S，精度等级：B    </w:t>
            </w:r>
          </w:p>
          <w:p w14:paraId="2508C8A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8.尺寸：2180x742x1610mm                                                                                   </w:t>
            </w:r>
          </w:p>
          <w:p w14:paraId="443B8CE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9.把立管规格：32×790×2.5（mm），器材重量：≥119kg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CF46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0EB1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79F6B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7D8C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0824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杠铃片架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90415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1.级别 S                                               </w:t>
            </w:r>
          </w:p>
          <w:p w14:paraId="264A389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2.训练载荷：≤600kg。</w:t>
            </w:r>
          </w:p>
          <w:p w14:paraId="3EAD587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3.管材：2.5mm厚,RT50×100mm的双椭圆管组成的框架结构</w:t>
            </w:r>
          </w:p>
          <w:p w14:paraId="37F4416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4.脚垫：橡胶材质脚垫，有效防滑并防止磕碰地板</w:t>
            </w:r>
          </w:p>
          <w:p w14:paraId="0CE7ADC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5.外形尺寸：950×610×1209（mm）</w:t>
            </w:r>
          </w:p>
          <w:p w14:paraId="14DC117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6.产品净重：≥30kg               </w:t>
            </w:r>
          </w:p>
          <w:p w14:paraId="5C1F81C5">
            <w:pPr>
              <w:pStyle w:val="18"/>
              <w:rPr>
                <w:rFonts w:hint="eastAsia"/>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5723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AC55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4C2BD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9C19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4C92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二十二功能两站位综合训练机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889EB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1.管材：采用□50.8×76.2mm.□50.8×50.8mm.□38×38mm方钢管材.φ50.8mm圆管，管壁厚度2.5mm</w:t>
            </w:r>
          </w:p>
          <w:p w14:paraId="665728D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2.护罩：不锈钢护罩，美观安全</w:t>
            </w:r>
          </w:p>
          <w:p w14:paraId="0BE2059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3.钢索：采用自润滑索绳，有效使用寿命二十万次以上</w:t>
            </w:r>
          </w:p>
          <w:p w14:paraId="664CF3E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4.滑轮：滑轮采用健身房器材的专用轴承滑轮，使用强度和耐磨性极大加强</w:t>
            </w:r>
          </w:p>
          <w:p w14:paraId="27EDF47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5.调节：滑轮组采用便捷调节结构，使用方便</w:t>
            </w:r>
          </w:p>
          <w:p w14:paraId="2CF2B3A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6.把手：浸塑把手套，手握舒适，塑胶把手封头色彩鲜艳，有警示作用，提高器材使用安全性</w:t>
            </w:r>
          </w:p>
          <w:p w14:paraId="6910654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7.产品尺寸：3143*1705*2100（mm）</w:t>
            </w:r>
          </w:p>
          <w:p w14:paraId="38E2DAD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8.产品重量：≥260kg</w:t>
            </w:r>
          </w:p>
          <w:p w14:paraId="25B579F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9.产品配重：≥91*2kg        </w:t>
            </w:r>
          </w:p>
          <w:p w14:paraId="40DE58E8">
            <w:pPr>
              <w:pStyle w:val="18"/>
              <w:rPr>
                <w:rFonts w:hint="eastAsia"/>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A77F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8C31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371D2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7132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761D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包胶哑铃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F6737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1、重量：275KG（2.5、5、7.5、10、12.5、15、17.5、20、22.5、25）                                         2、类型：包胶哑铃</w:t>
            </w:r>
          </w:p>
          <w:p w14:paraId="53FB4D7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3、材质：表面聚氨酯（CPU），内芯圆钢，电镀圆钢手柄。</w:t>
            </w:r>
          </w:p>
          <w:p w14:paraId="36F1802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4、重量偏差：±（1%-3%）。</w:t>
            </w:r>
          </w:p>
          <w:p w14:paraId="32FE05C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5、工艺：整体一次性浇注成型，皮纹设计。</w:t>
            </w:r>
          </w:p>
          <w:p w14:paraId="166385DD">
            <w:pPr>
              <w:pStyle w:val="18"/>
              <w:rPr>
                <w:rFonts w:hint="eastAsia"/>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6005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7B7D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200</w:t>
            </w:r>
          </w:p>
        </w:tc>
      </w:tr>
      <w:tr w14:paraId="11DA7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076C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7A82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包胶三孔杠铃片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4943E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1、重量：155KG*2（2.5、5、10、15、20、25KG）                                                                        2、类型：橡胶杠铃片</w:t>
            </w:r>
          </w:p>
          <w:p w14:paraId="68012F0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3、材质：外：橡胶+碳酸钙，内：铸铁铁芯   +不锈钢套</w:t>
            </w:r>
          </w:p>
          <w:p w14:paraId="16CABE8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4、重量偏差：±（1%-3%）。</w:t>
            </w:r>
          </w:p>
          <w:p w14:paraId="370EDD1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5、工艺：橡胶硫化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E747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0C1E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200</w:t>
            </w:r>
          </w:p>
        </w:tc>
      </w:tr>
      <w:tr w14:paraId="4D5D0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C623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7444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2.2米奥杆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EB794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类型：2.2米杠铃杆</w:t>
            </w:r>
          </w:p>
          <w:p w14:paraId="138BC4B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材质：握杆采用42CrMo（铬钼）热处理合金钢，套筒采用20号精密无缝钢管。   </w:t>
            </w:r>
          </w:p>
          <w:p w14:paraId="34317F1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工艺：整体镀硬铬。                      </w:t>
            </w:r>
          </w:p>
          <w:p w14:paraId="1ABC39E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净重：20KG±1%。                       </w:t>
            </w:r>
          </w:p>
          <w:p w14:paraId="4EF8A82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承重：≤1500磅。</w:t>
            </w:r>
          </w:p>
          <w:p w14:paraId="72ACCB4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整体长度：2200mm</w:t>
            </w:r>
          </w:p>
          <w:p w14:paraId="6CE65EF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握杆直径：28mm</w:t>
            </w:r>
          </w:p>
          <w:p w14:paraId="0212D813">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套筒直径：50mm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BCE8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E905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14:paraId="30772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6292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F9D6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哑铃架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62734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1.级别 S                                               </w:t>
            </w:r>
          </w:p>
          <w:p w14:paraId="1C0A801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2.主立管规格：管材：2.5mm厚,RT50×100mm的双椭圆管组成的框架结构</w:t>
            </w:r>
          </w:p>
          <w:p w14:paraId="6ADC46E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3.脚垫：橡胶材质脚垫，有效防滑并防止磕碰地板</w:t>
            </w:r>
          </w:p>
          <w:p w14:paraId="037235E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4.外形尺寸：1580×814×982（mm）</w:t>
            </w:r>
          </w:p>
          <w:p w14:paraId="3D0F24D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5.产品净重：≥68kg，训练载荷：≤840kg，最大配重：无。                 </w:t>
            </w:r>
          </w:p>
          <w:p w14:paraId="6630B4C1">
            <w:pPr>
              <w:pStyle w:val="18"/>
              <w:rPr>
                <w:rFonts w:hint="eastAsia"/>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C00C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5062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6D39F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693E48A1">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智慧体育系统</w:t>
            </w:r>
          </w:p>
        </w:tc>
      </w:tr>
      <w:tr w14:paraId="0382F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D83FF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7DFC8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AI体育系统</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AB818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教师登录APP的PC客户端或手机客户端，查看管理平台，含学生人数、参与运动人数、参与率、运动人次、运动时长、能量消耗等统计图表。家长登录钉钉手机端，查看孩子每日及周期的运动、体测、体锻数据统计。</w:t>
            </w:r>
          </w:p>
          <w:p w14:paraId="561434A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一、长跑项目</w:t>
            </w:r>
          </w:p>
          <w:p w14:paraId="308C8A6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轻量化AI体育边端设备，套装主要组成：筒型高清摄像机*2，运动分析AI相机*2，21英寸户外智慧触摸屏（内置小型摄像机）*1，音响*1，屏体配电箱*1套，长跑专用起点杆件套包（竖杆、预埋件）*1套，，适用于安装在操场跑道等开放的环境中；</w:t>
            </w:r>
          </w:p>
          <w:p w14:paraId="0756D4D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2、运动分析AI相机均安装于另外配套的终点横杆上，实现跑步冲线的视觉分析，其余设备安装于套装配备的起点杆件套包上；</w:t>
            </w:r>
          </w:p>
          <w:p w14:paraId="03E8ED8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3、支持人脸识别和号码衣识别，识别时自动化实现人脸身份和运动者当时穿着号码牌的绑定，识别完成后运动者即可到起点开始跑步；</w:t>
            </w:r>
          </w:p>
          <w:p w14:paraId="59F082E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4、运动过程中基于AI视觉分析智能捕捉跑步测试过程视频，分析视频得出测试成绩，精度误差≤1秒，支持30人同时开展800米或1000米长跑项目；</w:t>
            </w:r>
          </w:p>
          <w:p w14:paraId="2547D12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5、支持2套室外AI跑步屏-长跑套装的组合使用，实现对800米和1000米两种项目的同时覆盖；</w:t>
            </w:r>
          </w:p>
          <w:p w14:paraId="6018A4A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6、支持运动结果和成绩的语音播报，锻炼数据，测试数据每周运动排行榜展示；</w:t>
            </w:r>
          </w:p>
          <w:p w14:paraId="286F045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7、支持千兆以太网连接到互联网以接入智慧体育数据平台，可在平台实现日常锻炼数据和测试数据整合，测试记录查看，测试视频回放和跑步分析报告 ；</w:t>
            </w:r>
          </w:p>
          <w:p w14:paraId="52709E4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8、筒型高清摄像机：1/2.7英寸CMOS，2.8~12mm电动变焦，网络接口RJ45千兆以太网*1，DC12V供电口*1，防护等级IP66；</w:t>
            </w:r>
          </w:p>
          <w:p w14:paraId="2E7920F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10、运动分析AI相机：1/2.8英寸CMOS，6mm中焦，分辨率支持4K 30帧/s或1080P 60帧/s，内置一体化智能芯片，内存4GB，存储16GB，网络接口RJ45千兆以太网*1，DC12V供电口*1，防护等级IP66；</w:t>
            </w:r>
          </w:p>
          <w:p w14:paraId="5F50B6B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11、21英寸户外智慧触摸屏：屏前6mmAR防爆玻璃，电容触控，分辨率1920×1080，对比度1000:1，亮度1000cd/m²，内置一体化智能芯片，四核心CPU，内存4GB，存储16GB，网络接口RJ45千兆以太网*1，防护等级IP55。</w:t>
            </w:r>
          </w:p>
          <w:p w14:paraId="3501EFD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二、立定跳远、坐位体前屈、排球项目</w:t>
            </w:r>
          </w:p>
          <w:p w14:paraId="7B34732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1.通过AI体锻体测盒来识别，支持举手手势控制、左右手势切换；</w:t>
            </w:r>
          </w:p>
          <w:p w14:paraId="1474976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2.支持选择练习模式和竞赛模式</w:t>
            </w:r>
          </w:p>
          <w:p w14:paraId="5FDBF68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3.人脸识别、实时跟踪：</w:t>
            </w:r>
          </w:p>
          <w:p w14:paraId="30CAD62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立定跳远：出界结束、踩线提示、跨步违规、3 个姿态(起跳、腾空、落地)融合图像，平均误差≤2cm;</w:t>
            </w:r>
          </w:p>
          <w:p w14:paraId="044149C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坐位体前屈：单手违规，平均误差≤0.2cm</w:t>
            </w:r>
          </w:p>
          <w:p w14:paraId="43449D4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排球：出界提示、高度未达标提示本次高度、平均高度;测试高度标准为2m，区域3mx3m，平均计数误差士2个/80 个，平均高度误差≤4cm;</w:t>
            </w:r>
          </w:p>
          <w:p w14:paraId="12BC676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4大屏展示最终成绩</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DCD47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358310">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w:t>
            </w:r>
          </w:p>
        </w:tc>
      </w:tr>
    </w:tbl>
    <w:p w14:paraId="06D57DA6">
      <w:pPr>
        <w:adjustRightInd w:val="0"/>
        <w:snapToGrid w:val="0"/>
        <w:spacing w:line="400" w:lineRule="exact"/>
        <w:rPr>
          <w:rFonts w:hint="eastAsia" w:ascii="宋体" w:hAnsi="宋体"/>
          <w:bCs/>
          <w:szCs w:val="21"/>
          <w:highlight w:val="none"/>
        </w:rPr>
      </w:pPr>
    </w:p>
    <w:p w14:paraId="082D953F">
      <w:pPr>
        <w:rPr>
          <w:rFonts w:hint="eastAsia"/>
          <w:highlight w:val="none"/>
        </w:rPr>
      </w:pPr>
      <w:r>
        <w:rPr>
          <w:rFonts w:hint="eastAsia"/>
          <w:highlight w:val="none"/>
        </w:rPr>
        <w:br w:type="page"/>
      </w:r>
    </w:p>
    <w:p w14:paraId="29C4072E">
      <w:pPr>
        <w:pStyle w:val="18"/>
        <w:rPr>
          <w:rFonts w:hint="eastAsia"/>
          <w:highlight w:val="none"/>
        </w:rPr>
      </w:pPr>
      <w:r>
        <w:rPr>
          <w:rFonts w:hint="eastAsia"/>
          <w:highlight w:val="none"/>
        </w:rPr>
        <w:t>标项</w:t>
      </w:r>
      <w:r>
        <w:rPr>
          <w:rFonts w:hint="eastAsia"/>
          <w:highlight w:val="none"/>
          <w:lang w:val="en-US" w:eastAsia="zh-CN"/>
        </w:rPr>
        <w:t>8</w:t>
      </w:r>
      <w:r>
        <w:rPr>
          <w:rFonts w:hint="eastAsia"/>
          <w:highlight w:val="none"/>
        </w:rPr>
        <w:t>：</w:t>
      </w:r>
    </w:p>
    <w:p w14:paraId="4FED0315">
      <w:pPr>
        <w:jc w:val="center"/>
        <w:rPr>
          <w:rFonts w:hint="eastAsia"/>
          <w:b/>
          <w:bCs/>
          <w:sz w:val="32"/>
          <w:szCs w:val="40"/>
          <w:highlight w:val="none"/>
          <w:lang w:eastAsia="zh-CN"/>
        </w:rPr>
      </w:pPr>
      <w:r>
        <w:rPr>
          <w:rFonts w:hint="eastAsia"/>
          <w:b/>
          <w:bCs/>
          <w:sz w:val="32"/>
          <w:szCs w:val="40"/>
          <w:highlight w:val="none"/>
          <w:lang w:eastAsia="zh-CN"/>
        </w:rPr>
        <w:t>保健室</w:t>
      </w:r>
    </w:p>
    <w:tbl>
      <w:tblPr>
        <w:tblStyle w:val="46"/>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8"/>
        <w:gridCol w:w="1381"/>
        <w:gridCol w:w="11148"/>
        <w:gridCol w:w="488"/>
        <w:gridCol w:w="562"/>
      </w:tblGrid>
      <w:tr w14:paraId="396DE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69A3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7B57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4F1DF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参数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769D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969A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r>
      <w:tr w14:paraId="77A62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897B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8843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诊查床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E5E2D2">
            <w:pPr>
              <w:keepNext w:val="0"/>
              <w:keepLines w:val="0"/>
              <w:widowControl/>
              <w:suppressLineNumbers w:val="0"/>
              <w:jc w:val="left"/>
              <w:textAlignment w:val="center"/>
              <w:rPr>
                <w:rStyle w:val="287"/>
                <w:rFonts w:hint="eastAsia" w:ascii="宋体" w:hAnsi="宋体" w:eastAsia="宋体" w:cs="宋体"/>
                <w:color w:val="auto"/>
                <w:sz w:val="21"/>
                <w:szCs w:val="21"/>
                <w:highlight w:val="none"/>
                <w:lang w:val="en-US" w:eastAsia="zh-CN" w:bidi="ar"/>
              </w:rPr>
            </w:pPr>
            <w:r>
              <w:rPr>
                <w:rStyle w:val="287"/>
                <w:rFonts w:hint="eastAsia" w:ascii="宋体" w:hAnsi="宋体" w:eastAsia="宋体" w:cs="宋体"/>
                <w:color w:val="auto"/>
                <w:sz w:val="21"/>
                <w:szCs w:val="21"/>
                <w:highlight w:val="none"/>
                <w:lang w:val="en-US" w:eastAsia="zh-CN" w:bidi="ar"/>
              </w:rPr>
              <w:t>1、规格：1800mm×600mm×800mm；</w:t>
            </w:r>
          </w:p>
          <w:p w14:paraId="6C0D78EB">
            <w:pPr>
              <w:keepNext w:val="0"/>
              <w:keepLines w:val="0"/>
              <w:widowControl/>
              <w:suppressLineNumbers w:val="0"/>
              <w:jc w:val="left"/>
              <w:textAlignment w:val="center"/>
              <w:rPr>
                <w:rStyle w:val="287"/>
                <w:rFonts w:hint="eastAsia" w:ascii="宋体" w:hAnsi="宋体" w:eastAsia="宋体" w:cs="宋体"/>
                <w:color w:val="auto"/>
                <w:sz w:val="21"/>
                <w:szCs w:val="21"/>
                <w:highlight w:val="none"/>
                <w:lang w:val="en-US" w:eastAsia="zh-CN" w:bidi="ar"/>
              </w:rPr>
            </w:pPr>
            <w:r>
              <w:rPr>
                <w:rStyle w:val="287"/>
                <w:rFonts w:hint="eastAsia" w:ascii="宋体" w:hAnsi="宋体" w:eastAsia="宋体" w:cs="宋体"/>
                <w:color w:val="auto"/>
                <w:sz w:val="21"/>
                <w:szCs w:val="21"/>
                <w:highlight w:val="none"/>
                <w:lang w:val="en-US" w:eastAsia="zh-CN" w:bidi="ar"/>
              </w:rPr>
              <w:t>2、床垫：采用40mm厚优质高弹海绵，面料为优质西皮；</w:t>
            </w:r>
          </w:p>
          <w:p w14:paraId="0BDCF0AC">
            <w:pPr>
              <w:keepNext w:val="0"/>
              <w:keepLines w:val="0"/>
              <w:widowControl/>
              <w:suppressLineNumbers w:val="0"/>
              <w:jc w:val="left"/>
              <w:textAlignment w:val="center"/>
              <w:rPr>
                <w:rStyle w:val="287"/>
                <w:rFonts w:hint="eastAsia" w:ascii="宋体" w:hAnsi="宋体" w:eastAsia="宋体" w:cs="宋体"/>
                <w:color w:val="auto"/>
                <w:sz w:val="21"/>
                <w:szCs w:val="21"/>
                <w:highlight w:val="none"/>
                <w:lang w:val="en-US" w:eastAsia="zh-CN" w:bidi="ar"/>
              </w:rPr>
            </w:pPr>
            <w:r>
              <w:rPr>
                <w:rStyle w:val="287"/>
                <w:rFonts w:hint="eastAsia" w:ascii="宋体" w:hAnsi="宋体" w:eastAsia="宋体" w:cs="宋体"/>
                <w:color w:val="auto"/>
                <w:sz w:val="21"/>
                <w:szCs w:val="21"/>
                <w:highlight w:val="none"/>
                <w:lang w:val="en-US" w:eastAsia="zh-CN" w:bidi="ar"/>
              </w:rPr>
              <w:t>3、床板：12mm厚优质夹板；</w:t>
            </w:r>
          </w:p>
          <w:p w14:paraId="7D23B5B9">
            <w:pPr>
              <w:keepNext w:val="0"/>
              <w:keepLines w:val="0"/>
              <w:widowControl/>
              <w:suppressLineNumbers w:val="0"/>
              <w:jc w:val="left"/>
              <w:textAlignment w:val="center"/>
              <w:rPr>
                <w:rStyle w:val="287"/>
                <w:rFonts w:hint="eastAsia" w:ascii="宋体" w:hAnsi="宋体" w:eastAsia="宋体" w:cs="宋体"/>
                <w:color w:val="auto"/>
                <w:sz w:val="21"/>
                <w:szCs w:val="21"/>
                <w:highlight w:val="none"/>
                <w:lang w:val="en-US" w:eastAsia="zh-CN" w:bidi="ar"/>
              </w:rPr>
            </w:pPr>
            <w:r>
              <w:rPr>
                <w:rStyle w:val="287"/>
                <w:rFonts w:hint="eastAsia" w:ascii="宋体" w:hAnsi="宋体" w:eastAsia="宋体" w:cs="宋体"/>
                <w:color w:val="auto"/>
                <w:sz w:val="21"/>
                <w:szCs w:val="21"/>
                <w:highlight w:val="none"/>
                <w:lang w:val="en-US" w:eastAsia="zh-CN" w:bidi="ar"/>
              </w:rPr>
              <w:t>4、床架用料：床脚40mm×40mm、拉横25mm×25mm无缝钢管，可拆装结构；</w:t>
            </w:r>
          </w:p>
          <w:p w14:paraId="489E1DB8">
            <w:pPr>
              <w:keepNext w:val="0"/>
              <w:keepLines w:val="0"/>
              <w:widowControl/>
              <w:suppressLineNumbers w:val="0"/>
              <w:jc w:val="left"/>
              <w:textAlignment w:val="center"/>
              <w:rPr>
                <w:rStyle w:val="287"/>
                <w:rFonts w:hint="eastAsia" w:ascii="宋体" w:hAnsi="宋体" w:eastAsia="宋体" w:cs="宋体"/>
                <w:color w:val="auto"/>
                <w:sz w:val="21"/>
                <w:szCs w:val="21"/>
                <w:highlight w:val="none"/>
                <w:lang w:val="en-US" w:eastAsia="zh-CN" w:bidi="ar"/>
              </w:rPr>
            </w:pPr>
            <w:r>
              <w:rPr>
                <w:rStyle w:val="287"/>
                <w:rFonts w:hint="eastAsia" w:ascii="宋体" w:hAnsi="宋体" w:eastAsia="宋体" w:cs="宋体"/>
                <w:color w:val="auto"/>
                <w:sz w:val="21"/>
                <w:szCs w:val="21"/>
                <w:highlight w:val="none"/>
                <w:lang w:val="en-US" w:eastAsia="zh-CN" w:bidi="ar"/>
              </w:rPr>
              <w:t>5、台架工艺要求：经酸洗磷化处理，静电喷涂，无虚焊、无焊渣，焊点光滑、美观，结构稳固，颜色灰白，漆面不脱落。</w:t>
            </w:r>
          </w:p>
          <w:p w14:paraId="4B0F34A0">
            <w:pPr>
              <w:keepNext w:val="0"/>
              <w:keepLines w:val="0"/>
              <w:widowControl/>
              <w:suppressLineNumbers w:val="0"/>
              <w:jc w:val="left"/>
              <w:textAlignment w:val="center"/>
              <w:rPr>
                <w:rStyle w:val="287"/>
                <w:rFonts w:hint="eastAsia" w:ascii="宋体" w:hAnsi="宋体" w:eastAsia="宋体" w:cs="宋体"/>
                <w:color w:val="auto"/>
                <w:sz w:val="21"/>
                <w:szCs w:val="21"/>
                <w:highlight w:val="none"/>
                <w:lang w:val="en-US" w:eastAsia="zh-CN" w:bidi="ar"/>
              </w:rPr>
            </w:pPr>
            <w:r>
              <w:rPr>
                <w:rStyle w:val="287"/>
                <w:rFonts w:hint="eastAsia" w:ascii="宋体" w:hAnsi="宋体" w:eastAsia="宋体" w:cs="宋体"/>
                <w:color w:val="auto"/>
                <w:sz w:val="21"/>
                <w:szCs w:val="21"/>
                <w:highlight w:val="none"/>
                <w:lang w:val="en-US" w:eastAsia="zh-CN" w:bidi="ar"/>
              </w:rPr>
              <w:t>6、</w:t>
            </w:r>
            <w:r>
              <w:rPr>
                <w:rStyle w:val="289"/>
                <w:rFonts w:hint="eastAsia" w:ascii="宋体" w:hAnsi="宋体" w:eastAsia="宋体" w:cs="宋体"/>
                <w:color w:val="auto"/>
                <w:sz w:val="21"/>
                <w:szCs w:val="21"/>
                <w:highlight w:val="none"/>
                <w:lang w:val="en-US" w:eastAsia="zh-CN" w:bidi="ar"/>
              </w:rPr>
              <w:t>参照JY0001-2003《教学仪器设备产品的一般质量要求》</w:t>
            </w:r>
            <w:r>
              <w:rPr>
                <w:rStyle w:val="287"/>
                <w:rFonts w:hint="eastAsia" w:ascii="宋体" w:hAnsi="宋体" w:eastAsia="宋体" w:cs="宋体"/>
                <w:color w:val="auto"/>
                <w:sz w:val="21"/>
                <w:szCs w:val="21"/>
                <w:highlight w:val="none"/>
                <w:lang w:val="en-US" w:eastAsia="zh-CN" w:bidi="ar"/>
              </w:rPr>
              <w:t>标准，满足以下4项要求：</w:t>
            </w:r>
          </w:p>
          <w:p w14:paraId="622005E8">
            <w:pPr>
              <w:keepNext w:val="0"/>
              <w:keepLines w:val="0"/>
              <w:widowControl/>
              <w:suppressLineNumbers w:val="0"/>
              <w:jc w:val="left"/>
              <w:textAlignment w:val="center"/>
              <w:rPr>
                <w:rStyle w:val="287"/>
                <w:rFonts w:hint="eastAsia" w:ascii="宋体" w:hAnsi="宋体" w:eastAsia="宋体" w:cs="宋体"/>
                <w:color w:val="auto"/>
                <w:sz w:val="21"/>
                <w:szCs w:val="21"/>
                <w:highlight w:val="none"/>
                <w:lang w:val="en-US" w:eastAsia="zh-CN" w:bidi="ar"/>
              </w:rPr>
            </w:pPr>
            <w:r>
              <w:rPr>
                <w:rStyle w:val="287"/>
                <w:rFonts w:hint="eastAsia" w:ascii="宋体" w:hAnsi="宋体" w:eastAsia="宋体" w:cs="宋体"/>
                <w:color w:val="auto"/>
                <w:sz w:val="21"/>
                <w:szCs w:val="21"/>
                <w:highlight w:val="none"/>
                <w:lang w:val="en-US" w:eastAsia="zh-CN" w:bidi="ar"/>
              </w:rPr>
              <w:t>6-1、教学仪器设备产品的外观要造型美观、色彩协调、规整光洁。表面不应有明显的擦伤、划痕和碰撞的坑疤；</w:t>
            </w:r>
          </w:p>
          <w:p w14:paraId="4025E151">
            <w:pPr>
              <w:keepNext w:val="0"/>
              <w:keepLines w:val="0"/>
              <w:widowControl/>
              <w:suppressLineNumbers w:val="0"/>
              <w:jc w:val="left"/>
              <w:textAlignment w:val="center"/>
              <w:rPr>
                <w:rStyle w:val="287"/>
                <w:rFonts w:hint="eastAsia" w:ascii="宋体" w:hAnsi="宋体" w:eastAsia="宋体" w:cs="宋体"/>
                <w:color w:val="auto"/>
                <w:sz w:val="21"/>
                <w:szCs w:val="21"/>
                <w:highlight w:val="none"/>
                <w:lang w:val="en-US" w:eastAsia="zh-CN" w:bidi="ar"/>
              </w:rPr>
            </w:pPr>
            <w:r>
              <w:rPr>
                <w:rStyle w:val="287"/>
                <w:rFonts w:hint="eastAsia" w:ascii="宋体" w:hAnsi="宋体" w:eastAsia="宋体" w:cs="宋体"/>
                <w:color w:val="auto"/>
                <w:sz w:val="21"/>
                <w:szCs w:val="21"/>
                <w:highlight w:val="none"/>
                <w:lang w:val="en-US" w:eastAsia="zh-CN" w:bidi="ar"/>
              </w:rPr>
              <w:t>6-2、金属零部件除特殊要求外，都应根据使用要求涂覆一定的覆盖层。在通常情况下，金属零部件的镀层和氧化层参见附录B；</w:t>
            </w:r>
          </w:p>
          <w:p w14:paraId="34D64250">
            <w:pPr>
              <w:keepNext w:val="0"/>
              <w:keepLines w:val="0"/>
              <w:widowControl/>
              <w:suppressLineNumbers w:val="0"/>
              <w:jc w:val="left"/>
              <w:textAlignment w:val="center"/>
              <w:rPr>
                <w:rStyle w:val="287"/>
                <w:rFonts w:hint="eastAsia" w:ascii="宋体" w:hAnsi="宋体" w:eastAsia="宋体" w:cs="宋体"/>
                <w:color w:val="auto"/>
                <w:sz w:val="21"/>
                <w:szCs w:val="21"/>
                <w:highlight w:val="none"/>
                <w:lang w:val="en-US" w:eastAsia="zh-CN" w:bidi="ar"/>
              </w:rPr>
            </w:pPr>
            <w:r>
              <w:rPr>
                <w:rStyle w:val="287"/>
                <w:rFonts w:hint="eastAsia" w:ascii="宋体" w:hAnsi="宋体" w:eastAsia="宋体" w:cs="宋体"/>
                <w:color w:val="auto"/>
                <w:sz w:val="21"/>
                <w:szCs w:val="21"/>
                <w:highlight w:val="none"/>
                <w:lang w:val="en-US" w:eastAsia="zh-CN" w:bidi="ar"/>
              </w:rPr>
              <w:t>6-3、漆层附着牢固，不脱落，表面平整光滑、色调美观、薄厚均匀，不应有流疤、龟裂、皱皮、剥落和露底。美术漆层应花纹清楚，裂纹层不应露出底漆；</w:t>
            </w:r>
          </w:p>
          <w:p w14:paraId="6A641345">
            <w:pPr>
              <w:keepNext w:val="0"/>
              <w:keepLines w:val="0"/>
              <w:widowControl/>
              <w:suppressLineNumbers w:val="0"/>
              <w:jc w:val="left"/>
              <w:textAlignment w:val="center"/>
              <w:rPr>
                <w:rStyle w:val="287"/>
                <w:rFonts w:hint="eastAsia" w:ascii="宋体" w:hAnsi="宋体" w:eastAsia="宋体" w:cs="宋体"/>
                <w:color w:val="auto"/>
                <w:sz w:val="21"/>
                <w:szCs w:val="21"/>
                <w:highlight w:val="none"/>
                <w:lang w:val="en-US" w:eastAsia="zh-CN" w:bidi="ar"/>
              </w:rPr>
            </w:pPr>
            <w:r>
              <w:rPr>
                <w:rStyle w:val="287"/>
                <w:rFonts w:hint="eastAsia" w:ascii="宋体" w:hAnsi="宋体" w:eastAsia="宋体" w:cs="宋体"/>
                <w:color w:val="auto"/>
                <w:sz w:val="21"/>
                <w:szCs w:val="21"/>
                <w:highlight w:val="none"/>
                <w:lang w:val="en-US" w:eastAsia="zh-CN" w:bidi="ar"/>
              </w:rPr>
              <w:t>6-4、焊接件表面平滑，不应有裂缝、夹渣、烧穿及未焊透等缺陷。且其检测结果均为与标准要求一致。</w:t>
            </w:r>
          </w:p>
          <w:p w14:paraId="656212DD">
            <w:pPr>
              <w:keepNext w:val="0"/>
              <w:keepLines w:val="0"/>
              <w:widowControl/>
              <w:suppressLineNumbers w:val="0"/>
              <w:jc w:val="left"/>
              <w:textAlignment w:val="center"/>
              <w:rPr>
                <w:rStyle w:val="287"/>
                <w:rFonts w:hint="eastAsia" w:ascii="宋体" w:hAnsi="宋体" w:eastAsia="宋体" w:cs="宋体"/>
                <w:color w:val="auto"/>
                <w:sz w:val="21"/>
                <w:szCs w:val="21"/>
                <w:highlight w:val="none"/>
                <w:lang w:val="en-US" w:eastAsia="zh-CN" w:bidi="ar"/>
              </w:rPr>
            </w:pPr>
            <w:r>
              <w:rPr>
                <w:rStyle w:val="287"/>
                <w:rFonts w:hint="eastAsia" w:ascii="宋体" w:hAnsi="宋体" w:eastAsia="宋体" w:cs="宋体"/>
                <w:color w:val="auto"/>
                <w:sz w:val="21"/>
                <w:szCs w:val="21"/>
                <w:highlight w:val="none"/>
                <w:lang w:val="en-US" w:eastAsia="zh-CN" w:bidi="ar"/>
              </w:rPr>
              <w:t>7、</w:t>
            </w:r>
            <w:r>
              <w:rPr>
                <w:rStyle w:val="289"/>
                <w:rFonts w:hint="eastAsia" w:ascii="宋体" w:hAnsi="宋体" w:eastAsia="宋体" w:cs="宋体"/>
                <w:color w:val="auto"/>
                <w:sz w:val="21"/>
                <w:szCs w:val="21"/>
                <w:highlight w:val="none"/>
                <w:lang w:val="en-US" w:eastAsia="zh-CN" w:bidi="ar"/>
              </w:rPr>
              <w:t>参照GB21027-2020《学生用品的安全通用要求》标准，</w:t>
            </w:r>
            <w:r>
              <w:rPr>
                <w:rStyle w:val="287"/>
                <w:rFonts w:hint="eastAsia" w:ascii="宋体" w:hAnsi="宋体" w:eastAsia="宋体" w:cs="宋体"/>
                <w:color w:val="auto"/>
                <w:sz w:val="21"/>
                <w:szCs w:val="21"/>
                <w:highlight w:val="none"/>
                <w:lang w:val="en-US" w:eastAsia="zh-CN" w:bidi="ar"/>
              </w:rPr>
              <w:t>满足以下2项要求：1、可迁移元素mg/kg（锑、钡、铬、汞、砷、镉、铅、硒）其检测结果为面料均未检出。2、游离甲醛含量（mg/kg)其检测结果为面料未检出。</w:t>
            </w:r>
          </w:p>
          <w:p w14:paraId="1235EB3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287"/>
                <w:rFonts w:hint="eastAsia" w:ascii="宋体" w:hAnsi="宋体" w:eastAsia="宋体" w:cs="宋体"/>
                <w:color w:val="auto"/>
                <w:sz w:val="21"/>
                <w:szCs w:val="21"/>
                <w:highlight w:val="none"/>
                <w:lang w:val="en-US" w:eastAsia="zh-CN" w:bidi="ar"/>
              </w:rPr>
              <w:t>8、投标人需提供厂商官网产品截图证明或产品彩页或有效的检测报告。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BBBE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5156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14:paraId="14E95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F3A0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F30D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诊察凳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8F857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1、规格：高度60cm；</w:t>
            </w:r>
          </w:p>
          <w:p w14:paraId="2C6074F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2、凳面：优质西皮面，能360度回转；</w:t>
            </w:r>
          </w:p>
          <w:p w14:paraId="7D0DA61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3、电镀钢制五星脚架，圆形脚蹋。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93AC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5A54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r w14:paraId="114C8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6046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543F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落地蛇形灯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4923D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不锈钢灯罩，立杆，蛇形软管，开关灯口。底座为20*40mm矩形管焊接。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97ED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C403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0D799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4090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B559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综合急救箱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516B1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用医疗急救药品及器械：1：供氧器1个，2：吸氧管1根，3：面罩1个，4：加湿器1个，5：氧桥1个，6：专用扳手1把，7：血压表1台，8：听诊器1个，9：体温计1个，10：金属压舌板1根，11：笔式手电筒1个，12：手术剪刀1把，13：辅料镊子：1把，14：针灸针1根，15：三角巾急救包（压缩灭菌）1套，16：绷带1卷，17：胶布1卷，18：棉签1包，19：止血带1根，20：创可贴，21：酒精棉球1包，22：舌钳1把，23：止血钳1把，24、铝合金综合急救箱1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E8A7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499B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65C63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E6EF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E6C9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外伤处理器械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F9A84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医用脱脂纱布，镊子，止血钳，创可贴，剪刀等。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C58F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D19F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17695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BEC1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CD01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高压灭菌器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5CC1E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手提式，18L。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B37E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9223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255B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F403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508C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医用镊子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FB41A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不锈钢制,各种规格。5种一套，圆头125、140、160、180、250mm，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6544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7BE0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0AB7A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1A4D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874B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医用剪刀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BB57D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12种，不锈钢14cm直圆，14cm直夹，14cm弯圆，14cm弯夹18cm直圆，18cm直夹，18cm弯圆，18cm弯夹16cm直圆，16cm直夹，16cm弯圆，16cm弯夹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6635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A7D6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18486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E0E2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CCA8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止血钳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8A57E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不锈钢制，医用止血钳，12.5-18cm。直弯各一，一套8把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13D2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E73D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3912F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AA7F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CBEA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压舌板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D0483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不锈钢制，经灭菌消毒。长160mm，宽20mm。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7CB6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FDFB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71695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E2D7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DB62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额镜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9E6AF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直径80mm，五官科反光器具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7D49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0896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6918E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7C91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734C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叩诊锤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D6452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不锈钢手柄，手柄上带刻度尺，最大长度27cm，使用最大长度143mm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4D57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24D7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4AD71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E1A5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498D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冲眼壶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409BF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不锈钢制，容积100ml。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6D69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DCD8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01703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A791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120E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受水器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ED474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不锈钢受水器，激光焊接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1877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CC1E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58C5D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E227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BD74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异物针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71A65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不锈钢，全长165MM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6722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19F4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48CC6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8779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7086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担架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85089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折叠式，铝合金管材支架，牛津帆布面料。承重160kg以上。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8296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B4C7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6796F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77B6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6B67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拐杖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83CA8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铝合金制，四档可调，称重不低于70kg。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29E7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EAC3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74FA8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39F4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B609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止血带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4BF3E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医用，布制.扣压式.扣3.5cm×3cm.乳胶带40cm×2.5cm,进行临时捆扎止血的急救物品。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FF60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45C7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0FCC8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04D3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8443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方盘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C1E76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1、规格：400mm×300mm×60mm；2、材质：不锈钢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A771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62EA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14:paraId="330A7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8C7B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A8C6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带盖方盘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34C23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1、规格：240*160*45mm2、材质：不锈钢制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67B7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7245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14:paraId="7A286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47FE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2E12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敷料缸、棉球缸、器械缸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F2A2E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直径8cm，不锈钢，带盖。整体高90mm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46B5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142F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14:paraId="55B92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2637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8D2A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器械缸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F5FEF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不锈钢制，折叠式盖子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FAA6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35B8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14:paraId="4CDDD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8F81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FEF1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贮槽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F3C65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有孔，带盖，尺寸直径200*140mm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E28F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F275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4DA09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C5D3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91F2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弯盘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85621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标配，不锈钢腰型盘，小号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05F8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D199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14:paraId="1C7FE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AEFA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1E86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柳型夹板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99710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1、木质包纯棉布、独立包装；</w:t>
            </w:r>
          </w:p>
          <w:p w14:paraId="1B48274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2、应具透气性好、质地轻、X射线穿透性、环保性、抗生性。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5D11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E567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51521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58AB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E971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器械台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25945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1800*880*360（mm）,0.8mm冷轧钢板，全柜分上下两层，上玻下铁（带锁），上层高900mm，下层高820mm；脚高80mm；上下层均为活动层板，每块层板加双加强筋，外沿加装挡条，以防仪器滑落，层板放置须有锁紧装置，以防层板滑动，标配上层2块、下层1块,可自由调节层高和加层板。工艺：模具冲压，整体焊接成型，表层超水平静电喷塑；整体美观，接口平整，焊接牢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DA96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CC87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4428F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12D7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F679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屏风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9DA2F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长度2000MM,高度1700.全不锈钢骨架结构，屏风面料，环保化纤油画布。完全防水。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0CFA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E281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05EA2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8C8B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0E7A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针灸针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EC59B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30支/管 Φ：0.30mm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F782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302C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3845B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E272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AC8C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牙钻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BD4C1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双槽纹，按压式取针，支持130℃高温消毒，机头直径11.2/12.5mm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FB1A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510F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5AC1D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4F00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B1A9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白大褂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6D110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涤卡；颜色为白色；2、工作服具有一定的防静电，及防酸、碱及其他化学腐蚀的能力；3、产品应做工精细，产品外观无破损、斑点、污物等缺陷；4、产品所用材料应能满足日常穿用和中学实验室日常使用要求，具有一定耐穿性、牢固性和和舒适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D3FD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7065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394F2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2DDE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04C6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卫生箱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BE390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铝合金材质，二层，尺寸：35*19*20cm，第二层 注塑 分格层，空箱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02EA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06C7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1C913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F6F8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C5A0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人工呼吸器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FDCB3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医用硅胶气囊，压缩充气被动呼吸原理。用于前期急救阶段。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5112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67AD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1694B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BE09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36F7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喉头喷雾器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B3ACE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A型 单手式双管喷雾器的各部焊接牢固，不得歪斜无脱焊，表面光滑，无明显的堆积物。由气囊、手柄、导管、给药瓶、喷药管、喷头组成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FF4F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DB9D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04105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18C5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D450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快速制氧气机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1FE08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高氧浓度93%±3%，高清数显，出氧量0.5-3L/min/0.5-5L/min进口分子筛，噪音≤45dB</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28B5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1B9B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344CE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969C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8F61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便携式心电图机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011AB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便携式三道动态心电图机，自动出结果，80*20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7B01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0827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2D1C2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73B8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496B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针灸按摩治疗仪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938B3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连续，疏密，断续三种输出模式，非对称双向脉冲波，6路输出，三档定时。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03F4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E7B5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0D9D8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EB1F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A99C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电针仪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58EC4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大电源，四档定时，连续波四路输出，同时用于8个穴位，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0E08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BC91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4977C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1C4D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2035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近视眼治疗仪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24FEE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低中频治疗，强度可调，环型硅导电橡胶特制电极，单片机编程，两档定时，连续工作4小时，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F9E7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45C5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32158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DEB5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E27A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治疗车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9E199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600*400*860mm,不锈钢，可移动，双抽屉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967C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3201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6B2AC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E644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E5F4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电动吸痰器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22D31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自重：5kg，外形体积：350*160*260mm.输入功率：90VA.电源为AC220V。</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3408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8E80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00C7E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E930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34F5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浸泡消毒盒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2B733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环保PP材料，三色合一，浸泡，干燥消毒一体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D814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B495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05A2A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5429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829C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三棱针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ED047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2.6*65mm，不锈钢，绿色塑料包装手柄，便于使用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B33C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12C2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5C6D5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52A5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25D2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三棱针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61BA6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1.6*65mm，不锈钢，蓝色塑料包装手柄，便于使用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5172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3C6C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48D86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0274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35E7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医用脱脂绷带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612E8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材料为医用脱脂纱布，用于伤口外敷，包扎，每包10轴，10cm*6m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83CC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AE54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701EB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1AA0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3DAB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医用纱布块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1662B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灭菌纱布块21*32，6*8*8*8cm，用于伤口外敷，5p*30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AC42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B0F8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644B9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2DAE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150E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雾化器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95C7B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医用雾化治疗，可加药物雾化。压缩分子分解原理。噪音低于65db，雾化量可调。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EF84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452E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7B39E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D970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426B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神灯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FD112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落地式，带万向轮，可移动式。灯头可折叠伸缩，远红外发热渗透理疗原理。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5821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9772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67422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005F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03B2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热水袋 暖手袋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FCFBB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按行业标准，橡胶制品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276C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E998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14:paraId="738CA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FA7C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1AC8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氧气袋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0330B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30L,71*43cm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B96F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74A4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14:paraId="1C070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45C4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B2FB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氧气瓶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280FE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氧气瓶4L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40C8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2060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0BF4B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E7F8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7E6F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一次性隔离鞋套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3B6BB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A型，大号，由聚乙烯材料或薄型粘合法非制造布材料制成，5副/包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5B85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7E49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14:paraId="071A0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1486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630B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一次性医用手套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5FF5D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PE,一次性使用，100只/包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AB59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A1A8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468C0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06EC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D64E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橡胶检查手套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E38A6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天然橡胶，环氧乙烷灭菌，50副/包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355D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554A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65C79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B334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ECC7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医用防护面屏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2701F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一次性医用隔离面罩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80BF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3E1F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14:paraId="6A931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869C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5FF2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医用护目镜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F0150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优质PVC材质，可调节头带，聚碳酸酯镜片，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4803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00D2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14:paraId="4EB5C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341B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8BC6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医用隔离防护服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A4F0F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连体式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0954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F46B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241AC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564B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2F41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一次性医用口罩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2EF3B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一次性医用外科口罩， 10只/包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33CA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5B0B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14:paraId="21E0E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D59C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DF98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酒精免洗手液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93BE4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乙醇含量54%-66%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8141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6270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r>
      <w:tr w14:paraId="29F45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3E1F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96A4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工作帽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FE5C7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47AF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95E9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14:paraId="4042D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774C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D1D5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弹力绷带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63349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弹性绷带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A6DA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78AD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14:paraId="523D4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29BE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5BDB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配药注射器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C6B7B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1、30mL；塑料制品，注射管表面无缩迹、无溶迹、无毛刺；外形端正，厚薄均匀，内外表面清洁，无划伤；2、量值准确，刻度和数字清晰、无断线、不脱落；外筒与活塞之间配合严密，滑动自如，密封性好。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DC12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8218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w:t>
            </w:r>
          </w:p>
        </w:tc>
      </w:tr>
      <w:tr w14:paraId="2F41C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D1F6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E465F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除颤仪</w:t>
            </w:r>
          </w:p>
          <w:p w14:paraId="2C01101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（核心产品）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F64C7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1、物理参数/性能</w:t>
            </w:r>
          </w:p>
          <w:p w14:paraId="562CA1E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1.1重量（含电池和除颤电极）≤1.8Kg</w:t>
            </w:r>
          </w:p>
          <w:p w14:paraId="0334C4A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1.2抗冲击/跌落性能：机器六面均可承受≥1.5米跌落冲击</w:t>
            </w:r>
          </w:p>
          <w:p w14:paraId="3C44449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1.3与机器一体的提手：具备</w:t>
            </w:r>
          </w:p>
          <w:p w14:paraId="3E201F4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1.4按键开机：具备</w:t>
            </w:r>
          </w:p>
          <w:p w14:paraId="2D71E5F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2、环境参数</w:t>
            </w:r>
          </w:p>
          <w:p w14:paraId="708E078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2.1工作温度范围至少满足-10℃-50℃，且从室温环境下进入-20℃环境后，至</w:t>
            </w:r>
          </w:p>
          <w:p w14:paraId="5CBFA4E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少可工作60分钟</w:t>
            </w:r>
          </w:p>
          <w:p w14:paraId="4EDAC94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2.2存储温度-40℃-70℃</w:t>
            </w:r>
          </w:p>
          <w:p w14:paraId="080515F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2.3防尘放水级别≥IP55</w:t>
            </w:r>
          </w:p>
          <w:p w14:paraId="0A78B34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3、操作</w:t>
            </w:r>
          </w:p>
          <w:p w14:paraId="0DD68DA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3.1成人/儿童患者类型一键切换：具备且可根据病人类型切换提示信息</w:t>
            </w:r>
          </w:p>
          <w:p w14:paraId="55D1259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3.2按压模式可调：具备30:2、15:2、连续按压</w:t>
            </w:r>
          </w:p>
          <w:p w14:paraId="0536094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3.3按压频率提示：具备100-120次/分钟</w:t>
            </w:r>
          </w:p>
          <w:p w14:paraId="7BB7E2B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3.4支持中英文切换：具备</w:t>
            </w:r>
          </w:p>
          <w:p w14:paraId="56AEC51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4、除颤性能</w:t>
            </w:r>
          </w:p>
          <w:p w14:paraId="664B99F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4.1双向波技术：具备且支持成人及儿童，波形参数可根据病人抗阻进行补偿</w:t>
            </w:r>
          </w:p>
          <w:p w14:paraId="619D9DD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4.2成人、儿童患者类型快速一键切换：具备</w:t>
            </w:r>
          </w:p>
          <w:p w14:paraId="32FCFB9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*4.3输出能量：成人最高除颤能量≤150J</w:t>
            </w:r>
          </w:p>
          <w:p w14:paraId="5946B04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4.4充电至最高能量150J≤7s</w:t>
            </w:r>
          </w:p>
          <w:p w14:paraId="1BDBF9E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5、除颤电极片</w:t>
            </w:r>
          </w:p>
          <w:p w14:paraId="3B33E81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5.1成人儿童一体化电极片：具备，且具有电极片粘贴方式示意图</w:t>
            </w:r>
          </w:p>
          <w:p w14:paraId="5C96CFD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5.2电极片有效期：≥2年</w:t>
            </w:r>
          </w:p>
          <w:p w14:paraId="2B1EC60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5.3具有电极片有效期自检功能和电极片过期提示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57B6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02B1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7C827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1378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8CFE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监护仪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678D5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多种监测，三种模式，自动多级调光，抗运动干扰，抗电刀干扰，掉电存储。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41A7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1C27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63A5B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1861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2DE7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空气消毒机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53B24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紫外线消毒，移动式，高效过滤，遥控控制，循环风量≥1000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4A4E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A6C4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5EA3E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1C8A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7F28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医疗废物垃圾桶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DF6D7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加厚塑料材质，15L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3B62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B68F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4C57D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512F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4E12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利器盒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D31D9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环保材料，圆形，带盖，4L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6876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2C21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30290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AF98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1045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垃圾袋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162D2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58*70 30升垃圾桶配套，100个/捆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F685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3162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321AD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3109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D229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捆扎带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F17E8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黄色ABS插入式锁扣，用于捆扎垃圾袋，200个/包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0F07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73B9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0301F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C0D3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4687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医疗废物标签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A5CA2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5*8CM,1000贴/卷，用于贴在垃圾袋上做标识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4A9D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E25E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6B975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D981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3C81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三角巾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00FCD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密闭式无纺布制，不可重复使用。82型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EF7F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5A56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14:paraId="4EA89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706F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60AD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手术刀柄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2F2AE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 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5F9B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9241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672A3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CF95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B375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手术刀片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09AE0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无菌，11#尖头，23#圆头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0B07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0E40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14:paraId="42E03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D155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6B65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脱脂棉球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524FB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500g/包，每个棉球直径约2cm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D0C5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38B7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7ADE9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2FD3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6960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压敏胶带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8722D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白胶带，一盒24卷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2FC6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1E70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5F8BB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F5FE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3D3E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棉签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38478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棉花纤维柔软、白色、无臭，无黄斑、污渍、异物。</w:t>
            </w:r>
          </w:p>
          <w:p w14:paraId="37CF844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棒材：塑棒、纸棒表面应光滑、无毛刺、无污渍、异物；木棒、竹棒表面应顺滑、无断裂、无污渍、异物。</w:t>
            </w:r>
          </w:p>
          <w:p w14:paraId="56E1DB0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外观规格：整体整洁，棉签头白色、柔软，整支无异味。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2F67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E9E3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3CC1D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F79A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805E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创可贴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A13ED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无纺布型，70*18mm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34FF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A2B5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052CA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8002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1C17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一次性口镜探针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9612D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塑柄 不锈钢钩 灭菌  50支/套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0355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626D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0710A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DE80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54B0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防褥疮气垫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C621A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条形波动，低音气泵，医用PVC，防水耐脏，微孔出气，气量可调节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004D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1BEE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2D5AE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9F06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2560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医用冰袋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6966D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超长保冷，冰力十足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CB8F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C348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7AF08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E6B48A4">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观察室</w:t>
            </w:r>
          </w:p>
        </w:tc>
      </w:tr>
      <w:tr w14:paraId="290C5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B967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9018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FFF1F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参数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63EE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F4E4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r>
      <w:tr w14:paraId="73850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3BEF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3010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诊察凳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1D68C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1、规格：高度60cm；</w:t>
            </w:r>
          </w:p>
          <w:p w14:paraId="276798B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2、凳面：优质西皮面，能360度回转；</w:t>
            </w:r>
          </w:p>
          <w:p w14:paraId="00ED214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3、电镀钢制五星脚架，圆形脚蹋。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10C1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9752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6AE28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F14E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404E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移动消毒灯车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09A59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1、双管，有万向轮，移动方便；2、灯臂可调角度：0-180°；3、功率:30W*2自镇流紫外线uv杀菌灯；4、配套:支架、2米电源线；5、消毒面积:10-20平方米6、消毒时间:定时可调0-120分。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BC4B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69A6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5905A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BB51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3C2E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污物箱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D006A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φ250mm，高385mm，不锈钢外筒、踩踏式、手提内胆。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1A3C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A7FD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10803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6AB7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295E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白大褂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B770E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涤卡；颜色为白色；2、工作服具有一定的防静电，及防酸、碱及其他化学腐蚀的能力；3、产品应做工精细，产品外观无破损、斑点、污物等缺陷；4、产品所用材料应能满足日常穿用和中学实验室日常使用要求，具有一定耐穿性、牢固性和和舒适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D13DBB">
            <w:pPr>
              <w:jc w:val="center"/>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9316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21D33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2714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6E8E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观察床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591B1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2000mm×1200mm.床体采用钢管制作，表面做喷漆处理，配有升降设备，适用于中小学医务室或一般小型医疗单位使用。带4cm厚高密度海面床垫(外包帆布或皮革)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5F31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991C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6D1EF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8180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37D4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医疗废物垃圾桶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8BA96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加厚塑料材质，15L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2063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1650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7015A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DBA1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A536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垃圾袋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12B3C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58*70 30升垃圾桶配套，100个/捆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41F1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65B7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10566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C9ED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F712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捆扎带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654AD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黄色ABS插入式锁扣，用于捆扎垃圾袋，200个/包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C1F1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1179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711F6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1F67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A178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医疗废物标签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25E6C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5*8CM,1000贴/卷，用于贴在垃圾袋上做标识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B5F1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F0E3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4604B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B397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A75A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床头柜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BD728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ABS大号床头柜尺寸480MM*480MM*760MM2.PP大号床头柜尺寸470MM*470MM*750MM3.柜体结构由一块项板，两块侧板，侧板上面分别有-一个毛巾架，-块后板，一个前门框加上门，餐桌板一块，大抽屉一个，里面有一层隔板，一块底板组成。4.顶板可加装暖瓶座，可加装不锈钢面，可加装不锈钢帽子，可加装轮子(高6厘米带刹车)，门上抽屉上可加装锁。5.床头柜颜色为普通。5.床头柜颜色为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8DEA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F524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1C34B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DC202B5">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接诊室</w:t>
            </w:r>
          </w:p>
        </w:tc>
      </w:tr>
      <w:tr w14:paraId="2A8B7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1C6F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1073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0C635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参数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62FB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1B73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r>
      <w:tr w14:paraId="1DD9D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2B4A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1BC7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诊查床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B4B761">
            <w:pPr>
              <w:keepNext w:val="0"/>
              <w:keepLines w:val="0"/>
              <w:widowControl/>
              <w:suppressLineNumbers w:val="0"/>
              <w:jc w:val="left"/>
              <w:textAlignment w:val="center"/>
              <w:rPr>
                <w:rStyle w:val="287"/>
                <w:rFonts w:hint="eastAsia" w:ascii="宋体" w:hAnsi="宋体" w:eastAsia="宋体" w:cs="宋体"/>
                <w:color w:val="auto"/>
                <w:sz w:val="21"/>
                <w:szCs w:val="21"/>
                <w:highlight w:val="none"/>
                <w:lang w:val="en-US" w:eastAsia="zh-CN" w:bidi="ar"/>
              </w:rPr>
            </w:pPr>
            <w:r>
              <w:rPr>
                <w:rStyle w:val="287"/>
                <w:rFonts w:hint="eastAsia" w:ascii="宋体" w:hAnsi="宋体" w:eastAsia="宋体" w:cs="宋体"/>
                <w:color w:val="auto"/>
                <w:sz w:val="21"/>
                <w:szCs w:val="21"/>
                <w:highlight w:val="none"/>
                <w:lang w:val="en-US" w:eastAsia="zh-CN" w:bidi="ar"/>
              </w:rPr>
              <w:t>1、规格：1800mm×600mm×800mm；</w:t>
            </w:r>
          </w:p>
          <w:p w14:paraId="699BC34D">
            <w:pPr>
              <w:keepNext w:val="0"/>
              <w:keepLines w:val="0"/>
              <w:widowControl/>
              <w:suppressLineNumbers w:val="0"/>
              <w:jc w:val="left"/>
              <w:textAlignment w:val="center"/>
              <w:rPr>
                <w:rStyle w:val="287"/>
                <w:rFonts w:hint="eastAsia" w:ascii="宋体" w:hAnsi="宋体" w:eastAsia="宋体" w:cs="宋体"/>
                <w:color w:val="auto"/>
                <w:sz w:val="21"/>
                <w:szCs w:val="21"/>
                <w:highlight w:val="none"/>
                <w:lang w:val="en-US" w:eastAsia="zh-CN" w:bidi="ar"/>
              </w:rPr>
            </w:pPr>
            <w:r>
              <w:rPr>
                <w:rStyle w:val="287"/>
                <w:rFonts w:hint="eastAsia" w:ascii="宋体" w:hAnsi="宋体" w:eastAsia="宋体" w:cs="宋体"/>
                <w:color w:val="auto"/>
                <w:sz w:val="21"/>
                <w:szCs w:val="21"/>
                <w:highlight w:val="none"/>
                <w:lang w:val="en-US" w:eastAsia="zh-CN" w:bidi="ar"/>
              </w:rPr>
              <w:t>2、床垫：采用40mm厚优质高弹海绵，面料为优质西皮；</w:t>
            </w:r>
          </w:p>
          <w:p w14:paraId="48C84855">
            <w:pPr>
              <w:keepNext w:val="0"/>
              <w:keepLines w:val="0"/>
              <w:widowControl/>
              <w:suppressLineNumbers w:val="0"/>
              <w:jc w:val="left"/>
              <w:textAlignment w:val="center"/>
              <w:rPr>
                <w:rStyle w:val="287"/>
                <w:rFonts w:hint="eastAsia" w:ascii="宋体" w:hAnsi="宋体" w:eastAsia="宋体" w:cs="宋体"/>
                <w:color w:val="auto"/>
                <w:sz w:val="21"/>
                <w:szCs w:val="21"/>
                <w:highlight w:val="none"/>
                <w:lang w:val="en-US" w:eastAsia="zh-CN" w:bidi="ar"/>
              </w:rPr>
            </w:pPr>
            <w:r>
              <w:rPr>
                <w:rStyle w:val="287"/>
                <w:rFonts w:hint="eastAsia" w:ascii="宋体" w:hAnsi="宋体" w:eastAsia="宋体" w:cs="宋体"/>
                <w:color w:val="auto"/>
                <w:sz w:val="21"/>
                <w:szCs w:val="21"/>
                <w:highlight w:val="none"/>
                <w:lang w:val="en-US" w:eastAsia="zh-CN" w:bidi="ar"/>
              </w:rPr>
              <w:t>3、床板：12mm厚优质夹板；</w:t>
            </w:r>
          </w:p>
          <w:p w14:paraId="02AB22A2">
            <w:pPr>
              <w:keepNext w:val="0"/>
              <w:keepLines w:val="0"/>
              <w:widowControl/>
              <w:suppressLineNumbers w:val="0"/>
              <w:jc w:val="left"/>
              <w:textAlignment w:val="center"/>
              <w:rPr>
                <w:rStyle w:val="287"/>
                <w:rFonts w:hint="eastAsia" w:ascii="宋体" w:hAnsi="宋体" w:eastAsia="宋体" w:cs="宋体"/>
                <w:color w:val="auto"/>
                <w:sz w:val="21"/>
                <w:szCs w:val="21"/>
                <w:highlight w:val="none"/>
                <w:lang w:val="en-US" w:eastAsia="zh-CN" w:bidi="ar"/>
              </w:rPr>
            </w:pPr>
            <w:r>
              <w:rPr>
                <w:rStyle w:val="287"/>
                <w:rFonts w:hint="eastAsia" w:ascii="宋体" w:hAnsi="宋体" w:eastAsia="宋体" w:cs="宋体"/>
                <w:color w:val="auto"/>
                <w:sz w:val="21"/>
                <w:szCs w:val="21"/>
                <w:highlight w:val="none"/>
                <w:lang w:val="en-US" w:eastAsia="zh-CN" w:bidi="ar"/>
              </w:rPr>
              <w:t>4、床架用料：床脚40mm×40mm、拉横25mm×25mm无缝钢管，可拆装结构；</w:t>
            </w:r>
          </w:p>
          <w:p w14:paraId="6DF17398">
            <w:pPr>
              <w:keepNext w:val="0"/>
              <w:keepLines w:val="0"/>
              <w:widowControl/>
              <w:suppressLineNumbers w:val="0"/>
              <w:jc w:val="left"/>
              <w:textAlignment w:val="center"/>
              <w:rPr>
                <w:rStyle w:val="287"/>
                <w:rFonts w:hint="eastAsia" w:ascii="宋体" w:hAnsi="宋体" w:eastAsia="宋体" w:cs="宋体"/>
                <w:color w:val="auto"/>
                <w:sz w:val="21"/>
                <w:szCs w:val="21"/>
                <w:highlight w:val="none"/>
                <w:lang w:val="en-US" w:eastAsia="zh-CN" w:bidi="ar"/>
              </w:rPr>
            </w:pPr>
            <w:r>
              <w:rPr>
                <w:rStyle w:val="287"/>
                <w:rFonts w:hint="eastAsia" w:ascii="宋体" w:hAnsi="宋体" w:eastAsia="宋体" w:cs="宋体"/>
                <w:color w:val="auto"/>
                <w:sz w:val="21"/>
                <w:szCs w:val="21"/>
                <w:highlight w:val="none"/>
                <w:lang w:val="en-US" w:eastAsia="zh-CN" w:bidi="ar"/>
              </w:rPr>
              <w:t>5、台架工艺要求：经酸洗磷化处理，静电喷涂，无虚焊、无焊渣，焊点光滑、美观，结构稳固，颜色灰白，漆面不脱落。</w:t>
            </w:r>
          </w:p>
          <w:p w14:paraId="39561189">
            <w:pPr>
              <w:keepNext w:val="0"/>
              <w:keepLines w:val="0"/>
              <w:widowControl/>
              <w:suppressLineNumbers w:val="0"/>
              <w:jc w:val="left"/>
              <w:textAlignment w:val="center"/>
              <w:rPr>
                <w:rStyle w:val="287"/>
                <w:rFonts w:hint="eastAsia" w:ascii="宋体" w:hAnsi="宋体" w:eastAsia="宋体" w:cs="宋体"/>
                <w:color w:val="auto"/>
                <w:sz w:val="21"/>
                <w:szCs w:val="21"/>
                <w:highlight w:val="none"/>
                <w:lang w:val="en-US" w:eastAsia="zh-CN" w:bidi="ar"/>
              </w:rPr>
            </w:pPr>
            <w:r>
              <w:rPr>
                <w:rStyle w:val="287"/>
                <w:rFonts w:hint="eastAsia" w:ascii="宋体" w:hAnsi="宋体" w:eastAsia="宋体" w:cs="宋体"/>
                <w:color w:val="auto"/>
                <w:sz w:val="21"/>
                <w:szCs w:val="21"/>
                <w:highlight w:val="none"/>
                <w:lang w:val="en-US" w:eastAsia="zh-CN" w:bidi="ar"/>
              </w:rPr>
              <w:t>6、参照JY0001-2003</w:t>
            </w:r>
            <w:r>
              <w:rPr>
                <w:rStyle w:val="289"/>
                <w:rFonts w:hint="eastAsia" w:ascii="宋体" w:hAnsi="宋体" w:eastAsia="宋体" w:cs="宋体"/>
                <w:color w:val="auto"/>
                <w:sz w:val="21"/>
                <w:szCs w:val="21"/>
                <w:highlight w:val="none"/>
                <w:lang w:val="en-US" w:eastAsia="zh-CN" w:bidi="ar"/>
              </w:rPr>
              <w:t>《教学仪器设备产品的一般质量要求》</w:t>
            </w:r>
            <w:r>
              <w:rPr>
                <w:rStyle w:val="287"/>
                <w:rFonts w:hint="eastAsia" w:ascii="宋体" w:hAnsi="宋体" w:eastAsia="宋体" w:cs="宋体"/>
                <w:color w:val="auto"/>
                <w:sz w:val="21"/>
                <w:szCs w:val="21"/>
                <w:highlight w:val="none"/>
                <w:lang w:val="en-US" w:eastAsia="zh-CN" w:bidi="ar"/>
              </w:rPr>
              <w:t>标准，满足以下4项要求：</w:t>
            </w:r>
          </w:p>
          <w:p w14:paraId="550FF252">
            <w:pPr>
              <w:keepNext w:val="0"/>
              <w:keepLines w:val="0"/>
              <w:widowControl/>
              <w:suppressLineNumbers w:val="0"/>
              <w:jc w:val="left"/>
              <w:textAlignment w:val="center"/>
              <w:rPr>
                <w:rStyle w:val="287"/>
                <w:rFonts w:hint="eastAsia" w:ascii="宋体" w:hAnsi="宋体" w:eastAsia="宋体" w:cs="宋体"/>
                <w:color w:val="auto"/>
                <w:sz w:val="21"/>
                <w:szCs w:val="21"/>
                <w:highlight w:val="none"/>
                <w:lang w:val="en-US" w:eastAsia="zh-CN" w:bidi="ar"/>
              </w:rPr>
            </w:pPr>
            <w:r>
              <w:rPr>
                <w:rStyle w:val="287"/>
                <w:rFonts w:hint="eastAsia" w:ascii="宋体" w:hAnsi="宋体" w:eastAsia="宋体" w:cs="宋体"/>
                <w:color w:val="auto"/>
                <w:sz w:val="21"/>
                <w:szCs w:val="21"/>
                <w:highlight w:val="none"/>
                <w:lang w:val="en-US" w:eastAsia="zh-CN" w:bidi="ar"/>
              </w:rPr>
              <w:t>6-1、教学仪器设备产品的外观要造型美观、色彩协调、规整光洁。表面不应有明显的擦伤、划痕和碰撞的坑疤；</w:t>
            </w:r>
          </w:p>
          <w:p w14:paraId="7E5A3863">
            <w:pPr>
              <w:keepNext w:val="0"/>
              <w:keepLines w:val="0"/>
              <w:widowControl/>
              <w:suppressLineNumbers w:val="0"/>
              <w:jc w:val="left"/>
              <w:textAlignment w:val="center"/>
              <w:rPr>
                <w:rStyle w:val="287"/>
                <w:rFonts w:hint="eastAsia" w:ascii="宋体" w:hAnsi="宋体" w:eastAsia="宋体" w:cs="宋体"/>
                <w:color w:val="auto"/>
                <w:sz w:val="21"/>
                <w:szCs w:val="21"/>
                <w:highlight w:val="none"/>
                <w:lang w:val="en-US" w:eastAsia="zh-CN" w:bidi="ar"/>
              </w:rPr>
            </w:pPr>
            <w:r>
              <w:rPr>
                <w:rStyle w:val="287"/>
                <w:rFonts w:hint="eastAsia" w:ascii="宋体" w:hAnsi="宋体" w:eastAsia="宋体" w:cs="宋体"/>
                <w:color w:val="auto"/>
                <w:sz w:val="21"/>
                <w:szCs w:val="21"/>
                <w:highlight w:val="none"/>
                <w:lang w:val="en-US" w:eastAsia="zh-CN" w:bidi="ar"/>
              </w:rPr>
              <w:t>6-2、金属零部件除特殊要求外，都应根据使用要求涂覆一定的覆盖层。在通常情况下，金属零部件的镀层和氧化层参见附录B；</w:t>
            </w:r>
          </w:p>
          <w:p w14:paraId="25693C57">
            <w:pPr>
              <w:keepNext w:val="0"/>
              <w:keepLines w:val="0"/>
              <w:widowControl/>
              <w:suppressLineNumbers w:val="0"/>
              <w:jc w:val="left"/>
              <w:textAlignment w:val="center"/>
              <w:rPr>
                <w:rStyle w:val="287"/>
                <w:rFonts w:hint="eastAsia" w:ascii="宋体" w:hAnsi="宋体" w:eastAsia="宋体" w:cs="宋体"/>
                <w:color w:val="auto"/>
                <w:sz w:val="21"/>
                <w:szCs w:val="21"/>
                <w:highlight w:val="none"/>
                <w:lang w:val="en-US" w:eastAsia="zh-CN" w:bidi="ar"/>
              </w:rPr>
            </w:pPr>
            <w:r>
              <w:rPr>
                <w:rStyle w:val="287"/>
                <w:rFonts w:hint="eastAsia" w:ascii="宋体" w:hAnsi="宋体" w:eastAsia="宋体" w:cs="宋体"/>
                <w:color w:val="auto"/>
                <w:sz w:val="21"/>
                <w:szCs w:val="21"/>
                <w:highlight w:val="none"/>
                <w:lang w:val="en-US" w:eastAsia="zh-CN" w:bidi="ar"/>
              </w:rPr>
              <w:t>6-3、漆层附着牢固，不脱落，表面平整光滑、色调美观、薄厚均匀，不应有流疤、龟裂、皱皮、剥落和露底。美术漆层应花纹清楚，裂纹层不应露出底漆；</w:t>
            </w:r>
          </w:p>
          <w:p w14:paraId="1D70CF92">
            <w:pPr>
              <w:keepNext w:val="0"/>
              <w:keepLines w:val="0"/>
              <w:widowControl/>
              <w:suppressLineNumbers w:val="0"/>
              <w:jc w:val="left"/>
              <w:textAlignment w:val="center"/>
              <w:rPr>
                <w:rStyle w:val="287"/>
                <w:rFonts w:hint="eastAsia" w:ascii="宋体" w:hAnsi="宋体" w:eastAsia="宋体" w:cs="宋体"/>
                <w:color w:val="auto"/>
                <w:sz w:val="21"/>
                <w:szCs w:val="21"/>
                <w:highlight w:val="none"/>
                <w:lang w:val="en-US" w:eastAsia="zh-CN" w:bidi="ar"/>
              </w:rPr>
            </w:pPr>
            <w:r>
              <w:rPr>
                <w:rStyle w:val="287"/>
                <w:rFonts w:hint="eastAsia" w:ascii="宋体" w:hAnsi="宋体" w:eastAsia="宋体" w:cs="宋体"/>
                <w:color w:val="auto"/>
                <w:sz w:val="21"/>
                <w:szCs w:val="21"/>
                <w:highlight w:val="none"/>
                <w:lang w:val="en-US" w:eastAsia="zh-CN" w:bidi="ar"/>
              </w:rPr>
              <w:t>6-4、焊接件表面平滑，不应有裂缝、夹渣、烧穿及未焊透等缺陷。且其检测结果均为与标准要求一致。</w:t>
            </w:r>
          </w:p>
          <w:p w14:paraId="5B73E591">
            <w:pPr>
              <w:keepNext w:val="0"/>
              <w:keepLines w:val="0"/>
              <w:widowControl/>
              <w:suppressLineNumbers w:val="0"/>
              <w:jc w:val="left"/>
              <w:textAlignment w:val="center"/>
              <w:rPr>
                <w:rStyle w:val="287"/>
                <w:rFonts w:hint="eastAsia" w:ascii="宋体" w:hAnsi="宋体" w:eastAsia="宋体" w:cs="宋体"/>
                <w:color w:val="auto"/>
                <w:sz w:val="21"/>
                <w:szCs w:val="21"/>
                <w:highlight w:val="none"/>
                <w:lang w:val="en-US" w:eastAsia="zh-CN" w:bidi="ar"/>
              </w:rPr>
            </w:pPr>
            <w:r>
              <w:rPr>
                <w:rStyle w:val="287"/>
                <w:rFonts w:hint="eastAsia" w:ascii="宋体" w:hAnsi="宋体" w:eastAsia="宋体" w:cs="宋体"/>
                <w:color w:val="auto"/>
                <w:sz w:val="21"/>
                <w:szCs w:val="21"/>
                <w:highlight w:val="none"/>
                <w:lang w:val="en-US" w:eastAsia="zh-CN" w:bidi="ar"/>
              </w:rPr>
              <w:t>7、参照GB21027-202</w:t>
            </w:r>
            <w:r>
              <w:rPr>
                <w:rStyle w:val="289"/>
                <w:rFonts w:hint="eastAsia" w:ascii="宋体" w:hAnsi="宋体" w:eastAsia="宋体" w:cs="宋体"/>
                <w:color w:val="auto"/>
                <w:sz w:val="21"/>
                <w:szCs w:val="21"/>
                <w:highlight w:val="none"/>
                <w:lang w:val="en-US" w:eastAsia="zh-CN" w:bidi="ar"/>
              </w:rPr>
              <w:t>0《学生用品的安全通用要求》</w:t>
            </w:r>
            <w:r>
              <w:rPr>
                <w:rStyle w:val="287"/>
                <w:rFonts w:hint="eastAsia" w:ascii="宋体" w:hAnsi="宋体" w:eastAsia="宋体" w:cs="宋体"/>
                <w:color w:val="auto"/>
                <w:sz w:val="21"/>
                <w:szCs w:val="21"/>
                <w:highlight w:val="none"/>
                <w:lang w:val="en-US" w:eastAsia="zh-CN" w:bidi="ar"/>
              </w:rPr>
              <w:t>标准，满足以下2项要求：1、可迁移元素mg/kg（锑、钡、铬、汞、砷、镉、铅、硒）其检测结果为面料均未检出。2、游离甲醛含量（mg/kg)其检测结果为面料未检出。</w:t>
            </w:r>
          </w:p>
          <w:p w14:paraId="228E30D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287"/>
                <w:rFonts w:hint="eastAsia" w:ascii="宋体" w:hAnsi="宋体" w:eastAsia="宋体" w:cs="宋体"/>
                <w:color w:val="auto"/>
                <w:sz w:val="21"/>
                <w:szCs w:val="21"/>
                <w:highlight w:val="none"/>
                <w:lang w:val="en-US" w:eastAsia="zh-CN" w:bidi="ar"/>
              </w:rPr>
              <w:t>8、投标人需提供厂商官网产品截图证明或产品彩页或有效的检测报告。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8A95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5498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12A1F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BBD7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402E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诊察桌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EE3D1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全钢板焊接，外形尺寸1200mm×600mm×750mm，附带抽屉2只，全部白色喷塑处理，桌子腿为40*40mm方管焊接而成，可以拆卸组装，便于运输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19B0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3E08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07DF5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8BE3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D42A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诊察凳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D4973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1、规格：高度60cm；</w:t>
            </w:r>
          </w:p>
          <w:p w14:paraId="570B053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2、凳面：优质西皮面，能360度回转；</w:t>
            </w:r>
          </w:p>
          <w:p w14:paraId="72F124D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3、电镀钢制五星脚架，圆形脚蹋。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A44B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A474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14:paraId="63147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184C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F8BF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视力表灯箱（对数灯光视力表）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8A8C9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1、规格为29cm×8.5cm×92cm，产品由印有视力表图案的面板、荧光灯管、箱体组成。</w:t>
            </w:r>
          </w:p>
          <w:p w14:paraId="4636B87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2、视表板选用有机玻璃板，不易褪色；</w:t>
            </w:r>
          </w:p>
          <w:p w14:paraId="0B9CA90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3、光照度（lx）:200—700；</w:t>
            </w:r>
          </w:p>
          <w:p w14:paraId="4373032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4、功率消耗（W）：2×30；</w:t>
            </w:r>
          </w:p>
          <w:p w14:paraId="3892598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5、电压在150～260V时能正常工作；</w:t>
            </w:r>
          </w:p>
          <w:p w14:paraId="00656AA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6、配灯光视力表。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1A36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3AA1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68BC1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F5A4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809F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远视力表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60BAF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使用于防止青少年儿童近视，学习、看书眼睛疲劳时，观望此图可消除眼睛疲劳。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960C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9C36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6327A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4E3E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AF23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近视力表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96B9C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标准对数视力表，此表应挂于光亮处，高度以表的1.0一行与被检查者的亮眼登高为准。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350F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E746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1EAE9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5214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838E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身高坐高计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AA22F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1、测量身高范围：60cm—205cm；</w:t>
            </w:r>
          </w:p>
          <w:p w14:paraId="2C6F794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2、坐高范围：40-120cm；</w:t>
            </w:r>
          </w:p>
          <w:p w14:paraId="2F90129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3、分度值0.1cm，误差±0.2cm；</w:t>
            </w:r>
          </w:p>
          <w:p w14:paraId="6B99B8D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4、机械式，铸铁座，电镀支架。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63A4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0143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061A2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BDCC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C5C8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体重秤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3F633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1、120kg；由金属底座、脚踏面、刻度盘、调零旋钮等构成，含测体高装置；</w:t>
            </w:r>
          </w:p>
          <w:p w14:paraId="2E53F6F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2、体重计回零误差不大小1/2分度；</w:t>
            </w:r>
          </w:p>
          <w:p w14:paraId="7314B61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3、体重计任一点的平均示差不大小1个分度；</w:t>
            </w:r>
          </w:p>
          <w:p w14:paraId="1405044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4、脚踏面和底座用厚度2mm的金属板制成，稳定、牢靠，无变形现象。</w:t>
            </w:r>
          </w:p>
          <w:p w14:paraId="58A4AB3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5、参照JY0001-2003《教学仪器设备产品的一般质量要求》标准，满足以下4项要求：</w:t>
            </w:r>
          </w:p>
          <w:p w14:paraId="1D6CE23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5-1、教学仪器设备产品的外观要造型美观、色彩协调、规整光洁。表面不应有明显的擦伤、划痕和碰撞的坑疤；</w:t>
            </w:r>
          </w:p>
          <w:p w14:paraId="7091E0E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5-2、金属零部件除特殊要求外，都应根据使用要求涂覆一定的覆盖层。在通常情况下，金属零部件的镀层和氧化层参见附录B；</w:t>
            </w:r>
          </w:p>
          <w:p w14:paraId="66BA4CF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5-3、漆层附着牢固，不脱落，表面平整光滑、色调美观、薄厚均匀，不应有流疤、龟裂、皱皮、剥落和露底。美术漆层应花纹清楚，裂纹层不应露出底漆；</w:t>
            </w:r>
          </w:p>
          <w:p w14:paraId="5EB4828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5-4、塑料件表面应平整清洁，不应有划痕、溶迹、缩迹，不应有气泡、烧粉和夹生，边缘不应有毛刺、变形、破边和凹凸不平，不应有明显的浇口飞边。且其检测结果均为与标准要求一致。</w:t>
            </w:r>
          </w:p>
          <w:p w14:paraId="3A93B81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6、参照GB21027-2020《学生用品的安全通用要求》标准，可迁移元素mg/kg（锑、钡、铬、汞、砷、镉、铅、硒）其检测结果为塑料均未检出。</w:t>
            </w:r>
          </w:p>
          <w:p w14:paraId="6D92BFB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7、投标人需提供厂商官网产品截图证明或产品彩页或有效的检测报告。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8F7F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D9A9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586B4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749E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037D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儿童体重秤（幼儿用）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65784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杠杆式体重秤，最大称量140千克，最小分度值0.5千克，2}量度范围70-190cm，最小分度值0.5cm3}误差+-0.5cm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BA49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A317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3F668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83F8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8E82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肺活量计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4C685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电子高精度肺活量测试仪量程：10000ML，显示分辩率：1ML，最小测量量程；200ML，分度值：5ML。分度：5ML，显示：液晶显示器，通过专用稳压器接220V外接电源。电源开关/清零功能键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DBB9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8789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6BBDA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B584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0BC8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移动消毒灯车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2F4D1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1、双管，有万向轮，移动方便；2、灯臂可调角度：0-180°；3、功率:30W*2自镇流紫外线uv杀菌灯；4、配套:支架、2米电源线；5、消毒面积:10-20平方米6、消毒时间:定时可调0-120分。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F987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625D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715AE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D881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54A0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落地蛇形灯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DAAFB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不锈钢灯罩，立杆，蛇形软管，开关灯口。底座为20*40mm矩形管焊接。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7D25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D196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363E8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9E3F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11CE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五官检查器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1DC7A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铝箱尺寸：25×18×16cm一次性口腔器械盒，压舌板，诊断手电，弯盘，探针，口腔镊，口镜，眼科镊，眼科剪，咽喉镜，额带反光镜,鼻镜等等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0089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0C0D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2382F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6EFD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885D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口腔检查器械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AFFB5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单支探针,单支双弯镊子,单支口镜,弯盘，脱脂棉等材料 铝合金箱体 尺寸：24*15*16cm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CA57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C263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45ABD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8649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77C1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污物箱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81432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φ250mm，高385mm，不锈钢外筒、踩踏式、手提内胆。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3FDA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5FE4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04690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3CF8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51A9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压舌板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8208F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不锈钢制，经灭菌消毒。长160mm，宽20mm。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46A8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49C5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28671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ED50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790F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额镜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09326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直径80mm，五官科反光器具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3F9E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9E40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7F8DD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E2AC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D06E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血压计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E6D10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血压计、血压表的测量范围为0～40kPa(0～300mmHg)；2、血压计、血压表的外壳应坚固，各部件连接可靠；3、血压计的示值管和血压表的表面玻璃应无色透明，不允许有明显的或影响读数的缺陷；4、血压计、血压表采用双刻度[千帕斯卡(kPa)和毫米汞柱(mmHg)两种计量单位]标尺、标度盘、标度的最小分度值：千帕斯卡的为0.5kPa、毫米汞柱的为2mmHg；5、血压计的贮汞瓶内腔与大气相通后，汞柱凸面顶端应与零位刻线相切，允许误差为士0.2kPa(±1、5mmHg)。血压表的弹性元件内腔与大气相通后，指针应在零位标记内。零位标记的宽度应不大于允许基本误差绝对值的2倍；6、血压计、血压表示值允许基本误差为±0.5kPa(±3.75mmHg)；7、血压计、血压表应有良好的气密性；8、血压计、血压表的橡胶球、橡胶袋、橡胶管色泽应相似；9、血压计的贮汞瓶应装有通气性能良好的阻汞器，汞柱升降应灵敏。血压计不应漏汞。</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E602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43F5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69FA4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E0FD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B955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听诊器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8C0C7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1、本产品为普通医用听诊器、单头；2、听诊器传音应清晰；3、耳环弹片应用弹簧钢制成；4、耳环的弹力应适宜，弹性良好；5、听诊器导管材料必须用乳胶导管，抗拉强度＞17MPG，伸长率＞700％。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AEB7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E608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68023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2D8B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E84B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叩诊锤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F0D72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不锈钢手柄，手柄上带刻度尺，最大长度27cm，使用最大长度143mm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FFB5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D526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32886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7B33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2428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串镜片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3CF57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6条30片，塑料柄，远近各一半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EBD6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B400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00621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42BA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732B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音叉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A98C6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512Hz,产品由音叉、共鸣箱、音叉槌组成；2、音叉用钢或合金铝加工制造，发音部分呈“U”形，“U”形下方的叉柄能插入并紧固在共鸣箱上。当敲击音叉时，音叉不能松动。音叉表面平整光滑，叉股内侧平面与底部圆弧光滑相切。每支音叉配共鸣箱一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0754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4F6A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1DF80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C23F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FA90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酒精灯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B3303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透明钠钙玻璃材质，由灯座、灯塞、灯盖、灯芯组成；2、规格：150mL；3、玻璃仪器，正视应无色；或仅有玻璃本身的微浅黄绿色；4、玻璃仪器的口部都应经圆口（熔光）、卷边或磨砂处理；5、应力：应力仪观察下呈紫红色或部分扩散状兰色；6、厚薄均匀，玻璃仪器的底部应平整，放在平台上不应旋转或摇晃；7、酒精灯塞子塞不紧是正常的，塞紧了是危险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9E55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5B25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231D8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A92E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2352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胸围尺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2B0EE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软塑，规格：1500mm，最小分度值为1mm，每厘米之间有相应的数字，刻度清晰，无形变。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9FFF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12BB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68078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DB1B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8A1D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课桌椅测量尺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61BDE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1、三折，宽度不小于1.5cm，厚度不小于0.3cm；2、选用优质原木木材，刻度清晰，小巧易携带，测量范围0～200cm，精度1cm。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C524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7118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4E8AE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F795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8ECD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测径规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77B27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1、尺寸：长340mm，可量最大内径25cm，最大外径50cm。2、材质：不锈钢材质。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8F8D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B73D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29311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3FCF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3F7D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辨色图谱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B4E11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1、第五版 按照假同色原理绘制而成，经用全自动测色色差计测定，用色准确；2、全图能对红、绿、黄、蓝（紫）色觉做全面检查；3、并能对红、绿、蓝（紫）色弱做重、中、轻三度分类，对色视觉检查可达定性和半定量标准。第五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2C26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2025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532F5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9735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47BD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放大镜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AFC56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手持式，金属外圈，5倍放大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B328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F4C1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61A32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B23F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CBFA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电子额温枪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A5DCC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手持式、LCD、非接触式、35℃-42℃。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3F59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F6BE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31162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2101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125F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体温计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00808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医用体温计，水银柱式，测量范围25-42°，三角玻璃棒型。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6A84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DC49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14:paraId="6F7BD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A7F5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8BFF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口镜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D40B3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医用不锈钢口腔检查器械，口镜头可更换。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7B5C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20F6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74428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C738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2BCC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皮脂厚度测量仪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11E51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指针式显示，测量皮质厚度范围80mm，显示桌面直径70mm。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9772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8638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4EEE4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1CF9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82B0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方盘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B18E1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1、规格：400mm×300mm×60mm；2、材质：不锈钢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AE00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B0D5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14:paraId="1650A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DCA5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310F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带盖方盘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603AE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1、规格：240*160*45mm2、材质：不锈钢制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C1BA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69E0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14:paraId="7ADAF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1DBF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67DE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贮槽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90DC8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有孔，带盖，尺寸直径200*140mm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58A1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59DA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1410C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38A6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E3E6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敷料缸、棉球缸、器械缸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B151C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直径8cm，不锈钢，带盖。整体高90mm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05C9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354A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14:paraId="3B6F1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FE11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BDE8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器械缸（镊子筒）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B0125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不锈钢制，折叠式盖子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231F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ACE4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14:paraId="5EF8D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63B0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9C38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弯盘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18BE4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标配，不锈钢腰型盘，小号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82B3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B878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14:paraId="5588B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336C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6817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器械车【仪器车】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CBB94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600*400*860mm,不锈钢，可移动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20EF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D0FD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4EB1D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7F33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D302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屏风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0DE7E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长度2000MM,高度1700.全不锈钢骨架结构，屏风面料，环保化纤油画布。完全防水。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ECF0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FCFA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02CC9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2D5B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C386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角膜放大镜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DFF65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放大倍数10×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90E5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CA33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254C5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EDE9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EE80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白大褂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F4F58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涤卡；颜色为白色；2、工作服具有一定的防静电，及防酸、碱及其他化学腐蚀的能力；3、产品应做工精细，产品外观无破损、斑点、污物等缺陷；4、产品所用材料应能满足日常穿用和中学实验室日常使用要求，具有一定耐穿性、牢固性和和舒适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DABC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E66E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0A45C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55ED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9E36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心率遥测仪【心率发射机】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9A572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计步、心率检测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F685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F453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2F464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2EDB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E924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浸泡消毒盒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3EC09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环保PP材料，三色合一，浸泡，干燥消毒一体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132A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6891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1DBD8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8C23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1240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笔式手电筒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4C513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笔式，按压式开关，小巧轻便，白光或者黄光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FB1D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1C0F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51E92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A0E2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0A09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电子血压计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C0279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臂式电子数字型。数字式液晶显示，量程0mmHg～280mmHg，臂式电子血压计，储存双人40组数据，使用臂围；22-32cm。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B8DC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F792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29AA9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7A5E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9D03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带状检影镜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4ABB6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符合新课标要求，仪器适用于检查眼底和视网膜用、主要由检眼睛盘、固定螺丝、聚光灯、灯座电筒开关、电筒。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E48529">
            <w:pPr>
              <w:jc w:val="center"/>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3574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754D5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1EEC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CA4E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血糖仪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64E87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250组记忆，8秒快速检测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F670D1">
            <w:pPr>
              <w:jc w:val="center"/>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FE6A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108C1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F1D8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CAA6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一次性隔离鞋套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5AB07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A型，大号，由聚乙烯材料或薄型粘合法非制造布材料制成，5副/包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C5D8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FCAA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14:paraId="23A14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E0D3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152E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一次性医用手套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DD2EA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PE,一次性使用，100只/包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DC58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67F2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19F8C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EFDA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3CD3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橡胶检查手套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69AE4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天然橡胶，环氧乙烷灭菌，50副/包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8A9E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FB01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3DAC3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5756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5CC3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医用防护面屏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63B42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一次性医用隔离面罩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3852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F22A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14:paraId="5ADE9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E315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24E4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医用护目镜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1AC54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优质PVC材质，可调节头带，聚碳酸酯镜片，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F0F8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BA7A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14:paraId="413A8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46BA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882B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医用隔离防护服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6CBF2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连体式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78A4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EA90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4C1CF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6F4B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7243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一次性医用口罩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4CB15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一次性医用外科口罩， 10只/包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54F9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1774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14:paraId="492F9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E525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563A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酒精免洗手液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4AC92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乙醇含量54%-66%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33C8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B52A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r>
      <w:tr w14:paraId="3C7D9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2D2D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39DD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工作帽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3262E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8A7F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5144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3E4D3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09B9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2D94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84消毒液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2E04D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瓶口封膜，500ml，便于运输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5985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6BA5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r>
      <w:tr w14:paraId="0143E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2B5B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12D7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空气消毒机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41C77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紫外线消毒，移动式，高效过滤，遥控控制，循环风量≥1000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0B1D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8EE4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7626B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F749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4B37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医疗废物垃圾桶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00D4A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加厚塑料材质，15L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D936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F066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74C6C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4652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D6E3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利器盒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E06A0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环保材料，圆形，带盖，4L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977E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90B2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5C1CE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73E6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986B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垃圾袋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616A5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58*70 30升垃圾桶配套，100个/捆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96F7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5338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66033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D301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3496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捆扎带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F29F7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黄色ABS插入式锁扣，用于捆扎垃圾袋，200个/包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D0B8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E2AD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72E55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354D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D3BB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医疗废物标签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4C943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5*8CM,1000贴/卷，用于贴在垃圾袋上做标识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1036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A88A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10CD6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6375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7623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诊察枕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115F9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布质海绵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86FE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4874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7DA4E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CFCB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329A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一次性口镜探针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B76AF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塑柄 不锈钢钩 灭菌  50支/套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D5FA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D168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69719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76DF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8B87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观片灯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6A5B7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单联，铝合金外壳，LED灯光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010D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E5A3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47926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3A93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A340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小型消毒柜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D966C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高温 消毒，高效省电，经久耐用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68AA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FD9F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10EA8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3A85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4EA6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台式机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08C5E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CPU：Intel Core I5-13400处理器 (核心数≥10核、主频≥2.5GHz)</w:t>
            </w:r>
          </w:p>
          <w:p w14:paraId="11C2A39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主板：Intel B700系列芯片组</w:t>
            </w:r>
          </w:p>
          <w:p w14:paraId="3F14422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内存：8G DDR5 5600MHz 内存，提供双内存槽位</w:t>
            </w:r>
          </w:p>
          <w:p w14:paraId="3446240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显卡：集成显卡</w:t>
            </w:r>
          </w:p>
          <w:p w14:paraId="6473AF0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声卡：集成声卡，前置2个音频接口，其中含一个二合一音频接口，后置1个音频接口，可兼任多规格耳机</w:t>
            </w:r>
          </w:p>
          <w:p w14:paraId="52D19D9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硬盘：512G PCIE Gen4 M.2 NVME固态硬盘，支持机械硬盘扩展；</w:t>
            </w:r>
          </w:p>
          <w:p w14:paraId="0CC8196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网卡：集成10/100/1000M以太网卡；</w:t>
            </w:r>
          </w:p>
          <w:p w14:paraId="0614D4A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扩展槽：1个PCI-E*16、1个PCI-E*1 槽位</w:t>
            </w:r>
          </w:p>
          <w:p w14:paraId="2375FD5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键盘、鼠标：原厂防水键盘、抗菌鼠标；</w:t>
            </w:r>
          </w:p>
          <w:p w14:paraId="3157C93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接口：≥6个USB接口、1*VGA接口、1*HDMI接口，所有接口原厂标配非转接接口；</w:t>
            </w:r>
          </w:p>
          <w:p w14:paraId="0BC48AE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电源：≥180W 85%高能效节能电源  </w:t>
            </w:r>
          </w:p>
          <w:p w14:paraId="7E6C907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安全特性： BIOS底层支持USB智能保护技术，仅识别USB键盘、鼠标，无法识别USB读取设备，有效防止数据泄露（投标时提供功能性截屏）；</w:t>
            </w:r>
          </w:p>
          <w:p w14:paraId="1820C98A">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机箱：机箱≤8.5L；</w:t>
            </w:r>
          </w:p>
          <w:p w14:paraId="57727E7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显示器：不低于23.8寸同品牌低蓝光显示器，HDMI+VGA双接口；</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E416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B42E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bl>
    <w:p w14:paraId="594E420B">
      <w:pPr>
        <w:jc w:val="center"/>
        <w:rPr>
          <w:rFonts w:hint="eastAsia"/>
          <w:b/>
          <w:bCs/>
          <w:sz w:val="32"/>
          <w:szCs w:val="40"/>
          <w:highlight w:val="none"/>
          <w:lang w:eastAsia="zh-CN"/>
        </w:rPr>
      </w:pPr>
    </w:p>
    <w:p w14:paraId="3DF6CF0F">
      <w:pPr>
        <w:rPr>
          <w:rFonts w:ascii="宋体" w:hAnsi="宋体" w:cs="宋体"/>
          <w:highlight w:val="none"/>
        </w:rPr>
        <w:sectPr>
          <w:footerReference r:id="rId8" w:type="default"/>
          <w:type w:val="continuous"/>
          <w:pgSz w:w="16820" w:h="11900"/>
          <w:pgMar w:top="1011" w:right="1443" w:bottom="1155" w:left="1433" w:header="0" w:footer="397" w:gutter="0"/>
          <w:pgBorders>
            <w:top w:val="none" w:sz="0" w:space="0"/>
            <w:left w:val="none" w:sz="0" w:space="0"/>
            <w:bottom w:val="none" w:sz="0" w:space="0"/>
            <w:right w:val="none" w:sz="0" w:space="0"/>
          </w:pgBorders>
          <w:cols w:space="720" w:num="1"/>
        </w:sectPr>
      </w:pPr>
    </w:p>
    <w:p w14:paraId="2DC2A3CC">
      <w:pPr>
        <w:pStyle w:val="1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none"/>
        </w:rPr>
      </w:pPr>
      <w:r>
        <w:rPr>
          <w:rFonts w:hint="eastAsia" w:ascii="宋体" w:hAnsi="宋体" w:eastAsia="宋体" w:cs="宋体"/>
          <w:highlight w:val="none"/>
          <w:lang w:val="en-US" w:eastAsia="zh-CN"/>
        </w:rPr>
        <w:t>1</w:t>
      </w:r>
      <w:r>
        <w:rPr>
          <w:rFonts w:hint="eastAsia" w:ascii="宋体" w:hAnsi="宋体" w:eastAsia="宋体" w:cs="宋体"/>
          <w:highlight w:val="none"/>
        </w:rPr>
        <w:t>、货物质量要求</w:t>
      </w:r>
    </w:p>
    <w:p w14:paraId="2C5C957F">
      <w:pPr>
        <w:pStyle w:val="1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none"/>
        </w:rPr>
      </w:pPr>
      <w:r>
        <w:rPr>
          <w:rFonts w:hint="eastAsia" w:ascii="宋体" w:hAnsi="宋体" w:eastAsia="宋体" w:cs="宋体"/>
          <w:highlight w:val="none"/>
        </w:rPr>
        <w:t>（1）供应商提供的货物应是全新的、未使用过的原装合格正品，并保证所提供货物的开箱合格率为100%，外观和内在质量都不得有任何问题，凡有拆封迹象，采购人可要求退货。</w:t>
      </w:r>
    </w:p>
    <w:p w14:paraId="619C1CD2">
      <w:pPr>
        <w:pStyle w:val="1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none"/>
        </w:rPr>
      </w:pPr>
      <w:r>
        <w:rPr>
          <w:rFonts w:hint="eastAsia" w:ascii="宋体" w:hAnsi="宋体" w:eastAsia="宋体" w:cs="宋体"/>
          <w:highlight w:val="none"/>
        </w:rPr>
        <w:t>（2）投标人所投核心产品为市场主流产品，且性能稳定。</w:t>
      </w:r>
    </w:p>
    <w:p w14:paraId="08ADE115">
      <w:pPr>
        <w:pStyle w:val="1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none"/>
        </w:rPr>
      </w:pPr>
      <w:r>
        <w:rPr>
          <w:rFonts w:hint="eastAsia" w:ascii="宋体" w:hAnsi="宋体" w:eastAsia="宋体" w:cs="宋体"/>
          <w:highlight w:val="none"/>
        </w:rPr>
        <w:t>（3）交货、施工期：中标后30日历天内完成。</w:t>
      </w:r>
    </w:p>
    <w:p w14:paraId="14A7517C">
      <w:pPr>
        <w:pStyle w:val="1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none"/>
        </w:rPr>
      </w:pPr>
      <w:r>
        <w:rPr>
          <w:rFonts w:hint="eastAsia" w:ascii="宋体" w:hAnsi="宋体" w:eastAsia="宋体" w:cs="宋体"/>
          <w:highlight w:val="none"/>
        </w:rPr>
        <w:t>（4）交货、施工地点：招标人指定地点。</w:t>
      </w:r>
    </w:p>
    <w:p w14:paraId="5C55D211">
      <w:pPr>
        <w:pStyle w:val="1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none"/>
        </w:rPr>
      </w:pPr>
      <w:r>
        <w:rPr>
          <w:rFonts w:hint="eastAsia" w:ascii="宋体" w:hAnsi="宋体" w:eastAsia="宋体" w:cs="宋体"/>
          <w:highlight w:val="none"/>
          <w:lang w:val="en-US" w:eastAsia="zh-CN"/>
        </w:rPr>
        <w:t>2</w:t>
      </w:r>
      <w:r>
        <w:rPr>
          <w:rFonts w:hint="eastAsia" w:ascii="宋体" w:hAnsi="宋体" w:eastAsia="宋体" w:cs="宋体"/>
          <w:highlight w:val="none"/>
        </w:rPr>
        <w:t>、维护服务和技术支持</w:t>
      </w:r>
    </w:p>
    <w:p w14:paraId="1B15A93F">
      <w:pPr>
        <w:pStyle w:val="1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none"/>
        </w:rPr>
      </w:pPr>
      <w:r>
        <w:rPr>
          <w:rFonts w:hint="eastAsia" w:ascii="宋体" w:hAnsi="宋体" w:eastAsia="宋体" w:cs="宋体"/>
          <w:highlight w:val="none"/>
        </w:rPr>
        <w:t>（1）自最终采购人验收签字之日起，开始计算免费保修期，免费保修期不少于3年。</w:t>
      </w:r>
    </w:p>
    <w:p w14:paraId="0F5AFDE8">
      <w:pPr>
        <w:pStyle w:val="1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none"/>
        </w:rPr>
      </w:pPr>
      <w:r>
        <w:rPr>
          <w:rFonts w:hint="eastAsia" w:ascii="宋体" w:hAnsi="宋体" w:eastAsia="宋体" w:cs="宋体"/>
          <w:highlight w:val="none"/>
        </w:rPr>
        <w:t>（2）在免费保修期内，所有服务不能包含任何费用，包括备件费、差旅费等。</w:t>
      </w:r>
    </w:p>
    <w:p w14:paraId="757D5963">
      <w:pPr>
        <w:pStyle w:val="1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none"/>
        </w:rPr>
      </w:pPr>
      <w:r>
        <w:rPr>
          <w:rFonts w:hint="eastAsia" w:ascii="宋体" w:hAnsi="宋体" w:eastAsia="宋体" w:cs="宋体"/>
          <w:highlight w:val="none"/>
        </w:rPr>
        <w:t>（3）供应商在保修期内更换的任何零配件，必须是其原产品厂家生产的或是经其认可的。</w:t>
      </w:r>
    </w:p>
    <w:p w14:paraId="29FE34EB">
      <w:pPr>
        <w:pStyle w:val="1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none"/>
        </w:rPr>
      </w:pPr>
      <w:r>
        <w:rPr>
          <w:rFonts w:hint="eastAsia" w:ascii="宋体" w:hAnsi="宋体" w:eastAsia="宋体" w:cs="宋体"/>
          <w:highlight w:val="none"/>
        </w:rPr>
        <w:t>（4）紧急故障处理：须即刻动身，2小时赶到现场，实行短时间内抢修服务。</w:t>
      </w:r>
    </w:p>
    <w:p w14:paraId="20CA9B6C">
      <w:pPr>
        <w:pStyle w:val="1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none"/>
        </w:rPr>
      </w:pPr>
      <w:r>
        <w:rPr>
          <w:rFonts w:hint="eastAsia" w:ascii="宋体" w:hAnsi="宋体" w:eastAsia="宋体" w:cs="宋体"/>
          <w:highlight w:val="none"/>
        </w:rPr>
        <w:t>（5）每台产品均设专门的维修档案，维修的时间、内容、质量及服务态度、技术水平等需用户在维保卡上签署意见，以确保售后服务工作的高质量与可靠性。根据采购人需要，随时提供每台产品的维修档案。</w:t>
      </w:r>
    </w:p>
    <w:p w14:paraId="34C09355">
      <w:pPr>
        <w:pStyle w:val="1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none"/>
        </w:rPr>
      </w:pPr>
      <w:r>
        <w:rPr>
          <w:rFonts w:hint="eastAsia" w:ascii="宋体" w:hAnsi="宋体" w:eastAsia="宋体" w:cs="宋体"/>
          <w:highlight w:val="none"/>
        </w:rPr>
        <w:t>（6）组织人员负责提供对使用人员的免费培训工作，直至使用人员能独立管理、操作、维护。</w:t>
      </w:r>
    </w:p>
    <w:p w14:paraId="2BB42687">
      <w:pPr>
        <w:pStyle w:val="1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none"/>
        </w:rPr>
      </w:pPr>
      <w:r>
        <w:rPr>
          <w:rFonts w:hint="eastAsia" w:ascii="宋体" w:hAnsi="宋体" w:eastAsia="宋体" w:cs="宋体"/>
          <w:highlight w:val="none"/>
        </w:rPr>
        <w:t>（7）投标产品选用的基础软件必须是正版软件。</w:t>
      </w:r>
    </w:p>
    <w:p w14:paraId="6C15B678">
      <w:pPr>
        <w:pStyle w:val="1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none"/>
        </w:rPr>
      </w:pPr>
      <w:r>
        <w:rPr>
          <w:rFonts w:hint="eastAsia" w:ascii="宋体" w:hAnsi="宋体" w:eastAsia="宋体" w:cs="宋体"/>
          <w:highlight w:val="none"/>
        </w:rPr>
        <w:t>（8）所有产品的配送、培训、安装、调试等费用均包含在中标价格中。</w:t>
      </w:r>
    </w:p>
    <w:p w14:paraId="19531FF4">
      <w:pPr>
        <w:pStyle w:val="1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none"/>
        </w:rPr>
      </w:pPr>
      <w:r>
        <w:rPr>
          <w:rFonts w:hint="eastAsia" w:ascii="宋体" w:hAnsi="宋体" w:eastAsia="宋体" w:cs="宋体"/>
          <w:highlight w:val="none"/>
        </w:rPr>
        <w:t>（9）符合招标技术参数要求提供有效的国家相关检测机构出具的检测报告</w:t>
      </w:r>
    </w:p>
    <w:p w14:paraId="4A692D9A">
      <w:pPr>
        <w:rPr>
          <w:rFonts w:hint="default" w:eastAsia="宋体"/>
          <w:lang w:val="en-US" w:eastAsia="zh-CN"/>
        </w:rPr>
      </w:pPr>
      <w:r>
        <w:rPr>
          <w:rFonts w:hint="eastAsia"/>
          <w:lang w:val="en-US" w:eastAsia="zh-CN"/>
        </w:rPr>
        <w:t>注：本项目为交钥匙采购项目，完成验收时应保证所有产品为可使用状态。</w:t>
      </w:r>
    </w:p>
    <w:p w14:paraId="644001DC">
      <w:pPr>
        <w:adjustRightInd w:val="0"/>
        <w:snapToGrid w:val="0"/>
        <w:spacing w:line="400" w:lineRule="atLeast"/>
        <w:jc w:val="center"/>
        <w:rPr>
          <w:rFonts w:ascii="宋体" w:hAnsi="宋体"/>
          <w:bCs/>
          <w:sz w:val="52"/>
          <w:szCs w:val="52"/>
          <w:highlight w:val="none"/>
        </w:rPr>
      </w:pPr>
      <w:bookmarkStart w:id="93" w:name="_GoBack"/>
      <w:bookmarkEnd w:id="93"/>
    </w:p>
    <w:p w14:paraId="45D94B83">
      <w:pPr>
        <w:adjustRightInd w:val="0"/>
        <w:snapToGrid w:val="0"/>
        <w:spacing w:line="400" w:lineRule="atLeast"/>
        <w:jc w:val="center"/>
        <w:rPr>
          <w:rFonts w:ascii="宋体" w:hAnsi="宋体"/>
          <w:bCs/>
          <w:sz w:val="44"/>
          <w:szCs w:val="44"/>
          <w:highlight w:val="none"/>
        </w:rPr>
        <w:sectPr>
          <w:footerReference r:id="rId9" w:type="default"/>
          <w:type w:val="continuous"/>
          <w:pgSz w:w="16838" w:h="11906" w:orient="landscape"/>
          <w:pgMar w:top="1514" w:right="1440" w:bottom="1514" w:left="1440" w:header="851" w:footer="992" w:gutter="0"/>
          <w:pgBorders>
            <w:top w:val="none" w:sz="0" w:space="0"/>
            <w:left w:val="none" w:sz="0" w:space="0"/>
            <w:bottom w:val="none" w:sz="0" w:space="0"/>
            <w:right w:val="none" w:sz="0" w:space="0"/>
          </w:pgBorders>
          <w:cols w:space="720" w:num="1"/>
          <w:docGrid w:linePitch="312" w:charSpace="0"/>
        </w:sectPr>
      </w:pPr>
    </w:p>
    <w:p w14:paraId="306AF5E5">
      <w:pPr>
        <w:adjustRightInd w:val="0"/>
        <w:snapToGrid w:val="0"/>
        <w:spacing w:line="400" w:lineRule="atLeast"/>
        <w:jc w:val="center"/>
        <w:rPr>
          <w:rFonts w:ascii="宋体" w:hAnsi="宋体"/>
          <w:bCs/>
          <w:sz w:val="52"/>
          <w:szCs w:val="52"/>
          <w:highlight w:val="none"/>
        </w:rPr>
      </w:pPr>
    </w:p>
    <w:p w14:paraId="3B579D53">
      <w:pPr>
        <w:pStyle w:val="2"/>
        <w:rPr>
          <w:rFonts w:ascii="宋体" w:hAnsi="宋体"/>
          <w:highlight w:val="none"/>
        </w:rPr>
      </w:pPr>
      <w:bookmarkStart w:id="67" w:name="_Toc11710"/>
      <w:r>
        <w:rPr>
          <w:rFonts w:hint="eastAsia" w:ascii="宋体" w:hAnsi="宋体"/>
          <w:highlight w:val="none"/>
        </w:rPr>
        <w:t>第五章  投标文件格式</w:t>
      </w:r>
      <w:bookmarkEnd w:id="67"/>
    </w:p>
    <w:p w14:paraId="2C89AB62">
      <w:pPr>
        <w:adjustRightInd w:val="0"/>
        <w:snapToGrid w:val="0"/>
        <w:spacing w:line="400" w:lineRule="atLeast"/>
        <w:jc w:val="center"/>
        <w:rPr>
          <w:rFonts w:ascii="宋体" w:hAnsi="宋体"/>
          <w:bCs/>
          <w:sz w:val="52"/>
          <w:szCs w:val="52"/>
          <w:highlight w:val="none"/>
        </w:rPr>
      </w:pPr>
    </w:p>
    <w:p w14:paraId="21A8181A">
      <w:pPr>
        <w:adjustRightInd w:val="0"/>
        <w:snapToGrid w:val="0"/>
        <w:spacing w:line="400" w:lineRule="atLeast"/>
        <w:jc w:val="center"/>
        <w:rPr>
          <w:rFonts w:ascii="宋体" w:hAnsi="宋体"/>
          <w:bCs/>
          <w:sz w:val="48"/>
          <w:szCs w:val="48"/>
          <w:highlight w:val="none"/>
        </w:rPr>
      </w:pPr>
      <w:r>
        <w:rPr>
          <w:rFonts w:hint="eastAsia" w:ascii="宋体" w:hAnsi="宋体"/>
          <w:bCs/>
          <w:sz w:val="48"/>
          <w:szCs w:val="48"/>
          <w:highlight w:val="none"/>
        </w:rPr>
        <w:t>投 标 文 件</w:t>
      </w:r>
    </w:p>
    <w:p w14:paraId="38E0DE6F">
      <w:pPr>
        <w:snapToGrid w:val="0"/>
        <w:spacing w:before="120" w:beforeLines="50" w:after="50"/>
        <w:jc w:val="center"/>
        <w:rPr>
          <w:rFonts w:ascii="宋体" w:hAnsi="宋体"/>
          <w:b/>
          <w:bCs/>
          <w:sz w:val="28"/>
          <w:szCs w:val="28"/>
          <w:highlight w:val="none"/>
        </w:rPr>
      </w:pPr>
    </w:p>
    <w:p w14:paraId="3AE7B0DE">
      <w:pPr>
        <w:snapToGrid w:val="0"/>
        <w:spacing w:before="120" w:beforeLines="50" w:after="50"/>
        <w:jc w:val="center"/>
        <w:rPr>
          <w:rFonts w:ascii="宋体" w:hAnsi="宋体"/>
          <w:b/>
          <w:bCs/>
          <w:sz w:val="28"/>
          <w:szCs w:val="28"/>
          <w:highlight w:val="none"/>
        </w:rPr>
      </w:pPr>
    </w:p>
    <w:p w14:paraId="7E5CD358">
      <w:pPr>
        <w:spacing w:before="240" w:beforeLines="100"/>
        <w:jc w:val="center"/>
        <w:rPr>
          <w:rFonts w:ascii="宋体" w:hAnsi="宋体"/>
          <w:b/>
          <w:sz w:val="44"/>
          <w:szCs w:val="44"/>
          <w:highlight w:val="none"/>
        </w:rPr>
      </w:pPr>
    </w:p>
    <w:p w14:paraId="64CC751C">
      <w:pPr>
        <w:rPr>
          <w:rFonts w:ascii="宋体" w:hAnsi="宋体"/>
          <w:sz w:val="28"/>
          <w:szCs w:val="28"/>
          <w:highlight w:val="none"/>
        </w:rPr>
      </w:pPr>
    </w:p>
    <w:p w14:paraId="2A67FA59">
      <w:pPr>
        <w:snapToGrid w:val="0"/>
        <w:spacing w:before="240" w:beforeLines="100" w:after="240" w:afterLines="100" w:line="360" w:lineRule="auto"/>
        <w:ind w:firstLine="993" w:firstLineChars="412"/>
        <w:rPr>
          <w:rFonts w:ascii="宋体" w:hAnsi="宋体"/>
          <w:b/>
          <w:bCs/>
          <w:sz w:val="24"/>
          <w:highlight w:val="none"/>
        </w:rPr>
      </w:pPr>
      <w:r>
        <w:rPr>
          <w:rFonts w:hint="eastAsia" w:ascii="宋体" w:hAnsi="宋体"/>
          <w:b/>
          <w:bCs/>
          <w:sz w:val="24"/>
          <w:highlight w:val="none"/>
        </w:rPr>
        <w:t>项目名称：</w:t>
      </w:r>
      <w:r>
        <w:rPr>
          <w:rFonts w:hint="eastAsia" w:ascii="宋体" w:hAnsi="宋体"/>
          <w:b/>
          <w:bCs/>
          <w:sz w:val="24"/>
          <w:highlight w:val="none"/>
          <w:u w:val="single"/>
        </w:rPr>
        <w:t xml:space="preserve">                                  </w:t>
      </w:r>
      <w:r>
        <w:rPr>
          <w:rFonts w:hint="eastAsia" w:ascii="宋体" w:hAnsi="宋体"/>
          <w:b/>
          <w:bCs/>
          <w:sz w:val="24"/>
          <w:highlight w:val="none"/>
        </w:rPr>
        <w:t xml:space="preserve">     </w:t>
      </w:r>
    </w:p>
    <w:p w14:paraId="441200DA">
      <w:pPr>
        <w:snapToGrid w:val="0"/>
        <w:spacing w:before="240" w:beforeLines="100" w:after="240" w:afterLines="100" w:line="360" w:lineRule="auto"/>
        <w:ind w:firstLine="985" w:firstLineChars="409"/>
        <w:rPr>
          <w:rFonts w:hint="eastAsia" w:ascii="宋体" w:hAnsi="宋体"/>
          <w:b/>
          <w:bCs/>
          <w:sz w:val="24"/>
          <w:highlight w:val="none"/>
          <w:u w:val="single"/>
        </w:rPr>
      </w:pPr>
      <w:r>
        <w:rPr>
          <w:rFonts w:hint="eastAsia" w:ascii="宋体" w:hAnsi="宋体"/>
          <w:b/>
          <w:bCs/>
          <w:sz w:val="24"/>
          <w:highlight w:val="none"/>
        </w:rPr>
        <w:t>项目编号：</w:t>
      </w:r>
      <w:r>
        <w:rPr>
          <w:rFonts w:hint="eastAsia" w:ascii="宋体" w:hAnsi="宋体"/>
          <w:b/>
          <w:bCs/>
          <w:sz w:val="24"/>
          <w:highlight w:val="none"/>
          <w:u w:val="single"/>
        </w:rPr>
        <w:t xml:space="preserve">                                 </w:t>
      </w:r>
    </w:p>
    <w:p w14:paraId="46ED6E37">
      <w:pPr>
        <w:snapToGrid w:val="0"/>
        <w:spacing w:before="240" w:beforeLines="100" w:after="240" w:afterLines="100" w:line="360" w:lineRule="auto"/>
        <w:ind w:firstLine="985" w:firstLineChars="409"/>
        <w:rPr>
          <w:rFonts w:ascii="宋体" w:hAnsi="宋体"/>
          <w:b/>
          <w:bCs/>
          <w:sz w:val="24"/>
          <w:highlight w:val="none"/>
        </w:rPr>
      </w:pPr>
      <w:r>
        <w:rPr>
          <w:rFonts w:hint="eastAsia" w:ascii="宋体" w:hAnsi="宋体"/>
          <w:b/>
          <w:bCs/>
          <w:sz w:val="24"/>
          <w:highlight w:val="none"/>
          <w:u w:val="none"/>
          <w:lang w:eastAsia="zh-CN"/>
        </w:rPr>
        <w:t>标项号：</w:t>
      </w:r>
      <w:r>
        <w:rPr>
          <w:rFonts w:hint="eastAsia" w:ascii="宋体" w:hAnsi="宋体"/>
          <w:b/>
          <w:bCs/>
          <w:sz w:val="24"/>
          <w:highlight w:val="none"/>
          <w:u w:val="none"/>
          <w:lang w:val="en-US" w:eastAsia="zh-CN"/>
        </w:rPr>
        <w:t xml:space="preserve"> </w:t>
      </w:r>
      <w:r>
        <w:rPr>
          <w:rFonts w:hint="eastAsia" w:ascii="宋体" w:hAnsi="宋体"/>
          <w:b/>
          <w:bCs/>
          <w:sz w:val="24"/>
          <w:highlight w:val="none"/>
          <w:u w:val="single"/>
          <w:lang w:val="en-US" w:eastAsia="zh-CN"/>
        </w:rPr>
        <w:t xml:space="preserve">                                   </w:t>
      </w:r>
      <w:r>
        <w:rPr>
          <w:rFonts w:hint="eastAsia" w:ascii="宋体" w:hAnsi="宋体"/>
          <w:b/>
          <w:bCs/>
          <w:sz w:val="24"/>
          <w:highlight w:val="none"/>
          <w:u w:val="single"/>
        </w:rPr>
        <w:t xml:space="preserve"> </w:t>
      </w:r>
      <w:r>
        <w:rPr>
          <w:rFonts w:ascii="宋体" w:hAnsi="宋体"/>
          <w:b/>
          <w:bCs/>
          <w:sz w:val="24"/>
          <w:highlight w:val="none"/>
        </w:rPr>
        <w:t xml:space="preserve"> </w:t>
      </w:r>
      <w:r>
        <w:rPr>
          <w:rFonts w:hint="eastAsia" w:ascii="宋体" w:hAnsi="宋体"/>
          <w:b/>
          <w:bCs/>
          <w:sz w:val="24"/>
          <w:highlight w:val="none"/>
        </w:rPr>
        <w:t xml:space="preserve">    </w:t>
      </w:r>
    </w:p>
    <w:p w14:paraId="6D1EEF57">
      <w:pPr>
        <w:snapToGrid w:val="0"/>
        <w:spacing w:before="240" w:beforeLines="100" w:after="240" w:afterLines="100" w:line="360" w:lineRule="auto"/>
        <w:ind w:firstLine="985" w:firstLineChars="409"/>
        <w:rPr>
          <w:rFonts w:ascii="宋体" w:hAnsi="宋体"/>
          <w:b/>
          <w:bCs/>
          <w:sz w:val="24"/>
          <w:highlight w:val="none"/>
          <w:u w:val="single"/>
        </w:rPr>
      </w:pPr>
      <w:r>
        <w:rPr>
          <w:rFonts w:hint="eastAsia" w:ascii="宋体" w:hAnsi="宋体"/>
          <w:b/>
          <w:bCs/>
          <w:sz w:val="24"/>
          <w:highlight w:val="none"/>
        </w:rPr>
        <w:t>投标内容：</w:t>
      </w:r>
      <w:r>
        <w:rPr>
          <w:rFonts w:hint="eastAsia" w:ascii="宋体" w:hAnsi="宋体"/>
          <w:b/>
          <w:bCs/>
          <w:sz w:val="24"/>
          <w:highlight w:val="none"/>
          <w:u w:val="single"/>
        </w:rPr>
        <w:t xml:space="preserve">                                       </w:t>
      </w:r>
    </w:p>
    <w:p w14:paraId="47956B0D">
      <w:pPr>
        <w:pStyle w:val="12"/>
        <w:snapToGrid w:val="0"/>
        <w:spacing w:before="240" w:beforeLines="100" w:after="240" w:afterLines="100" w:line="360" w:lineRule="auto"/>
        <w:ind w:firstLine="981" w:firstLineChars="407"/>
        <w:rPr>
          <w:rFonts w:ascii="宋体" w:hAnsi="宋体"/>
          <w:b/>
          <w:bCs/>
          <w:sz w:val="24"/>
          <w:szCs w:val="24"/>
          <w:highlight w:val="none"/>
        </w:rPr>
      </w:pPr>
      <w:r>
        <w:rPr>
          <w:rFonts w:hint="eastAsia" w:ascii="宋体" w:hAnsi="宋体"/>
          <w:b/>
          <w:bCs/>
          <w:sz w:val="24"/>
          <w:szCs w:val="24"/>
          <w:highlight w:val="none"/>
        </w:rPr>
        <w:t>投标人名称：</w:t>
      </w:r>
      <w:r>
        <w:rPr>
          <w:rFonts w:hint="eastAsia" w:ascii="宋体" w:hAnsi="宋体"/>
          <w:b/>
          <w:bCs/>
          <w:sz w:val="24"/>
          <w:szCs w:val="24"/>
          <w:highlight w:val="none"/>
          <w:u w:val="single"/>
        </w:rPr>
        <w:t xml:space="preserve">                         （</w:t>
      </w:r>
      <w:r>
        <w:rPr>
          <w:rFonts w:hint="eastAsia" w:ascii="宋体" w:hAnsi="宋体"/>
          <w:b/>
          <w:bCs/>
          <w:sz w:val="24"/>
          <w:szCs w:val="24"/>
          <w:highlight w:val="none"/>
        </w:rPr>
        <w:t>加盖公章）</w:t>
      </w:r>
    </w:p>
    <w:p w14:paraId="561A8AE8">
      <w:pPr>
        <w:pStyle w:val="12"/>
        <w:snapToGrid w:val="0"/>
        <w:spacing w:before="240" w:beforeLines="100" w:after="240" w:afterLines="100" w:line="360" w:lineRule="auto"/>
        <w:ind w:firstLine="985" w:firstLineChars="409"/>
        <w:rPr>
          <w:rFonts w:ascii="宋体" w:hAnsi="宋体"/>
          <w:b/>
          <w:bCs/>
          <w:sz w:val="24"/>
          <w:szCs w:val="24"/>
          <w:highlight w:val="none"/>
          <w:u w:val="single"/>
        </w:rPr>
      </w:pPr>
      <w:r>
        <w:rPr>
          <w:rFonts w:hint="eastAsia" w:ascii="宋体" w:hAnsi="宋体"/>
          <w:b/>
          <w:bCs/>
          <w:sz w:val="24"/>
          <w:szCs w:val="24"/>
          <w:highlight w:val="none"/>
        </w:rPr>
        <w:t>投标人地址：</w:t>
      </w:r>
      <w:r>
        <w:rPr>
          <w:rFonts w:hint="eastAsia" w:ascii="宋体" w:hAnsi="宋体"/>
          <w:b/>
          <w:bCs/>
          <w:sz w:val="24"/>
          <w:szCs w:val="24"/>
          <w:highlight w:val="none"/>
          <w:u w:val="single"/>
        </w:rPr>
        <w:t xml:space="preserve">                                     </w:t>
      </w:r>
    </w:p>
    <w:p w14:paraId="02537B72">
      <w:pPr>
        <w:pStyle w:val="12"/>
        <w:snapToGrid w:val="0"/>
        <w:spacing w:before="240" w:beforeLines="100" w:after="240" w:afterLines="100" w:line="360" w:lineRule="auto"/>
        <w:ind w:firstLine="985" w:firstLineChars="409"/>
        <w:rPr>
          <w:rFonts w:ascii="宋体" w:hAnsi="宋体"/>
          <w:b/>
          <w:bCs/>
          <w:sz w:val="24"/>
          <w:szCs w:val="24"/>
          <w:highlight w:val="none"/>
          <w:u w:val="single"/>
        </w:rPr>
      </w:pPr>
      <w:r>
        <w:rPr>
          <w:rFonts w:hint="eastAsia" w:ascii="宋体" w:hAnsi="宋体"/>
          <w:b/>
          <w:bCs/>
          <w:sz w:val="24"/>
          <w:szCs w:val="24"/>
          <w:highlight w:val="none"/>
        </w:rPr>
        <w:t>联系人：</w:t>
      </w:r>
      <w:r>
        <w:rPr>
          <w:rFonts w:hint="eastAsia" w:ascii="宋体" w:hAnsi="宋体"/>
          <w:b/>
          <w:bCs/>
          <w:sz w:val="24"/>
          <w:szCs w:val="24"/>
          <w:highlight w:val="none"/>
          <w:u w:val="single"/>
        </w:rPr>
        <w:t xml:space="preserve">                  </w:t>
      </w:r>
      <w:r>
        <w:rPr>
          <w:rFonts w:hint="eastAsia" w:ascii="宋体" w:hAnsi="宋体"/>
          <w:b/>
          <w:bCs/>
          <w:sz w:val="24"/>
          <w:szCs w:val="24"/>
          <w:highlight w:val="none"/>
        </w:rPr>
        <w:t>电话:</w:t>
      </w:r>
      <w:r>
        <w:rPr>
          <w:rFonts w:hint="eastAsia" w:ascii="宋体" w:hAnsi="宋体"/>
          <w:b/>
          <w:bCs/>
          <w:sz w:val="24"/>
          <w:szCs w:val="24"/>
          <w:highlight w:val="none"/>
          <w:u w:val="single"/>
        </w:rPr>
        <w:t xml:space="preserve">                  </w:t>
      </w:r>
    </w:p>
    <w:p w14:paraId="6D818BC3">
      <w:pPr>
        <w:snapToGrid w:val="0"/>
        <w:spacing w:before="120" w:beforeLines="50" w:after="50"/>
        <w:ind w:firstLine="628" w:firstLineChars="262"/>
        <w:rPr>
          <w:rFonts w:ascii="宋体" w:hAnsi="宋体"/>
          <w:bCs/>
          <w:sz w:val="24"/>
          <w:highlight w:val="none"/>
        </w:rPr>
      </w:pPr>
    </w:p>
    <w:p w14:paraId="7CEEC033">
      <w:pPr>
        <w:autoSpaceDE w:val="0"/>
        <w:autoSpaceDN w:val="0"/>
        <w:adjustRightInd w:val="0"/>
        <w:snapToGrid w:val="0"/>
        <w:spacing w:before="120" w:beforeLines="50" w:after="120" w:afterLines="50" w:line="360" w:lineRule="auto"/>
        <w:jc w:val="center"/>
        <w:rPr>
          <w:rFonts w:ascii="宋体" w:hAnsi="宋体"/>
          <w:b/>
          <w:sz w:val="32"/>
          <w:szCs w:val="32"/>
          <w:highlight w:val="none"/>
        </w:rPr>
      </w:pPr>
      <w:r>
        <w:rPr>
          <w:rFonts w:hint="eastAsia" w:ascii="宋体" w:hAnsi="宋体"/>
          <w:bCs/>
          <w:vanish/>
          <w:sz w:val="24"/>
          <w:highlight w:val="none"/>
        </w:rPr>
        <w:t>：容aobiao</w:t>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hint="eastAsia" w:ascii="宋体" w:hAnsi="宋体"/>
          <w:bCs/>
          <w:vanish/>
          <w:sz w:val="24"/>
          <w:highlight w:val="none"/>
        </w:rPr>
        <w:pgNum/>
      </w:r>
      <w:r>
        <w:rPr>
          <w:rFonts w:ascii="宋体" w:hAnsi="宋体"/>
          <w:bCs/>
          <w:sz w:val="24"/>
          <w:highlight w:val="none"/>
        </w:rPr>
        <w:t xml:space="preserve">     </w:t>
      </w:r>
      <w:bookmarkStart w:id="68" w:name="_Toc437359752"/>
      <w:bookmarkStart w:id="69" w:name="_Toc430714682"/>
      <w:bookmarkStart w:id="70" w:name="_Toc437365891"/>
      <w:bookmarkStart w:id="71" w:name="_Toc437365964"/>
      <w:r>
        <w:rPr>
          <w:rFonts w:hint="eastAsia" w:ascii="宋体" w:hAnsi="宋体"/>
          <w:bCs/>
          <w:sz w:val="24"/>
          <w:highlight w:val="none"/>
        </w:rPr>
        <w:t>年</w:t>
      </w:r>
      <w:r>
        <w:rPr>
          <w:rFonts w:ascii="宋体" w:hAnsi="宋体"/>
          <w:bCs/>
          <w:sz w:val="24"/>
          <w:highlight w:val="none"/>
        </w:rPr>
        <w:t xml:space="preserve">  </w:t>
      </w:r>
      <w:r>
        <w:rPr>
          <w:rFonts w:hint="eastAsia" w:ascii="宋体" w:hAnsi="宋体"/>
          <w:bCs/>
          <w:sz w:val="24"/>
          <w:highlight w:val="none"/>
        </w:rPr>
        <w:t xml:space="preserve"> 月</w:t>
      </w:r>
      <w:r>
        <w:rPr>
          <w:rFonts w:ascii="宋体" w:hAnsi="宋体"/>
          <w:bCs/>
          <w:sz w:val="24"/>
          <w:highlight w:val="none"/>
        </w:rPr>
        <w:t xml:space="preserve">  </w:t>
      </w:r>
      <w:r>
        <w:rPr>
          <w:rFonts w:hint="eastAsia" w:ascii="宋体" w:hAnsi="宋体"/>
          <w:bCs/>
          <w:sz w:val="24"/>
          <w:highlight w:val="none"/>
        </w:rPr>
        <w:t xml:space="preserve"> 日</w:t>
      </w:r>
      <w:bookmarkEnd w:id="68"/>
      <w:bookmarkEnd w:id="69"/>
      <w:bookmarkEnd w:id="70"/>
      <w:bookmarkEnd w:id="71"/>
    </w:p>
    <w:p w14:paraId="417410BF">
      <w:pPr>
        <w:spacing w:line="360" w:lineRule="exact"/>
        <w:rPr>
          <w:rFonts w:ascii="宋体" w:hAnsi="宋体"/>
          <w:highlight w:val="none"/>
        </w:rPr>
      </w:pPr>
    </w:p>
    <w:p w14:paraId="5839AD3D">
      <w:pPr>
        <w:rPr>
          <w:rFonts w:ascii="宋体" w:hAnsi="宋体"/>
          <w:highlight w:val="none"/>
        </w:rPr>
      </w:pPr>
      <w:r>
        <w:rPr>
          <w:rFonts w:ascii="宋体" w:hAnsi="宋体"/>
          <w:highlight w:val="none"/>
        </w:rPr>
        <w:br w:type="page"/>
      </w:r>
    </w:p>
    <w:p w14:paraId="58D113DD">
      <w:pPr>
        <w:adjustRightInd w:val="0"/>
        <w:snapToGrid w:val="0"/>
        <w:spacing w:line="360" w:lineRule="auto"/>
        <w:jc w:val="left"/>
        <w:rPr>
          <w:rFonts w:ascii="宋体" w:hAnsi="宋体"/>
          <w:b/>
          <w:szCs w:val="21"/>
          <w:highlight w:val="none"/>
        </w:rPr>
      </w:pPr>
    </w:p>
    <w:p w14:paraId="1E6503C4">
      <w:pPr>
        <w:adjustRightInd w:val="0"/>
        <w:snapToGrid w:val="0"/>
        <w:spacing w:line="360" w:lineRule="auto"/>
        <w:jc w:val="left"/>
        <w:rPr>
          <w:rFonts w:ascii="宋体" w:hAnsi="宋体"/>
          <w:b/>
          <w:szCs w:val="21"/>
          <w:highlight w:val="none"/>
        </w:rPr>
      </w:pPr>
      <w:r>
        <w:rPr>
          <w:rFonts w:hint="eastAsia" w:ascii="宋体" w:hAnsi="宋体"/>
          <w:b/>
          <w:szCs w:val="21"/>
          <w:highlight w:val="none"/>
        </w:rPr>
        <w:t>一、资格性自查表</w:t>
      </w:r>
    </w:p>
    <w:p w14:paraId="207E18F8">
      <w:pPr>
        <w:adjustRightInd w:val="0"/>
        <w:snapToGrid w:val="0"/>
        <w:spacing w:line="360" w:lineRule="auto"/>
        <w:jc w:val="left"/>
        <w:rPr>
          <w:rFonts w:ascii="宋体" w:hAnsi="宋体"/>
          <w:b/>
          <w:szCs w:val="21"/>
          <w:highlight w:val="none"/>
        </w:rPr>
      </w:pPr>
      <w:r>
        <w:rPr>
          <w:rFonts w:hint="eastAsia" w:ascii="宋体" w:hAnsi="宋体"/>
          <w:b/>
          <w:szCs w:val="21"/>
          <w:highlight w:val="none"/>
        </w:rPr>
        <w:t>二、投标函、投标声明</w:t>
      </w:r>
    </w:p>
    <w:p w14:paraId="3808A5F7">
      <w:pPr>
        <w:adjustRightInd w:val="0"/>
        <w:snapToGrid w:val="0"/>
        <w:spacing w:line="360" w:lineRule="auto"/>
        <w:ind w:firstLine="420" w:firstLineChars="200"/>
        <w:jc w:val="left"/>
        <w:rPr>
          <w:rFonts w:ascii="宋体" w:hAnsi="宋体"/>
          <w:szCs w:val="21"/>
          <w:highlight w:val="none"/>
        </w:rPr>
      </w:pPr>
      <w:r>
        <w:rPr>
          <w:rFonts w:hint="eastAsia" w:ascii="宋体" w:hAnsi="宋体"/>
          <w:szCs w:val="21"/>
          <w:highlight w:val="none"/>
        </w:rPr>
        <w:t>附件1：法定代表人身份证明(法定代表人参加投标)</w:t>
      </w:r>
    </w:p>
    <w:p w14:paraId="34FD9DBE">
      <w:pPr>
        <w:adjustRightInd w:val="0"/>
        <w:snapToGrid w:val="0"/>
        <w:spacing w:line="360" w:lineRule="auto"/>
        <w:ind w:firstLine="420" w:firstLineChars="200"/>
        <w:jc w:val="left"/>
        <w:rPr>
          <w:rFonts w:ascii="宋体" w:hAnsi="宋体"/>
          <w:szCs w:val="21"/>
          <w:highlight w:val="none"/>
        </w:rPr>
      </w:pPr>
      <w:r>
        <w:rPr>
          <w:rFonts w:hint="eastAsia" w:ascii="宋体" w:hAnsi="宋体"/>
          <w:szCs w:val="21"/>
          <w:highlight w:val="none"/>
        </w:rPr>
        <w:t>附件2：法定代表人授权书(委托代理人参加投标)</w:t>
      </w:r>
    </w:p>
    <w:p w14:paraId="6E114157">
      <w:pPr>
        <w:adjustRightInd w:val="0"/>
        <w:snapToGrid w:val="0"/>
        <w:spacing w:line="360" w:lineRule="auto"/>
        <w:jc w:val="left"/>
        <w:rPr>
          <w:rFonts w:ascii="宋体" w:hAnsi="宋体"/>
          <w:b/>
          <w:szCs w:val="21"/>
          <w:highlight w:val="none"/>
        </w:rPr>
      </w:pPr>
      <w:r>
        <w:rPr>
          <w:rFonts w:hint="eastAsia" w:ascii="宋体" w:hAnsi="宋体"/>
          <w:b/>
          <w:szCs w:val="21"/>
          <w:highlight w:val="none"/>
        </w:rPr>
        <w:t>三、投标保证金</w:t>
      </w:r>
    </w:p>
    <w:p w14:paraId="4634D417">
      <w:pPr>
        <w:adjustRightInd w:val="0"/>
        <w:snapToGrid w:val="0"/>
        <w:spacing w:line="360" w:lineRule="auto"/>
        <w:ind w:firstLine="420" w:firstLineChars="200"/>
        <w:jc w:val="left"/>
        <w:rPr>
          <w:rFonts w:ascii="宋体" w:hAnsi="宋体"/>
          <w:szCs w:val="21"/>
          <w:highlight w:val="none"/>
        </w:rPr>
      </w:pPr>
      <w:r>
        <w:rPr>
          <w:rFonts w:hint="eastAsia" w:ascii="宋体" w:hAnsi="宋体"/>
          <w:szCs w:val="21"/>
          <w:highlight w:val="none"/>
        </w:rPr>
        <w:t>附件3：投标保证金</w:t>
      </w:r>
    </w:p>
    <w:p w14:paraId="68ACB895">
      <w:pPr>
        <w:pStyle w:val="24"/>
        <w:adjustRightInd w:val="0"/>
        <w:snapToGrid w:val="0"/>
        <w:spacing w:line="360" w:lineRule="auto"/>
        <w:rPr>
          <w:rFonts w:ascii="宋体" w:hAnsi="宋体"/>
          <w:b/>
          <w:sz w:val="21"/>
          <w:szCs w:val="21"/>
          <w:highlight w:val="none"/>
        </w:rPr>
      </w:pPr>
      <w:r>
        <w:rPr>
          <w:rFonts w:hint="eastAsia" w:ascii="宋体" w:hAnsi="宋体"/>
          <w:b/>
          <w:sz w:val="21"/>
          <w:szCs w:val="21"/>
          <w:highlight w:val="none"/>
        </w:rPr>
        <w:t>四</w:t>
      </w:r>
      <w:r>
        <w:rPr>
          <w:rFonts w:hint="eastAsia" w:ascii="宋体" w:hAnsi="宋体"/>
          <w:sz w:val="21"/>
          <w:szCs w:val="21"/>
          <w:highlight w:val="none"/>
        </w:rPr>
        <w:t>、</w:t>
      </w:r>
      <w:r>
        <w:rPr>
          <w:rFonts w:hint="eastAsia" w:ascii="宋体" w:hAnsi="宋体"/>
          <w:b/>
          <w:sz w:val="21"/>
          <w:szCs w:val="21"/>
          <w:highlight w:val="none"/>
        </w:rPr>
        <w:t>报价一览表报价明细表及报价说明</w:t>
      </w:r>
    </w:p>
    <w:p w14:paraId="3CFC3B86">
      <w:pPr>
        <w:adjustRightInd w:val="0"/>
        <w:snapToGrid w:val="0"/>
        <w:spacing w:line="360" w:lineRule="auto"/>
        <w:ind w:firstLine="420" w:firstLineChars="200"/>
        <w:jc w:val="left"/>
        <w:rPr>
          <w:rFonts w:ascii="宋体" w:hAnsi="宋体"/>
          <w:szCs w:val="21"/>
          <w:highlight w:val="none"/>
        </w:rPr>
      </w:pPr>
      <w:r>
        <w:rPr>
          <w:rFonts w:hint="eastAsia" w:ascii="宋体" w:hAnsi="宋体"/>
          <w:szCs w:val="21"/>
          <w:highlight w:val="none"/>
        </w:rPr>
        <w:t>附件4：报价一览表</w:t>
      </w:r>
    </w:p>
    <w:p w14:paraId="79757CA1">
      <w:pPr>
        <w:adjustRightInd w:val="0"/>
        <w:snapToGrid w:val="0"/>
        <w:spacing w:line="360" w:lineRule="auto"/>
        <w:ind w:firstLine="420" w:firstLineChars="200"/>
        <w:jc w:val="left"/>
        <w:rPr>
          <w:rFonts w:ascii="宋体" w:hAnsi="宋体"/>
          <w:bCs/>
          <w:szCs w:val="21"/>
          <w:highlight w:val="none"/>
        </w:rPr>
      </w:pPr>
      <w:r>
        <w:rPr>
          <w:rFonts w:hint="eastAsia" w:ascii="宋体" w:hAnsi="宋体"/>
          <w:szCs w:val="21"/>
          <w:highlight w:val="none"/>
        </w:rPr>
        <w:t>附件5：</w:t>
      </w:r>
      <w:r>
        <w:rPr>
          <w:rFonts w:hint="eastAsia" w:ascii="宋体" w:hAnsi="宋体"/>
          <w:bCs/>
          <w:szCs w:val="21"/>
          <w:highlight w:val="none"/>
        </w:rPr>
        <w:t>报价明细表及报价说明</w:t>
      </w:r>
    </w:p>
    <w:p w14:paraId="13E7AAA9">
      <w:pPr>
        <w:adjustRightInd w:val="0"/>
        <w:snapToGrid w:val="0"/>
        <w:spacing w:line="360" w:lineRule="auto"/>
        <w:ind w:firstLine="420" w:firstLineChars="200"/>
        <w:jc w:val="left"/>
        <w:rPr>
          <w:rFonts w:ascii="宋体" w:hAnsi="宋体"/>
          <w:bCs/>
          <w:szCs w:val="21"/>
          <w:highlight w:val="none"/>
        </w:rPr>
      </w:pPr>
      <w:r>
        <w:rPr>
          <w:rFonts w:hint="eastAsia" w:ascii="宋体" w:hAnsi="宋体"/>
          <w:bCs/>
          <w:szCs w:val="21"/>
          <w:highlight w:val="none"/>
        </w:rPr>
        <w:t>附件6</w:t>
      </w:r>
      <w:r>
        <w:rPr>
          <w:rFonts w:hint="eastAsia" w:ascii="宋体" w:hAnsi="宋体"/>
          <w:szCs w:val="21"/>
          <w:highlight w:val="none"/>
        </w:rPr>
        <w:t>：</w:t>
      </w:r>
      <w:r>
        <w:rPr>
          <w:rFonts w:hint="eastAsia" w:ascii="宋体" w:hAnsi="宋体"/>
          <w:bCs/>
          <w:szCs w:val="21"/>
          <w:highlight w:val="none"/>
        </w:rPr>
        <w:t>节能、环境标志产品证明材料</w:t>
      </w:r>
    </w:p>
    <w:p w14:paraId="5DF6C954">
      <w:pPr>
        <w:adjustRightInd w:val="0"/>
        <w:snapToGrid w:val="0"/>
        <w:spacing w:line="360" w:lineRule="auto"/>
        <w:ind w:firstLine="420" w:firstLineChars="200"/>
        <w:jc w:val="left"/>
        <w:rPr>
          <w:rFonts w:ascii="宋体" w:hAnsi="宋体"/>
          <w:szCs w:val="21"/>
          <w:highlight w:val="none"/>
        </w:rPr>
      </w:pPr>
      <w:r>
        <w:rPr>
          <w:rFonts w:hint="eastAsia" w:ascii="宋体" w:hAnsi="宋体"/>
          <w:szCs w:val="21"/>
          <w:highlight w:val="none"/>
        </w:rPr>
        <w:t>附件7：中小企业声明函</w:t>
      </w:r>
    </w:p>
    <w:p w14:paraId="44D4BCD3">
      <w:pPr>
        <w:adjustRightInd w:val="0"/>
        <w:snapToGrid w:val="0"/>
        <w:spacing w:line="360" w:lineRule="auto"/>
        <w:ind w:firstLine="420" w:firstLineChars="200"/>
        <w:jc w:val="left"/>
        <w:rPr>
          <w:rFonts w:ascii="宋体" w:hAnsi="宋体"/>
          <w:szCs w:val="21"/>
          <w:highlight w:val="none"/>
        </w:rPr>
      </w:pPr>
      <w:r>
        <w:rPr>
          <w:rFonts w:hint="eastAsia" w:ascii="宋体" w:hAnsi="宋体"/>
          <w:szCs w:val="21"/>
          <w:highlight w:val="none"/>
        </w:rPr>
        <w:t>附件8：残疾人福利性单位声明函</w:t>
      </w:r>
    </w:p>
    <w:p w14:paraId="1E423216">
      <w:pPr>
        <w:adjustRightInd w:val="0"/>
        <w:snapToGrid w:val="0"/>
        <w:spacing w:line="360" w:lineRule="auto"/>
        <w:ind w:firstLine="420" w:firstLineChars="200"/>
        <w:jc w:val="left"/>
        <w:rPr>
          <w:rFonts w:ascii="宋体" w:hAnsi="宋体"/>
          <w:szCs w:val="21"/>
          <w:highlight w:val="none"/>
        </w:rPr>
      </w:pPr>
      <w:r>
        <w:rPr>
          <w:rFonts w:hint="eastAsia" w:ascii="宋体" w:hAnsi="宋体"/>
          <w:szCs w:val="21"/>
          <w:highlight w:val="none"/>
        </w:rPr>
        <w:t>附件9：监狱企业声明函</w:t>
      </w:r>
    </w:p>
    <w:p w14:paraId="4B80D170">
      <w:pPr>
        <w:adjustRightInd w:val="0"/>
        <w:snapToGrid w:val="0"/>
        <w:spacing w:line="360" w:lineRule="auto"/>
        <w:jc w:val="left"/>
        <w:rPr>
          <w:rFonts w:ascii="宋体" w:hAnsi="宋体"/>
          <w:b/>
          <w:szCs w:val="21"/>
          <w:highlight w:val="none"/>
        </w:rPr>
      </w:pPr>
      <w:r>
        <w:rPr>
          <w:rFonts w:hint="eastAsia" w:ascii="宋体" w:hAnsi="宋体"/>
          <w:b/>
          <w:szCs w:val="21"/>
          <w:highlight w:val="none"/>
        </w:rPr>
        <w:t>五、投标人的资格审查材料</w:t>
      </w:r>
    </w:p>
    <w:p w14:paraId="3078EB41">
      <w:pPr>
        <w:adjustRightInd w:val="0"/>
        <w:snapToGrid w:val="0"/>
        <w:spacing w:line="360" w:lineRule="auto"/>
        <w:ind w:firstLine="420" w:firstLineChars="200"/>
        <w:jc w:val="left"/>
        <w:rPr>
          <w:rFonts w:ascii="宋体" w:hAnsi="宋体"/>
          <w:szCs w:val="21"/>
          <w:highlight w:val="none"/>
        </w:rPr>
      </w:pPr>
      <w:r>
        <w:rPr>
          <w:rFonts w:hint="eastAsia" w:ascii="宋体" w:hAnsi="宋体"/>
          <w:szCs w:val="21"/>
          <w:highlight w:val="none"/>
        </w:rPr>
        <w:t>附件10：投标人基本情况表</w:t>
      </w:r>
    </w:p>
    <w:p w14:paraId="6A1D0336">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附件11：具备履行合同所必需的设备和专业技术能力的承诺</w:t>
      </w:r>
    </w:p>
    <w:p w14:paraId="336E4D1D">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附件12：无重大违法记录声明书</w:t>
      </w:r>
    </w:p>
    <w:p w14:paraId="7EBD0D28">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附件13：信用记录</w:t>
      </w:r>
    </w:p>
    <w:p w14:paraId="2399AE51">
      <w:pPr>
        <w:adjustRightInd w:val="0"/>
        <w:snapToGrid w:val="0"/>
        <w:spacing w:line="360" w:lineRule="auto"/>
        <w:jc w:val="left"/>
        <w:rPr>
          <w:rFonts w:ascii="宋体" w:hAnsi="宋体"/>
          <w:b/>
          <w:szCs w:val="21"/>
          <w:highlight w:val="none"/>
        </w:rPr>
      </w:pPr>
      <w:r>
        <w:rPr>
          <w:rFonts w:hint="eastAsia" w:ascii="宋体" w:hAnsi="宋体"/>
          <w:b/>
          <w:szCs w:val="21"/>
          <w:highlight w:val="none"/>
        </w:rPr>
        <w:t>六、项目方案</w:t>
      </w:r>
    </w:p>
    <w:p w14:paraId="71A5ABB8">
      <w:pPr>
        <w:adjustRightInd w:val="0"/>
        <w:snapToGrid w:val="0"/>
        <w:spacing w:line="360" w:lineRule="auto"/>
        <w:ind w:firstLine="435"/>
        <w:jc w:val="left"/>
        <w:rPr>
          <w:rFonts w:ascii="宋体" w:hAnsi="宋体"/>
          <w:szCs w:val="21"/>
          <w:highlight w:val="none"/>
        </w:rPr>
      </w:pPr>
      <w:r>
        <w:rPr>
          <w:rFonts w:hint="eastAsia" w:ascii="宋体" w:hAnsi="宋体"/>
          <w:szCs w:val="21"/>
          <w:highlight w:val="none"/>
        </w:rPr>
        <w:t>附件14：拟投入本项目的人员及设备一览表</w:t>
      </w:r>
    </w:p>
    <w:p w14:paraId="532E0090">
      <w:pPr>
        <w:adjustRightInd w:val="0"/>
        <w:snapToGrid w:val="0"/>
        <w:spacing w:line="360" w:lineRule="auto"/>
        <w:ind w:firstLine="435"/>
        <w:jc w:val="left"/>
        <w:rPr>
          <w:rFonts w:ascii="宋体" w:hAnsi="宋体"/>
          <w:szCs w:val="21"/>
          <w:highlight w:val="none"/>
        </w:rPr>
      </w:pPr>
      <w:r>
        <w:rPr>
          <w:rFonts w:hint="eastAsia" w:ascii="宋体" w:hAnsi="宋体"/>
          <w:szCs w:val="21"/>
          <w:highlight w:val="none"/>
        </w:rPr>
        <w:t>附件15：服务附表</w:t>
      </w:r>
    </w:p>
    <w:p w14:paraId="5B7755DD">
      <w:pPr>
        <w:adjustRightInd w:val="0"/>
        <w:snapToGrid w:val="0"/>
        <w:spacing w:line="360" w:lineRule="auto"/>
        <w:jc w:val="left"/>
        <w:rPr>
          <w:rFonts w:ascii="宋体" w:hAnsi="宋体"/>
          <w:szCs w:val="21"/>
          <w:highlight w:val="none"/>
        </w:rPr>
      </w:pPr>
      <w:r>
        <w:rPr>
          <w:rFonts w:hint="eastAsia" w:ascii="宋体" w:hAnsi="宋体"/>
          <w:b/>
          <w:szCs w:val="21"/>
          <w:highlight w:val="none"/>
        </w:rPr>
        <w:t>七、响应/偏离表</w:t>
      </w:r>
    </w:p>
    <w:p w14:paraId="4C4BB4AB">
      <w:pPr>
        <w:adjustRightInd w:val="0"/>
        <w:snapToGrid w:val="0"/>
        <w:spacing w:line="360" w:lineRule="auto"/>
        <w:jc w:val="left"/>
        <w:rPr>
          <w:rFonts w:ascii="宋体" w:hAnsi="宋体"/>
          <w:b/>
          <w:szCs w:val="21"/>
          <w:highlight w:val="none"/>
        </w:rPr>
      </w:pPr>
      <w:r>
        <w:rPr>
          <w:rFonts w:hint="eastAsia" w:ascii="宋体" w:hAnsi="宋体"/>
          <w:b/>
          <w:szCs w:val="21"/>
          <w:highlight w:val="none"/>
        </w:rPr>
        <w:t>八、投标人认为需提供的其它资料</w:t>
      </w:r>
    </w:p>
    <w:p w14:paraId="7F91EFA6">
      <w:pPr>
        <w:adjustRightInd w:val="0"/>
        <w:snapToGrid w:val="0"/>
        <w:spacing w:line="360" w:lineRule="auto"/>
        <w:rPr>
          <w:rFonts w:ascii="宋体" w:hAnsi="宋体"/>
          <w:b/>
          <w:szCs w:val="21"/>
          <w:highlight w:val="none"/>
        </w:rPr>
      </w:pPr>
    </w:p>
    <w:p w14:paraId="0AFB1A76">
      <w:pPr>
        <w:adjustRightInd w:val="0"/>
        <w:snapToGrid w:val="0"/>
        <w:spacing w:line="360" w:lineRule="auto"/>
        <w:rPr>
          <w:rFonts w:ascii="宋体" w:hAnsi="宋体"/>
          <w:b/>
          <w:szCs w:val="21"/>
          <w:highlight w:val="none"/>
        </w:rPr>
      </w:pPr>
    </w:p>
    <w:p w14:paraId="7485AAF3">
      <w:pPr>
        <w:adjustRightInd w:val="0"/>
        <w:snapToGrid w:val="0"/>
        <w:spacing w:line="360" w:lineRule="auto"/>
        <w:rPr>
          <w:rFonts w:ascii="宋体" w:hAnsi="宋体"/>
          <w:b/>
          <w:highlight w:val="none"/>
        </w:rPr>
      </w:pPr>
      <w:r>
        <w:rPr>
          <w:rFonts w:ascii="宋体" w:hAnsi="宋体"/>
          <w:b/>
          <w:szCs w:val="21"/>
          <w:highlight w:val="none"/>
        </w:rPr>
        <w:br w:type="page"/>
      </w:r>
    </w:p>
    <w:p w14:paraId="738FAAC2">
      <w:pPr>
        <w:spacing w:line="400" w:lineRule="exact"/>
        <w:jc w:val="center"/>
        <w:outlineLvl w:val="1"/>
        <w:rPr>
          <w:rFonts w:ascii="宋体" w:hAnsi="宋体" w:cs="宋体"/>
          <w:b/>
          <w:sz w:val="24"/>
          <w:highlight w:val="none"/>
        </w:rPr>
      </w:pPr>
      <w:bookmarkStart w:id="72" w:name="_Toc18984"/>
      <w:bookmarkStart w:id="73" w:name="_Toc433187366"/>
      <w:r>
        <w:rPr>
          <w:rFonts w:hint="eastAsia" w:ascii="宋体" w:hAnsi="宋体" w:cs="宋体"/>
          <w:b/>
          <w:sz w:val="24"/>
          <w:highlight w:val="none"/>
        </w:rPr>
        <w:t>一、资格性自查表</w:t>
      </w:r>
      <w:bookmarkEnd w:id="72"/>
    </w:p>
    <w:p w14:paraId="7E37F5FE">
      <w:pPr>
        <w:spacing w:line="400" w:lineRule="exact"/>
        <w:rPr>
          <w:rFonts w:ascii="宋体" w:hAnsi="宋体"/>
          <w:b/>
          <w:highlight w:val="none"/>
        </w:rPr>
      </w:pPr>
    </w:p>
    <w:tbl>
      <w:tblPr>
        <w:tblStyle w:val="46"/>
        <w:tblW w:w="8325"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6341"/>
        <w:gridCol w:w="1275"/>
      </w:tblGrid>
      <w:tr w14:paraId="542A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709" w:type="dxa"/>
            <w:vAlign w:val="center"/>
          </w:tcPr>
          <w:p w14:paraId="5B6C33A0">
            <w:pPr>
              <w:topLinePunct/>
              <w:spacing w:line="440" w:lineRule="exact"/>
              <w:jc w:val="center"/>
              <w:rPr>
                <w:rFonts w:ascii="宋体" w:hAnsi="宋体"/>
                <w:szCs w:val="21"/>
                <w:highlight w:val="none"/>
              </w:rPr>
            </w:pPr>
            <w:r>
              <w:rPr>
                <w:rFonts w:hint="eastAsia" w:ascii="宋体" w:hAnsi="宋体"/>
                <w:szCs w:val="21"/>
                <w:highlight w:val="none"/>
              </w:rPr>
              <w:t>序号</w:t>
            </w:r>
          </w:p>
        </w:tc>
        <w:tc>
          <w:tcPr>
            <w:tcW w:w="6341" w:type="dxa"/>
            <w:vAlign w:val="center"/>
          </w:tcPr>
          <w:p w14:paraId="485177DC">
            <w:pPr>
              <w:topLinePunct/>
              <w:spacing w:line="440" w:lineRule="exact"/>
              <w:jc w:val="center"/>
              <w:rPr>
                <w:rFonts w:ascii="宋体" w:hAnsi="宋体"/>
                <w:szCs w:val="21"/>
                <w:highlight w:val="none"/>
              </w:rPr>
            </w:pPr>
            <w:r>
              <w:rPr>
                <w:rFonts w:hint="eastAsia" w:ascii="宋体" w:hAnsi="宋体"/>
                <w:szCs w:val="21"/>
                <w:highlight w:val="none"/>
              </w:rPr>
              <w:t>审查因素</w:t>
            </w:r>
          </w:p>
        </w:tc>
        <w:tc>
          <w:tcPr>
            <w:tcW w:w="1275" w:type="dxa"/>
            <w:vAlign w:val="center"/>
          </w:tcPr>
          <w:p w14:paraId="23A2A616">
            <w:pPr>
              <w:topLinePunct/>
              <w:spacing w:line="440" w:lineRule="exact"/>
              <w:jc w:val="center"/>
              <w:rPr>
                <w:rFonts w:ascii="宋体" w:hAnsi="宋体"/>
                <w:szCs w:val="21"/>
                <w:highlight w:val="none"/>
              </w:rPr>
            </w:pPr>
            <w:r>
              <w:rPr>
                <w:rFonts w:hint="eastAsia" w:ascii="宋体" w:hAnsi="宋体"/>
                <w:szCs w:val="21"/>
                <w:highlight w:val="none"/>
              </w:rPr>
              <w:t>投标文件中</w:t>
            </w:r>
          </w:p>
          <w:p w14:paraId="69ADC033">
            <w:pPr>
              <w:topLinePunct/>
              <w:spacing w:line="440" w:lineRule="exact"/>
              <w:jc w:val="center"/>
              <w:rPr>
                <w:rFonts w:ascii="宋体" w:hAnsi="宋体"/>
                <w:szCs w:val="21"/>
                <w:highlight w:val="none"/>
              </w:rPr>
            </w:pPr>
            <w:r>
              <w:rPr>
                <w:rFonts w:hint="eastAsia" w:ascii="宋体" w:hAnsi="宋体"/>
                <w:szCs w:val="21"/>
                <w:highlight w:val="none"/>
              </w:rPr>
              <w:t>对应页码</w:t>
            </w:r>
          </w:p>
        </w:tc>
      </w:tr>
      <w:tr w14:paraId="26760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6552331C">
            <w:pPr>
              <w:topLinePunct/>
              <w:spacing w:line="440" w:lineRule="exact"/>
              <w:jc w:val="center"/>
              <w:rPr>
                <w:rFonts w:ascii="宋体" w:hAnsi="宋体"/>
                <w:szCs w:val="21"/>
                <w:highlight w:val="none"/>
              </w:rPr>
            </w:pPr>
            <w:r>
              <w:rPr>
                <w:rFonts w:hint="eastAsia" w:ascii="宋体" w:hAnsi="宋体"/>
                <w:szCs w:val="21"/>
                <w:highlight w:val="none"/>
              </w:rPr>
              <w:t>1</w:t>
            </w:r>
          </w:p>
        </w:tc>
        <w:tc>
          <w:tcPr>
            <w:tcW w:w="6341" w:type="dxa"/>
            <w:vAlign w:val="center"/>
          </w:tcPr>
          <w:p w14:paraId="5411481F">
            <w:pPr>
              <w:topLinePunct/>
              <w:spacing w:line="440" w:lineRule="exact"/>
              <w:rPr>
                <w:rFonts w:ascii="宋体" w:hAnsi="宋体"/>
                <w:szCs w:val="21"/>
                <w:highlight w:val="none"/>
              </w:rPr>
            </w:pPr>
            <w:r>
              <w:rPr>
                <w:rFonts w:hint="eastAsia" w:ascii="宋体" w:hAnsi="宋体"/>
                <w:szCs w:val="21"/>
                <w:highlight w:val="none"/>
              </w:rPr>
              <w:t>有效的营业执照</w:t>
            </w:r>
          </w:p>
        </w:tc>
        <w:tc>
          <w:tcPr>
            <w:tcW w:w="1275" w:type="dxa"/>
            <w:vAlign w:val="center"/>
          </w:tcPr>
          <w:p w14:paraId="19DBF77D">
            <w:pPr>
              <w:topLinePunct/>
              <w:spacing w:line="440" w:lineRule="exact"/>
              <w:jc w:val="center"/>
              <w:rPr>
                <w:rFonts w:ascii="宋体" w:hAnsi="宋体"/>
                <w:szCs w:val="21"/>
                <w:highlight w:val="none"/>
              </w:rPr>
            </w:pPr>
          </w:p>
        </w:tc>
      </w:tr>
      <w:tr w14:paraId="6B8FA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0449E316">
            <w:pPr>
              <w:topLinePunct/>
              <w:spacing w:line="440" w:lineRule="exact"/>
              <w:jc w:val="center"/>
              <w:rPr>
                <w:rFonts w:ascii="宋体" w:hAnsi="宋体"/>
                <w:szCs w:val="21"/>
                <w:highlight w:val="none"/>
              </w:rPr>
            </w:pPr>
            <w:r>
              <w:rPr>
                <w:rFonts w:hint="eastAsia" w:ascii="宋体" w:hAnsi="宋体"/>
                <w:szCs w:val="21"/>
                <w:highlight w:val="none"/>
              </w:rPr>
              <w:t>2</w:t>
            </w:r>
          </w:p>
        </w:tc>
        <w:tc>
          <w:tcPr>
            <w:tcW w:w="6341" w:type="dxa"/>
            <w:vAlign w:val="center"/>
          </w:tcPr>
          <w:p w14:paraId="2B80BB31">
            <w:pPr>
              <w:topLinePunct/>
              <w:spacing w:line="440" w:lineRule="exact"/>
              <w:rPr>
                <w:rFonts w:ascii="宋体" w:hAnsi="宋体"/>
                <w:szCs w:val="21"/>
                <w:highlight w:val="none"/>
              </w:rPr>
            </w:pPr>
            <w:r>
              <w:rPr>
                <w:rFonts w:hint="eastAsia" w:ascii="宋体" w:hAnsi="宋体"/>
                <w:szCs w:val="21"/>
                <w:highlight w:val="none"/>
              </w:rPr>
              <w:t>上一年度经审计财务审计报告，或基本开户银行出具的资信证明</w:t>
            </w:r>
          </w:p>
        </w:tc>
        <w:tc>
          <w:tcPr>
            <w:tcW w:w="1275" w:type="dxa"/>
            <w:vAlign w:val="center"/>
          </w:tcPr>
          <w:p w14:paraId="4AE8E8A5">
            <w:pPr>
              <w:topLinePunct/>
              <w:spacing w:line="440" w:lineRule="exact"/>
              <w:jc w:val="center"/>
              <w:rPr>
                <w:rFonts w:ascii="宋体" w:hAnsi="宋体"/>
                <w:szCs w:val="21"/>
                <w:highlight w:val="none"/>
              </w:rPr>
            </w:pPr>
          </w:p>
        </w:tc>
      </w:tr>
      <w:tr w14:paraId="4A6EB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2990D5D9">
            <w:pPr>
              <w:topLinePunct/>
              <w:spacing w:line="440" w:lineRule="exact"/>
              <w:jc w:val="center"/>
              <w:rPr>
                <w:rFonts w:ascii="宋体" w:hAnsi="宋体"/>
                <w:szCs w:val="21"/>
                <w:highlight w:val="none"/>
              </w:rPr>
            </w:pPr>
            <w:r>
              <w:rPr>
                <w:rFonts w:hint="eastAsia" w:ascii="宋体" w:hAnsi="宋体"/>
                <w:szCs w:val="21"/>
                <w:highlight w:val="none"/>
              </w:rPr>
              <w:t>3</w:t>
            </w:r>
          </w:p>
        </w:tc>
        <w:tc>
          <w:tcPr>
            <w:tcW w:w="6341" w:type="dxa"/>
            <w:vAlign w:val="center"/>
          </w:tcPr>
          <w:p w14:paraId="6F713F99">
            <w:pPr>
              <w:topLinePunct/>
              <w:spacing w:line="440" w:lineRule="exact"/>
              <w:rPr>
                <w:rFonts w:ascii="宋体" w:hAnsi="宋体"/>
                <w:szCs w:val="21"/>
                <w:highlight w:val="none"/>
              </w:rPr>
            </w:pPr>
            <w:r>
              <w:rPr>
                <w:rFonts w:hint="eastAsia" w:ascii="宋体" w:hAnsi="宋体"/>
                <w:szCs w:val="21"/>
                <w:highlight w:val="none"/>
              </w:rPr>
              <w:t>缴纳税收证明</w:t>
            </w:r>
          </w:p>
        </w:tc>
        <w:tc>
          <w:tcPr>
            <w:tcW w:w="1275" w:type="dxa"/>
            <w:vAlign w:val="center"/>
          </w:tcPr>
          <w:p w14:paraId="2751A11F">
            <w:pPr>
              <w:topLinePunct/>
              <w:spacing w:line="440" w:lineRule="exact"/>
              <w:jc w:val="center"/>
              <w:rPr>
                <w:rFonts w:ascii="宋体" w:hAnsi="宋体"/>
                <w:szCs w:val="21"/>
                <w:highlight w:val="none"/>
              </w:rPr>
            </w:pPr>
          </w:p>
        </w:tc>
      </w:tr>
      <w:tr w14:paraId="38338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04355000">
            <w:pPr>
              <w:topLinePunct/>
              <w:spacing w:line="440" w:lineRule="exact"/>
              <w:jc w:val="center"/>
              <w:rPr>
                <w:rFonts w:ascii="宋体" w:hAnsi="宋体"/>
                <w:szCs w:val="21"/>
                <w:highlight w:val="none"/>
              </w:rPr>
            </w:pPr>
            <w:r>
              <w:rPr>
                <w:rFonts w:hint="eastAsia" w:ascii="宋体" w:hAnsi="宋体"/>
                <w:szCs w:val="21"/>
                <w:highlight w:val="none"/>
              </w:rPr>
              <w:t>4</w:t>
            </w:r>
          </w:p>
        </w:tc>
        <w:tc>
          <w:tcPr>
            <w:tcW w:w="6341" w:type="dxa"/>
            <w:vAlign w:val="center"/>
          </w:tcPr>
          <w:p w14:paraId="5043A72E">
            <w:pPr>
              <w:topLinePunct/>
              <w:spacing w:line="440" w:lineRule="exact"/>
              <w:rPr>
                <w:rFonts w:ascii="宋体" w:hAnsi="宋体"/>
                <w:szCs w:val="21"/>
                <w:highlight w:val="none"/>
              </w:rPr>
            </w:pPr>
            <w:r>
              <w:rPr>
                <w:rFonts w:hint="eastAsia" w:ascii="宋体" w:hAnsi="宋体"/>
                <w:szCs w:val="21"/>
                <w:highlight w:val="none"/>
              </w:rPr>
              <w:t>保缴纳证明</w:t>
            </w:r>
          </w:p>
        </w:tc>
        <w:tc>
          <w:tcPr>
            <w:tcW w:w="1275" w:type="dxa"/>
            <w:vAlign w:val="center"/>
          </w:tcPr>
          <w:p w14:paraId="5D3189D4">
            <w:pPr>
              <w:topLinePunct/>
              <w:spacing w:line="440" w:lineRule="exact"/>
              <w:jc w:val="center"/>
              <w:rPr>
                <w:rFonts w:ascii="宋体" w:hAnsi="宋体"/>
                <w:szCs w:val="21"/>
                <w:highlight w:val="none"/>
              </w:rPr>
            </w:pPr>
          </w:p>
        </w:tc>
      </w:tr>
      <w:tr w14:paraId="7F10B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6755E2AA">
            <w:pPr>
              <w:topLinePunct/>
              <w:spacing w:line="440" w:lineRule="exact"/>
              <w:jc w:val="center"/>
              <w:rPr>
                <w:rFonts w:ascii="宋体" w:hAnsi="宋体"/>
                <w:szCs w:val="21"/>
                <w:highlight w:val="none"/>
              </w:rPr>
            </w:pPr>
            <w:r>
              <w:rPr>
                <w:rFonts w:hint="eastAsia" w:ascii="宋体" w:hAnsi="宋体"/>
                <w:szCs w:val="21"/>
                <w:highlight w:val="none"/>
              </w:rPr>
              <w:t>5</w:t>
            </w:r>
          </w:p>
        </w:tc>
        <w:tc>
          <w:tcPr>
            <w:tcW w:w="6341" w:type="dxa"/>
            <w:vAlign w:val="center"/>
          </w:tcPr>
          <w:p w14:paraId="4DF9E366">
            <w:pPr>
              <w:widowControl/>
              <w:spacing w:line="440" w:lineRule="exact"/>
              <w:jc w:val="left"/>
              <w:rPr>
                <w:rFonts w:ascii="宋体" w:hAnsi="宋体" w:cs="宋体"/>
                <w:kern w:val="0"/>
                <w:szCs w:val="21"/>
                <w:highlight w:val="none"/>
              </w:rPr>
            </w:pPr>
            <w:r>
              <w:rPr>
                <w:rFonts w:hint="eastAsia" w:ascii="宋体" w:hAnsi="宋体"/>
                <w:szCs w:val="21"/>
                <w:highlight w:val="none"/>
              </w:rPr>
              <w:t>无重大违法记录声明书</w:t>
            </w:r>
          </w:p>
        </w:tc>
        <w:tc>
          <w:tcPr>
            <w:tcW w:w="1275" w:type="dxa"/>
            <w:vAlign w:val="center"/>
          </w:tcPr>
          <w:p w14:paraId="5E7AD574">
            <w:pPr>
              <w:topLinePunct/>
              <w:spacing w:line="440" w:lineRule="exact"/>
              <w:jc w:val="center"/>
              <w:rPr>
                <w:rFonts w:ascii="宋体" w:hAnsi="宋体"/>
                <w:szCs w:val="21"/>
                <w:highlight w:val="none"/>
              </w:rPr>
            </w:pPr>
          </w:p>
        </w:tc>
      </w:tr>
      <w:tr w14:paraId="3952E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344367F2">
            <w:pPr>
              <w:topLinePunct/>
              <w:spacing w:line="440" w:lineRule="exact"/>
              <w:jc w:val="center"/>
              <w:rPr>
                <w:rFonts w:ascii="宋体" w:hAnsi="宋体"/>
                <w:szCs w:val="21"/>
                <w:highlight w:val="none"/>
              </w:rPr>
            </w:pPr>
            <w:r>
              <w:rPr>
                <w:rFonts w:hint="eastAsia" w:ascii="宋体" w:hAnsi="宋体"/>
                <w:szCs w:val="21"/>
                <w:highlight w:val="none"/>
              </w:rPr>
              <w:t>6</w:t>
            </w:r>
          </w:p>
        </w:tc>
        <w:tc>
          <w:tcPr>
            <w:tcW w:w="6341" w:type="dxa"/>
            <w:vAlign w:val="center"/>
          </w:tcPr>
          <w:p w14:paraId="12F7C9A9">
            <w:pPr>
              <w:widowControl/>
              <w:spacing w:line="440" w:lineRule="exact"/>
              <w:jc w:val="left"/>
              <w:rPr>
                <w:rFonts w:ascii="宋体" w:hAnsi="宋体" w:cs="宋体"/>
                <w:b/>
                <w:kern w:val="0"/>
                <w:szCs w:val="21"/>
                <w:highlight w:val="none"/>
              </w:rPr>
            </w:pPr>
            <w:r>
              <w:rPr>
                <w:rFonts w:hint="eastAsia" w:ascii="宋体" w:hAnsi="宋体"/>
                <w:szCs w:val="21"/>
                <w:highlight w:val="none"/>
              </w:rPr>
              <w:t>保证金缴纳凭证</w:t>
            </w:r>
          </w:p>
        </w:tc>
        <w:tc>
          <w:tcPr>
            <w:tcW w:w="1275" w:type="dxa"/>
            <w:vAlign w:val="center"/>
          </w:tcPr>
          <w:p w14:paraId="1443C723">
            <w:pPr>
              <w:topLinePunct/>
              <w:spacing w:line="440" w:lineRule="exact"/>
              <w:jc w:val="center"/>
              <w:rPr>
                <w:rFonts w:ascii="宋体" w:hAnsi="宋体"/>
                <w:szCs w:val="21"/>
                <w:highlight w:val="none"/>
              </w:rPr>
            </w:pPr>
          </w:p>
        </w:tc>
      </w:tr>
      <w:tr w14:paraId="03FB6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75B71412">
            <w:pPr>
              <w:topLinePunct/>
              <w:spacing w:line="440" w:lineRule="exact"/>
              <w:jc w:val="center"/>
              <w:rPr>
                <w:rFonts w:ascii="宋体" w:hAnsi="宋体"/>
                <w:szCs w:val="21"/>
                <w:highlight w:val="none"/>
              </w:rPr>
            </w:pPr>
            <w:r>
              <w:rPr>
                <w:rFonts w:ascii="宋体" w:hAnsi="宋体"/>
                <w:szCs w:val="21"/>
                <w:highlight w:val="none"/>
              </w:rPr>
              <w:t>7</w:t>
            </w:r>
          </w:p>
        </w:tc>
        <w:tc>
          <w:tcPr>
            <w:tcW w:w="6341" w:type="dxa"/>
            <w:vAlign w:val="center"/>
          </w:tcPr>
          <w:p w14:paraId="110FFFB1">
            <w:pPr>
              <w:widowControl/>
              <w:spacing w:line="440" w:lineRule="exact"/>
              <w:jc w:val="left"/>
              <w:rPr>
                <w:rFonts w:hint="eastAsia" w:ascii="宋体" w:hAnsi="宋体" w:eastAsia="宋体"/>
                <w:sz w:val="24"/>
                <w:highlight w:val="none"/>
                <w:lang w:eastAsia="zh-CN"/>
              </w:rPr>
            </w:pPr>
            <w:r>
              <w:rPr>
                <w:rFonts w:hint="eastAsia" w:ascii="宋体" w:hAnsi="宋体"/>
                <w:szCs w:val="21"/>
                <w:highlight w:val="none"/>
              </w:rPr>
              <w:t>中小微企业声明函</w:t>
            </w:r>
            <w:r>
              <w:rPr>
                <w:rFonts w:hint="eastAsia" w:ascii="宋体" w:hAnsi="宋体"/>
                <w:szCs w:val="21"/>
                <w:highlight w:val="none"/>
                <w:lang w:eastAsia="zh-CN"/>
              </w:rPr>
              <w:t>（如有）</w:t>
            </w:r>
          </w:p>
        </w:tc>
        <w:tc>
          <w:tcPr>
            <w:tcW w:w="1275" w:type="dxa"/>
            <w:vAlign w:val="center"/>
          </w:tcPr>
          <w:p w14:paraId="51BF0A11">
            <w:pPr>
              <w:topLinePunct/>
              <w:spacing w:line="440" w:lineRule="exact"/>
              <w:jc w:val="center"/>
              <w:rPr>
                <w:rFonts w:ascii="宋体" w:hAnsi="宋体"/>
                <w:szCs w:val="21"/>
                <w:highlight w:val="none"/>
              </w:rPr>
            </w:pPr>
          </w:p>
        </w:tc>
      </w:tr>
      <w:tr w14:paraId="02A8F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7A271939">
            <w:pPr>
              <w:topLinePunct/>
              <w:spacing w:line="440" w:lineRule="exact"/>
              <w:jc w:val="center"/>
              <w:rPr>
                <w:rFonts w:ascii="宋体" w:hAnsi="宋体"/>
                <w:szCs w:val="21"/>
                <w:highlight w:val="none"/>
              </w:rPr>
            </w:pPr>
          </w:p>
        </w:tc>
        <w:tc>
          <w:tcPr>
            <w:tcW w:w="6341" w:type="dxa"/>
            <w:vAlign w:val="center"/>
          </w:tcPr>
          <w:p w14:paraId="410BDB19">
            <w:pPr>
              <w:widowControl/>
              <w:spacing w:line="440" w:lineRule="exact"/>
              <w:jc w:val="left"/>
              <w:rPr>
                <w:rFonts w:hint="eastAsia" w:ascii="宋体" w:hAnsi="宋体" w:eastAsia="宋体"/>
                <w:szCs w:val="21"/>
                <w:highlight w:val="none"/>
                <w:lang w:eastAsia="zh-CN"/>
              </w:rPr>
            </w:pPr>
            <w:r>
              <w:rPr>
                <w:rFonts w:hint="eastAsia" w:ascii="宋体" w:hAnsi="宋体"/>
                <w:szCs w:val="21"/>
                <w:highlight w:val="none"/>
                <w:lang w:eastAsia="zh-CN"/>
              </w:rPr>
              <w:t>结合资格性审查表自行编制</w:t>
            </w:r>
          </w:p>
        </w:tc>
        <w:tc>
          <w:tcPr>
            <w:tcW w:w="1275" w:type="dxa"/>
            <w:vAlign w:val="center"/>
          </w:tcPr>
          <w:p w14:paraId="7AAD28AB">
            <w:pPr>
              <w:topLinePunct/>
              <w:spacing w:line="440" w:lineRule="exact"/>
              <w:jc w:val="center"/>
              <w:rPr>
                <w:rFonts w:ascii="宋体" w:hAnsi="宋体"/>
                <w:szCs w:val="21"/>
                <w:highlight w:val="none"/>
              </w:rPr>
            </w:pPr>
          </w:p>
        </w:tc>
      </w:tr>
    </w:tbl>
    <w:p w14:paraId="5FAB6DFE">
      <w:pPr>
        <w:rPr>
          <w:highlight w:val="none"/>
        </w:rPr>
      </w:pPr>
    </w:p>
    <w:p w14:paraId="144A76C0">
      <w:pPr>
        <w:pStyle w:val="18"/>
        <w:rPr>
          <w:highlight w:val="none"/>
        </w:rPr>
      </w:pPr>
      <w:r>
        <w:rPr>
          <w:rFonts w:hint="eastAsia"/>
          <w:highlight w:val="none"/>
        </w:rPr>
        <w:t>注：根据资格性审查表自行调整</w:t>
      </w:r>
    </w:p>
    <w:p w14:paraId="54853392">
      <w:pPr>
        <w:pStyle w:val="3"/>
        <w:jc w:val="center"/>
        <w:rPr>
          <w:rFonts w:ascii="宋体" w:hAnsi="宋体"/>
          <w:highlight w:val="none"/>
        </w:rPr>
      </w:pPr>
      <w:r>
        <w:rPr>
          <w:rFonts w:ascii="宋体" w:hAnsi="宋体"/>
          <w:highlight w:val="none"/>
        </w:rPr>
        <w:br w:type="page"/>
      </w:r>
      <w:bookmarkStart w:id="74" w:name="_Toc23991"/>
      <w:r>
        <w:rPr>
          <w:rFonts w:hint="eastAsia" w:ascii="宋体" w:hAnsi="宋体"/>
          <w:highlight w:val="none"/>
        </w:rPr>
        <w:t>二、投标函</w:t>
      </w:r>
      <w:bookmarkEnd w:id="73"/>
      <w:bookmarkEnd w:id="74"/>
    </w:p>
    <w:p w14:paraId="3B79997B">
      <w:pPr>
        <w:adjustRightInd w:val="0"/>
        <w:snapToGrid w:val="0"/>
        <w:spacing w:line="360" w:lineRule="auto"/>
        <w:rPr>
          <w:rFonts w:ascii="宋体" w:hAnsi="宋体"/>
          <w:sz w:val="24"/>
          <w:highlight w:val="none"/>
        </w:rPr>
      </w:pPr>
    </w:p>
    <w:p w14:paraId="3C36DB86">
      <w:pPr>
        <w:adjustRightInd w:val="0"/>
        <w:snapToGrid w:val="0"/>
        <w:spacing w:line="360" w:lineRule="auto"/>
        <w:rPr>
          <w:rFonts w:ascii="宋体" w:hAnsi="宋体"/>
          <w:szCs w:val="21"/>
          <w:highlight w:val="none"/>
        </w:rPr>
      </w:pPr>
      <w:r>
        <w:rPr>
          <w:rFonts w:hint="eastAsia" w:ascii="宋体" w:hAnsi="宋体"/>
          <w:szCs w:val="21"/>
          <w:highlight w:val="none"/>
        </w:rPr>
        <w:t>致</w:t>
      </w:r>
      <w:r>
        <w:rPr>
          <w:rFonts w:hint="eastAsia" w:ascii="宋体" w:hAnsi="宋体"/>
          <w:szCs w:val="21"/>
          <w:highlight w:val="none"/>
          <w:u w:val="single"/>
        </w:rPr>
        <w:t xml:space="preserve">            </w:t>
      </w:r>
      <w:r>
        <w:rPr>
          <w:rFonts w:hint="eastAsia" w:ascii="宋体" w:hAnsi="宋体"/>
          <w:szCs w:val="21"/>
          <w:highlight w:val="none"/>
        </w:rPr>
        <w:t xml:space="preserve"> (采购人或代理机构)：</w:t>
      </w:r>
    </w:p>
    <w:p w14:paraId="765918D0">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我方己仔细研究了</w:t>
      </w:r>
      <w:r>
        <w:rPr>
          <w:rFonts w:hint="eastAsia" w:ascii="宋体" w:hAnsi="宋体"/>
          <w:szCs w:val="21"/>
          <w:highlight w:val="none"/>
          <w:u w:val="single"/>
        </w:rPr>
        <w:t xml:space="preserve">                 (</w:t>
      </w:r>
      <w:r>
        <w:rPr>
          <w:rFonts w:hint="eastAsia" w:ascii="宋体" w:hAnsi="宋体"/>
          <w:szCs w:val="21"/>
          <w:highlight w:val="none"/>
        </w:rPr>
        <w:t>项目名称)的采购文件（项目编号</w:t>
      </w:r>
      <w:r>
        <w:rPr>
          <w:rFonts w:hint="eastAsia" w:ascii="宋体" w:hAnsi="宋体"/>
          <w:szCs w:val="21"/>
          <w:highlight w:val="none"/>
          <w:lang w:eastAsia="zh-CN"/>
        </w:rPr>
        <w:t>、标项号</w:t>
      </w:r>
      <w:r>
        <w:rPr>
          <w:rFonts w:hint="eastAsia" w:ascii="宋体" w:hAnsi="宋体"/>
          <w:szCs w:val="21"/>
          <w:highlight w:val="none"/>
        </w:rPr>
        <w:t>：</w:t>
      </w:r>
      <w:r>
        <w:rPr>
          <w:rFonts w:hint="eastAsia" w:ascii="宋体" w:hAnsi="宋体"/>
          <w:szCs w:val="21"/>
          <w:highlight w:val="none"/>
          <w:u w:val="single"/>
        </w:rPr>
        <w:t xml:space="preserve">           </w:t>
      </w:r>
      <w:r>
        <w:rPr>
          <w:rFonts w:hint="eastAsia" w:ascii="宋体" w:hAnsi="宋体"/>
          <w:szCs w:val="21"/>
          <w:highlight w:val="none"/>
        </w:rPr>
        <w:t>）的全部内容，知悉参加投标的风险，我方承诺接受采购文件的全部条款且无任何异议。</w:t>
      </w:r>
    </w:p>
    <w:p w14:paraId="5C50C00D">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一、我方同意在采购文件中规定的提交投标文件截止时间起</w:t>
      </w:r>
      <w:r>
        <w:rPr>
          <w:rFonts w:hint="eastAsia" w:ascii="宋体" w:hAnsi="宋体"/>
          <w:sz w:val="21"/>
          <w:szCs w:val="21"/>
          <w:highlight w:val="none"/>
          <w:u w:val="single"/>
        </w:rPr>
        <w:t xml:space="preserve">    </w:t>
      </w:r>
      <w:r>
        <w:rPr>
          <w:rFonts w:hint="eastAsia" w:ascii="宋体" w:hAnsi="宋体"/>
          <w:sz w:val="21"/>
          <w:szCs w:val="21"/>
          <w:highlight w:val="none"/>
        </w:rPr>
        <w:t>日内(投标文件有效期)遵守本投标文件中的承诺且在此期限期满之前均具有法律约束力。</w:t>
      </w:r>
    </w:p>
    <w:p w14:paraId="7AAF1465">
      <w:pPr>
        <w:pStyle w:val="24"/>
        <w:adjustRightInd w:val="0"/>
        <w:snapToGrid w:val="0"/>
        <w:spacing w:line="360" w:lineRule="auto"/>
        <w:ind w:firstLine="420" w:firstLineChars="200"/>
        <w:rPr>
          <w:rFonts w:ascii="宋体" w:hAnsi="宋体"/>
          <w:bCs/>
          <w:sz w:val="21"/>
          <w:szCs w:val="21"/>
          <w:highlight w:val="none"/>
        </w:rPr>
      </w:pPr>
      <w:r>
        <w:rPr>
          <w:rFonts w:hint="eastAsia" w:ascii="宋体" w:hAnsi="宋体"/>
          <w:sz w:val="21"/>
          <w:szCs w:val="21"/>
          <w:highlight w:val="none"/>
        </w:rPr>
        <w:t>二、我方提交经加密的投标文件</w:t>
      </w:r>
      <w:r>
        <w:rPr>
          <w:rFonts w:hint="eastAsia" w:ascii="宋体" w:hAnsi="宋体"/>
          <w:sz w:val="21"/>
          <w:szCs w:val="21"/>
          <w:highlight w:val="none"/>
          <w:u w:val="single"/>
        </w:rPr>
        <w:t xml:space="preserve"> </w:t>
      </w:r>
      <w:r>
        <w:rPr>
          <w:rFonts w:ascii="宋体" w:hAnsi="宋体"/>
          <w:sz w:val="21"/>
          <w:szCs w:val="21"/>
          <w:highlight w:val="none"/>
          <w:u w:val="single"/>
        </w:rPr>
        <w:t xml:space="preserve">  </w:t>
      </w:r>
      <w:r>
        <w:rPr>
          <w:rFonts w:hint="eastAsia" w:ascii="宋体" w:hAnsi="宋体"/>
          <w:sz w:val="21"/>
          <w:szCs w:val="21"/>
          <w:highlight w:val="none"/>
        </w:rPr>
        <w:t>份，并保证投标文件提供的数据和材料是真实、准确的。否则，愿承担《政府采购法》</w:t>
      </w:r>
      <w:r>
        <w:rPr>
          <w:rFonts w:hint="eastAsia" w:ascii="宋体" w:hAnsi="宋体"/>
          <w:bCs/>
          <w:sz w:val="21"/>
          <w:szCs w:val="21"/>
          <w:highlight w:val="none"/>
        </w:rPr>
        <w:t>第七十七条规定的法律责任。</w:t>
      </w:r>
    </w:p>
    <w:p w14:paraId="0E6D16EA">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三、我方愿意向贵方提供任何与本项采购有关的数据、情况和技术资料。若贵方需要，我方愿意提供我方作出的一切承诺的证明材料。</w:t>
      </w:r>
    </w:p>
    <w:p w14:paraId="3E2E0189">
      <w:pPr>
        <w:pStyle w:val="24"/>
        <w:adjustRightInd w:val="0"/>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四、我方承诺遵守《政府采购法》的有关规定，保证在获得中标资格后，按照采购文件确定的事项签订政府采购合同，履行双方所签订的合同，并承担合同规定的责任和义务。</w:t>
      </w:r>
    </w:p>
    <w:p w14:paraId="0DA31DBE">
      <w:pPr>
        <w:pStyle w:val="24"/>
        <w:adjustRightInd w:val="0"/>
        <w:snapToGrid w:val="0"/>
        <w:spacing w:line="360" w:lineRule="auto"/>
        <w:ind w:firstLine="420" w:firstLineChars="200"/>
        <w:rPr>
          <w:rFonts w:ascii="宋体" w:hAnsi="宋体"/>
          <w:sz w:val="21"/>
          <w:szCs w:val="21"/>
          <w:highlight w:val="none"/>
        </w:rPr>
      </w:pPr>
    </w:p>
    <w:p w14:paraId="70387F95">
      <w:pPr>
        <w:adjustRightInd w:val="0"/>
        <w:snapToGrid w:val="0"/>
        <w:spacing w:line="360" w:lineRule="auto"/>
        <w:ind w:right="24"/>
        <w:rPr>
          <w:rFonts w:ascii="宋体" w:hAnsi="宋体"/>
          <w:bCs/>
          <w:szCs w:val="21"/>
          <w:highlight w:val="none"/>
        </w:rPr>
      </w:pPr>
    </w:p>
    <w:p w14:paraId="18AF0417">
      <w:pPr>
        <w:adjustRightInd w:val="0"/>
        <w:snapToGrid w:val="0"/>
        <w:spacing w:line="360" w:lineRule="auto"/>
        <w:ind w:right="24"/>
        <w:rPr>
          <w:rFonts w:ascii="宋体" w:hAnsi="宋体"/>
          <w:bCs/>
          <w:szCs w:val="21"/>
          <w:highlight w:val="none"/>
        </w:rPr>
      </w:pPr>
    </w:p>
    <w:p w14:paraId="4A280178">
      <w:pPr>
        <w:adjustRightInd w:val="0"/>
        <w:snapToGrid w:val="0"/>
        <w:spacing w:line="360" w:lineRule="auto"/>
        <w:ind w:right="24"/>
        <w:rPr>
          <w:rFonts w:ascii="宋体" w:hAnsi="宋体"/>
          <w:bCs/>
          <w:szCs w:val="21"/>
          <w:highlight w:val="none"/>
        </w:rPr>
      </w:pPr>
    </w:p>
    <w:p w14:paraId="2C59E557">
      <w:pPr>
        <w:adjustRightInd w:val="0"/>
        <w:snapToGrid w:val="0"/>
        <w:spacing w:line="360" w:lineRule="auto"/>
        <w:ind w:right="24"/>
        <w:rPr>
          <w:rFonts w:ascii="宋体" w:hAnsi="宋体"/>
          <w:bCs/>
          <w:szCs w:val="21"/>
          <w:highlight w:val="none"/>
        </w:rPr>
      </w:pPr>
    </w:p>
    <w:p w14:paraId="4973E88C">
      <w:pPr>
        <w:adjustRightInd w:val="0"/>
        <w:snapToGrid w:val="0"/>
        <w:spacing w:line="360" w:lineRule="auto"/>
        <w:ind w:right="24"/>
        <w:rPr>
          <w:rFonts w:ascii="宋体" w:hAnsi="宋体"/>
          <w:szCs w:val="21"/>
          <w:highlight w:val="none"/>
        </w:rPr>
      </w:pPr>
      <w:r>
        <w:rPr>
          <w:rFonts w:hint="eastAsia" w:ascii="宋体" w:hAnsi="宋体"/>
          <w:bCs/>
          <w:szCs w:val="21"/>
          <w:highlight w:val="none"/>
        </w:rPr>
        <w:t>附件1：</w:t>
      </w:r>
      <w:r>
        <w:rPr>
          <w:rFonts w:hint="eastAsia" w:ascii="宋体" w:hAnsi="宋体"/>
          <w:szCs w:val="21"/>
          <w:highlight w:val="none"/>
        </w:rPr>
        <w:t>法定代表人身份证明(法定代表人参加投标)</w:t>
      </w:r>
    </w:p>
    <w:p w14:paraId="138DC3B9">
      <w:pPr>
        <w:adjustRightInd w:val="0"/>
        <w:snapToGrid w:val="0"/>
        <w:spacing w:line="360" w:lineRule="auto"/>
        <w:ind w:right="24"/>
        <w:rPr>
          <w:rFonts w:ascii="宋体" w:hAnsi="宋体"/>
          <w:szCs w:val="21"/>
          <w:highlight w:val="none"/>
        </w:rPr>
      </w:pPr>
      <w:r>
        <w:rPr>
          <w:rFonts w:hint="eastAsia" w:ascii="宋体" w:hAnsi="宋体"/>
          <w:bCs/>
          <w:szCs w:val="21"/>
          <w:highlight w:val="none"/>
        </w:rPr>
        <w:t>附件2</w:t>
      </w:r>
      <w:r>
        <w:rPr>
          <w:rFonts w:hint="eastAsia" w:ascii="宋体" w:hAnsi="宋体"/>
          <w:szCs w:val="21"/>
          <w:highlight w:val="none"/>
        </w:rPr>
        <w:t>：法定代表人授权书(委托代理人参加投标)</w:t>
      </w:r>
    </w:p>
    <w:p w14:paraId="1EB7D167">
      <w:pPr>
        <w:pStyle w:val="24"/>
        <w:adjustRightInd w:val="0"/>
        <w:snapToGrid w:val="0"/>
        <w:spacing w:line="360" w:lineRule="auto"/>
        <w:rPr>
          <w:rFonts w:ascii="宋体" w:hAnsi="宋体"/>
          <w:sz w:val="21"/>
          <w:szCs w:val="21"/>
          <w:highlight w:val="none"/>
        </w:rPr>
      </w:pPr>
    </w:p>
    <w:p w14:paraId="0792BFFE">
      <w:pPr>
        <w:pStyle w:val="24"/>
        <w:adjustRightInd w:val="0"/>
        <w:snapToGrid w:val="0"/>
        <w:spacing w:line="360" w:lineRule="auto"/>
        <w:rPr>
          <w:rFonts w:ascii="宋体" w:hAnsi="宋体"/>
          <w:sz w:val="21"/>
          <w:szCs w:val="21"/>
          <w:highlight w:val="none"/>
        </w:rPr>
      </w:pPr>
    </w:p>
    <w:p w14:paraId="04FFB42A">
      <w:pPr>
        <w:pStyle w:val="24"/>
        <w:adjustRightInd w:val="0"/>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投标人名称(盖单位章)：</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56914213">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法定代表人或其委托代理人 (签字</w:t>
      </w:r>
      <w:r>
        <w:rPr>
          <w:rFonts w:hint="eastAsia" w:ascii="宋体" w:hAnsi="宋体"/>
          <w:color w:val="auto"/>
          <w:szCs w:val="21"/>
          <w:highlight w:val="none"/>
          <w:lang w:eastAsia="zh-CN"/>
        </w:rPr>
        <w:t>或盖章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0E641C0A">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日期：</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7A3B6DF0">
      <w:pPr>
        <w:adjustRightInd w:val="0"/>
        <w:snapToGrid w:val="0"/>
        <w:spacing w:line="360" w:lineRule="auto"/>
        <w:ind w:right="24"/>
        <w:rPr>
          <w:rFonts w:ascii="宋体" w:hAnsi="宋体"/>
          <w:bCs/>
          <w:szCs w:val="21"/>
          <w:highlight w:val="none"/>
        </w:rPr>
      </w:pPr>
    </w:p>
    <w:p w14:paraId="660B202D">
      <w:pPr>
        <w:adjustRightInd w:val="0"/>
        <w:snapToGrid w:val="0"/>
        <w:spacing w:line="360" w:lineRule="auto"/>
        <w:ind w:right="24"/>
        <w:rPr>
          <w:rFonts w:ascii="宋体" w:hAnsi="宋体"/>
          <w:bCs/>
          <w:sz w:val="28"/>
          <w:szCs w:val="28"/>
          <w:highlight w:val="none"/>
        </w:rPr>
      </w:pPr>
    </w:p>
    <w:p w14:paraId="1897B040">
      <w:pPr>
        <w:adjustRightInd w:val="0"/>
        <w:snapToGrid w:val="0"/>
        <w:spacing w:before="120" w:beforeLines="50" w:line="360" w:lineRule="auto"/>
        <w:jc w:val="center"/>
        <w:rPr>
          <w:rFonts w:ascii="宋体" w:hAnsi="宋体"/>
          <w:b/>
          <w:sz w:val="24"/>
          <w:highlight w:val="none"/>
        </w:rPr>
      </w:pPr>
      <w:r>
        <w:rPr>
          <w:rFonts w:ascii="宋体" w:hAnsi="宋体"/>
          <w:bCs/>
          <w:sz w:val="28"/>
          <w:szCs w:val="28"/>
          <w:highlight w:val="none"/>
        </w:rPr>
        <w:br w:type="page"/>
      </w:r>
      <w:r>
        <w:rPr>
          <w:rFonts w:hint="eastAsia" w:ascii="宋体" w:hAnsi="宋体"/>
          <w:b/>
          <w:sz w:val="24"/>
          <w:highlight w:val="none"/>
        </w:rPr>
        <w:t>投标声明</w:t>
      </w:r>
    </w:p>
    <w:p w14:paraId="06BFD1E8">
      <w:pPr>
        <w:widowControl/>
        <w:adjustRightInd w:val="0"/>
        <w:snapToGrid w:val="0"/>
        <w:spacing w:line="360" w:lineRule="auto"/>
        <w:ind w:firstLine="420" w:firstLineChars="200"/>
        <w:rPr>
          <w:rFonts w:ascii="宋体" w:hAnsi="宋体"/>
          <w:szCs w:val="21"/>
          <w:highlight w:val="none"/>
        </w:rPr>
      </w:pPr>
    </w:p>
    <w:p w14:paraId="5018717B">
      <w:pPr>
        <w:widowControl/>
        <w:adjustRightInd w:val="0"/>
        <w:snapToGrid w:val="0"/>
        <w:spacing w:line="360" w:lineRule="auto"/>
        <w:ind w:firstLine="420" w:firstLineChars="200"/>
        <w:rPr>
          <w:rFonts w:ascii="宋体" w:hAnsi="宋体"/>
          <w:szCs w:val="21"/>
          <w:highlight w:val="none"/>
        </w:rPr>
      </w:pPr>
    </w:p>
    <w:p w14:paraId="650FD9F1">
      <w:pPr>
        <w:widowControl/>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我们，</w:t>
      </w:r>
      <w:r>
        <w:rPr>
          <w:rFonts w:hint="eastAsia" w:ascii="宋体" w:hAnsi="宋体"/>
          <w:szCs w:val="21"/>
          <w:highlight w:val="none"/>
          <w:u w:val="single"/>
        </w:rPr>
        <w:t xml:space="preserve">                 </w:t>
      </w:r>
      <w:r>
        <w:rPr>
          <w:rFonts w:hint="eastAsia" w:ascii="宋体" w:hAnsi="宋体"/>
          <w:szCs w:val="21"/>
          <w:highlight w:val="none"/>
        </w:rPr>
        <w:t>（投标人名称）已认真阅读</w:t>
      </w:r>
      <w:r>
        <w:rPr>
          <w:rFonts w:hint="eastAsia" w:ascii="宋体" w:hAnsi="宋体" w:cs="宋体"/>
          <w:kern w:val="0"/>
          <w:szCs w:val="21"/>
          <w:highlight w:val="none"/>
        </w:rPr>
        <w:t>《中华人民共和国政府采购法》、《中华人民共和国政府采购法实施条例》及</w:t>
      </w:r>
      <w:r>
        <w:rPr>
          <w:rFonts w:hint="eastAsia" w:ascii="宋体" w:hAnsi="宋体"/>
          <w:highlight w:val="none"/>
        </w:rPr>
        <w:t>采购文件</w:t>
      </w:r>
      <w:r>
        <w:rPr>
          <w:rFonts w:hint="eastAsia" w:ascii="宋体" w:hAnsi="宋体" w:cs="宋体"/>
          <w:kern w:val="0"/>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 xml:space="preserve"> ，</w:t>
      </w:r>
      <w:r>
        <w:rPr>
          <w:rFonts w:hint="eastAsia" w:ascii="宋体" w:hAnsi="宋体"/>
          <w:highlight w:val="none"/>
        </w:rPr>
        <w:t>项目</w:t>
      </w:r>
      <w:r>
        <w:rPr>
          <w:rFonts w:hint="eastAsia" w:ascii="宋体" w:hAnsi="宋体"/>
          <w:szCs w:val="21"/>
          <w:highlight w:val="none"/>
        </w:rPr>
        <w:t>编号</w:t>
      </w:r>
      <w:r>
        <w:rPr>
          <w:rFonts w:hint="eastAsia" w:ascii="宋体" w:hAnsi="宋体"/>
          <w:szCs w:val="21"/>
          <w:highlight w:val="none"/>
          <w:lang w:eastAsia="zh-CN"/>
        </w:rPr>
        <w:t>、标项号</w:t>
      </w:r>
      <w:r>
        <w:rPr>
          <w:rFonts w:hint="eastAsia" w:ascii="宋体" w:hAnsi="宋体"/>
          <w:szCs w:val="21"/>
          <w:highlight w:val="none"/>
        </w:rPr>
        <w:t>：</w:t>
      </w:r>
      <w:r>
        <w:rPr>
          <w:rFonts w:hint="eastAsia" w:ascii="宋体" w:hAnsi="宋体"/>
          <w:szCs w:val="21"/>
          <w:highlight w:val="none"/>
          <w:u w:val="single"/>
        </w:rPr>
        <w:t xml:space="preserve">      </w:t>
      </w:r>
      <w:r>
        <w:rPr>
          <w:rFonts w:hint="eastAsia" w:ascii="宋体" w:hAnsi="宋体"/>
          <w:szCs w:val="21"/>
          <w:highlight w:val="none"/>
        </w:rPr>
        <w:t xml:space="preserve"> ]相关内容，知悉投标人参加政府采购活动应当具备的条件。此次按</w:t>
      </w:r>
      <w:r>
        <w:rPr>
          <w:rFonts w:hint="eastAsia" w:ascii="宋体" w:hAnsi="宋体"/>
          <w:highlight w:val="none"/>
        </w:rPr>
        <w:t>采购文件</w:t>
      </w:r>
      <w:r>
        <w:rPr>
          <w:rFonts w:hint="eastAsia" w:ascii="宋体" w:hAnsi="宋体"/>
          <w:szCs w:val="21"/>
          <w:highlight w:val="none"/>
        </w:rPr>
        <w:t>要求提交的投标人资格证明材料，已经认真核对和检查，全部内容真实、合法、准确和完整，我们对此负责，并愿承担由此引起的法律责任。</w:t>
      </w:r>
    </w:p>
    <w:p w14:paraId="1E74B485">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 xml:space="preserve">一、我方在此声明： </w:t>
      </w:r>
    </w:p>
    <w:p w14:paraId="31E1DB48">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（一）我方与采购人或代理机构不存在</w:t>
      </w:r>
      <w:r>
        <w:rPr>
          <w:rFonts w:hint="eastAsia" w:ascii="宋体" w:hAnsi="宋体"/>
          <w:bCs/>
          <w:szCs w:val="21"/>
          <w:highlight w:val="none"/>
        </w:rPr>
        <w:t>隶属关系或者其他利害关系</w:t>
      </w:r>
      <w:r>
        <w:rPr>
          <w:rFonts w:hint="eastAsia" w:ascii="宋体" w:hAnsi="宋体"/>
          <w:szCs w:val="21"/>
          <w:highlight w:val="none"/>
        </w:rPr>
        <w:t>。</w:t>
      </w:r>
    </w:p>
    <w:p w14:paraId="32A09281">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（二）我方与参加本项目的其他投标人不存在控股、关联关系，或者与其他投标人法定代表人（或者负责人）为同一人。</w:t>
      </w:r>
    </w:p>
    <w:p w14:paraId="7DC8C590">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（三）我方未为本项目前期准备提供设计或技术服务。</w:t>
      </w:r>
    </w:p>
    <w:p w14:paraId="3E97505A">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二、我方承诺</w:t>
      </w:r>
    </w:p>
    <w:p w14:paraId="7CA0C8C1">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 xml:space="preserve"> 参加政府采购近三年内：</w:t>
      </w:r>
    </w:p>
    <w:p w14:paraId="2D223DBC">
      <w:pPr>
        <w:adjustRightInd w:val="0"/>
        <w:snapToGrid w:val="0"/>
        <w:spacing w:line="360" w:lineRule="auto"/>
        <w:ind w:left="1" w:firstLine="420" w:firstLineChars="200"/>
        <w:rPr>
          <w:rFonts w:ascii="宋体" w:hAnsi="宋体"/>
          <w:szCs w:val="21"/>
          <w:highlight w:val="none"/>
        </w:rPr>
      </w:pPr>
      <w:r>
        <w:rPr>
          <w:rFonts w:hint="eastAsia" w:ascii="宋体" w:hAnsi="宋体"/>
          <w:bCs/>
          <w:szCs w:val="21"/>
          <w:highlight w:val="none"/>
        </w:rPr>
        <w:t>（一）我方</w:t>
      </w:r>
      <w:r>
        <w:rPr>
          <w:rFonts w:hint="eastAsia" w:ascii="宋体" w:hAnsi="宋体"/>
          <w:szCs w:val="21"/>
          <w:highlight w:val="none"/>
        </w:rPr>
        <w:t>依法缴纳了各项税费及各项社会保障资金，没有偷税、漏税及欠缴行为。</w:t>
      </w:r>
    </w:p>
    <w:p w14:paraId="67DB8DD0">
      <w:pPr>
        <w:adjustRightInd w:val="0"/>
        <w:snapToGrid w:val="0"/>
        <w:spacing w:line="360" w:lineRule="auto"/>
        <w:ind w:firstLine="420" w:firstLineChars="200"/>
        <w:rPr>
          <w:rFonts w:ascii="宋体" w:hAnsi="宋体"/>
          <w:bCs/>
          <w:szCs w:val="21"/>
          <w:highlight w:val="none"/>
        </w:rPr>
      </w:pPr>
      <w:r>
        <w:rPr>
          <w:rFonts w:hint="eastAsia" w:ascii="宋体" w:hAnsi="宋体"/>
          <w:bCs/>
          <w:szCs w:val="21"/>
          <w:highlight w:val="none"/>
        </w:rPr>
        <w:t>（二）我方在经营活动中没有存在下列重大违法记录：</w:t>
      </w:r>
    </w:p>
    <w:p w14:paraId="6E027695">
      <w:pPr>
        <w:adjustRightInd w:val="0"/>
        <w:snapToGrid w:val="0"/>
        <w:spacing w:line="360" w:lineRule="auto"/>
        <w:ind w:firstLine="420" w:firstLineChars="200"/>
        <w:rPr>
          <w:rFonts w:ascii="宋体" w:hAnsi="宋体"/>
          <w:bCs/>
          <w:szCs w:val="21"/>
          <w:highlight w:val="none"/>
        </w:rPr>
      </w:pPr>
      <w:r>
        <w:rPr>
          <w:rFonts w:hint="eastAsia" w:ascii="宋体" w:hAnsi="宋体"/>
          <w:bCs/>
          <w:szCs w:val="21"/>
          <w:highlight w:val="none"/>
        </w:rPr>
        <w:t>1、受到刑事处罚；</w:t>
      </w:r>
    </w:p>
    <w:p w14:paraId="5057766C">
      <w:pPr>
        <w:adjustRightInd w:val="0"/>
        <w:snapToGrid w:val="0"/>
        <w:spacing w:line="360" w:lineRule="auto"/>
        <w:ind w:firstLine="420" w:firstLineChars="200"/>
        <w:rPr>
          <w:rFonts w:ascii="宋体" w:hAnsi="宋体"/>
          <w:bCs/>
          <w:szCs w:val="21"/>
          <w:highlight w:val="none"/>
        </w:rPr>
      </w:pPr>
      <w:r>
        <w:rPr>
          <w:rFonts w:hint="eastAsia" w:ascii="宋体" w:hAnsi="宋体"/>
          <w:bCs/>
          <w:szCs w:val="21"/>
          <w:highlight w:val="none"/>
        </w:rPr>
        <w:t>2、受到三万元以上的罚款、责令停产停业、在一至三年内禁止参加政府采购活动、暂扣或者吊销许可证、暂扣或者吊销执照的行政处罚。</w:t>
      </w:r>
    </w:p>
    <w:p w14:paraId="56878CC5">
      <w:pPr>
        <w:adjustRightInd w:val="0"/>
        <w:snapToGrid w:val="0"/>
        <w:spacing w:line="360" w:lineRule="auto"/>
        <w:ind w:firstLine="420" w:firstLineChars="200"/>
        <w:rPr>
          <w:rFonts w:ascii="宋体" w:hAnsi="宋体"/>
          <w:bCs/>
          <w:szCs w:val="21"/>
          <w:highlight w:val="none"/>
        </w:rPr>
      </w:pPr>
    </w:p>
    <w:p w14:paraId="337D151C">
      <w:pPr>
        <w:adjustRightInd w:val="0"/>
        <w:snapToGrid w:val="0"/>
        <w:spacing w:line="360" w:lineRule="auto"/>
        <w:ind w:firstLine="2723" w:firstLineChars="1297"/>
        <w:rPr>
          <w:rFonts w:ascii="宋体" w:hAnsi="宋体"/>
          <w:szCs w:val="21"/>
          <w:highlight w:val="none"/>
        </w:rPr>
      </w:pPr>
    </w:p>
    <w:p w14:paraId="41299187">
      <w:pPr>
        <w:pStyle w:val="24"/>
        <w:adjustRightInd w:val="0"/>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投标人名称(盖单位章)：</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1CF7A4FC">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法定代表人或其委托代理人 (签字</w:t>
      </w:r>
      <w:r>
        <w:rPr>
          <w:rFonts w:hint="eastAsia" w:ascii="宋体" w:hAnsi="宋体"/>
          <w:color w:val="auto"/>
          <w:szCs w:val="21"/>
          <w:highlight w:val="none"/>
          <w:lang w:eastAsia="zh-CN"/>
        </w:rPr>
        <w:t>或盖章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5E96285E">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日期：</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19BCC47C">
      <w:pPr>
        <w:adjustRightInd w:val="0"/>
        <w:snapToGrid w:val="0"/>
        <w:spacing w:line="360" w:lineRule="auto"/>
        <w:ind w:right="24"/>
        <w:rPr>
          <w:rFonts w:ascii="宋体" w:hAnsi="宋体"/>
          <w:bCs/>
          <w:szCs w:val="21"/>
          <w:highlight w:val="none"/>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14:paraId="48E2BB51">
      <w:pPr>
        <w:adjustRightInd w:val="0"/>
        <w:snapToGrid w:val="0"/>
        <w:spacing w:line="360" w:lineRule="auto"/>
        <w:ind w:right="24"/>
        <w:rPr>
          <w:rFonts w:ascii="宋体" w:hAnsi="宋体"/>
          <w:bCs/>
          <w:sz w:val="24"/>
          <w:highlight w:val="none"/>
        </w:rPr>
      </w:pPr>
      <w:r>
        <w:rPr>
          <w:rFonts w:hint="eastAsia" w:ascii="宋体" w:hAnsi="宋体"/>
          <w:bCs/>
          <w:sz w:val="24"/>
          <w:highlight w:val="none"/>
        </w:rPr>
        <w:t>附件1</w:t>
      </w:r>
    </w:p>
    <w:p w14:paraId="735E2B5F">
      <w:pPr>
        <w:adjustRightInd w:val="0"/>
        <w:snapToGrid w:val="0"/>
        <w:spacing w:line="360" w:lineRule="auto"/>
        <w:ind w:right="24"/>
        <w:jc w:val="center"/>
        <w:rPr>
          <w:rFonts w:ascii="宋体" w:hAnsi="宋体"/>
          <w:b/>
          <w:sz w:val="24"/>
          <w:highlight w:val="none"/>
        </w:rPr>
      </w:pPr>
      <w:r>
        <w:rPr>
          <w:rFonts w:hint="eastAsia" w:ascii="宋体" w:hAnsi="宋体"/>
          <w:b/>
          <w:sz w:val="24"/>
          <w:highlight w:val="none"/>
        </w:rPr>
        <w:t>法定代表人身份证明(法定代表人参加投标)</w:t>
      </w:r>
    </w:p>
    <w:p w14:paraId="22689991">
      <w:pPr>
        <w:snapToGrid w:val="0"/>
        <w:spacing w:line="480" w:lineRule="auto"/>
        <w:rPr>
          <w:rFonts w:ascii="宋体" w:hAnsi="宋体"/>
          <w:szCs w:val="21"/>
          <w:highlight w:val="none"/>
        </w:rPr>
      </w:pPr>
    </w:p>
    <w:p w14:paraId="2D434E81">
      <w:pPr>
        <w:autoSpaceDE w:val="0"/>
        <w:autoSpaceDN w:val="0"/>
        <w:adjustRightInd w:val="0"/>
        <w:snapToGrid w:val="0"/>
        <w:spacing w:before="120" w:beforeLines="50" w:line="360" w:lineRule="auto"/>
        <w:jc w:val="left"/>
        <w:rPr>
          <w:rFonts w:ascii="宋体" w:hAnsi="宋体" w:cs="宋体"/>
          <w:kern w:val="0"/>
          <w:szCs w:val="21"/>
          <w:highlight w:val="none"/>
        </w:rPr>
      </w:pPr>
      <w:r>
        <w:rPr>
          <w:rFonts w:hint="eastAsia" w:ascii="宋体" w:hAnsi="宋体"/>
          <w:szCs w:val="21"/>
          <w:highlight w:val="none"/>
        </w:rPr>
        <w:t>投标人</w:t>
      </w:r>
      <w:r>
        <w:rPr>
          <w:rFonts w:hint="eastAsia" w:ascii="宋体" w:hAnsi="宋体" w:cs="宋体"/>
          <w:kern w:val="0"/>
          <w:szCs w:val="21"/>
          <w:highlight w:val="none"/>
        </w:rPr>
        <w:t>名称：</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 xml:space="preserve"> </w:t>
      </w:r>
    </w:p>
    <w:p w14:paraId="3C7839D9">
      <w:pPr>
        <w:autoSpaceDE w:val="0"/>
        <w:autoSpaceDN w:val="0"/>
        <w:adjustRightInd w:val="0"/>
        <w:snapToGrid w:val="0"/>
        <w:spacing w:before="120" w:beforeLines="50" w:line="360" w:lineRule="auto"/>
        <w:jc w:val="left"/>
        <w:rPr>
          <w:rFonts w:ascii="宋体" w:hAnsi="宋体" w:cs="宋体"/>
          <w:kern w:val="0"/>
          <w:szCs w:val="21"/>
          <w:highlight w:val="none"/>
        </w:rPr>
      </w:pPr>
      <w:r>
        <w:rPr>
          <w:rFonts w:hint="eastAsia" w:ascii="宋体" w:hAnsi="宋体" w:cs="宋体"/>
          <w:kern w:val="0"/>
          <w:szCs w:val="21"/>
          <w:highlight w:val="none"/>
        </w:rPr>
        <w:t>注册地址：</w:t>
      </w:r>
      <w:r>
        <w:rPr>
          <w:rFonts w:hint="eastAsia" w:ascii="宋体" w:hAnsi="宋体" w:cs="宋体"/>
          <w:kern w:val="0"/>
          <w:szCs w:val="21"/>
          <w:highlight w:val="none"/>
          <w:u w:val="single"/>
        </w:rPr>
        <w:t xml:space="preserve">                                    </w:t>
      </w:r>
    </w:p>
    <w:p w14:paraId="548FE8D8">
      <w:pPr>
        <w:autoSpaceDE w:val="0"/>
        <w:autoSpaceDN w:val="0"/>
        <w:adjustRightInd w:val="0"/>
        <w:snapToGrid w:val="0"/>
        <w:spacing w:before="120" w:beforeLines="50" w:line="360" w:lineRule="auto"/>
        <w:jc w:val="left"/>
        <w:rPr>
          <w:rFonts w:ascii="宋体" w:hAnsi="宋体" w:cs="宋体"/>
          <w:kern w:val="0"/>
          <w:szCs w:val="21"/>
          <w:highlight w:val="none"/>
        </w:rPr>
      </w:pPr>
      <w:r>
        <w:rPr>
          <w:rFonts w:hint="eastAsia" w:ascii="宋体" w:hAnsi="宋体" w:cs="宋体"/>
          <w:kern w:val="0"/>
          <w:szCs w:val="21"/>
          <w:highlight w:val="none"/>
        </w:rPr>
        <w:t xml:space="preserve">成立时间： </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 xml:space="preserve">年 </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月</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 xml:space="preserve"> 日</w:t>
      </w:r>
    </w:p>
    <w:p w14:paraId="2606300A">
      <w:pPr>
        <w:autoSpaceDE w:val="0"/>
        <w:autoSpaceDN w:val="0"/>
        <w:adjustRightInd w:val="0"/>
        <w:snapToGrid w:val="0"/>
        <w:spacing w:before="120" w:beforeLines="50" w:line="360" w:lineRule="auto"/>
        <w:jc w:val="left"/>
        <w:rPr>
          <w:rFonts w:ascii="宋体" w:hAnsi="宋体" w:cs="宋体"/>
          <w:kern w:val="0"/>
          <w:szCs w:val="21"/>
          <w:highlight w:val="none"/>
          <w:u w:val="single"/>
        </w:rPr>
      </w:pPr>
      <w:r>
        <w:rPr>
          <w:rFonts w:hint="eastAsia" w:ascii="宋体" w:hAnsi="宋体" w:cs="宋体"/>
          <w:kern w:val="0"/>
          <w:szCs w:val="21"/>
          <w:highlight w:val="none"/>
        </w:rPr>
        <w:t>经营期限：</w:t>
      </w:r>
      <w:r>
        <w:rPr>
          <w:rFonts w:hint="eastAsia" w:ascii="宋体" w:hAnsi="宋体" w:cs="宋体"/>
          <w:kern w:val="0"/>
          <w:szCs w:val="21"/>
          <w:highlight w:val="none"/>
          <w:u w:val="single"/>
        </w:rPr>
        <w:t xml:space="preserve">                  </w:t>
      </w:r>
    </w:p>
    <w:p w14:paraId="4D955638">
      <w:pPr>
        <w:autoSpaceDE w:val="0"/>
        <w:autoSpaceDN w:val="0"/>
        <w:adjustRightInd w:val="0"/>
        <w:snapToGrid w:val="0"/>
        <w:spacing w:before="120" w:beforeLines="50" w:line="360" w:lineRule="auto"/>
        <w:jc w:val="left"/>
        <w:rPr>
          <w:rFonts w:ascii="宋体" w:hAnsi="宋体" w:cs="宋体"/>
          <w:kern w:val="0"/>
          <w:szCs w:val="21"/>
          <w:highlight w:val="none"/>
          <w:u w:val="single"/>
        </w:rPr>
      </w:pPr>
      <w:r>
        <w:rPr>
          <w:rFonts w:hint="eastAsia" w:ascii="宋体" w:hAnsi="宋体" w:cs="宋体"/>
          <w:kern w:val="0"/>
          <w:szCs w:val="21"/>
          <w:highlight w:val="none"/>
        </w:rPr>
        <w:t>经营范围：主营：</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 xml:space="preserve"> ；兼营：</w:t>
      </w:r>
      <w:r>
        <w:rPr>
          <w:rFonts w:hint="eastAsia" w:ascii="宋体" w:hAnsi="宋体" w:cs="宋体"/>
          <w:kern w:val="0"/>
          <w:szCs w:val="21"/>
          <w:highlight w:val="none"/>
          <w:u w:val="single"/>
        </w:rPr>
        <w:t xml:space="preserve">              </w:t>
      </w:r>
    </w:p>
    <w:p w14:paraId="1D869F27">
      <w:pPr>
        <w:autoSpaceDE w:val="0"/>
        <w:autoSpaceDN w:val="0"/>
        <w:adjustRightInd w:val="0"/>
        <w:snapToGrid w:val="0"/>
        <w:spacing w:before="120" w:beforeLines="50" w:line="360" w:lineRule="auto"/>
        <w:jc w:val="left"/>
        <w:rPr>
          <w:rFonts w:ascii="宋体" w:hAnsi="宋体" w:cs="宋体"/>
          <w:kern w:val="0"/>
          <w:szCs w:val="21"/>
          <w:highlight w:val="none"/>
        </w:rPr>
      </w:pPr>
      <w:r>
        <w:rPr>
          <w:rFonts w:hint="eastAsia" w:ascii="宋体" w:hAnsi="宋体" w:cs="宋体"/>
          <w:kern w:val="0"/>
          <w:szCs w:val="21"/>
          <w:highlight w:val="none"/>
        </w:rPr>
        <w:t>姓名：</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 xml:space="preserve"> 性别：</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 xml:space="preserve"> 年龄：</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 xml:space="preserve"> 系</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w:t>
      </w:r>
      <w:r>
        <w:rPr>
          <w:rFonts w:hint="eastAsia" w:ascii="宋体" w:hAnsi="宋体"/>
          <w:szCs w:val="21"/>
          <w:highlight w:val="none"/>
        </w:rPr>
        <w:t>投标人</w:t>
      </w:r>
      <w:r>
        <w:rPr>
          <w:rFonts w:hint="eastAsia" w:ascii="宋体" w:hAnsi="宋体" w:cs="宋体"/>
          <w:kern w:val="0"/>
          <w:szCs w:val="21"/>
          <w:highlight w:val="none"/>
        </w:rPr>
        <w:t>名称）的法定代表人。</w:t>
      </w:r>
    </w:p>
    <w:p w14:paraId="52E558E8">
      <w:pPr>
        <w:autoSpaceDE w:val="0"/>
        <w:autoSpaceDN w:val="0"/>
        <w:adjustRightInd w:val="0"/>
        <w:snapToGrid w:val="0"/>
        <w:spacing w:before="120" w:beforeLines="50" w:line="360" w:lineRule="auto"/>
        <w:jc w:val="left"/>
        <w:rPr>
          <w:rFonts w:ascii="宋体" w:hAnsi="宋体" w:cs="宋体"/>
          <w:kern w:val="0"/>
          <w:szCs w:val="21"/>
          <w:highlight w:val="none"/>
        </w:rPr>
      </w:pPr>
      <w:r>
        <w:rPr>
          <w:rFonts w:hint="eastAsia" w:ascii="宋体" w:hAnsi="宋体" w:cs="宋体"/>
          <w:kern w:val="0"/>
          <w:szCs w:val="21"/>
          <w:highlight w:val="none"/>
        </w:rPr>
        <w:t>特此证明。</w:t>
      </w:r>
    </w:p>
    <w:p w14:paraId="05BA1C2E">
      <w:pPr>
        <w:autoSpaceDE w:val="0"/>
        <w:autoSpaceDN w:val="0"/>
        <w:adjustRightInd w:val="0"/>
        <w:snapToGrid w:val="0"/>
        <w:spacing w:before="120" w:beforeLines="50" w:line="360" w:lineRule="auto"/>
        <w:jc w:val="left"/>
        <w:rPr>
          <w:rFonts w:ascii="宋体" w:hAnsi="宋体" w:cs="宋体"/>
          <w:kern w:val="0"/>
          <w:szCs w:val="21"/>
          <w:highlight w:val="none"/>
        </w:rPr>
      </w:pPr>
      <w:r>
        <w:rPr>
          <w:rFonts w:hint="eastAsia" w:ascii="宋体" w:hAnsi="宋体"/>
          <w:szCs w:val="21"/>
          <w:highlight w:val="none"/>
        </w:rPr>
        <w:t>附：法定代表人身份证复印件</w:t>
      </w:r>
    </w:p>
    <w:p w14:paraId="19FBB151">
      <w:pPr>
        <w:snapToGrid w:val="0"/>
        <w:spacing w:line="480" w:lineRule="auto"/>
        <w:rPr>
          <w:rFonts w:ascii="宋体" w:hAnsi="宋体"/>
          <w:szCs w:val="21"/>
          <w:highlight w:val="none"/>
        </w:rPr>
      </w:pPr>
    </w:p>
    <w:p w14:paraId="587C1124">
      <w:pPr>
        <w:snapToGrid w:val="0"/>
        <w:rPr>
          <w:rFonts w:ascii="宋体" w:hAnsi="宋体"/>
          <w:szCs w:val="21"/>
          <w:highlight w:val="none"/>
        </w:rPr>
      </w:pPr>
    </w:p>
    <w:p w14:paraId="080466C9">
      <w:pPr>
        <w:snapToGrid w:val="0"/>
        <w:rPr>
          <w:rFonts w:ascii="宋体" w:hAnsi="宋体"/>
          <w:szCs w:val="21"/>
          <w:highlight w:val="none"/>
        </w:rPr>
      </w:pPr>
    </w:p>
    <w:p w14:paraId="7ED16967">
      <w:pPr>
        <w:snapToGrid w:val="0"/>
        <w:rPr>
          <w:rFonts w:ascii="宋体" w:hAnsi="宋体"/>
          <w:szCs w:val="21"/>
          <w:highlight w:val="none"/>
        </w:rPr>
      </w:pPr>
    </w:p>
    <w:p w14:paraId="2FAF9FAE">
      <w:pPr>
        <w:snapToGrid w:val="0"/>
        <w:rPr>
          <w:rFonts w:ascii="宋体" w:hAnsi="宋体"/>
          <w:szCs w:val="21"/>
          <w:highlight w:val="none"/>
        </w:rPr>
      </w:pPr>
    </w:p>
    <w:p w14:paraId="0EB2AC19">
      <w:pPr>
        <w:adjustRightInd w:val="0"/>
        <w:snapToGrid w:val="0"/>
        <w:spacing w:line="360" w:lineRule="auto"/>
        <w:rPr>
          <w:rFonts w:ascii="宋体" w:hAnsi="宋体"/>
          <w:szCs w:val="21"/>
          <w:highlight w:val="none"/>
        </w:rPr>
      </w:pPr>
    </w:p>
    <w:p w14:paraId="08D7D7EC">
      <w:pPr>
        <w:adjustRightInd w:val="0"/>
        <w:snapToGrid w:val="0"/>
        <w:spacing w:line="360" w:lineRule="auto"/>
        <w:ind w:right="420"/>
        <w:rPr>
          <w:rFonts w:hint="default" w:ascii="宋体" w:hAnsi="宋体" w:eastAsia="宋体"/>
          <w:szCs w:val="21"/>
          <w:highlight w:val="none"/>
          <w:lang w:val="en-US" w:eastAsia="zh-CN"/>
        </w:rPr>
      </w:pPr>
      <w:r>
        <w:rPr>
          <w:rFonts w:hint="eastAsia" w:ascii="宋体" w:hAnsi="宋体"/>
          <w:szCs w:val="21"/>
          <w:highlight w:val="none"/>
        </w:rPr>
        <w:t>投标人名称（盖单位章）：</w:t>
      </w:r>
      <w:r>
        <w:rPr>
          <w:rFonts w:hint="eastAsia" w:ascii="宋体" w:hAnsi="宋体"/>
          <w:szCs w:val="21"/>
          <w:highlight w:val="none"/>
          <w:u w:val="single"/>
          <w:lang w:val="en-US" w:eastAsia="zh-CN"/>
        </w:rPr>
        <w:t xml:space="preserve">              </w:t>
      </w:r>
    </w:p>
    <w:p w14:paraId="21B30833">
      <w:pPr>
        <w:adjustRightInd w:val="0"/>
        <w:snapToGrid w:val="0"/>
        <w:spacing w:line="360" w:lineRule="auto"/>
        <w:ind w:right="420"/>
        <w:rPr>
          <w:rFonts w:ascii="宋体" w:hAnsi="宋体"/>
          <w:szCs w:val="21"/>
          <w:highlight w:val="none"/>
        </w:rPr>
      </w:pPr>
      <w:r>
        <w:rPr>
          <w:rFonts w:hint="eastAsia" w:ascii="宋体" w:hAnsi="宋体"/>
          <w:szCs w:val="21"/>
          <w:highlight w:val="none"/>
        </w:rPr>
        <w:t>日期：</w:t>
      </w:r>
      <w:r>
        <w:rPr>
          <w:rFonts w:hint="eastAsia" w:ascii="宋体" w:hAnsi="宋体"/>
          <w:szCs w:val="21"/>
          <w:highlight w:val="none"/>
          <w:u w:val="single"/>
        </w:rPr>
        <w:t xml:space="preserve">        </w:t>
      </w:r>
      <w:r>
        <w:rPr>
          <w:rFonts w:hint="eastAsia" w:ascii="宋体" w:hAnsi="宋体"/>
          <w:szCs w:val="21"/>
          <w:highlight w:val="none"/>
        </w:rPr>
        <w:t>年</w:t>
      </w:r>
      <w:r>
        <w:rPr>
          <w:rFonts w:hint="eastAsia" w:ascii="宋体" w:hAnsi="宋体"/>
          <w:szCs w:val="21"/>
          <w:highlight w:val="none"/>
          <w:u w:val="single"/>
        </w:rPr>
        <w:t xml:space="preserve">        </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szCs w:val="21"/>
          <w:highlight w:val="none"/>
        </w:rPr>
        <w:t xml:space="preserve">日      </w:t>
      </w:r>
    </w:p>
    <w:p w14:paraId="7FD57D91">
      <w:pPr>
        <w:adjustRightInd w:val="0"/>
        <w:snapToGrid w:val="0"/>
        <w:spacing w:before="120" w:beforeLines="50" w:line="360" w:lineRule="auto"/>
        <w:rPr>
          <w:rFonts w:ascii="宋体" w:hAnsi="宋体"/>
          <w:szCs w:val="21"/>
          <w:highlight w:val="none"/>
        </w:rPr>
      </w:pPr>
    </w:p>
    <w:p w14:paraId="252D4C1C">
      <w:pPr>
        <w:adjustRightInd w:val="0"/>
        <w:snapToGrid w:val="0"/>
        <w:spacing w:before="120" w:beforeLines="50" w:line="360" w:lineRule="auto"/>
        <w:rPr>
          <w:rFonts w:ascii="宋体" w:hAnsi="宋体"/>
          <w:szCs w:val="21"/>
          <w:highlight w:val="none"/>
        </w:rPr>
      </w:pPr>
    </w:p>
    <w:p w14:paraId="2B73E01D">
      <w:pPr>
        <w:adjustRightInd w:val="0"/>
        <w:snapToGrid w:val="0"/>
        <w:spacing w:before="120" w:beforeLines="50" w:line="360" w:lineRule="auto"/>
        <w:rPr>
          <w:rFonts w:ascii="宋体" w:hAnsi="宋体"/>
          <w:sz w:val="24"/>
          <w:highlight w:val="none"/>
        </w:rPr>
      </w:pPr>
      <w:r>
        <w:rPr>
          <w:rFonts w:ascii="宋体" w:hAnsi="宋体"/>
          <w:highlight w:val="none"/>
        </w:rPr>
        <w:br w:type="page"/>
      </w:r>
      <w:r>
        <w:rPr>
          <w:rFonts w:hint="eastAsia" w:ascii="宋体" w:hAnsi="宋体"/>
          <w:bCs/>
          <w:sz w:val="24"/>
          <w:highlight w:val="none"/>
        </w:rPr>
        <w:t>附件2</w:t>
      </w:r>
    </w:p>
    <w:p w14:paraId="751696D3">
      <w:pPr>
        <w:adjustRightInd w:val="0"/>
        <w:snapToGrid w:val="0"/>
        <w:spacing w:line="360" w:lineRule="auto"/>
        <w:ind w:right="24"/>
        <w:jc w:val="center"/>
        <w:rPr>
          <w:rFonts w:ascii="宋体" w:hAnsi="宋体"/>
          <w:b/>
          <w:sz w:val="24"/>
          <w:highlight w:val="none"/>
        </w:rPr>
      </w:pPr>
      <w:r>
        <w:rPr>
          <w:rFonts w:hint="eastAsia" w:ascii="宋体" w:hAnsi="宋体"/>
          <w:b/>
          <w:sz w:val="24"/>
          <w:highlight w:val="none"/>
        </w:rPr>
        <w:t>法定代表人授权书(委托代理人参加投标)</w:t>
      </w:r>
    </w:p>
    <w:p w14:paraId="287717A0">
      <w:pPr>
        <w:adjustRightInd w:val="0"/>
        <w:snapToGrid w:val="0"/>
        <w:spacing w:line="360" w:lineRule="auto"/>
        <w:jc w:val="center"/>
        <w:rPr>
          <w:rFonts w:ascii="宋体" w:hAnsi="宋体"/>
          <w:b/>
          <w:sz w:val="28"/>
          <w:szCs w:val="28"/>
          <w:highlight w:val="none"/>
        </w:rPr>
      </w:pPr>
    </w:p>
    <w:p w14:paraId="21EF683E">
      <w:pPr>
        <w:autoSpaceDE w:val="0"/>
        <w:autoSpaceDN w:val="0"/>
        <w:adjustRightInd w:val="0"/>
        <w:snapToGrid w:val="0"/>
        <w:spacing w:before="120" w:beforeLines="50"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本人</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（姓名、职务）系</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 xml:space="preserve"> （</w:t>
      </w:r>
      <w:r>
        <w:rPr>
          <w:rFonts w:hint="eastAsia" w:ascii="宋体" w:hAnsi="宋体"/>
          <w:szCs w:val="21"/>
          <w:highlight w:val="none"/>
        </w:rPr>
        <w:t>投标人</w:t>
      </w:r>
      <w:r>
        <w:rPr>
          <w:rFonts w:hint="eastAsia" w:ascii="宋体" w:hAnsi="宋体" w:cs="宋体"/>
          <w:kern w:val="0"/>
          <w:szCs w:val="21"/>
          <w:highlight w:val="none"/>
        </w:rPr>
        <w:t>名称）的法定代表人，现授权</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（姓名、职务）为我方代理人。代理人根据授权，以我方名义：(1)签署、澄清、补正、修改、撤回、提交</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（项目名称、</w:t>
      </w:r>
      <w:r>
        <w:rPr>
          <w:rFonts w:hint="eastAsia" w:ascii="宋体" w:hAnsi="宋体"/>
          <w:szCs w:val="21"/>
          <w:highlight w:val="none"/>
        </w:rPr>
        <w:t>项目</w:t>
      </w:r>
      <w:r>
        <w:rPr>
          <w:rFonts w:hint="eastAsia" w:ascii="宋体" w:hAnsi="宋体" w:cs="宋体"/>
          <w:kern w:val="0"/>
          <w:szCs w:val="21"/>
          <w:highlight w:val="none"/>
        </w:rPr>
        <w:t>编号</w:t>
      </w:r>
      <w:r>
        <w:rPr>
          <w:rFonts w:hint="eastAsia" w:ascii="宋体" w:hAnsi="宋体"/>
          <w:szCs w:val="21"/>
          <w:highlight w:val="none"/>
          <w:lang w:eastAsia="zh-CN"/>
        </w:rPr>
        <w:t>、标项号</w:t>
      </w:r>
      <w:r>
        <w:rPr>
          <w:rFonts w:hint="eastAsia" w:ascii="宋体" w:hAnsi="宋体" w:cs="宋体"/>
          <w:kern w:val="0"/>
          <w:szCs w:val="21"/>
          <w:highlight w:val="none"/>
        </w:rPr>
        <w:t>）</w:t>
      </w:r>
      <w:r>
        <w:rPr>
          <w:rFonts w:hint="eastAsia" w:ascii="宋体" w:hAnsi="宋体"/>
          <w:highlight w:val="none"/>
        </w:rPr>
        <w:t>投标文件</w:t>
      </w:r>
      <w:r>
        <w:rPr>
          <w:rFonts w:hint="eastAsia" w:ascii="宋体" w:hAnsi="宋体" w:cs="宋体"/>
          <w:kern w:val="0"/>
          <w:szCs w:val="21"/>
          <w:highlight w:val="none"/>
        </w:rPr>
        <w:t>及报价；</w:t>
      </w:r>
    </w:p>
    <w:p w14:paraId="44B81B4D">
      <w:pPr>
        <w:autoSpaceDE w:val="0"/>
        <w:autoSpaceDN w:val="0"/>
        <w:adjustRightInd w:val="0"/>
        <w:snapToGrid w:val="0"/>
        <w:spacing w:before="120" w:beforeLines="50" w:line="360" w:lineRule="auto"/>
        <w:jc w:val="left"/>
        <w:rPr>
          <w:rFonts w:ascii="宋体" w:hAnsi="宋体" w:cs="宋体"/>
          <w:kern w:val="0"/>
          <w:szCs w:val="21"/>
          <w:highlight w:val="none"/>
        </w:rPr>
      </w:pPr>
      <w:r>
        <w:rPr>
          <w:rFonts w:hint="eastAsia" w:ascii="宋体" w:hAnsi="宋体" w:cs="宋体"/>
          <w:kern w:val="0"/>
          <w:szCs w:val="21"/>
          <w:highlight w:val="none"/>
        </w:rPr>
        <w:t>(2)签订合同和处理有关事宜，其法律后果由我方承担。</w:t>
      </w:r>
    </w:p>
    <w:p w14:paraId="43FC005A">
      <w:pPr>
        <w:autoSpaceDE w:val="0"/>
        <w:autoSpaceDN w:val="0"/>
        <w:adjustRightInd w:val="0"/>
        <w:snapToGrid w:val="0"/>
        <w:spacing w:before="120" w:beforeLines="50"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委托期限：</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w:t>
      </w:r>
    </w:p>
    <w:p w14:paraId="42DB4ACC">
      <w:pPr>
        <w:spacing w:line="360" w:lineRule="auto"/>
        <w:ind w:firstLine="435"/>
        <w:rPr>
          <w:rFonts w:ascii="宋体" w:hAnsi="宋体" w:cs="宋体"/>
          <w:kern w:val="0"/>
          <w:szCs w:val="21"/>
          <w:highlight w:val="none"/>
        </w:rPr>
      </w:pPr>
      <w:r>
        <w:rPr>
          <w:rFonts w:hint="eastAsia" w:ascii="宋体" w:hAnsi="宋体" w:cs="宋体"/>
          <w:kern w:val="0"/>
          <w:szCs w:val="21"/>
          <w:highlight w:val="none"/>
        </w:rPr>
        <w:t>代理人无转委托权。</w:t>
      </w:r>
    </w:p>
    <w:p w14:paraId="5440ECDD">
      <w:pPr>
        <w:spacing w:line="360" w:lineRule="auto"/>
        <w:ind w:firstLine="435"/>
        <w:rPr>
          <w:rFonts w:ascii="宋体" w:hAnsi="宋体"/>
          <w:szCs w:val="21"/>
          <w:highlight w:val="none"/>
        </w:rPr>
      </w:pPr>
      <w:r>
        <w:rPr>
          <w:rFonts w:hint="eastAsia" w:ascii="宋体" w:hAnsi="宋体"/>
          <w:szCs w:val="21"/>
          <w:highlight w:val="none"/>
        </w:rPr>
        <w:t>本授权书于</w:t>
      </w:r>
      <w:r>
        <w:rPr>
          <w:rFonts w:hint="eastAsia" w:ascii="宋体" w:hAnsi="宋体"/>
          <w:szCs w:val="21"/>
          <w:highlight w:val="none"/>
          <w:u w:val="single"/>
        </w:rPr>
        <w:t xml:space="preserve">      </w:t>
      </w:r>
      <w:r>
        <w:rPr>
          <w:rFonts w:hint="eastAsia" w:ascii="宋体" w:hAnsi="宋体"/>
          <w:szCs w:val="21"/>
          <w:highlight w:val="none"/>
        </w:rPr>
        <w:t>年</w:t>
      </w:r>
      <w:r>
        <w:rPr>
          <w:rFonts w:hint="eastAsia" w:ascii="宋体" w:hAnsi="宋体"/>
          <w:szCs w:val="21"/>
          <w:highlight w:val="none"/>
          <w:u w:val="single"/>
        </w:rPr>
        <w:t xml:space="preserve">    </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szCs w:val="21"/>
          <w:highlight w:val="none"/>
        </w:rPr>
        <w:t>日签字生效，特此声明。</w:t>
      </w:r>
    </w:p>
    <w:p w14:paraId="5EFAE244">
      <w:pPr>
        <w:adjustRightInd w:val="0"/>
        <w:snapToGrid w:val="0"/>
        <w:spacing w:before="120" w:beforeLines="50" w:line="360" w:lineRule="auto"/>
        <w:ind w:firstLine="420" w:firstLineChars="200"/>
        <w:rPr>
          <w:rFonts w:ascii="宋体" w:hAnsi="宋体"/>
          <w:szCs w:val="21"/>
          <w:highlight w:val="none"/>
        </w:rPr>
      </w:pPr>
    </w:p>
    <w:p w14:paraId="356FB33A">
      <w:pPr>
        <w:adjustRightInd w:val="0"/>
        <w:snapToGrid w:val="0"/>
        <w:spacing w:before="120" w:beforeLines="50" w:line="360" w:lineRule="auto"/>
        <w:ind w:firstLine="420" w:firstLineChars="200"/>
        <w:rPr>
          <w:rFonts w:ascii="宋体" w:hAnsi="宋体"/>
          <w:szCs w:val="21"/>
          <w:highlight w:val="none"/>
        </w:rPr>
      </w:pPr>
    </w:p>
    <w:p w14:paraId="7BC8617A">
      <w:pPr>
        <w:adjustRightInd w:val="0"/>
        <w:snapToGrid w:val="0"/>
        <w:spacing w:before="120" w:beforeLines="50" w:line="360" w:lineRule="auto"/>
        <w:ind w:firstLine="420" w:firstLineChars="200"/>
        <w:rPr>
          <w:rFonts w:ascii="宋体" w:hAnsi="宋体"/>
          <w:szCs w:val="21"/>
          <w:highlight w:val="none"/>
        </w:rPr>
      </w:pPr>
    </w:p>
    <w:p w14:paraId="60BF98AE">
      <w:pPr>
        <w:adjustRightInd w:val="0"/>
        <w:snapToGrid w:val="0"/>
        <w:spacing w:before="120" w:beforeLines="50" w:line="360" w:lineRule="auto"/>
        <w:ind w:firstLine="420" w:firstLineChars="200"/>
        <w:rPr>
          <w:rFonts w:ascii="宋体" w:hAnsi="宋体"/>
          <w:szCs w:val="21"/>
          <w:highlight w:val="none"/>
        </w:rPr>
      </w:pPr>
      <w:r>
        <w:rPr>
          <w:rFonts w:hint="eastAsia" w:ascii="宋体" w:hAnsi="宋体"/>
          <w:szCs w:val="21"/>
          <w:highlight w:val="none"/>
        </w:rPr>
        <w:t>附：法定代表人身份证复印件</w:t>
      </w:r>
    </w:p>
    <w:p w14:paraId="5D8C5A34">
      <w:pPr>
        <w:adjustRightInd w:val="0"/>
        <w:snapToGrid w:val="0"/>
        <w:spacing w:before="120" w:beforeLines="50" w:line="360" w:lineRule="auto"/>
        <w:ind w:firstLine="420" w:firstLineChars="200"/>
        <w:rPr>
          <w:rFonts w:ascii="宋体" w:hAnsi="宋体"/>
          <w:szCs w:val="21"/>
          <w:highlight w:val="none"/>
        </w:rPr>
      </w:pPr>
    </w:p>
    <w:p w14:paraId="2BF0A952">
      <w:pPr>
        <w:adjustRightInd w:val="0"/>
        <w:snapToGrid w:val="0"/>
        <w:spacing w:before="120" w:beforeLines="50" w:line="360" w:lineRule="auto"/>
        <w:ind w:firstLine="420" w:firstLineChars="200"/>
        <w:rPr>
          <w:rFonts w:ascii="宋体" w:hAnsi="宋体"/>
          <w:szCs w:val="21"/>
          <w:highlight w:val="none"/>
        </w:rPr>
      </w:pPr>
      <w:r>
        <w:rPr>
          <w:rFonts w:hint="eastAsia" w:ascii="宋体" w:hAnsi="宋体"/>
          <w:szCs w:val="21"/>
          <w:highlight w:val="none"/>
        </w:rPr>
        <w:t>附：委托代理人身份证复印件</w:t>
      </w:r>
    </w:p>
    <w:p w14:paraId="47B48A34">
      <w:pPr>
        <w:adjustRightInd w:val="0"/>
        <w:snapToGrid w:val="0"/>
        <w:spacing w:before="120" w:beforeLines="50" w:line="360" w:lineRule="auto"/>
        <w:ind w:firstLine="420" w:firstLineChars="200"/>
        <w:rPr>
          <w:rFonts w:ascii="宋体" w:hAnsi="宋体"/>
          <w:szCs w:val="21"/>
          <w:highlight w:val="none"/>
        </w:rPr>
      </w:pPr>
    </w:p>
    <w:p w14:paraId="5C40B36F">
      <w:pPr>
        <w:adjustRightInd w:val="0"/>
        <w:snapToGrid w:val="0"/>
        <w:spacing w:line="360" w:lineRule="auto"/>
        <w:ind w:right="420"/>
        <w:rPr>
          <w:rFonts w:ascii="宋体" w:hAnsi="宋体"/>
          <w:szCs w:val="21"/>
          <w:highlight w:val="none"/>
        </w:rPr>
      </w:pPr>
    </w:p>
    <w:p w14:paraId="36A5E256">
      <w:pPr>
        <w:adjustRightInd w:val="0"/>
        <w:snapToGrid w:val="0"/>
        <w:spacing w:line="360" w:lineRule="auto"/>
        <w:ind w:right="420"/>
        <w:rPr>
          <w:rFonts w:ascii="宋体" w:hAnsi="宋体"/>
          <w:szCs w:val="21"/>
          <w:highlight w:val="none"/>
        </w:rPr>
      </w:pPr>
    </w:p>
    <w:p w14:paraId="7BF4759A">
      <w:pPr>
        <w:adjustRightInd w:val="0"/>
        <w:snapToGrid w:val="0"/>
        <w:spacing w:line="360" w:lineRule="auto"/>
        <w:ind w:right="420"/>
        <w:rPr>
          <w:rFonts w:ascii="宋体" w:hAnsi="宋体"/>
          <w:szCs w:val="21"/>
          <w:highlight w:val="none"/>
        </w:rPr>
      </w:pPr>
    </w:p>
    <w:p w14:paraId="6DDA86F2">
      <w:pPr>
        <w:adjustRightInd w:val="0"/>
        <w:snapToGrid w:val="0"/>
        <w:spacing w:line="360" w:lineRule="auto"/>
        <w:ind w:right="420"/>
        <w:rPr>
          <w:rFonts w:ascii="宋体" w:hAnsi="宋体"/>
          <w:szCs w:val="21"/>
          <w:highlight w:val="none"/>
        </w:rPr>
      </w:pPr>
    </w:p>
    <w:p w14:paraId="15135327">
      <w:pPr>
        <w:adjustRightInd w:val="0"/>
        <w:snapToGrid w:val="0"/>
        <w:spacing w:line="360" w:lineRule="auto"/>
        <w:ind w:right="420"/>
        <w:rPr>
          <w:rFonts w:hint="default" w:ascii="宋体" w:hAnsi="宋体" w:eastAsia="宋体"/>
          <w:szCs w:val="21"/>
          <w:highlight w:val="none"/>
          <w:u w:val="single"/>
          <w:lang w:val="en-US" w:eastAsia="zh-CN"/>
        </w:rPr>
      </w:pPr>
      <w:r>
        <w:rPr>
          <w:rFonts w:hint="eastAsia" w:ascii="宋体" w:hAnsi="宋体"/>
          <w:szCs w:val="21"/>
          <w:highlight w:val="none"/>
        </w:rPr>
        <w:t>投标人名称(盖单位章)：</w:t>
      </w:r>
      <w:r>
        <w:rPr>
          <w:rFonts w:hint="eastAsia" w:ascii="宋体" w:hAnsi="宋体"/>
          <w:szCs w:val="21"/>
          <w:highlight w:val="none"/>
          <w:u w:val="single"/>
          <w:lang w:val="en-US" w:eastAsia="zh-CN"/>
        </w:rPr>
        <w:t xml:space="preserve">                   </w:t>
      </w:r>
    </w:p>
    <w:p w14:paraId="56117997">
      <w:pPr>
        <w:adjustRightInd w:val="0"/>
        <w:snapToGrid w:val="0"/>
        <w:spacing w:line="360" w:lineRule="auto"/>
        <w:ind w:right="420"/>
        <w:rPr>
          <w:rFonts w:ascii="宋体" w:hAnsi="宋体"/>
          <w:szCs w:val="21"/>
          <w:highlight w:val="none"/>
        </w:rPr>
      </w:pPr>
      <w:r>
        <w:rPr>
          <w:rFonts w:hint="eastAsia" w:ascii="宋体" w:hAnsi="宋体"/>
          <w:szCs w:val="21"/>
          <w:highlight w:val="none"/>
        </w:rPr>
        <w:t>法定代表人（签字）：</w:t>
      </w:r>
      <w:r>
        <w:rPr>
          <w:rFonts w:hint="eastAsia" w:ascii="宋体" w:hAnsi="宋体"/>
          <w:szCs w:val="21"/>
          <w:highlight w:val="none"/>
          <w:u w:val="single"/>
        </w:rPr>
        <w:t xml:space="preserve">                     </w:t>
      </w:r>
    </w:p>
    <w:p w14:paraId="161F1C6F">
      <w:pPr>
        <w:adjustRightInd w:val="0"/>
        <w:snapToGrid w:val="0"/>
        <w:spacing w:line="360" w:lineRule="auto"/>
        <w:ind w:right="420"/>
        <w:rPr>
          <w:rFonts w:ascii="宋体" w:hAnsi="宋体"/>
          <w:szCs w:val="21"/>
          <w:highlight w:val="none"/>
        </w:rPr>
      </w:pPr>
      <w:r>
        <w:rPr>
          <w:rFonts w:hint="eastAsia" w:ascii="宋体" w:hAnsi="宋体"/>
          <w:szCs w:val="21"/>
          <w:highlight w:val="none"/>
        </w:rPr>
        <w:t>委托代理人（签字）：</w:t>
      </w:r>
      <w:r>
        <w:rPr>
          <w:rFonts w:hint="eastAsia" w:ascii="宋体" w:hAnsi="宋体"/>
          <w:szCs w:val="21"/>
          <w:highlight w:val="none"/>
          <w:u w:val="single"/>
        </w:rPr>
        <w:t xml:space="preserve">                     </w:t>
      </w:r>
    </w:p>
    <w:p w14:paraId="72DBD608">
      <w:pPr>
        <w:adjustRightInd w:val="0"/>
        <w:snapToGrid w:val="0"/>
        <w:spacing w:line="360" w:lineRule="auto"/>
        <w:ind w:right="24"/>
        <w:rPr>
          <w:rFonts w:ascii="宋体" w:hAnsi="宋体"/>
          <w:szCs w:val="21"/>
          <w:highlight w:val="none"/>
        </w:rPr>
      </w:pPr>
      <w:r>
        <w:rPr>
          <w:rFonts w:hint="eastAsia" w:ascii="宋体" w:hAnsi="宋体"/>
          <w:szCs w:val="21"/>
          <w:highlight w:val="none"/>
        </w:rPr>
        <w:t>日期：</w:t>
      </w:r>
      <w:r>
        <w:rPr>
          <w:rFonts w:hint="eastAsia" w:ascii="宋体" w:hAnsi="宋体"/>
          <w:szCs w:val="21"/>
          <w:highlight w:val="none"/>
          <w:u w:val="single"/>
        </w:rPr>
        <w:t xml:space="preserve">         </w:t>
      </w:r>
      <w:r>
        <w:rPr>
          <w:rFonts w:hint="eastAsia" w:ascii="宋体" w:hAnsi="宋体"/>
          <w:szCs w:val="21"/>
          <w:highlight w:val="none"/>
        </w:rPr>
        <w:t>年</w:t>
      </w:r>
      <w:r>
        <w:rPr>
          <w:rFonts w:hint="eastAsia" w:ascii="宋体" w:hAnsi="宋体"/>
          <w:szCs w:val="21"/>
          <w:highlight w:val="none"/>
          <w:u w:val="single"/>
        </w:rPr>
        <w:t xml:space="preserve">      </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szCs w:val="21"/>
          <w:highlight w:val="none"/>
        </w:rPr>
        <w:t>日</w:t>
      </w:r>
    </w:p>
    <w:p w14:paraId="6FAEEAC9">
      <w:pPr>
        <w:spacing w:line="360" w:lineRule="exact"/>
        <w:rPr>
          <w:rFonts w:ascii="宋体" w:hAnsi="宋体"/>
          <w:b/>
          <w:highlight w:val="none"/>
        </w:rPr>
      </w:pPr>
      <w:r>
        <w:rPr>
          <w:rFonts w:ascii="宋体" w:hAnsi="宋体"/>
          <w:highlight w:val="none"/>
        </w:rPr>
        <w:br w:type="page"/>
      </w:r>
    </w:p>
    <w:p w14:paraId="7435BED8">
      <w:pPr>
        <w:pStyle w:val="3"/>
        <w:jc w:val="center"/>
        <w:rPr>
          <w:rFonts w:ascii="宋体" w:hAnsi="宋体"/>
          <w:sz w:val="28"/>
          <w:szCs w:val="28"/>
          <w:highlight w:val="none"/>
        </w:rPr>
      </w:pPr>
      <w:bookmarkStart w:id="75" w:name="_Toc433187367"/>
      <w:bookmarkStart w:id="76" w:name="_Toc13711"/>
      <w:r>
        <w:rPr>
          <w:rFonts w:hint="eastAsia" w:ascii="宋体" w:hAnsi="宋体"/>
          <w:sz w:val="28"/>
          <w:szCs w:val="28"/>
          <w:highlight w:val="none"/>
        </w:rPr>
        <w:t>三、</w:t>
      </w:r>
      <w:bookmarkEnd w:id="75"/>
      <w:r>
        <w:rPr>
          <w:rFonts w:hint="eastAsia" w:ascii="宋体" w:hAnsi="宋体"/>
          <w:sz w:val="28"/>
          <w:szCs w:val="28"/>
          <w:highlight w:val="none"/>
        </w:rPr>
        <w:t>投标保证金</w:t>
      </w:r>
      <w:bookmarkEnd w:id="76"/>
    </w:p>
    <w:p w14:paraId="1FAE0E60">
      <w:pPr>
        <w:spacing w:line="480" w:lineRule="exact"/>
        <w:rPr>
          <w:rFonts w:ascii="宋体" w:hAnsi="宋体"/>
          <w:sz w:val="24"/>
          <w:highlight w:val="none"/>
        </w:rPr>
      </w:pPr>
      <w:r>
        <w:rPr>
          <w:rFonts w:hint="eastAsia" w:ascii="宋体" w:hAnsi="宋体"/>
          <w:sz w:val="24"/>
          <w:highlight w:val="none"/>
        </w:rPr>
        <w:t>附件3：</w:t>
      </w:r>
    </w:p>
    <w:p w14:paraId="4B52B534">
      <w:pPr>
        <w:spacing w:line="480" w:lineRule="exact"/>
        <w:jc w:val="center"/>
        <w:rPr>
          <w:rFonts w:ascii="宋体" w:hAnsi="宋体"/>
          <w:b/>
          <w:bCs/>
          <w:sz w:val="24"/>
          <w:highlight w:val="none"/>
        </w:rPr>
      </w:pPr>
      <w:r>
        <w:rPr>
          <w:rFonts w:hint="eastAsia" w:ascii="宋体" w:hAnsi="宋体"/>
          <w:b/>
          <w:bCs/>
          <w:sz w:val="24"/>
          <w:highlight w:val="none"/>
        </w:rPr>
        <w:t>投标保证金缴纳凭证</w:t>
      </w:r>
    </w:p>
    <w:p w14:paraId="1930222B">
      <w:pPr>
        <w:spacing w:line="480" w:lineRule="exact"/>
        <w:jc w:val="center"/>
        <w:rPr>
          <w:rFonts w:ascii="宋体" w:hAnsi="宋体"/>
          <w:b/>
          <w:bCs/>
          <w:sz w:val="28"/>
          <w:szCs w:val="28"/>
          <w:highlight w:val="none"/>
        </w:rPr>
      </w:pPr>
    </w:p>
    <w:p w14:paraId="08223FCA">
      <w:pPr>
        <w:spacing w:line="480" w:lineRule="exact"/>
        <w:jc w:val="center"/>
        <w:rPr>
          <w:rFonts w:ascii="宋体" w:hAnsi="宋体"/>
          <w:b/>
          <w:bCs/>
          <w:sz w:val="28"/>
          <w:szCs w:val="28"/>
          <w:highlight w:val="none"/>
        </w:rPr>
      </w:pPr>
    </w:p>
    <w:p w14:paraId="120341C2">
      <w:pPr>
        <w:spacing w:line="480" w:lineRule="exact"/>
        <w:jc w:val="center"/>
        <w:rPr>
          <w:rFonts w:ascii="宋体" w:hAnsi="宋体"/>
          <w:b/>
          <w:bCs/>
          <w:sz w:val="28"/>
          <w:szCs w:val="28"/>
          <w:highlight w:val="none"/>
        </w:rPr>
      </w:pPr>
    </w:p>
    <w:p w14:paraId="58424508">
      <w:pPr>
        <w:spacing w:line="480" w:lineRule="exact"/>
        <w:jc w:val="center"/>
        <w:rPr>
          <w:rFonts w:ascii="宋体" w:hAnsi="宋体"/>
          <w:b/>
          <w:bCs/>
          <w:sz w:val="28"/>
          <w:szCs w:val="28"/>
          <w:highlight w:val="none"/>
        </w:rPr>
      </w:pPr>
    </w:p>
    <w:p w14:paraId="56D46267">
      <w:pPr>
        <w:pStyle w:val="3"/>
        <w:jc w:val="center"/>
        <w:rPr>
          <w:rFonts w:ascii="宋体" w:hAnsi="宋体"/>
          <w:sz w:val="28"/>
          <w:szCs w:val="28"/>
          <w:highlight w:val="none"/>
        </w:rPr>
      </w:pPr>
      <w:r>
        <w:rPr>
          <w:rFonts w:ascii="宋体" w:hAnsi="宋体"/>
          <w:highlight w:val="none"/>
        </w:rPr>
        <w:br w:type="page"/>
      </w:r>
      <w:bookmarkStart w:id="77" w:name="_Toc20394"/>
      <w:bookmarkStart w:id="78" w:name="_Toc433187368"/>
      <w:r>
        <w:rPr>
          <w:rFonts w:hint="eastAsia" w:ascii="宋体" w:hAnsi="宋体"/>
          <w:sz w:val="28"/>
          <w:szCs w:val="28"/>
          <w:highlight w:val="none"/>
        </w:rPr>
        <w:t>四、报价一览表及报价明细表</w:t>
      </w:r>
      <w:bookmarkEnd w:id="77"/>
    </w:p>
    <w:p w14:paraId="65F13D13">
      <w:pPr>
        <w:rPr>
          <w:rFonts w:ascii="宋体" w:hAnsi="宋体"/>
          <w:highlight w:val="none"/>
        </w:rPr>
      </w:pPr>
    </w:p>
    <w:p w14:paraId="3FB17BF3">
      <w:pPr>
        <w:rPr>
          <w:rFonts w:ascii="宋体" w:hAnsi="宋体"/>
          <w:sz w:val="24"/>
          <w:highlight w:val="none"/>
        </w:rPr>
      </w:pPr>
    </w:p>
    <w:p w14:paraId="1FD6720D">
      <w:pPr>
        <w:rPr>
          <w:rFonts w:ascii="宋体" w:hAnsi="宋体"/>
          <w:sz w:val="24"/>
          <w:highlight w:val="none"/>
        </w:rPr>
      </w:pPr>
      <w:r>
        <w:rPr>
          <w:rFonts w:hint="eastAsia" w:ascii="宋体" w:hAnsi="宋体"/>
          <w:sz w:val="24"/>
          <w:highlight w:val="none"/>
        </w:rPr>
        <w:t xml:space="preserve">附件4    </w:t>
      </w:r>
    </w:p>
    <w:p w14:paraId="5AD03B69">
      <w:pPr>
        <w:adjustRightInd w:val="0"/>
        <w:snapToGrid w:val="0"/>
        <w:jc w:val="center"/>
        <w:rPr>
          <w:rFonts w:ascii="宋体" w:hAnsi="宋体"/>
          <w:b/>
          <w:sz w:val="28"/>
          <w:szCs w:val="28"/>
          <w:highlight w:val="none"/>
        </w:rPr>
      </w:pPr>
      <w:r>
        <w:rPr>
          <w:rFonts w:hint="eastAsia" w:ascii="宋体" w:hAnsi="宋体"/>
          <w:b/>
          <w:bCs/>
          <w:sz w:val="28"/>
          <w:szCs w:val="28"/>
          <w:highlight w:val="none"/>
        </w:rPr>
        <w:t>报价一览表</w:t>
      </w:r>
    </w:p>
    <w:p w14:paraId="38970F1C">
      <w:pPr>
        <w:spacing w:line="360" w:lineRule="exact"/>
        <w:jc w:val="left"/>
        <w:rPr>
          <w:rFonts w:ascii="宋体" w:hAnsi="宋体"/>
          <w:b/>
          <w:highlight w:val="none"/>
        </w:rPr>
      </w:pPr>
    </w:p>
    <w:p w14:paraId="095EBE6E">
      <w:pPr>
        <w:spacing w:line="360" w:lineRule="exact"/>
        <w:jc w:val="left"/>
        <w:rPr>
          <w:rFonts w:hint="eastAsia" w:ascii="宋体" w:hAnsi="宋体"/>
          <w:b/>
          <w:highlight w:val="none"/>
        </w:rPr>
      </w:pPr>
      <w:r>
        <w:rPr>
          <w:rFonts w:hint="eastAsia" w:ascii="宋体" w:hAnsi="宋体"/>
          <w:b/>
          <w:highlight w:val="none"/>
        </w:rPr>
        <w:t xml:space="preserve">项目名称：                                                                                    项目编号：  </w:t>
      </w:r>
    </w:p>
    <w:p w14:paraId="6088D22D">
      <w:pPr>
        <w:spacing w:line="360" w:lineRule="exact"/>
        <w:jc w:val="left"/>
        <w:rPr>
          <w:rFonts w:ascii="宋体" w:hAnsi="宋体"/>
          <w:sz w:val="24"/>
          <w:highlight w:val="none"/>
        </w:rPr>
      </w:pPr>
      <w:r>
        <w:rPr>
          <w:rFonts w:hint="eastAsia" w:ascii="宋体" w:hAnsi="宋体"/>
          <w:b/>
          <w:highlight w:val="none"/>
          <w:lang w:eastAsia="zh-CN"/>
        </w:rPr>
        <w:t>标项号：</w:t>
      </w:r>
      <w:r>
        <w:rPr>
          <w:rFonts w:hint="eastAsia" w:ascii="宋体" w:hAnsi="宋体"/>
          <w:b/>
          <w:highlight w:val="none"/>
        </w:rPr>
        <w:t xml:space="preserve">    </w:t>
      </w:r>
    </w:p>
    <w:tbl>
      <w:tblPr>
        <w:tblStyle w:val="46"/>
        <w:tblW w:w="848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93"/>
        <w:gridCol w:w="1827"/>
        <w:gridCol w:w="4668"/>
        <w:gridCol w:w="1299"/>
      </w:tblGrid>
      <w:tr w14:paraId="5250C5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0" w:hRule="atLeast"/>
          <w:jc w:val="center"/>
        </w:trPr>
        <w:tc>
          <w:tcPr>
            <w:tcW w:w="693" w:type="dxa"/>
            <w:tcBorders>
              <w:top w:val="single" w:color="auto" w:sz="4" w:space="0"/>
              <w:left w:val="single" w:color="auto" w:sz="4" w:space="0"/>
              <w:right w:val="single" w:color="auto" w:sz="4" w:space="0"/>
            </w:tcBorders>
            <w:vAlign w:val="center"/>
          </w:tcPr>
          <w:p w14:paraId="4987CC68">
            <w:pPr>
              <w:snapToGrid w:val="0"/>
              <w:spacing w:line="400" w:lineRule="exact"/>
              <w:jc w:val="center"/>
              <w:rPr>
                <w:rFonts w:ascii="宋体" w:hAnsi="宋体"/>
                <w:b/>
                <w:szCs w:val="21"/>
                <w:highlight w:val="none"/>
              </w:rPr>
            </w:pPr>
            <w:r>
              <w:rPr>
                <w:rFonts w:hint="eastAsia" w:ascii="宋体" w:hAnsi="宋体"/>
                <w:b/>
                <w:szCs w:val="21"/>
                <w:highlight w:val="none"/>
              </w:rPr>
              <w:t>序号</w:t>
            </w:r>
          </w:p>
        </w:tc>
        <w:tc>
          <w:tcPr>
            <w:tcW w:w="6495" w:type="dxa"/>
            <w:gridSpan w:val="2"/>
            <w:tcBorders>
              <w:top w:val="single" w:color="auto" w:sz="4" w:space="0"/>
              <w:left w:val="single" w:color="auto" w:sz="4" w:space="0"/>
              <w:right w:val="single" w:color="auto" w:sz="4" w:space="0"/>
            </w:tcBorders>
            <w:vAlign w:val="center"/>
          </w:tcPr>
          <w:p w14:paraId="21522840">
            <w:pPr>
              <w:snapToGrid w:val="0"/>
              <w:spacing w:line="400" w:lineRule="exact"/>
              <w:jc w:val="center"/>
              <w:rPr>
                <w:rFonts w:ascii="宋体" w:hAnsi="宋体"/>
                <w:b/>
                <w:szCs w:val="21"/>
                <w:highlight w:val="none"/>
              </w:rPr>
            </w:pPr>
            <w:r>
              <w:rPr>
                <w:rFonts w:hint="eastAsia" w:ascii="宋体" w:hAnsi="宋体"/>
                <w:b/>
                <w:szCs w:val="21"/>
                <w:highlight w:val="none"/>
              </w:rPr>
              <w:t>内容</w:t>
            </w:r>
          </w:p>
        </w:tc>
        <w:tc>
          <w:tcPr>
            <w:tcW w:w="1299" w:type="dxa"/>
            <w:tcBorders>
              <w:top w:val="single" w:color="auto" w:sz="4" w:space="0"/>
              <w:left w:val="single" w:color="auto" w:sz="4" w:space="0"/>
              <w:right w:val="single" w:color="auto" w:sz="4" w:space="0"/>
            </w:tcBorders>
            <w:vAlign w:val="center"/>
          </w:tcPr>
          <w:p w14:paraId="67F2BEF3">
            <w:pPr>
              <w:snapToGrid w:val="0"/>
              <w:spacing w:line="400" w:lineRule="exact"/>
              <w:jc w:val="center"/>
              <w:rPr>
                <w:rFonts w:ascii="宋体" w:hAnsi="宋体"/>
                <w:b/>
                <w:szCs w:val="21"/>
                <w:highlight w:val="none"/>
              </w:rPr>
            </w:pPr>
            <w:r>
              <w:rPr>
                <w:rFonts w:hint="eastAsia" w:ascii="宋体" w:hAnsi="宋体"/>
                <w:b/>
                <w:szCs w:val="21"/>
                <w:highlight w:val="none"/>
              </w:rPr>
              <w:t>备注</w:t>
            </w:r>
          </w:p>
        </w:tc>
      </w:tr>
      <w:tr w14:paraId="256E69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693" w:type="dxa"/>
            <w:tcBorders>
              <w:top w:val="single" w:color="auto" w:sz="4" w:space="0"/>
              <w:left w:val="single" w:color="auto" w:sz="4" w:space="0"/>
              <w:right w:val="single" w:color="auto" w:sz="4" w:space="0"/>
            </w:tcBorders>
            <w:vAlign w:val="center"/>
          </w:tcPr>
          <w:p w14:paraId="28803C52">
            <w:pPr>
              <w:snapToGrid w:val="0"/>
              <w:spacing w:line="400" w:lineRule="exact"/>
              <w:jc w:val="center"/>
              <w:rPr>
                <w:rFonts w:ascii="宋体" w:hAnsi="宋体"/>
                <w:szCs w:val="21"/>
                <w:highlight w:val="none"/>
              </w:rPr>
            </w:pPr>
            <w:r>
              <w:rPr>
                <w:rFonts w:hint="eastAsia" w:ascii="宋体" w:hAnsi="宋体"/>
                <w:szCs w:val="21"/>
                <w:highlight w:val="none"/>
              </w:rPr>
              <w:t>1</w:t>
            </w:r>
          </w:p>
        </w:tc>
        <w:tc>
          <w:tcPr>
            <w:tcW w:w="1827" w:type="dxa"/>
            <w:tcBorders>
              <w:top w:val="single" w:color="auto" w:sz="4" w:space="0"/>
              <w:left w:val="single" w:color="auto" w:sz="4" w:space="0"/>
              <w:right w:val="single" w:color="auto" w:sz="4" w:space="0"/>
            </w:tcBorders>
            <w:vAlign w:val="center"/>
          </w:tcPr>
          <w:p w14:paraId="06360DF7">
            <w:pPr>
              <w:snapToGrid w:val="0"/>
              <w:spacing w:line="400" w:lineRule="exact"/>
              <w:rPr>
                <w:rFonts w:ascii="宋体" w:hAnsi="宋体"/>
                <w:szCs w:val="21"/>
                <w:highlight w:val="none"/>
              </w:rPr>
            </w:pPr>
            <w:r>
              <w:rPr>
                <w:rFonts w:hint="eastAsia" w:ascii="宋体" w:hAnsi="宋体"/>
                <w:szCs w:val="21"/>
                <w:highlight w:val="none"/>
              </w:rPr>
              <w:t>投标人名称</w:t>
            </w:r>
          </w:p>
        </w:tc>
        <w:tc>
          <w:tcPr>
            <w:tcW w:w="4668" w:type="dxa"/>
            <w:tcBorders>
              <w:top w:val="single" w:color="auto" w:sz="4" w:space="0"/>
              <w:left w:val="single" w:color="auto" w:sz="4" w:space="0"/>
              <w:right w:val="single" w:color="auto" w:sz="4" w:space="0"/>
            </w:tcBorders>
            <w:vAlign w:val="center"/>
          </w:tcPr>
          <w:p w14:paraId="5D8902BA">
            <w:pPr>
              <w:snapToGrid w:val="0"/>
              <w:spacing w:line="400" w:lineRule="exact"/>
              <w:rPr>
                <w:rFonts w:ascii="宋体" w:hAnsi="宋体"/>
                <w:szCs w:val="21"/>
                <w:highlight w:val="none"/>
              </w:rPr>
            </w:pPr>
          </w:p>
        </w:tc>
        <w:tc>
          <w:tcPr>
            <w:tcW w:w="1299" w:type="dxa"/>
            <w:tcBorders>
              <w:top w:val="single" w:color="auto" w:sz="4" w:space="0"/>
              <w:left w:val="single" w:color="auto" w:sz="4" w:space="0"/>
              <w:right w:val="single" w:color="auto" w:sz="4" w:space="0"/>
            </w:tcBorders>
            <w:vAlign w:val="center"/>
          </w:tcPr>
          <w:p w14:paraId="4BF9D881">
            <w:pPr>
              <w:snapToGrid w:val="0"/>
              <w:spacing w:line="400" w:lineRule="exact"/>
              <w:jc w:val="center"/>
              <w:rPr>
                <w:rFonts w:ascii="宋体" w:hAnsi="宋体"/>
                <w:szCs w:val="21"/>
                <w:highlight w:val="none"/>
              </w:rPr>
            </w:pPr>
          </w:p>
        </w:tc>
      </w:tr>
      <w:tr w14:paraId="40B6A4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34" w:hRule="atLeast"/>
          <w:jc w:val="center"/>
        </w:trPr>
        <w:tc>
          <w:tcPr>
            <w:tcW w:w="693" w:type="dxa"/>
            <w:tcBorders>
              <w:top w:val="single" w:color="auto" w:sz="4" w:space="0"/>
              <w:left w:val="single" w:color="auto" w:sz="4" w:space="0"/>
              <w:right w:val="single" w:color="auto" w:sz="4" w:space="0"/>
            </w:tcBorders>
            <w:vAlign w:val="center"/>
          </w:tcPr>
          <w:p w14:paraId="08FB4C9D">
            <w:pPr>
              <w:snapToGrid w:val="0"/>
              <w:spacing w:line="400" w:lineRule="exact"/>
              <w:jc w:val="center"/>
              <w:rPr>
                <w:rFonts w:ascii="宋体" w:hAnsi="宋体"/>
                <w:szCs w:val="21"/>
                <w:highlight w:val="none"/>
              </w:rPr>
            </w:pPr>
            <w:r>
              <w:rPr>
                <w:rFonts w:hint="eastAsia" w:ascii="宋体" w:hAnsi="宋体"/>
                <w:szCs w:val="21"/>
                <w:highlight w:val="none"/>
              </w:rPr>
              <w:t>2</w:t>
            </w:r>
          </w:p>
        </w:tc>
        <w:tc>
          <w:tcPr>
            <w:tcW w:w="1827" w:type="dxa"/>
            <w:tcBorders>
              <w:top w:val="single" w:color="auto" w:sz="4" w:space="0"/>
              <w:left w:val="single" w:color="auto" w:sz="4" w:space="0"/>
              <w:bottom w:val="single" w:color="auto" w:sz="4" w:space="0"/>
              <w:right w:val="single" w:color="auto" w:sz="4" w:space="0"/>
            </w:tcBorders>
            <w:vAlign w:val="center"/>
          </w:tcPr>
          <w:p w14:paraId="685CFDC7">
            <w:pPr>
              <w:snapToGrid w:val="0"/>
              <w:spacing w:line="400" w:lineRule="exact"/>
              <w:rPr>
                <w:rFonts w:ascii="宋体" w:hAnsi="宋体"/>
                <w:szCs w:val="21"/>
                <w:highlight w:val="none"/>
              </w:rPr>
            </w:pPr>
            <w:r>
              <w:rPr>
                <w:rFonts w:hint="eastAsia" w:ascii="宋体" w:hAnsi="宋体"/>
                <w:szCs w:val="21"/>
                <w:highlight w:val="none"/>
              </w:rPr>
              <w:t>报价</w:t>
            </w:r>
          </w:p>
        </w:tc>
        <w:tc>
          <w:tcPr>
            <w:tcW w:w="4668" w:type="dxa"/>
            <w:tcBorders>
              <w:top w:val="single" w:color="auto" w:sz="4" w:space="0"/>
              <w:left w:val="single" w:color="auto" w:sz="4" w:space="0"/>
              <w:bottom w:val="single" w:color="auto" w:sz="4" w:space="0"/>
              <w:right w:val="single" w:color="auto" w:sz="4" w:space="0"/>
            </w:tcBorders>
            <w:vAlign w:val="center"/>
          </w:tcPr>
          <w:p w14:paraId="599B0824">
            <w:pPr>
              <w:widowControl/>
              <w:rPr>
                <w:rFonts w:ascii="宋体" w:hAnsi="宋体"/>
                <w:szCs w:val="21"/>
                <w:highlight w:val="none"/>
              </w:rPr>
            </w:pPr>
            <w:r>
              <w:rPr>
                <w:rFonts w:hint="eastAsia" w:ascii="宋体" w:hAnsi="宋体"/>
                <w:szCs w:val="21"/>
                <w:highlight w:val="none"/>
              </w:rPr>
              <w:t xml:space="preserve">大写：           </w:t>
            </w:r>
          </w:p>
          <w:p w14:paraId="1E24AFE5">
            <w:pPr>
              <w:snapToGrid w:val="0"/>
              <w:spacing w:line="400" w:lineRule="exact"/>
              <w:rPr>
                <w:rFonts w:ascii="宋体" w:hAnsi="宋体"/>
                <w:szCs w:val="21"/>
                <w:highlight w:val="none"/>
              </w:rPr>
            </w:pPr>
            <w:r>
              <w:rPr>
                <w:rFonts w:hint="eastAsia" w:ascii="宋体" w:hAnsi="宋体"/>
                <w:szCs w:val="21"/>
                <w:highlight w:val="none"/>
              </w:rPr>
              <w:t xml:space="preserve">小写：          </w:t>
            </w:r>
          </w:p>
        </w:tc>
        <w:tc>
          <w:tcPr>
            <w:tcW w:w="1299" w:type="dxa"/>
            <w:tcBorders>
              <w:top w:val="single" w:color="auto" w:sz="4" w:space="0"/>
              <w:left w:val="single" w:color="auto" w:sz="4" w:space="0"/>
              <w:bottom w:val="single" w:color="auto" w:sz="4" w:space="0"/>
              <w:right w:val="single" w:color="auto" w:sz="4" w:space="0"/>
            </w:tcBorders>
            <w:vAlign w:val="center"/>
          </w:tcPr>
          <w:p w14:paraId="152CF06A">
            <w:pPr>
              <w:snapToGrid w:val="0"/>
              <w:spacing w:line="400" w:lineRule="exact"/>
              <w:jc w:val="center"/>
              <w:rPr>
                <w:rFonts w:ascii="宋体" w:hAnsi="宋体"/>
                <w:szCs w:val="21"/>
                <w:highlight w:val="none"/>
              </w:rPr>
            </w:pPr>
          </w:p>
        </w:tc>
      </w:tr>
      <w:tr w14:paraId="17B5E7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693" w:type="dxa"/>
            <w:tcBorders>
              <w:top w:val="single" w:color="auto" w:sz="4" w:space="0"/>
              <w:left w:val="single" w:color="auto" w:sz="4" w:space="0"/>
              <w:bottom w:val="single" w:color="auto" w:sz="4" w:space="0"/>
              <w:right w:val="single" w:color="auto" w:sz="4" w:space="0"/>
            </w:tcBorders>
            <w:vAlign w:val="center"/>
          </w:tcPr>
          <w:p w14:paraId="629F8678">
            <w:pPr>
              <w:snapToGrid w:val="0"/>
              <w:spacing w:line="400" w:lineRule="exact"/>
              <w:jc w:val="center"/>
              <w:rPr>
                <w:rFonts w:ascii="宋体" w:hAnsi="宋体"/>
                <w:szCs w:val="21"/>
                <w:highlight w:val="none"/>
              </w:rPr>
            </w:pPr>
            <w:r>
              <w:rPr>
                <w:rFonts w:hint="eastAsia" w:ascii="宋体" w:hAnsi="宋体"/>
                <w:szCs w:val="21"/>
                <w:highlight w:val="none"/>
              </w:rPr>
              <w:t>3</w:t>
            </w:r>
          </w:p>
        </w:tc>
        <w:tc>
          <w:tcPr>
            <w:tcW w:w="1827" w:type="dxa"/>
            <w:tcBorders>
              <w:top w:val="single" w:color="auto" w:sz="4" w:space="0"/>
              <w:left w:val="single" w:color="auto" w:sz="4" w:space="0"/>
              <w:bottom w:val="single" w:color="auto" w:sz="4" w:space="0"/>
              <w:right w:val="single" w:color="auto" w:sz="4" w:space="0"/>
            </w:tcBorders>
            <w:vAlign w:val="center"/>
          </w:tcPr>
          <w:p w14:paraId="52092C5A">
            <w:pPr>
              <w:snapToGrid w:val="0"/>
              <w:spacing w:line="400" w:lineRule="exact"/>
              <w:rPr>
                <w:rFonts w:ascii="宋体" w:hAnsi="宋体"/>
                <w:szCs w:val="21"/>
                <w:highlight w:val="none"/>
              </w:rPr>
            </w:pPr>
            <w:r>
              <w:rPr>
                <w:rFonts w:hint="eastAsia" w:ascii="宋体" w:hAnsi="宋体"/>
                <w:szCs w:val="21"/>
                <w:highlight w:val="none"/>
              </w:rPr>
              <w:t>合同履行期限</w:t>
            </w:r>
          </w:p>
        </w:tc>
        <w:tc>
          <w:tcPr>
            <w:tcW w:w="4668" w:type="dxa"/>
            <w:tcBorders>
              <w:top w:val="single" w:color="auto" w:sz="4" w:space="0"/>
              <w:left w:val="single" w:color="auto" w:sz="4" w:space="0"/>
              <w:bottom w:val="single" w:color="auto" w:sz="4" w:space="0"/>
              <w:right w:val="single" w:color="auto" w:sz="4" w:space="0"/>
            </w:tcBorders>
            <w:vAlign w:val="center"/>
          </w:tcPr>
          <w:p w14:paraId="0AC36DB4">
            <w:pPr>
              <w:snapToGrid w:val="0"/>
              <w:spacing w:line="400" w:lineRule="exact"/>
              <w:ind w:left="2559"/>
              <w:rPr>
                <w:rFonts w:ascii="宋体" w:hAnsi="宋体"/>
                <w:szCs w:val="21"/>
                <w:highlight w:val="none"/>
                <w:u w:val="single"/>
              </w:rPr>
            </w:pPr>
          </w:p>
        </w:tc>
        <w:tc>
          <w:tcPr>
            <w:tcW w:w="1299" w:type="dxa"/>
            <w:tcBorders>
              <w:top w:val="single" w:color="auto" w:sz="4" w:space="0"/>
              <w:left w:val="single" w:color="auto" w:sz="4" w:space="0"/>
              <w:bottom w:val="single" w:color="auto" w:sz="4" w:space="0"/>
              <w:right w:val="single" w:color="auto" w:sz="4" w:space="0"/>
            </w:tcBorders>
            <w:vAlign w:val="center"/>
          </w:tcPr>
          <w:p w14:paraId="67D41B69">
            <w:pPr>
              <w:snapToGrid w:val="0"/>
              <w:spacing w:line="400" w:lineRule="exact"/>
              <w:jc w:val="center"/>
              <w:rPr>
                <w:rFonts w:ascii="宋体" w:hAnsi="宋体"/>
                <w:szCs w:val="21"/>
                <w:highlight w:val="none"/>
                <w:u w:val="single"/>
              </w:rPr>
            </w:pPr>
          </w:p>
        </w:tc>
      </w:tr>
      <w:tr w14:paraId="1F73F2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693" w:type="dxa"/>
            <w:tcBorders>
              <w:top w:val="single" w:color="auto" w:sz="4" w:space="0"/>
              <w:left w:val="single" w:color="auto" w:sz="4" w:space="0"/>
              <w:bottom w:val="single" w:color="auto" w:sz="4" w:space="0"/>
              <w:right w:val="single" w:color="auto" w:sz="4" w:space="0"/>
            </w:tcBorders>
            <w:vAlign w:val="center"/>
          </w:tcPr>
          <w:p w14:paraId="14600715">
            <w:pPr>
              <w:snapToGrid w:val="0"/>
              <w:spacing w:line="400" w:lineRule="exact"/>
              <w:jc w:val="center"/>
              <w:rPr>
                <w:rFonts w:ascii="宋体" w:hAnsi="宋体"/>
                <w:szCs w:val="21"/>
                <w:highlight w:val="none"/>
              </w:rPr>
            </w:pPr>
            <w:r>
              <w:rPr>
                <w:rFonts w:hint="eastAsia" w:ascii="宋体" w:hAnsi="宋体"/>
                <w:szCs w:val="21"/>
                <w:highlight w:val="none"/>
              </w:rPr>
              <w:t>4</w:t>
            </w:r>
          </w:p>
        </w:tc>
        <w:tc>
          <w:tcPr>
            <w:tcW w:w="1827" w:type="dxa"/>
            <w:tcBorders>
              <w:top w:val="single" w:color="auto" w:sz="4" w:space="0"/>
              <w:left w:val="single" w:color="auto" w:sz="4" w:space="0"/>
              <w:bottom w:val="single" w:color="auto" w:sz="4" w:space="0"/>
              <w:right w:val="single" w:color="auto" w:sz="4" w:space="0"/>
            </w:tcBorders>
            <w:vAlign w:val="center"/>
          </w:tcPr>
          <w:p w14:paraId="79DEEC0F">
            <w:pPr>
              <w:snapToGrid w:val="0"/>
              <w:spacing w:line="400" w:lineRule="exact"/>
              <w:rPr>
                <w:rFonts w:ascii="宋体" w:hAnsi="宋体"/>
                <w:szCs w:val="21"/>
                <w:highlight w:val="none"/>
              </w:rPr>
            </w:pPr>
            <w:r>
              <w:rPr>
                <w:rFonts w:hint="eastAsia" w:ascii="宋体" w:hAnsi="宋体"/>
                <w:szCs w:val="21"/>
                <w:highlight w:val="none"/>
              </w:rPr>
              <w:t>其他事项声明</w:t>
            </w:r>
          </w:p>
        </w:tc>
        <w:tc>
          <w:tcPr>
            <w:tcW w:w="4668" w:type="dxa"/>
            <w:tcBorders>
              <w:top w:val="single" w:color="auto" w:sz="4" w:space="0"/>
              <w:left w:val="single" w:color="auto" w:sz="4" w:space="0"/>
              <w:bottom w:val="single" w:color="auto" w:sz="4" w:space="0"/>
              <w:right w:val="single" w:color="auto" w:sz="4" w:space="0"/>
            </w:tcBorders>
            <w:vAlign w:val="center"/>
          </w:tcPr>
          <w:p w14:paraId="0A13F963">
            <w:pPr>
              <w:snapToGrid w:val="0"/>
              <w:spacing w:line="400" w:lineRule="exact"/>
              <w:ind w:left="2559"/>
              <w:jc w:val="left"/>
              <w:rPr>
                <w:rFonts w:ascii="宋体" w:hAnsi="宋体"/>
                <w:szCs w:val="21"/>
                <w:highlight w:val="none"/>
                <w:u w:val="single"/>
              </w:rPr>
            </w:pPr>
          </w:p>
        </w:tc>
        <w:tc>
          <w:tcPr>
            <w:tcW w:w="1299" w:type="dxa"/>
            <w:tcBorders>
              <w:top w:val="single" w:color="auto" w:sz="4" w:space="0"/>
              <w:left w:val="single" w:color="auto" w:sz="4" w:space="0"/>
              <w:bottom w:val="single" w:color="auto" w:sz="4" w:space="0"/>
              <w:right w:val="single" w:color="auto" w:sz="4" w:space="0"/>
            </w:tcBorders>
            <w:vAlign w:val="center"/>
          </w:tcPr>
          <w:p w14:paraId="46B5FB2F">
            <w:pPr>
              <w:snapToGrid w:val="0"/>
              <w:spacing w:line="400" w:lineRule="exact"/>
              <w:jc w:val="center"/>
              <w:rPr>
                <w:rFonts w:ascii="宋体" w:hAnsi="宋体"/>
                <w:szCs w:val="21"/>
                <w:highlight w:val="none"/>
                <w:u w:val="single"/>
              </w:rPr>
            </w:pPr>
          </w:p>
        </w:tc>
      </w:tr>
    </w:tbl>
    <w:p w14:paraId="29691468">
      <w:pPr>
        <w:adjustRightInd w:val="0"/>
        <w:snapToGrid w:val="0"/>
        <w:spacing w:line="360" w:lineRule="auto"/>
        <w:rPr>
          <w:rFonts w:ascii="宋体" w:hAnsi="宋体"/>
          <w:szCs w:val="21"/>
          <w:highlight w:val="none"/>
        </w:rPr>
      </w:pPr>
    </w:p>
    <w:p w14:paraId="7A2B5BAD">
      <w:pPr>
        <w:adjustRightInd w:val="0"/>
        <w:snapToGrid w:val="0"/>
        <w:spacing w:line="360" w:lineRule="auto"/>
        <w:rPr>
          <w:rFonts w:ascii="宋体" w:hAnsi="宋体"/>
          <w:szCs w:val="21"/>
          <w:highlight w:val="none"/>
        </w:rPr>
      </w:pPr>
      <w:r>
        <w:rPr>
          <w:rFonts w:hint="eastAsia" w:ascii="宋体" w:hAnsi="宋体"/>
          <w:szCs w:val="21"/>
          <w:highlight w:val="none"/>
        </w:rPr>
        <w:t>注: 1、报价一经涂改，应在涂改处加盖单位公章或者由法定代表人或授权委托人签字或盖章，否则其投标作无效处理。</w:t>
      </w:r>
    </w:p>
    <w:p w14:paraId="13C705D4">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2、</w:t>
      </w:r>
      <w:r>
        <w:rPr>
          <w:rFonts w:hint="eastAsia" w:ascii="宋体" w:hAnsi="宋体"/>
          <w:b/>
          <w:szCs w:val="21"/>
          <w:highlight w:val="none"/>
        </w:rPr>
        <w:t>须附详细的报价明细表，报价明细表中总金额和此表中首次投标报价一致。</w:t>
      </w:r>
    </w:p>
    <w:p w14:paraId="51CAA4B6">
      <w:pPr>
        <w:adjustRightInd w:val="0"/>
        <w:snapToGrid w:val="0"/>
        <w:spacing w:line="360" w:lineRule="auto"/>
        <w:rPr>
          <w:rFonts w:ascii="宋体" w:hAnsi="宋体"/>
          <w:szCs w:val="21"/>
          <w:highlight w:val="none"/>
        </w:rPr>
      </w:pPr>
    </w:p>
    <w:p w14:paraId="5E5C16EA">
      <w:pPr>
        <w:adjustRightInd w:val="0"/>
        <w:snapToGrid w:val="0"/>
        <w:spacing w:line="360" w:lineRule="auto"/>
        <w:rPr>
          <w:rFonts w:ascii="宋体" w:hAnsi="宋体"/>
          <w:szCs w:val="21"/>
          <w:highlight w:val="none"/>
        </w:rPr>
      </w:pPr>
    </w:p>
    <w:p w14:paraId="62A0D8C9">
      <w:pPr>
        <w:pStyle w:val="24"/>
        <w:adjustRightInd w:val="0"/>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投标人名称(盖单位章)：</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14F5D024">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法定代表人或其委托代理人 (签字</w:t>
      </w:r>
      <w:r>
        <w:rPr>
          <w:rFonts w:hint="eastAsia" w:ascii="宋体" w:hAnsi="宋体"/>
          <w:color w:val="auto"/>
          <w:szCs w:val="21"/>
          <w:highlight w:val="none"/>
          <w:lang w:eastAsia="zh-CN"/>
        </w:rPr>
        <w:t>或盖章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7534AEC9">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日期：</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04C9AA1E">
      <w:pPr>
        <w:rPr>
          <w:rFonts w:hint="eastAsia" w:ascii="宋体" w:hAnsi="宋体"/>
          <w:sz w:val="24"/>
          <w:highlight w:val="none"/>
        </w:rPr>
      </w:pPr>
      <w:r>
        <w:rPr>
          <w:rFonts w:hint="eastAsia" w:ascii="宋体" w:hAnsi="宋体"/>
          <w:sz w:val="24"/>
          <w:highlight w:val="none"/>
        </w:rPr>
        <w:br w:type="page"/>
      </w:r>
    </w:p>
    <w:p w14:paraId="79E9B260">
      <w:pPr>
        <w:adjustRightInd w:val="0"/>
        <w:snapToGrid w:val="0"/>
        <w:rPr>
          <w:rFonts w:ascii="宋体" w:hAnsi="宋体"/>
          <w:b/>
          <w:sz w:val="30"/>
          <w:szCs w:val="30"/>
          <w:highlight w:val="none"/>
        </w:rPr>
      </w:pPr>
      <w:r>
        <w:rPr>
          <w:rFonts w:hint="eastAsia" w:ascii="宋体" w:hAnsi="宋体"/>
          <w:sz w:val="24"/>
          <w:highlight w:val="none"/>
        </w:rPr>
        <w:t xml:space="preserve">附件5  </w:t>
      </w:r>
    </w:p>
    <w:p w14:paraId="479391A8">
      <w:pPr>
        <w:adjustRightInd w:val="0"/>
        <w:snapToGrid w:val="0"/>
        <w:jc w:val="center"/>
        <w:rPr>
          <w:rFonts w:ascii="宋体" w:hAnsi="宋体"/>
          <w:b/>
          <w:sz w:val="24"/>
          <w:highlight w:val="none"/>
        </w:rPr>
      </w:pPr>
      <w:r>
        <w:rPr>
          <w:rFonts w:hint="eastAsia" w:ascii="宋体" w:hAnsi="宋体"/>
          <w:b/>
          <w:sz w:val="24"/>
          <w:highlight w:val="none"/>
        </w:rPr>
        <w:t xml:space="preserve">报价明细表 </w:t>
      </w:r>
    </w:p>
    <w:p w14:paraId="5E561FAD">
      <w:pPr>
        <w:spacing w:line="360" w:lineRule="exact"/>
        <w:ind w:firstLine="211" w:firstLineChars="100"/>
        <w:rPr>
          <w:rFonts w:ascii="宋体" w:hAnsi="宋体"/>
          <w:b/>
          <w:highlight w:val="none"/>
        </w:rPr>
      </w:pPr>
    </w:p>
    <w:p w14:paraId="5A63E923">
      <w:pPr>
        <w:spacing w:line="360" w:lineRule="exact"/>
        <w:jc w:val="left"/>
        <w:rPr>
          <w:rFonts w:ascii="宋体" w:hAnsi="宋体"/>
          <w:b/>
          <w:highlight w:val="none"/>
        </w:rPr>
      </w:pPr>
      <w:r>
        <w:rPr>
          <w:rFonts w:hint="eastAsia" w:ascii="宋体" w:hAnsi="宋体"/>
          <w:b/>
          <w:highlight w:val="none"/>
        </w:rPr>
        <w:t xml:space="preserve">项目名称：                                                        </w:t>
      </w:r>
    </w:p>
    <w:p w14:paraId="31C0C5E7">
      <w:pPr>
        <w:spacing w:line="360" w:lineRule="exact"/>
        <w:jc w:val="left"/>
        <w:rPr>
          <w:rFonts w:hint="eastAsia" w:ascii="宋体" w:hAnsi="宋体"/>
          <w:b/>
          <w:highlight w:val="none"/>
          <w:lang w:val="en-US" w:eastAsia="zh-CN"/>
        </w:rPr>
      </w:pPr>
      <w:r>
        <w:rPr>
          <w:rFonts w:hint="eastAsia" w:ascii="宋体" w:hAnsi="宋体"/>
          <w:b/>
          <w:highlight w:val="none"/>
        </w:rPr>
        <w:t xml:space="preserve">项目编号： </w:t>
      </w:r>
      <w:r>
        <w:rPr>
          <w:rFonts w:hint="eastAsia" w:ascii="宋体" w:hAnsi="宋体"/>
          <w:b/>
          <w:highlight w:val="none"/>
          <w:lang w:val="en-US" w:eastAsia="zh-CN"/>
        </w:rPr>
        <w:t xml:space="preserve">  </w:t>
      </w:r>
    </w:p>
    <w:p w14:paraId="370F3EB1">
      <w:pPr>
        <w:spacing w:line="360" w:lineRule="exact"/>
        <w:jc w:val="left"/>
        <w:rPr>
          <w:rFonts w:ascii="宋体" w:hAnsi="宋体"/>
          <w:b/>
          <w:highlight w:val="none"/>
        </w:rPr>
      </w:pPr>
      <w:r>
        <w:rPr>
          <w:rFonts w:hint="eastAsia" w:ascii="宋体" w:hAnsi="宋体"/>
          <w:b/>
          <w:highlight w:val="none"/>
          <w:lang w:val="en-US" w:eastAsia="zh-CN"/>
        </w:rPr>
        <w:t xml:space="preserve">标项号：       </w:t>
      </w:r>
      <w:r>
        <w:rPr>
          <w:rFonts w:hint="eastAsia" w:ascii="宋体" w:hAnsi="宋体"/>
          <w:b/>
          <w:highlight w:val="none"/>
        </w:rPr>
        <w:t xml:space="preserve">                                                金额单位：元</w:t>
      </w:r>
    </w:p>
    <w:tbl>
      <w:tblPr>
        <w:tblStyle w:val="46"/>
        <w:tblW w:w="8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
        <w:gridCol w:w="1712"/>
        <w:gridCol w:w="782"/>
        <w:gridCol w:w="836"/>
        <w:gridCol w:w="842"/>
        <w:gridCol w:w="867"/>
        <w:gridCol w:w="951"/>
        <w:gridCol w:w="1112"/>
        <w:gridCol w:w="682"/>
      </w:tblGrid>
      <w:tr w14:paraId="4325B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jc w:val="center"/>
        </w:trPr>
        <w:tc>
          <w:tcPr>
            <w:tcW w:w="518" w:type="dxa"/>
            <w:vAlign w:val="center"/>
          </w:tcPr>
          <w:p w14:paraId="2605FA1E">
            <w:pPr>
              <w:jc w:val="center"/>
              <w:rPr>
                <w:rFonts w:ascii="宋体" w:hAnsi="宋体"/>
                <w:highlight w:val="none"/>
              </w:rPr>
            </w:pPr>
            <w:r>
              <w:rPr>
                <w:rFonts w:hint="eastAsia" w:ascii="宋体" w:hAnsi="宋体"/>
                <w:highlight w:val="none"/>
              </w:rPr>
              <w:t>序号</w:t>
            </w:r>
          </w:p>
        </w:tc>
        <w:tc>
          <w:tcPr>
            <w:tcW w:w="1712" w:type="dxa"/>
            <w:vAlign w:val="center"/>
          </w:tcPr>
          <w:p w14:paraId="709EB2C8">
            <w:pPr>
              <w:jc w:val="center"/>
              <w:rPr>
                <w:rFonts w:ascii="宋体" w:hAnsi="宋体"/>
                <w:highlight w:val="none"/>
              </w:rPr>
            </w:pPr>
            <w:r>
              <w:rPr>
                <w:rFonts w:hint="eastAsia" w:ascii="宋体" w:hAnsi="宋体"/>
                <w:highlight w:val="none"/>
              </w:rPr>
              <w:t>费用名称</w:t>
            </w:r>
          </w:p>
        </w:tc>
        <w:tc>
          <w:tcPr>
            <w:tcW w:w="782" w:type="dxa"/>
            <w:vAlign w:val="center"/>
          </w:tcPr>
          <w:p w14:paraId="3AA9EF9D">
            <w:pPr>
              <w:jc w:val="center"/>
              <w:rPr>
                <w:rFonts w:ascii="宋体" w:hAnsi="宋体"/>
                <w:highlight w:val="none"/>
              </w:rPr>
            </w:pPr>
            <w:r>
              <w:rPr>
                <w:rFonts w:hint="eastAsia" w:ascii="宋体" w:hAnsi="宋体"/>
                <w:highlight w:val="none"/>
              </w:rPr>
              <w:t>数量</w:t>
            </w:r>
          </w:p>
        </w:tc>
        <w:tc>
          <w:tcPr>
            <w:tcW w:w="836" w:type="dxa"/>
            <w:vAlign w:val="center"/>
          </w:tcPr>
          <w:p w14:paraId="09DDC14B">
            <w:pPr>
              <w:jc w:val="center"/>
              <w:rPr>
                <w:rFonts w:ascii="宋体" w:hAnsi="宋体"/>
                <w:highlight w:val="none"/>
              </w:rPr>
            </w:pPr>
            <w:r>
              <w:rPr>
                <w:rFonts w:hint="eastAsia" w:ascii="宋体" w:hAnsi="宋体"/>
                <w:highlight w:val="none"/>
              </w:rPr>
              <w:t>单位</w:t>
            </w:r>
          </w:p>
        </w:tc>
        <w:tc>
          <w:tcPr>
            <w:tcW w:w="842" w:type="dxa"/>
            <w:vAlign w:val="center"/>
          </w:tcPr>
          <w:p w14:paraId="2DB71463">
            <w:pPr>
              <w:jc w:val="center"/>
              <w:rPr>
                <w:rFonts w:ascii="宋体" w:hAnsi="宋体"/>
                <w:highlight w:val="none"/>
              </w:rPr>
            </w:pPr>
            <w:r>
              <w:rPr>
                <w:rFonts w:hint="eastAsia" w:ascii="宋体" w:hAnsi="宋体"/>
                <w:highlight w:val="none"/>
              </w:rPr>
              <w:t>品牌</w:t>
            </w:r>
          </w:p>
        </w:tc>
        <w:tc>
          <w:tcPr>
            <w:tcW w:w="867" w:type="dxa"/>
            <w:vAlign w:val="center"/>
          </w:tcPr>
          <w:p w14:paraId="33E1F2D8">
            <w:pPr>
              <w:jc w:val="center"/>
              <w:rPr>
                <w:rFonts w:ascii="宋体" w:hAnsi="宋体"/>
                <w:highlight w:val="none"/>
              </w:rPr>
            </w:pPr>
            <w:r>
              <w:rPr>
                <w:rFonts w:hint="eastAsia" w:ascii="宋体" w:hAnsi="宋体"/>
                <w:highlight w:val="none"/>
              </w:rPr>
              <w:t>型号</w:t>
            </w:r>
          </w:p>
        </w:tc>
        <w:tc>
          <w:tcPr>
            <w:tcW w:w="951" w:type="dxa"/>
            <w:vAlign w:val="center"/>
          </w:tcPr>
          <w:p w14:paraId="3F3640CC">
            <w:pPr>
              <w:jc w:val="center"/>
              <w:rPr>
                <w:rFonts w:ascii="宋体" w:hAnsi="宋体"/>
                <w:highlight w:val="none"/>
              </w:rPr>
            </w:pPr>
            <w:r>
              <w:rPr>
                <w:rFonts w:hint="eastAsia" w:ascii="宋体" w:hAnsi="宋体"/>
                <w:highlight w:val="none"/>
              </w:rPr>
              <w:t>单价(元</w:t>
            </w:r>
            <w:r>
              <w:rPr>
                <w:rFonts w:ascii="宋体" w:hAnsi="宋体"/>
                <w:highlight w:val="none"/>
              </w:rPr>
              <w:t>)</w:t>
            </w:r>
          </w:p>
        </w:tc>
        <w:tc>
          <w:tcPr>
            <w:tcW w:w="1112" w:type="dxa"/>
            <w:vAlign w:val="center"/>
          </w:tcPr>
          <w:p w14:paraId="54DE82BB">
            <w:pPr>
              <w:jc w:val="center"/>
              <w:rPr>
                <w:rFonts w:ascii="宋体" w:hAnsi="宋体"/>
                <w:highlight w:val="none"/>
              </w:rPr>
            </w:pPr>
            <w:r>
              <w:rPr>
                <w:rFonts w:hint="eastAsia" w:ascii="宋体" w:hAnsi="宋体"/>
                <w:highlight w:val="none"/>
              </w:rPr>
              <w:t>合计（元）</w:t>
            </w:r>
          </w:p>
        </w:tc>
        <w:tc>
          <w:tcPr>
            <w:tcW w:w="682" w:type="dxa"/>
            <w:vAlign w:val="center"/>
          </w:tcPr>
          <w:p w14:paraId="56B29165">
            <w:pPr>
              <w:jc w:val="center"/>
              <w:rPr>
                <w:rFonts w:ascii="宋体" w:hAnsi="宋体"/>
                <w:highlight w:val="none"/>
              </w:rPr>
            </w:pPr>
            <w:r>
              <w:rPr>
                <w:rFonts w:hint="eastAsia" w:ascii="宋体" w:hAnsi="宋体"/>
                <w:highlight w:val="none"/>
              </w:rPr>
              <w:t>备注</w:t>
            </w:r>
          </w:p>
        </w:tc>
      </w:tr>
      <w:tr w14:paraId="18AE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18" w:type="dxa"/>
            <w:vAlign w:val="center"/>
          </w:tcPr>
          <w:p w14:paraId="46B84D5D">
            <w:pPr>
              <w:jc w:val="center"/>
              <w:rPr>
                <w:rFonts w:ascii="宋体" w:hAnsi="宋体"/>
                <w:highlight w:val="none"/>
              </w:rPr>
            </w:pPr>
          </w:p>
        </w:tc>
        <w:tc>
          <w:tcPr>
            <w:tcW w:w="1712" w:type="dxa"/>
            <w:vAlign w:val="center"/>
          </w:tcPr>
          <w:p w14:paraId="6BEA9442">
            <w:pPr>
              <w:jc w:val="center"/>
              <w:rPr>
                <w:rFonts w:ascii="宋体" w:hAnsi="宋体"/>
                <w:highlight w:val="none"/>
              </w:rPr>
            </w:pPr>
          </w:p>
        </w:tc>
        <w:tc>
          <w:tcPr>
            <w:tcW w:w="782" w:type="dxa"/>
          </w:tcPr>
          <w:p w14:paraId="71E284F0">
            <w:pPr>
              <w:jc w:val="center"/>
              <w:rPr>
                <w:rFonts w:ascii="宋体" w:hAnsi="宋体"/>
                <w:highlight w:val="none"/>
              </w:rPr>
            </w:pPr>
          </w:p>
        </w:tc>
        <w:tc>
          <w:tcPr>
            <w:tcW w:w="836" w:type="dxa"/>
          </w:tcPr>
          <w:p w14:paraId="5B3A0D2F">
            <w:pPr>
              <w:jc w:val="center"/>
              <w:rPr>
                <w:rFonts w:ascii="宋体" w:hAnsi="宋体"/>
                <w:highlight w:val="none"/>
              </w:rPr>
            </w:pPr>
          </w:p>
        </w:tc>
        <w:tc>
          <w:tcPr>
            <w:tcW w:w="842" w:type="dxa"/>
          </w:tcPr>
          <w:p w14:paraId="3E8ACA58">
            <w:pPr>
              <w:jc w:val="center"/>
              <w:rPr>
                <w:rFonts w:ascii="宋体" w:hAnsi="宋体"/>
                <w:highlight w:val="none"/>
              </w:rPr>
            </w:pPr>
          </w:p>
        </w:tc>
        <w:tc>
          <w:tcPr>
            <w:tcW w:w="867" w:type="dxa"/>
          </w:tcPr>
          <w:p w14:paraId="61AF4664">
            <w:pPr>
              <w:jc w:val="center"/>
              <w:rPr>
                <w:rFonts w:ascii="宋体" w:hAnsi="宋体"/>
                <w:highlight w:val="none"/>
              </w:rPr>
            </w:pPr>
          </w:p>
        </w:tc>
        <w:tc>
          <w:tcPr>
            <w:tcW w:w="951" w:type="dxa"/>
          </w:tcPr>
          <w:p w14:paraId="4C6FFA87">
            <w:pPr>
              <w:jc w:val="center"/>
              <w:rPr>
                <w:rFonts w:ascii="宋体" w:hAnsi="宋体"/>
                <w:highlight w:val="none"/>
              </w:rPr>
            </w:pPr>
          </w:p>
        </w:tc>
        <w:tc>
          <w:tcPr>
            <w:tcW w:w="1112" w:type="dxa"/>
            <w:vAlign w:val="center"/>
          </w:tcPr>
          <w:p w14:paraId="2CB43E2C">
            <w:pPr>
              <w:jc w:val="center"/>
              <w:rPr>
                <w:rFonts w:ascii="宋体" w:hAnsi="宋体"/>
                <w:highlight w:val="none"/>
              </w:rPr>
            </w:pPr>
          </w:p>
        </w:tc>
        <w:tc>
          <w:tcPr>
            <w:tcW w:w="682" w:type="dxa"/>
            <w:vAlign w:val="center"/>
          </w:tcPr>
          <w:p w14:paraId="7629C4E3">
            <w:pPr>
              <w:jc w:val="center"/>
              <w:rPr>
                <w:rFonts w:ascii="宋体" w:hAnsi="宋体"/>
                <w:highlight w:val="none"/>
              </w:rPr>
            </w:pPr>
          </w:p>
        </w:tc>
      </w:tr>
      <w:tr w14:paraId="1EB0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18" w:type="dxa"/>
            <w:vAlign w:val="center"/>
          </w:tcPr>
          <w:p w14:paraId="70E863E6">
            <w:pPr>
              <w:jc w:val="center"/>
              <w:rPr>
                <w:rFonts w:ascii="宋体" w:hAnsi="宋体"/>
                <w:highlight w:val="none"/>
              </w:rPr>
            </w:pPr>
          </w:p>
        </w:tc>
        <w:tc>
          <w:tcPr>
            <w:tcW w:w="1712" w:type="dxa"/>
            <w:vAlign w:val="center"/>
          </w:tcPr>
          <w:p w14:paraId="61886A89">
            <w:pPr>
              <w:jc w:val="center"/>
              <w:rPr>
                <w:rFonts w:ascii="宋体" w:hAnsi="宋体"/>
                <w:highlight w:val="none"/>
              </w:rPr>
            </w:pPr>
          </w:p>
        </w:tc>
        <w:tc>
          <w:tcPr>
            <w:tcW w:w="782" w:type="dxa"/>
          </w:tcPr>
          <w:p w14:paraId="13622FB8">
            <w:pPr>
              <w:jc w:val="center"/>
              <w:rPr>
                <w:rFonts w:ascii="宋体" w:hAnsi="宋体"/>
                <w:highlight w:val="none"/>
              </w:rPr>
            </w:pPr>
          </w:p>
        </w:tc>
        <w:tc>
          <w:tcPr>
            <w:tcW w:w="836" w:type="dxa"/>
          </w:tcPr>
          <w:p w14:paraId="16FD76D8">
            <w:pPr>
              <w:jc w:val="center"/>
              <w:rPr>
                <w:rFonts w:ascii="宋体" w:hAnsi="宋体"/>
                <w:highlight w:val="none"/>
              </w:rPr>
            </w:pPr>
          </w:p>
        </w:tc>
        <w:tc>
          <w:tcPr>
            <w:tcW w:w="842" w:type="dxa"/>
          </w:tcPr>
          <w:p w14:paraId="4A534FA4">
            <w:pPr>
              <w:jc w:val="center"/>
              <w:rPr>
                <w:rFonts w:ascii="宋体" w:hAnsi="宋体"/>
                <w:highlight w:val="none"/>
              </w:rPr>
            </w:pPr>
          </w:p>
        </w:tc>
        <w:tc>
          <w:tcPr>
            <w:tcW w:w="867" w:type="dxa"/>
          </w:tcPr>
          <w:p w14:paraId="442E8F06">
            <w:pPr>
              <w:jc w:val="center"/>
              <w:rPr>
                <w:rFonts w:ascii="宋体" w:hAnsi="宋体"/>
                <w:highlight w:val="none"/>
              </w:rPr>
            </w:pPr>
          </w:p>
        </w:tc>
        <w:tc>
          <w:tcPr>
            <w:tcW w:w="951" w:type="dxa"/>
          </w:tcPr>
          <w:p w14:paraId="1D6F6940">
            <w:pPr>
              <w:jc w:val="center"/>
              <w:rPr>
                <w:rFonts w:ascii="宋体" w:hAnsi="宋体"/>
                <w:highlight w:val="none"/>
              </w:rPr>
            </w:pPr>
          </w:p>
        </w:tc>
        <w:tc>
          <w:tcPr>
            <w:tcW w:w="1112" w:type="dxa"/>
            <w:vAlign w:val="center"/>
          </w:tcPr>
          <w:p w14:paraId="22A24690">
            <w:pPr>
              <w:jc w:val="center"/>
              <w:rPr>
                <w:rFonts w:ascii="宋体" w:hAnsi="宋体"/>
                <w:highlight w:val="none"/>
              </w:rPr>
            </w:pPr>
          </w:p>
        </w:tc>
        <w:tc>
          <w:tcPr>
            <w:tcW w:w="682" w:type="dxa"/>
            <w:vAlign w:val="center"/>
          </w:tcPr>
          <w:p w14:paraId="3C282426">
            <w:pPr>
              <w:jc w:val="center"/>
              <w:rPr>
                <w:rFonts w:ascii="宋体" w:hAnsi="宋体"/>
                <w:highlight w:val="none"/>
              </w:rPr>
            </w:pPr>
          </w:p>
        </w:tc>
      </w:tr>
      <w:tr w14:paraId="4F6C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18" w:type="dxa"/>
            <w:vAlign w:val="center"/>
          </w:tcPr>
          <w:p w14:paraId="1D436B90">
            <w:pPr>
              <w:jc w:val="center"/>
              <w:rPr>
                <w:rFonts w:ascii="宋体" w:hAnsi="宋体"/>
                <w:highlight w:val="none"/>
              </w:rPr>
            </w:pPr>
          </w:p>
        </w:tc>
        <w:tc>
          <w:tcPr>
            <w:tcW w:w="1712" w:type="dxa"/>
            <w:vAlign w:val="center"/>
          </w:tcPr>
          <w:p w14:paraId="66C288C4">
            <w:pPr>
              <w:jc w:val="center"/>
              <w:rPr>
                <w:rFonts w:ascii="宋体" w:hAnsi="宋体"/>
                <w:highlight w:val="none"/>
              </w:rPr>
            </w:pPr>
          </w:p>
        </w:tc>
        <w:tc>
          <w:tcPr>
            <w:tcW w:w="782" w:type="dxa"/>
          </w:tcPr>
          <w:p w14:paraId="18E08858">
            <w:pPr>
              <w:jc w:val="center"/>
              <w:rPr>
                <w:rFonts w:ascii="宋体" w:hAnsi="宋体"/>
                <w:highlight w:val="none"/>
              </w:rPr>
            </w:pPr>
          </w:p>
        </w:tc>
        <w:tc>
          <w:tcPr>
            <w:tcW w:w="836" w:type="dxa"/>
          </w:tcPr>
          <w:p w14:paraId="47AEB0F8">
            <w:pPr>
              <w:jc w:val="center"/>
              <w:rPr>
                <w:rFonts w:ascii="宋体" w:hAnsi="宋体"/>
                <w:highlight w:val="none"/>
              </w:rPr>
            </w:pPr>
          </w:p>
        </w:tc>
        <w:tc>
          <w:tcPr>
            <w:tcW w:w="842" w:type="dxa"/>
          </w:tcPr>
          <w:p w14:paraId="5C246746">
            <w:pPr>
              <w:jc w:val="center"/>
              <w:rPr>
                <w:rFonts w:ascii="宋体" w:hAnsi="宋体"/>
                <w:highlight w:val="none"/>
              </w:rPr>
            </w:pPr>
          </w:p>
        </w:tc>
        <w:tc>
          <w:tcPr>
            <w:tcW w:w="867" w:type="dxa"/>
          </w:tcPr>
          <w:p w14:paraId="51555D85">
            <w:pPr>
              <w:jc w:val="center"/>
              <w:rPr>
                <w:rFonts w:ascii="宋体" w:hAnsi="宋体"/>
                <w:highlight w:val="none"/>
              </w:rPr>
            </w:pPr>
          </w:p>
        </w:tc>
        <w:tc>
          <w:tcPr>
            <w:tcW w:w="951" w:type="dxa"/>
          </w:tcPr>
          <w:p w14:paraId="6559C739">
            <w:pPr>
              <w:jc w:val="center"/>
              <w:rPr>
                <w:rFonts w:ascii="宋体" w:hAnsi="宋体"/>
                <w:highlight w:val="none"/>
              </w:rPr>
            </w:pPr>
          </w:p>
        </w:tc>
        <w:tc>
          <w:tcPr>
            <w:tcW w:w="1112" w:type="dxa"/>
            <w:vAlign w:val="center"/>
          </w:tcPr>
          <w:p w14:paraId="62B377B6">
            <w:pPr>
              <w:jc w:val="center"/>
              <w:rPr>
                <w:rFonts w:ascii="宋体" w:hAnsi="宋体"/>
                <w:highlight w:val="none"/>
              </w:rPr>
            </w:pPr>
          </w:p>
        </w:tc>
        <w:tc>
          <w:tcPr>
            <w:tcW w:w="682" w:type="dxa"/>
            <w:vAlign w:val="center"/>
          </w:tcPr>
          <w:p w14:paraId="5CC4F019">
            <w:pPr>
              <w:jc w:val="center"/>
              <w:rPr>
                <w:rFonts w:ascii="宋体" w:hAnsi="宋体"/>
                <w:highlight w:val="none"/>
              </w:rPr>
            </w:pPr>
          </w:p>
        </w:tc>
      </w:tr>
      <w:tr w14:paraId="7067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18" w:type="dxa"/>
            <w:vAlign w:val="center"/>
          </w:tcPr>
          <w:p w14:paraId="44139900">
            <w:pPr>
              <w:jc w:val="center"/>
              <w:rPr>
                <w:rFonts w:ascii="宋体" w:hAnsi="宋体"/>
                <w:highlight w:val="none"/>
              </w:rPr>
            </w:pPr>
          </w:p>
        </w:tc>
        <w:tc>
          <w:tcPr>
            <w:tcW w:w="1712" w:type="dxa"/>
            <w:vAlign w:val="center"/>
          </w:tcPr>
          <w:p w14:paraId="2C851F92">
            <w:pPr>
              <w:jc w:val="center"/>
              <w:rPr>
                <w:rFonts w:ascii="宋体" w:hAnsi="宋体"/>
                <w:highlight w:val="none"/>
              </w:rPr>
            </w:pPr>
          </w:p>
        </w:tc>
        <w:tc>
          <w:tcPr>
            <w:tcW w:w="782" w:type="dxa"/>
          </w:tcPr>
          <w:p w14:paraId="36C16B95">
            <w:pPr>
              <w:jc w:val="center"/>
              <w:rPr>
                <w:rFonts w:ascii="宋体" w:hAnsi="宋体"/>
                <w:highlight w:val="none"/>
              </w:rPr>
            </w:pPr>
          </w:p>
        </w:tc>
        <w:tc>
          <w:tcPr>
            <w:tcW w:w="836" w:type="dxa"/>
          </w:tcPr>
          <w:p w14:paraId="04D73EA6">
            <w:pPr>
              <w:jc w:val="center"/>
              <w:rPr>
                <w:rFonts w:ascii="宋体" w:hAnsi="宋体"/>
                <w:highlight w:val="none"/>
              </w:rPr>
            </w:pPr>
          </w:p>
        </w:tc>
        <w:tc>
          <w:tcPr>
            <w:tcW w:w="842" w:type="dxa"/>
          </w:tcPr>
          <w:p w14:paraId="65FE0DC9">
            <w:pPr>
              <w:jc w:val="center"/>
              <w:rPr>
                <w:rFonts w:ascii="宋体" w:hAnsi="宋体"/>
                <w:highlight w:val="none"/>
              </w:rPr>
            </w:pPr>
          </w:p>
        </w:tc>
        <w:tc>
          <w:tcPr>
            <w:tcW w:w="867" w:type="dxa"/>
          </w:tcPr>
          <w:p w14:paraId="1177FCA2">
            <w:pPr>
              <w:jc w:val="center"/>
              <w:rPr>
                <w:rFonts w:ascii="宋体" w:hAnsi="宋体"/>
                <w:highlight w:val="none"/>
              </w:rPr>
            </w:pPr>
          </w:p>
        </w:tc>
        <w:tc>
          <w:tcPr>
            <w:tcW w:w="951" w:type="dxa"/>
          </w:tcPr>
          <w:p w14:paraId="09ACE003">
            <w:pPr>
              <w:jc w:val="center"/>
              <w:rPr>
                <w:rFonts w:ascii="宋体" w:hAnsi="宋体"/>
                <w:highlight w:val="none"/>
              </w:rPr>
            </w:pPr>
          </w:p>
        </w:tc>
        <w:tc>
          <w:tcPr>
            <w:tcW w:w="1112" w:type="dxa"/>
            <w:vAlign w:val="center"/>
          </w:tcPr>
          <w:p w14:paraId="0F87A112">
            <w:pPr>
              <w:jc w:val="center"/>
              <w:rPr>
                <w:rFonts w:ascii="宋体" w:hAnsi="宋体"/>
                <w:highlight w:val="none"/>
              </w:rPr>
            </w:pPr>
          </w:p>
        </w:tc>
        <w:tc>
          <w:tcPr>
            <w:tcW w:w="682" w:type="dxa"/>
            <w:vAlign w:val="center"/>
          </w:tcPr>
          <w:p w14:paraId="0656445A">
            <w:pPr>
              <w:jc w:val="center"/>
              <w:rPr>
                <w:rFonts w:ascii="宋体" w:hAnsi="宋体"/>
                <w:highlight w:val="none"/>
              </w:rPr>
            </w:pPr>
          </w:p>
        </w:tc>
      </w:tr>
      <w:tr w14:paraId="0C843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18" w:type="dxa"/>
            <w:vAlign w:val="center"/>
          </w:tcPr>
          <w:p w14:paraId="575EA775">
            <w:pPr>
              <w:jc w:val="center"/>
              <w:rPr>
                <w:rFonts w:ascii="宋体" w:hAnsi="宋体"/>
                <w:highlight w:val="none"/>
              </w:rPr>
            </w:pPr>
          </w:p>
        </w:tc>
        <w:tc>
          <w:tcPr>
            <w:tcW w:w="1712" w:type="dxa"/>
            <w:vAlign w:val="center"/>
          </w:tcPr>
          <w:p w14:paraId="3A96E10E">
            <w:pPr>
              <w:jc w:val="center"/>
              <w:rPr>
                <w:rFonts w:ascii="宋体" w:hAnsi="宋体"/>
                <w:highlight w:val="none"/>
              </w:rPr>
            </w:pPr>
          </w:p>
        </w:tc>
        <w:tc>
          <w:tcPr>
            <w:tcW w:w="782" w:type="dxa"/>
          </w:tcPr>
          <w:p w14:paraId="5A65B562">
            <w:pPr>
              <w:jc w:val="center"/>
              <w:rPr>
                <w:rFonts w:ascii="宋体" w:hAnsi="宋体"/>
                <w:highlight w:val="none"/>
              </w:rPr>
            </w:pPr>
          </w:p>
        </w:tc>
        <w:tc>
          <w:tcPr>
            <w:tcW w:w="836" w:type="dxa"/>
          </w:tcPr>
          <w:p w14:paraId="7F7A95DF">
            <w:pPr>
              <w:jc w:val="center"/>
              <w:rPr>
                <w:rFonts w:ascii="宋体" w:hAnsi="宋体"/>
                <w:highlight w:val="none"/>
              </w:rPr>
            </w:pPr>
          </w:p>
        </w:tc>
        <w:tc>
          <w:tcPr>
            <w:tcW w:w="842" w:type="dxa"/>
          </w:tcPr>
          <w:p w14:paraId="055B6D3C">
            <w:pPr>
              <w:jc w:val="center"/>
              <w:rPr>
                <w:rFonts w:ascii="宋体" w:hAnsi="宋体"/>
                <w:highlight w:val="none"/>
              </w:rPr>
            </w:pPr>
          </w:p>
        </w:tc>
        <w:tc>
          <w:tcPr>
            <w:tcW w:w="867" w:type="dxa"/>
          </w:tcPr>
          <w:p w14:paraId="5E077CF7">
            <w:pPr>
              <w:jc w:val="center"/>
              <w:rPr>
                <w:rFonts w:ascii="宋体" w:hAnsi="宋体"/>
                <w:highlight w:val="none"/>
              </w:rPr>
            </w:pPr>
          </w:p>
        </w:tc>
        <w:tc>
          <w:tcPr>
            <w:tcW w:w="951" w:type="dxa"/>
          </w:tcPr>
          <w:p w14:paraId="5920126A">
            <w:pPr>
              <w:jc w:val="center"/>
              <w:rPr>
                <w:rFonts w:ascii="宋体" w:hAnsi="宋体"/>
                <w:highlight w:val="none"/>
              </w:rPr>
            </w:pPr>
          </w:p>
        </w:tc>
        <w:tc>
          <w:tcPr>
            <w:tcW w:w="1112" w:type="dxa"/>
            <w:vAlign w:val="center"/>
          </w:tcPr>
          <w:p w14:paraId="5526C683">
            <w:pPr>
              <w:jc w:val="center"/>
              <w:rPr>
                <w:rFonts w:ascii="宋体" w:hAnsi="宋体"/>
                <w:highlight w:val="none"/>
              </w:rPr>
            </w:pPr>
          </w:p>
        </w:tc>
        <w:tc>
          <w:tcPr>
            <w:tcW w:w="682" w:type="dxa"/>
            <w:vAlign w:val="center"/>
          </w:tcPr>
          <w:p w14:paraId="01620376">
            <w:pPr>
              <w:jc w:val="center"/>
              <w:rPr>
                <w:rFonts w:ascii="宋体" w:hAnsi="宋体"/>
                <w:highlight w:val="none"/>
              </w:rPr>
            </w:pPr>
          </w:p>
        </w:tc>
      </w:tr>
      <w:tr w14:paraId="081E0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18" w:type="dxa"/>
            <w:vAlign w:val="center"/>
          </w:tcPr>
          <w:p w14:paraId="30F7D4E2">
            <w:pPr>
              <w:jc w:val="center"/>
              <w:rPr>
                <w:rFonts w:ascii="宋体" w:hAnsi="宋体"/>
                <w:highlight w:val="none"/>
              </w:rPr>
            </w:pPr>
          </w:p>
        </w:tc>
        <w:tc>
          <w:tcPr>
            <w:tcW w:w="1712" w:type="dxa"/>
            <w:vAlign w:val="center"/>
          </w:tcPr>
          <w:p w14:paraId="34446E09">
            <w:pPr>
              <w:jc w:val="center"/>
              <w:rPr>
                <w:rFonts w:ascii="宋体" w:hAnsi="宋体"/>
                <w:highlight w:val="none"/>
              </w:rPr>
            </w:pPr>
          </w:p>
        </w:tc>
        <w:tc>
          <w:tcPr>
            <w:tcW w:w="782" w:type="dxa"/>
          </w:tcPr>
          <w:p w14:paraId="3CE1D49C">
            <w:pPr>
              <w:jc w:val="center"/>
              <w:rPr>
                <w:rFonts w:ascii="宋体" w:hAnsi="宋体"/>
                <w:highlight w:val="none"/>
              </w:rPr>
            </w:pPr>
          </w:p>
        </w:tc>
        <w:tc>
          <w:tcPr>
            <w:tcW w:w="836" w:type="dxa"/>
          </w:tcPr>
          <w:p w14:paraId="2E87ECAB">
            <w:pPr>
              <w:jc w:val="center"/>
              <w:rPr>
                <w:rFonts w:ascii="宋体" w:hAnsi="宋体"/>
                <w:highlight w:val="none"/>
              </w:rPr>
            </w:pPr>
          </w:p>
        </w:tc>
        <w:tc>
          <w:tcPr>
            <w:tcW w:w="842" w:type="dxa"/>
          </w:tcPr>
          <w:p w14:paraId="6E21F62A">
            <w:pPr>
              <w:jc w:val="center"/>
              <w:rPr>
                <w:rFonts w:ascii="宋体" w:hAnsi="宋体"/>
                <w:highlight w:val="none"/>
              </w:rPr>
            </w:pPr>
          </w:p>
        </w:tc>
        <w:tc>
          <w:tcPr>
            <w:tcW w:w="867" w:type="dxa"/>
          </w:tcPr>
          <w:p w14:paraId="318A7AFA">
            <w:pPr>
              <w:jc w:val="center"/>
              <w:rPr>
                <w:rFonts w:ascii="宋体" w:hAnsi="宋体"/>
                <w:highlight w:val="none"/>
              </w:rPr>
            </w:pPr>
          </w:p>
        </w:tc>
        <w:tc>
          <w:tcPr>
            <w:tcW w:w="951" w:type="dxa"/>
          </w:tcPr>
          <w:p w14:paraId="3DA652C5">
            <w:pPr>
              <w:jc w:val="center"/>
              <w:rPr>
                <w:rFonts w:ascii="宋体" w:hAnsi="宋体"/>
                <w:highlight w:val="none"/>
              </w:rPr>
            </w:pPr>
          </w:p>
        </w:tc>
        <w:tc>
          <w:tcPr>
            <w:tcW w:w="1112" w:type="dxa"/>
            <w:vAlign w:val="center"/>
          </w:tcPr>
          <w:p w14:paraId="43FE71BE">
            <w:pPr>
              <w:jc w:val="center"/>
              <w:rPr>
                <w:rFonts w:ascii="宋体" w:hAnsi="宋体"/>
                <w:highlight w:val="none"/>
              </w:rPr>
            </w:pPr>
          </w:p>
        </w:tc>
        <w:tc>
          <w:tcPr>
            <w:tcW w:w="682" w:type="dxa"/>
            <w:vAlign w:val="center"/>
          </w:tcPr>
          <w:p w14:paraId="57F5D788">
            <w:pPr>
              <w:jc w:val="center"/>
              <w:rPr>
                <w:rFonts w:ascii="宋体" w:hAnsi="宋体"/>
                <w:highlight w:val="none"/>
              </w:rPr>
            </w:pPr>
          </w:p>
        </w:tc>
      </w:tr>
      <w:tr w14:paraId="7460E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18" w:type="dxa"/>
            <w:vAlign w:val="center"/>
          </w:tcPr>
          <w:p w14:paraId="089E3B98">
            <w:pPr>
              <w:jc w:val="center"/>
              <w:rPr>
                <w:rFonts w:ascii="宋体" w:hAnsi="宋体"/>
                <w:highlight w:val="none"/>
              </w:rPr>
            </w:pPr>
          </w:p>
        </w:tc>
        <w:tc>
          <w:tcPr>
            <w:tcW w:w="1712" w:type="dxa"/>
            <w:vAlign w:val="center"/>
          </w:tcPr>
          <w:p w14:paraId="755D2D06">
            <w:pPr>
              <w:jc w:val="center"/>
              <w:rPr>
                <w:rFonts w:ascii="宋体" w:hAnsi="宋体"/>
                <w:highlight w:val="none"/>
              </w:rPr>
            </w:pPr>
          </w:p>
        </w:tc>
        <w:tc>
          <w:tcPr>
            <w:tcW w:w="782" w:type="dxa"/>
          </w:tcPr>
          <w:p w14:paraId="61781078">
            <w:pPr>
              <w:jc w:val="center"/>
              <w:rPr>
                <w:rFonts w:ascii="宋体" w:hAnsi="宋体"/>
                <w:highlight w:val="none"/>
              </w:rPr>
            </w:pPr>
          </w:p>
        </w:tc>
        <w:tc>
          <w:tcPr>
            <w:tcW w:w="836" w:type="dxa"/>
          </w:tcPr>
          <w:p w14:paraId="340D89B4">
            <w:pPr>
              <w:jc w:val="center"/>
              <w:rPr>
                <w:rFonts w:ascii="宋体" w:hAnsi="宋体"/>
                <w:highlight w:val="none"/>
              </w:rPr>
            </w:pPr>
          </w:p>
        </w:tc>
        <w:tc>
          <w:tcPr>
            <w:tcW w:w="842" w:type="dxa"/>
          </w:tcPr>
          <w:p w14:paraId="01AB8C5B">
            <w:pPr>
              <w:jc w:val="center"/>
              <w:rPr>
                <w:rFonts w:ascii="宋体" w:hAnsi="宋体"/>
                <w:highlight w:val="none"/>
              </w:rPr>
            </w:pPr>
          </w:p>
        </w:tc>
        <w:tc>
          <w:tcPr>
            <w:tcW w:w="867" w:type="dxa"/>
          </w:tcPr>
          <w:p w14:paraId="04D2E570">
            <w:pPr>
              <w:jc w:val="center"/>
              <w:rPr>
                <w:rFonts w:ascii="宋体" w:hAnsi="宋体"/>
                <w:highlight w:val="none"/>
              </w:rPr>
            </w:pPr>
          </w:p>
        </w:tc>
        <w:tc>
          <w:tcPr>
            <w:tcW w:w="951" w:type="dxa"/>
          </w:tcPr>
          <w:p w14:paraId="6A5F2F33">
            <w:pPr>
              <w:jc w:val="center"/>
              <w:rPr>
                <w:rFonts w:ascii="宋体" w:hAnsi="宋体"/>
                <w:highlight w:val="none"/>
              </w:rPr>
            </w:pPr>
          </w:p>
        </w:tc>
        <w:tc>
          <w:tcPr>
            <w:tcW w:w="1112" w:type="dxa"/>
            <w:vAlign w:val="center"/>
          </w:tcPr>
          <w:p w14:paraId="3A458D99">
            <w:pPr>
              <w:jc w:val="center"/>
              <w:rPr>
                <w:rFonts w:ascii="宋体" w:hAnsi="宋体"/>
                <w:highlight w:val="none"/>
              </w:rPr>
            </w:pPr>
          </w:p>
        </w:tc>
        <w:tc>
          <w:tcPr>
            <w:tcW w:w="682" w:type="dxa"/>
            <w:vAlign w:val="center"/>
          </w:tcPr>
          <w:p w14:paraId="660513ED">
            <w:pPr>
              <w:jc w:val="center"/>
              <w:rPr>
                <w:rFonts w:ascii="宋体" w:hAnsi="宋体"/>
                <w:highlight w:val="none"/>
              </w:rPr>
            </w:pPr>
          </w:p>
        </w:tc>
      </w:tr>
      <w:tr w14:paraId="7344B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18" w:type="dxa"/>
            <w:vAlign w:val="center"/>
          </w:tcPr>
          <w:p w14:paraId="30008857">
            <w:pPr>
              <w:jc w:val="center"/>
              <w:rPr>
                <w:rFonts w:ascii="宋体" w:hAnsi="宋体"/>
                <w:highlight w:val="none"/>
              </w:rPr>
            </w:pPr>
          </w:p>
        </w:tc>
        <w:tc>
          <w:tcPr>
            <w:tcW w:w="1712" w:type="dxa"/>
            <w:vAlign w:val="center"/>
          </w:tcPr>
          <w:p w14:paraId="65DE633A">
            <w:pPr>
              <w:jc w:val="center"/>
              <w:rPr>
                <w:rFonts w:ascii="宋体" w:hAnsi="宋体"/>
                <w:highlight w:val="none"/>
              </w:rPr>
            </w:pPr>
          </w:p>
        </w:tc>
        <w:tc>
          <w:tcPr>
            <w:tcW w:w="782" w:type="dxa"/>
          </w:tcPr>
          <w:p w14:paraId="7DE2DC08">
            <w:pPr>
              <w:jc w:val="center"/>
              <w:rPr>
                <w:rFonts w:ascii="宋体" w:hAnsi="宋体"/>
                <w:highlight w:val="none"/>
              </w:rPr>
            </w:pPr>
          </w:p>
        </w:tc>
        <w:tc>
          <w:tcPr>
            <w:tcW w:w="836" w:type="dxa"/>
          </w:tcPr>
          <w:p w14:paraId="3E01D4F9">
            <w:pPr>
              <w:jc w:val="center"/>
              <w:rPr>
                <w:rFonts w:ascii="宋体" w:hAnsi="宋体"/>
                <w:highlight w:val="none"/>
              </w:rPr>
            </w:pPr>
          </w:p>
        </w:tc>
        <w:tc>
          <w:tcPr>
            <w:tcW w:w="842" w:type="dxa"/>
          </w:tcPr>
          <w:p w14:paraId="672A35B6">
            <w:pPr>
              <w:jc w:val="center"/>
              <w:rPr>
                <w:rFonts w:ascii="宋体" w:hAnsi="宋体"/>
                <w:highlight w:val="none"/>
              </w:rPr>
            </w:pPr>
          </w:p>
        </w:tc>
        <w:tc>
          <w:tcPr>
            <w:tcW w:w="867" w:type="dxa"/>
          </w:tcPr>
          <w:p w14:paraId="35B3336C">
            <w:pPr>
              <w:jc w:val="center"/>
              <w:rPr>
                <w:rFonts w:ascii="宋体" w:hAnsi="宋体"/>
                <w:highlight w:val="none"/>
              </w:rPr>
            </w:pPr>
          </w:p>
        </w:tc>
        <w:tc>
          <w:tcPr>
            <w:tcW w:w="951" w:type="dxa"/>
          </w:tcPr>
          <w:p w14:paraId="0F183E9C">
            <w:pPr>
              <w:jc w:val="center"/>
              <w:rPr>
                <w:rFonts w:ascii="宋体" w:hAnsi="宋体"/>
                <w:highlight w:val="none"/>
              </w:rPr>
            </w:pPr>
          </w:p>
        </w:tc>
        <w:tc>
          <w:tcPr>
            <w:tcW w:w="1112" w:type="dxa"/>
            <w:vAlign w:val="center"/>
          </w:tcPr>
          <w:p w14:paraId="52E0157B">
            <w:pPr>
              <w:jc w:val="center"/>
              <w:rPr>
                <w:rFonts w:ascii="宋体" w:hAnsi="宋体"/>
                <w:highlight w:val="none"/>
              </w:rPr>
            </w:pPr>
          </w:p>
        </w:tc>
        <w:tc>
          <w:tcPr>
            <w:tcW w:w="682" w:type="dxa"/>
            <w:vAlign w:val="center"/>
          </w:tcPr>
          <w:p w14:paraId="77670D28">
            <w:pPr>
              <w:jc w:val="center"/>
              <w:rPr>
                <w:rFonts w:ascii="宋体" w:hAnsi="宋体"/>
                <w:highlight w:val="none"/>
              </w:rPr>
            </w:pPr>
          </w:p>
        </w:tc>
      </w:tr>
      <w:tr w14:paraId="659D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exact"/>
          <w:jc w:val="center"/>
        </w:trPr>
        <w:tc>
          <w:tcPr>
            <w:tcW w:w="6508" w:type="dxa"/>
            <w:gridSpan w:val="7"/>
            <w:vAlign w:val="center"/>
          </w:tcPr>
          <w:p w14:paraId="44CE2972">
            <w:pPr>
              <w:jc w:val="center"/>
              <w:rPr>
                <w:rFonts w:ascii="宋体" w:hAnsi="宋体"/>
                <w:highlight w:val="none"/>
              </w:rPr>
            </w:pPr>
            <w:r>
              <w:rPr>
                <w:rFonts w:hint="eastAsia" w:ascii="宋体" w:hAnsi="宋体"/>
                <w:szCs w:val="21"/>
                <w:highlight w:val="none"/>
              </w:rPr>
              <w:t>投标报</w:t>
            </w:r>
            <w:r>
              <w:rPr>
                <w:rFonts w:ascii="宋体" w:hAnsi="宋体"/>
                <w:szCs w:val="21"/>
                <w:highlight w:val="none"/>
              </w:rPr>
              <w:t>价</w:t>
            </w:r>
          </w:p>
        </w:tc>
        <w:tc>
          <w:tcPr>
            <w:tcW w:w="1112" w:type="dxa"/>
            <w:vAlign w:val="center"/>
          </w:tcPr>
          <w:p w14:paraId="66057201">
            <w:pPr>
              <w:jc w:val="center"/>
              <w:rPr>
                <w:rFonts w:ascii="宋体" w:hAnsi="宋体"/>
                <w:highlight w:val="none"/>
              </w:rPr>
            </w:pPr>
          </w:p>
        </w:tc>
        <w:tc>
          <w:tcPr>
            <w:tcW w:w="682" w:type="dxa"/>
            <w:vAlign w:val="center"/>
          </w:tcPr>
          <w:p w14:paraId="6BA11D19">
            <w:pPr>
              <w:jc w:val="center"/>
              <w:rPr>
                <w:rFonts w:ascii="宋体" w:hAnsi="宋体"/>
                <w:highlight w:val="none"/>
              </w:rPr>
            </w:pPr>
          </w:p>
        </w:tc>
      </w:tr>
    </w:tbl>
    <w:p w14:paraId="711F0D6E">
      <w:pPr>
        <w:adjustRightInd w:val="0"/>
        <w:snapToGrid w:val="0"/>
        <w:spacing w:line="360" w:lineRule="auto"/>
        <w:ind w:left="-88" w:leftChars="-42"/>
        <w:rPr>
          <w:rFonts w:ascii="宋体" w:hAnsi="宋体"/>
          <w:szCs w:val="21"/>
          <w:highlight w:val="none"/>
        </w:rPr>
      </w:pPr>
    </w:p>
    <w:p w14:paraId="32D51A38">
      <w:pPr>
        <w:adjustRightInd w:val="0"/>
        <w:snapToGrid w:val="0"/>
        <w:spacing w:line="360" w:lineRule="auto"/>
        <w:ind w:left="-88" w:leftChars="-42"/>
        <w:rPr>
          <w:rFonts w:ascii="宋体" w:hAnsi="宋体"/>
          <w:szCs w:val="21"/>
          <w:highlight w:val="none"/>
        </w:rPr>
      </w:pPr>
      <w:r>
        <w:rPr>
          <w:rFonts w:hint="eastAsia" w:ascii="宋体" w:hAnsi="宋体"/>
          <w:szCs w:val="21"/>
          <w:highlight w:val="none"/>
        </w:rPr>
        <w:t>注：1、投标人可在此表后附其报价详细说明。</w:t>
      </w:r>
    </w:p>
    <w:p w14:paraId="12CB8058">
      <w:pPr>
        <w:adjustRightInd w:val="0"/>
        <w:snapToGrid w:val="0"/>
        <w:spacing w:line="360" w:lineRule="auto"/>
        <w:ind w:left="-88" w:leftChars="-42"/>
        <w:rPr>
          <w:rFonts w:ascii="宋体" w:hAnsi="宋体"/>
          <w:b/>
          <w:szCs w:val="21"/>
          <w:highlight w:val="none"/>
        </w:rPr>
      </w:pPr>
    </w:p>
    <w:p w14:paraId="31AC9374">
      <w:pPr>
        <w:adjustRightInd w:val="0"/>
        <w:snapToGrid w:val="0"/>
        <w:spacing w:line="360" w:lineRule="auto"/>
        <w:rPr>
          <w:rFonts w:ascii="宋体" w:hAnsi="宋体"/>
          <w:szCs w:val="21"/>
          <w:highlight w:val="none"/>
        </w:rPr>
      </w:pPr>
      <w:r>
        <w:rPr>
          <w:rFonts w:hint="eastAsia" w:ascii="宋体" w:hAnsi="宋体"/>
          <w:szCs w:val="21"/>
          <w:highlight w:val="none"/>
        </w:rPr>
        <w:t xml:space="preserve">   </w:t>
      </w:r>
    </w:p>
    <w:p w14:paraId="5C13100C">
      <w:pPr>
        <w:adjustRightInd w:val="0"/>
        <w:snapToGrid w:val="0"/>
        <w:spacing w:line="360" w:lineRule="auto"/>
        <w:rPr>
          <w:rFonts w:ascii="宋体" w:hAnsi="宋体"/>
          <w:szCs w:val="21"/>
          <w:highlight w:val="none"/>
        </w:rPr>
      </w:pPr>
    </w:p>
    <w:p w14:paraId="5F667D6C">
      <w:pPr>
        <w:adjustRightInd w:val="0"/>
        <w:snapToGrid w:val="0"/>
        <w:spacing w:line="360" w:lineRule="auto"/>
        <w:rPr>
          <w:rFonts w:ascii="宋体" w:hAnsi="宋体"/>
          <w:szCs w:val="21"/>
          <w:highlight w:val="none"/>
        </w:rPr>
      </w:pPr>
    </w:p>
    <w:p w14:paraId="0CFD99A0">
      <w:pPr>
        <w:pStyle w:val="24"/>
        <w:adjustRightInd w:val="0"/>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投标人名称(盖单位章)：</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555475F3">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法定代表人或其委托代理人 (签字</w:t>
      </w:r>
      <w:r>
        <w:rPr>
          <w:rFonts w:hint="eastAsia" w:ascii="宋体" w:hAnsi="宋体"/>
          <w:color w:val="auto"/>
          <w:szCs w:val="21"/>
          <w:highlight w:val="none"/>
          <w:lang w:eastAsia="zh-CN"/>
        </w:rPr>
        <w:t>或盖章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19E91E5F">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日期：</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5A6A0D37">
      <w:pPr>
        <w:adjustRightInd w:val="0"/>
        <w:snapToGrid w:val="0"/>
        <w:rPr>
          <w:rFonts w:ascii="宋体" w:hAnsi="宋体"/>
          <w:sz w:val="24"/>
          <w:highlight w:val="none"/>
        </w:rPr>
      </w:pPr>
      <w:r>
        <w:rPr>
          <w:rFonts w:ascii="宋体" w:hAnsi="宋体"/>
          <w:b/>
          <w:sz w:val="24"/>
          <w:highlight w:val="none"/>
        </w:rPr>
        <w:br w:type="page"/>
      </w:r>
      <w:r>
        <w:rPr>
          <w:rFonts w:hint="eastAsia" w:ascii="宋体" w:hAnsi="宋体"/>
          <w:sz w:val="24"/>
          <w:highlight w:val="none"/>
        </w:rPr>
        <w:t>附件6</w:t>
      </w:r>
    </w:p>
    <w:p w14:paraId="7E43A876">
      <w:pPr>
        <w:adjustRightInd w:val="0"/>
        <w:snapToGrid w:val="0"/>
        <w:spacing w:line="360" w:lineRule="auto"/>
        <w:ind w:right="24"/>
        <w:jc w:val="center"/>
        <w:rPr>
          <w:rFonts w:ascii="宋体" w:hAnsi="宋体"/>
          <w:b/>
          <w:sz w:val="24"/>
          <w:highlight w:val="none"/>
        </w:rPr>
      </w:pPr>
    </w:p>
    <w:p w14:paraId="231369AA">
      <w:pPr>
        <w:adjustRightInd w:val="0"/>
        <w:snapToGrid w:val="0"/>
        <w:spacing w:line="360" w:lineRule="auto"/>
        <w:ind w:right="24"/>
        <w:jc w:val="center"/>
        <w:rPr>
          <w:rFonts w:ascii="宋体" w:hAnsi="宋体"/>
          <w:b/>
          <w:bCs/>
          <w:sz w:val="24"/>
          <w:highlight w:val="none"/>
        </w:rPr>
      </w:pPr>
      <w:r>
        <w:rPr>
          <w:rFonts w:hint="eastAsia" w:ascii="宋体" w:hAnsi="宋体"/>
          <w:b/>
          <w:sz w:val="24"/>
          <w:highlight w:val="none"/>
        </w:rPr>
        <w:t>节能、环境标志产品证明材料（如有）</w:t>
      </w:r>
    </w:p>
    <w:p w14:paraId="5FCEFDCA">
      <w:pPr>
        <w:adjustRightInd w:val="0"/>
        <w:snapToGrid w:val="0"/>
        <w:rPr>
          <w:rFonts w:ascii="宋体" w:hAnsi="宋体"/>
          <w:highlight w:val="none"/>
        </w:rPr>
      </w:pPr>
      <w:r>
        <w:rPr>
          <w:rFonts w:hint="eastAsia" w:ascii="宋体" w:hAnsi="宋体"/>
          <w:szCs w:val="21"/>
          <w:highlight w:val="none"/>
        </w:rPr>
        <w:t>相关材料</w:t>
      </w:r>
      <w:r>
        <w:rPr>
          <w:rFonts w:hint="eastAsia" w:ascii="宋体" w:hAnsi="宋体"/>
          <w:highlight w:val="none"/>
        </w:rPr>
        <w:t>加盖投标人公章。</w:t>
      </w:r>
    </w:p>
    <w:p w14:paraId="08B695D2">
      <w:pPr>
        <w:adjustRightInd w:val="0"/>
        <w:snapToGrid w:val="0"/>
        <w:rPr>
          <w:rFonts w:ascii="宋体" w:hAnsi="宋体"/>
          <w:sz w:val="24"/>
          <w:highlight w:val="none"/>
        </w:rPr>
      </w:pPr>
      <w:r>
        <w:rPr>
          <w:rFonts w:ascii="宋体" w:hAnsi="宋体"/>
          <w:highlight w:val="none"/>
        </w:rPr>
        <w:br w:type="page"/>
      </w:r>
      <w:r>
        <w:rPr>
          <w:rFonts w:hint="eastAsia" w:ascii="宋体" w:hAnsi="宋体"/>
          <w:bCs/>
          <w:sz w:val="24"/>
          <w:highlight w:val="none"/>
        </w:rPr>
        <w:t>附件7</w:t>
      </w:r>
    </w:p>
    <w:p w14:paraId="33A9F575">
      <w:pPr>
        <w:tabs>
          <w:tab w:val="left" w:pos="3600"/>
        </w:tabs>
        <w:adjustRightInd w:val="0"/>
        <w:snapToGrid w:val="0"/>
        <w:jc w:val="center"/>
        <w:rPr>
          <w:rFonts w:ascii="宋体" w:hAnsi="宋体" w:cs="宋体"/>
          <w:b/>
          <w:bCs/>
          <w:spacing w:val="6"/>
          <w:kern w:val="0"/>
          <w:sz w:val="24"/>
          <w:highlight w:val="none"/>
        </w:rPr>
      </w:pPr>
      <w:r>
        <w:rPr>
          <w:rFonts w:hint="eastAsia" w:ascii="宋体" w:hAnsi="宋体" w:cs="宋体"/>
          <w:b/>
          <w:bCs/>
          <w:spacing w:val="6"/>
          <w:kern w:val="0"/>
          <w:sz w:val="24"/>
          <w:highlight w:val="none"/>
        </w:rPr>
        <w:t>中小企业声明函 (货物)</w:t>
      </w:r>
    </w:p>
    <w:p w14:paraId="2D5B2FC5">
      <w:pPr>
        <w:spacing w:line="271" w:lineRule="auto"/>
        <w:rPr>
          <w:rFonts w:ascii="Arial" w:hAnsi="Arial"/>
          <w:szCs w:val="21"/>
          <w:highlight w:val="none"/>
        </w:rPr>
      </w:pPr>
      <w:r>
        <w:rPr>
          <w:highlight w:val="none"/>
          <w:lang w:bidi="ar"/>
        </w:rPr>
        <w:t xml:space="preserve"> </w:t>
      </w:r>
    </w:p>
    <w:p w14:paraId="1F11FFFE">
      <w:pPr>
        <w:spacing w:line="271" w:lineRule="auto"/>
        <w:rPr>
          <w:highlight w:val="none"/>
        </w:rPr>
      </w:pPr>
      <w:r>
        <w:rPr>
          <w:highlight w:val="none"/>
          <w:lang w:bidi="ar"/>
        </w:rPr>
        <w:t xml:space="preserve"> </w:t>
      </w:r>
    </w:p>
    <w:p w14:paraId="66CB4898">
      <w:pPr>
        <w:spacing w:before="101" w:line="302" w:lineRule="auto"/>
        <w:ind w:left="36" w:right="230" w:firstLine="640"/>
        <w:rPr>
          <w:rFonts w:ascii="宋体" w:hAnsi="宋体" w:cs="仿宋"/>
          <w:szCs w:val="21"/>
          <w:highlight w:val="none"/>
        </w:rPr>
      </w:pPr>
      <w:r>
        <w:rPr>
          <w:rFonts w:hint="eastAsia" w:ascii="宋体" w:hAnsi="宋体" w:cs="宋体"/>
          <w:spacing w:val="6"/>
          <w:kern w:val="0"/>
          <w:szCs w:val="21"/>
          <w:highlight w:val="none"/>
        </w:rPr>
        <w:t xml:space="preserve">本公司 (联合体) 郑重声明，根据《政府采购促进中小 企业发展管理办法》(财库 ﹝ 2020 ﹞ 46 号) 的规定，本公司 </w:t>
      </w:r>
      <w:r>
        <w:rPr>
          <w:rFonts w:hint="eastAsia" w:ascii="宋体" w:hAnsi="宋体" w:cs="宋体"/>
          <w:spacing w:val="6"/>
          <w:kern w:val="0"/>
          <w:szCs w:val="21"/>
          <w:highlight w:val="none"/>
        </w:rPr>
        <w:tab/>
      </w:r>
      <w:r>
        <w:rPr>
          <w:rFonts w:hint="eastAsia" w:ascii="宋体" w:hAnsi="宋体" w:cs="宋体"/>
          <w:spacing w:val="6"/>
          <w:kern w:val="0"/>
          <w:szCs w:val="21"/>
          <w:highlight w:val="none"/>
        </w:rPr>
        <w:t>(联合体) 参加</w:t>
      </w:r>
      <w:r>
        <w:rPr>
          <w:rFonts w:hint="eastAsia" w:ascii="宋体" w:hAnsi="宋体" w:cs="仿宋"/>
          <w:spacing w:val="-5"/>
          <w:szCs w:val="21"/>
          <w:highlight w:val="none"/>
          <w:u w:val="single"/>
          <w:lang w:bidi="ar"/>
        </w:rPr>
        <w:t xml:space="preserve"> </w:t>
      </w:r>
      <w:r>
        <w:rPr>
          <w:rFonts w:hint="eastAsia" w:ascii="宋体" w:hAnsi="宋体" w:cs="仿宋"/>
          <w:i/>
          <w:iCs/>
          <w:spacing w:val="-5"/>
          <w:szCs w:val="21"/>
          <w:highlight w:val="none"/>
          <w:u w:val="single"/>
          <w:lang w:bidi="ar"/>
        </w:rPr>
        <w:t>(单位名称)</w:t>
      </w:r>
      <w:r>
        <w:rPr>
          <w:rFonts w:hint="eastAsia" w:ascii="宋体" w:hAnsi="宋体" w:cs="仿宋"/>
          <w:spacing w:val="-5"/>
          <w:szCs w:val="21"/>
          <w:highlight w:val="none"/>
          <w:u w:val="single"/>
          <w:lang w:bidi="ar"/>
        </w:rPr>
        <w:t xml:space="preserve"> </w:t>
      </w:r>
      <w:r>
        <w:rPr>
          <w:rFonts w:hint="eastAsia" w:ascii="宋体" w:hAnsi="宋体" w:cs="仿宋"/>
          <w:spacing w:val="-5"/>
          <w:szCs w:val="21"/>
          <w:highlight w:val="none"/>
          <w:lang w:bidi="ar"/>
        </w:rPr>
        <w:t xml:space="preserve"> 的</w:t>
      </w:r>
      <w:r>
        <w:rPr>
          <w:rFonts w:hint="eastAsia" w:ascii="宋体" w:hAnsi="宋体" w:cs="仿宋"/>
          <w:spacing w:val="-5"/>
          <w:szCs w:val="21"/>
          <w:highlight w:val="none"/>
          <w:u w:val="single"/>
          <w:lang w:bidi="ar"/>
        </w:rPr>
        <w:t xml:space="preserve"> </w:t>
      </w:r>
      <w:r>
        <w:rPr>
          <w:rFonts w:hint="eastAsia" w:ascii="宋体" w:hAnsi="宋体" w:cs="仿宋"/>
          <w:i/>
          <w:iCs/>
          <w:spacing w:val="-5"/>
          <w:szCs w:val="21"/>
          <w:highlight w:val="none"/>
          <w:u w:val="single"/>
          <w:lang w:bidi="ar"/>
        </w:rPr>
        <w:t>(项目名称)</w:t>
      </w:r>
      <w:r>
        <w:rPr>
          <w:rFonts w:hint="eastAsia" w:ascii="宋体" w:hAnsi="宋体" w:cs="仿宋"/>
          <w:spacing w:val="-5"/>
          <w:szCs w:val="21"/>
          <w:highlight w:val="none"/>
          <w:u w:val="single"/>
          <w:lang w:bidi="ar"/>
        </w:rPr>
        <w:t xml:space="preserve"> </w:t>
      </w:r>
      <w:r>
        <w:rPr>
          <w:rFonts w:hint="eastAsia" w:ascii="宋体" w:hAnsi="宋体" w:cs="宋体"/>
          <w:spacing w:val="6"/>
          <w:kern w:val="0"/>
          <w:szCs w:val="21"/>
          <w:highlight w:val="none"/>
        </w:rPr>
        <w:t xml:space="preserve">采购活动，提 供的货物全部由符合政策要求的中小企业制造。相关企业 </w:t>
      </w:r>
      <w:r>
        <w:rPr>
          <w:rFonts w:hint="eastAsia" w:ascii="宋体" w:hAnsi="宋体" w:cs="宋体"/>
          <w:spacing w:val="6"/>
          <w:kern w:val="0"/>
          <w:szCs w:val="21"/>
          <w:highlight w:val="none"/>
        </w:rPr>
        <w:tab/>
      </w:r>
      <w:r>
        <w:rPr>
          <w:rFonts w:hint="eastAsia" w:ascii="宋体" w:hAnsi="宋体" w:cs="宋体"/>
          <w:spacing w:val="6"/>
          <w:kern w:val="0"/>
          <w:szCs w:val="21"/>
          <w:highlight w:val="none"/>
        </w:rPr>
        <w:t>(含联合体中的中小企业、签订分包意向协议的中小企业) 的具体情况如下：</w:t>
      </w:r>
    </w:p>
    <w:p w14:paraId="3E100CBD">
      <w:pPr>
        <w:spacing w:before="4" w:line="288" w:lineRule="auto"/>
        <w:ind w:left="20" w:firstLine="668"/>
        <w:rPr>
          <w:rFonts w:ascii="宋体" w:hAnsi="宋体" w:cs="仿宋"/>
          <w:szCs w:val="21"/>
          <w:highlight w:val="none"/>
        </w:rPr>
      </w:pPr>
      <w:r>
        <w:rPr>
          <w:rFonts w:hint="eastAsia" w:ascii="宋体" w:hAnsi="宋体" w:cs="仿宋"/>
          <w:spacing w:val="1"/>
          <w:szCs w:val="21"/>
          <w:highlight w:val="none"/>
          <w:lang w:bidi="ar"/>
        </w:rPr>
        <w:t>1.</w:t>
      </w:r>
      <w:r>
        <w:rPr>
          <w:rFonts w:hint="eastAsia" w:ascii="宋体" w:hAnsi="宋体" w:cs="仿宋"/>
          <w:spacing w:val="1"/>
          <w:szCs w:val="21"/>
          <w:highlight w:val="none"/>
          <w:u w:val="single"/>
          <w:lang w:bidi="ar"/>
        </w:rPr>
        <w:t xml:space="preserve"> </w:t>
      </w:r>
      <w:r>
        <w:rPr>
          <w:rFonts w:hint="eastAsia" w:ascii="宋体" w:hAnsi="宋体" w:cs="仿宋"/>
          <w:i/>
          <w:iCs/>
          <w:spacing w:val="1"/>
          <w:szCs w:val="21"/>
          <w:highlight w:val="none"/>
          <w:u w:val="single"/>
          <w:lang w:bidi="ar"/>
        </w:rPr>
        <w:t>(标的名称)</w:t>
      </w:r>
      <w:r>
        <w:rPr>
          <w:rFonts w:hint="eastAsia" w:ascii="宋体" w:hAnsi="宋体" w:cs="仿宋"/>
          <w:spacing w:val="1"/>
          <w:szCs w:val="21"/>
          <w:highlight w:val="none"/>
          <w:u w:val="single"/>
          <w:lang w:bidi="ar"/>
        </w:rPr>
        <w:t xml:space="preserve"> </w:t>
      </w:r>
      <w:r>
        <w:rPr>
          <w:rFonts w:hint="eastAsia" w:ascii="宋体" w:hAnsi="宋体" w:cs="仿宋"/>
          <w:spacing w:val="1"/>
          <w:szCs w:val="21"/>
          <w:highlight w:val="none"/>
          <w:lang w:bidi="ar"/>
        </w:rPr>
        <w:t>，属于</w:t>
      </w:r>
      <w:r>
        <w:rPr>
          <w:rFonts w:hint="eastAsia" w:ascii="宋体" w:hAnsi="宋体" w:cs="仿宋"/>
          <w:spacing w:val="1"/>
          <w:szCs w:val="21"/>
          <w:highlight w:val="none"/>
          <w:u w:val="single"/>
          <w:lang w:bidi="ar"/>
        </w:rPr>
        <w:t xml:space="preserve"> </w:t>
      </w:r>
      <w:r>
        <w:rPr>
          <w:rFonts w:hint="eastAsia" w:ascii="宋体" w:hAnsi="宋体" w:cs="仿宋"/>
          <w:i/>
          <w:iCs/>
          <w:spacing w:val="1"/>
          <w:szCs w:val="21"/>
          <w:highlight w:val="none"/>
          <w:u w:val="single"/>
          <w:lang w:bidi="ar"/>
        </w:rPr>
        <w:t>(采购文件中明确的</w:t>
      </w:r>
      <w:r>
        <w:rPr>
          <w:rFonts w:hint="eastAsia" w:ascii="宋体" w:hAnsi="宋体" w:cs="仿宋"/>
          <w:i/>
          <w:iCs/>
          <w:szCs w:val="21"/>
          <w:highlight w:val="none"/>
          <w:u w:val="single"/>
          <w:lang w:bidi="ar"/>
        </w:rPr>
        <w:t>所属行业</w:t>
      </w:r>
      <w:r>
        <w:rPr>
          <w:rFonts w:hint="eastAsia" w:ascii="宋体" w:hAnsi="宋体" w:cs="仿宋"/>
          <w:i/>
          <w:iCs/>
          <w:szCs w:val="21"/>
          <w:highlight w:val="none"/>
          <w:lang w:bidi="ar"/>
        </w:rPr>
        <w:t>)</w:t>
      </w:r>
      <w:r>
        <w:rPr>
          <w:rFonts w:hint="eastAsia" w:ascii="宋体" w:hAnsi="宋体" w:cs="仿宋"/>
          <w:szCs w:val="21"/>
          <w:highlight w:val="none"/>
          <w:lang w:bidi="ar"/>
        </w:rPr>
        <w:t xml:space="preserve"> </w:t>
      </w:r>
      <w:r>
        <w:rPr>
          <w:rFonts w:hint="eastAsia" w:ascii="宋体" w:hAnsi="宋体" w:cs="仿宋"/>
          <w:i/>
          <w:iCs/>
          <w:spacing w:val="9"/>
          <w:szCs w:val="21"/>
          <w:highlight w:val="none"/>
          <w:u w:val="single"/>
          <w:lang w:bidi="ar"/>
        </w:rPr>
        <w:t>行</w:t>
      </w:r>
      <w:r>
        <w:rPr>
          <w:rFonts w:hint="eastAsia" w:ascii="宋体" w:hAnsi="宋体" w:cs="仿宋"/>
          <w:i/>
          <w:iCs/>
          <w:spacing w:val="8"/>
          <w:szCs w:val="21"/>
          <w:highlight w:val="none"/>
          <w:u w:val="single"/>
          <w:lang w:bidi="ar"/>
        </w:rPr>
        <w:t>业</w:t>
      </w:r>
      <w:r>
        <w:rPr>
          <w:rFonts w:hint="eastAsia" w:ascii="宋体" w:hAnsi="宋体" w:cs="仿宋"/>
          <w:spacing w:val="8"/>
          <w:szCs w:val="21"/>
          <w:highlight w:val="none"/>
          <w:lang w:bidi="ar"/>
        </w:rPr>
        <w:t>；制造商为</w:t>
      </w:r>
      <w:r>
        <w:rPr>
          <w:rFonts w:hint="eastAsia" w:ascii="宋体" w:hAnsi="宋体" w:cs="仿宋"/>
          <w:spacing w:val="8"/>
          <w:szCs w:val="21"/>
          <w:highlight w:val="none"/>
          <w:u w:val="single"/>
          <w:lang w:bidi="ar"/>
        </w:rPr>
        <w:t xml:space="preserve"> </w:t>
      </w:r>
      <w:r>
        <w:rPr>
          <w:rFonts w:hint="eastAsia" w:ascii="宋体" w:hAnsi="宋体" w:cs="仿宋"/>
          <w:i/>
          <w:iCs/>
          <w:spacing w:val="8"/>
          <w:szCs w:val="21"/>
          <w:highlight w:val="none"/>
          <w:u w:val="single"/>
          <w:lang w:bidi="ar"/>
        </w:rPr>
        <w:t>(企业名称</w:t>
      </w:r>
      <w:r>
        <w:rPr>
          <w:rFonts w:hint="eastAsia" w:ascii="宋体" w:hAnsi="宋体" w:cs="仿宋"/>
          <w:i/>
          <w:iCs/>
          <w:spacing w:val="8"/>
          <w:szCs w:val="21"/>
          <w:highlight w:val="none"/>
          <w:lang w:bidi="ar"/>
        </w:rPr>
        <w:t>)</w:t>
      </w:r>
      <w:r>
        <w:rPr>
          <w:rFonts w:hint="eastAsia" w:ascii="宋体" w:hAnsi="宋体" w:cs="仿宋"/>
          <w:spacing w:val="8"/>
          <w:szCs w:val="21"/>
          <w:highlight w:val="none"/>
          <w:lang w:bidi="ar"/>
        </w:rPr>
        <w:t>，从业人员</w:t>
      </w:r>
      <w:r>
        <w:rPr>
          <w:rFonts w:hint="eastAsia" w:ascii="宋体" w:hAnsi="宋体" w:cs="仿宋"/>
          <w:spacing w:val="8"/>
          <w:szCs w:val="21"/>
          <w:highlight w:val="none"/>
          <w:u w:val="single"/>
          <w:lang w:bidi="ar"/>
        </w:rPr>
        <w:t xml:space="preserve">      </w:t>
      </w:r>
      <w:r>
        <w:rPr>
          <w:rFonts w:hint="eastAsia" w:ascii="宋体" w:hAnsi="宋体" w:cs="仿宋"/>
          <w:spacing w:val="8"/>
          <w:szCs w:val="21"/>
          <w:highlight w:val="none"/>
          <w:lang w:bidi="ar"/>
        </w:rPr>
        <w:t>人，营业收</w:t>
      </w:r>
      <w:r>
        <w:rPr>
          <w:rFonts w:hint="eastAsia" w:ascii="宋体" w:hAnsi="宋体" w:cs="仿宋"/>
          <w:szCs w:val="21"/>
          <w:highlight w:val="none"/>
          <w:lang w:bidi="ar"/>
        </w:rPr>
        <w:t xml:space="preserve"> </w:t>
      </w:r>
      <w:r>
        <w:rPr>
          <w:rFonts w:hint="eastAsia" w:ascii="宋体" w:hAnsi="宋体" w:cs="仿宋"/>
          <w:spacing w:val="1"/>
          <w:szCs w:val="21"/>
          <w:highlight w:val="none"/>
          <w:lang w:bidi="ar"/>
        </w:rPr>
        <w:t>入为</w:t>
      </w:r>
      <w:r>
        <w:rPr>
          <w:rFonts w:hint="eastAsia" w:ascii="宋体" w:hAnsi="宋体" w:cs="仿宋"/>
          <w:spacing w:val="1"/>
          <w:szCs w:val="21"/>
          <w:highlight w:val="none"/>
          <w:u w:val="single"/>
          <w:lang w:bidi="ar"/>
        </w:rPr>
        <w:t xml:space="preserve">    </w:t>
      </w:r>
      <w:r>
        <w:rPr>
          <w:rFonts w:hint="eastAsia" w:ascii="宋体" w:hAnsi="宋体" w:cs="仿宋"/>
          <w:spacing w:val="1"/>
          <w:szCs w:val="21"/>
          <w:highlight w:val="none"/>
          <w:lang w:bidi="ar"/>
        </w:rPr>
        <w:t>万元，资产总额为</w:t>
      </w:r>
      <w:r>
        <w:rPr>
          <w:rFonts w:hint="eastAsia" w:ascii="宋体" w:hAnsi="宋体" w:cs="仿宋"/>
          <w:spacing w:val="1"/>
          <w:szCs w:val="21"/>
          <w:highlight w:val="none"/>
          <w:u w:val="single"/>
          <w:lang w:bidi="ar"/>
        </w:rPr>
        <w:t xml:space="preserve">    </w:t>
      </w:r>
      <w:r>
        <w:rPr>
          <w:rFonts w:hint="eastAsia" w:ascii="宋体" w:hAnsi="宋体" w:cs="仿宋"/>
          <w:spacing w:val="1"/>
          <w:szCs w:val="21"/>
          <w:highlight w:val="none"/>
          <w:lang w:bidi="ar"/>
        </w:rPr>
        <w:t>万元</w:t>
      </w:r>
      <w:r>
        <w:rPr>
          <w:rFonts w:hint="eastAsia" w:ascii="宋体" w:hAnsi="宋体" w:cs="仿宋"/>
          <w:spacing w:val="1"/>
          <w:position w:val="16"/>
          <w:szCs w:val="21"/>
          <w:highlight w:val="none"/>
          <w:lang w:bidi="ar"/>
        </w:rPr>
        <w:t xml:space="preserve">1 </w:t>
      </w:r>
      <w:r>
        <w:rPr>
          <w:rFonts w:hint="eastAsia" w:ascii="宋体" w:hAnsi="宋体" w:cs="仿宋"/>
          <w:spacing w:val="1"/>
          <w:szCs w:val="21"/>
          <w:highlight w:val="none"/>
          <w:lang w:bidi="ar"/>
        </w:rPr>
        <w:t>，属于</w:t>
      </w:r>
      <w:r>
        <w:rPr>
          <w:rFonts w:hint="eastAsia" w:ascii="宋体" w:hAnsi="宋体" w:cs="仿宋"/>
          <w:spacing w:val="1"/>
          <w:szCs w:val="21"/>
          <w:highlight w:val="none"/>
          <w:u w:val="single"/>
          <w:lang w:bidi="ar"/>
        </w:rPr>
        <w:t xml:space="preserve"> </w:t>
      </w:r>
      <w:r>
        <w:rPr>
          <w:rFonts w:hint="eastAsia" w:ascii="宋体" w:hAnsi="宋体" w:cs="仿宋"/>
          <w:i/>
          <w:iCs/>
          <w:spacing w:val="1"/>
          <w:szCs w:val="21"/>
          <w:highlight w:val="none"/>
          <w:u w:val="single"/>
          <w:lang w:bidi="ar"/>
        </w:rPr>
        <w:t>(</w:t>
      </w:r>
      <w:r>
        <w:rPr>
          <w:rFonts w:hint="eastAsia" w:ascii="宋体" w:hAnsi="宋体" w:cs="仿宋"/>
          <w:i/>
          <w:iCs/>
          <w:szCs w:val="21"/>
          <w:highlight w:val="none"/>
          <w:u w:val="single"/>
          <w:lang w:bidi="ar"/>
        </w:rPr>
        <w:t>中型企业、小</w:t>
      </w:r>
      <w:r>
        <w:rPr>
          <w:rFonts w:hint="eastAsia" w:ascii="宋体" w:hAnsi="宋体" w:cs="仿宋"/>
          <w:szCs w:val="21"/>
          <w:highlight w:val="none"/>
          <w:lang w:bidi="ar"/>
        </w:rPr>
        <w:t xml:space="preserve"> </w:t>
      </w:r>
      <w:r>
        <w:rPr>
          <w:rFonts w:hint="eastAsia" w:ascii="宋体" w:hAnsi="宋体" w:cs="仿宋"/>
          <w:i/>
          <w:iCs/>
          <w:spacing w:val="-4"/>
          <w:szCs w:val="21"/>
          <w:highlight w:val="none"/>
          <w:u w:val="single"/>
          <w:lang w:bidi="ar"/>
        </w:rPr>
        <w:t>型企</w:t>
      </w:r>
      <w:r>
        <w:rPr>
          <w:rFonts w:hint="eastAsia" w:ascii="宋体" w:hAnsi="宋体" w:cs="仿宋"/>
          <w:i/>
          <w:iCs/>
          <w:spacing w:val="-3"/>
          <w:szCs w:val="21"/>
          <w:highlight w:val="none"/>
          <w:u w:val="single"/>
          <w:lang w:bidi="ar"/>
        </w:rPr>
        <w:t>业</w:t>
      </w:r>
      <w:r>
        <w:rPr>
          <w:rFonts w:hint="eastAsia" w:ascii="宋体" w:hAnsi="宋体" w:cs="仿宋"/>
          <w:i/>
          <w:iCs/>
          <w:spacing w:val="-2"/>
          <w:szCs w:val="21"/>
          <w:highlight w:val="none"/>
          <w:u w:val="single"/>
          <w:lang w:bidi="ar"/>
        </w:rPr>
        <w:t>、微型企业</w:t>
      </w:r>
      <w:r>
        <w:rPr>
          <w:rFonts w:hint="eastAsia" w:ascii="宋体" w:hAnsi="宋体" w:cs="仿宋"/>
          <w:i/>
          <w:iCs/>
          <w:spacing w:val="-2"/>
          <w:szCs w:val="21"/>
          <w:highlight w:val="none"/>
          <w:lang w:bidi="ar"/>
        </w:rPr>
        <w:t>)</w:t>
      </w:r>
      <w:r>
        <w:rPr>
          <w:rFonts w:hint="eastAsia" w:ascii="宋体" w:hAnsi="宋体" w:cs="仿宋"/>
          <w:spacing w:val="-2"/>
          <w:szCs w:val="21"/>
          <w:highlight w:val="none"/>
          <w:lang w:bidi="ar"/>
        </w:rPr>
        <w:t>；</w:t>
      </w:r>
    </w:p>
    <w:p w14:paraId="05077FF9">
      <w:pPr>
        <w:spacing w:line="503" w:lineRule="exact"/>
        <w:ind w:left="688"/>
        <w:rPr>
          <w:rFonts w:ascii="宋体" w:hAnsi="宋体" w:cs="仿宋"/>
          <w:szCs w:val="21"/>
          <w:highlight w:val="none"/>
        </w:rPr>
      </w:pPr>
      <w:r>
        <w:rPr>
          <w:rFonts w:hint="eastAsia" w:ascii="宋体" w:hAnsi="宋体" w:cs="仿宋"/>
          <w:spacing w:val="5"/>
          <w:position w:val="4"/>
          <w:szCs w:val="21"/>
          <w:highlight w:val="none"/>
          <w:lang w:bidi="ar"/>
        </w:rPr>
        <w:t>…</w:t>
      </w:r>
      <w:r>
        <w:rPr>
          <w:rFonts w:hint="eastAsia" w:ascii="宋体" w:hAnsi="宋体" w:cs="仿宋"/>
          <w:spacing w:val="4"/>
          <w:position w:val="4"/>
          <w:szCs w:val="21"/>
          <w:highlight w:val="none"/>
          <w:lang w:bidi="ar"/>
        </w:rPr>
        <w:t>…</w:t>
      </w:r>
    </w:p>
    <w:p w14:paraId="61A3EF95">
      <w:pPr>
        <w:spacing w:before="16" w:line="307" w:lineRule="auto"/>
        <w:ind w:left="35" w:right="233" w:firstLine="678"/>
        <w:rPr>
          <w:rFonts w:ascii="宋体" w:hAnsi="宋体" w:cs="仿宋"/>
          <w:szCs w:val="21"/>
          <w:highlight w:val="none"/>
        </w:rPr>
      </w:pPr>
      <w:r>
        <w:rPr>
          <w:rFonts w:hint="eastAsia" w:ascii="宋体" w:hAnsi="宋体" w:cs="仿宋"/>
          <w:spacing w:val="7"/>
          <w:szCs w:val="21"/>
          <w:highlight w:val="none"/>
          <w:lang w:bidi="ar"/>
        </w:rPr>
        <w:t>以上企业，不属于大企业的分支机构，不存在控股股</w:t>
      </w:r>
      <w:r>
        <w:rPr>
          <w:rFonts w:hint="eastAsia" w:ascii="宋体" w:hAnsi="宋体" w:cs="仿宋"/>
          <w:spacing w:val="3"/>
          <w:szCs w:val="21"/>
          <w:highlight w:val="none"/>
          <w:lang w:bidi="ar"/>
        </w:rPr>
        <w:t>东</w:t>
      </w:r>
      <w:r>
        <w:rPr>
          <w:rFonts w:hint="eastAsia" w:ascii="宋体" w:hAnsi="宋体" w:cs="仿宋"/>
          <w:szCs w:val="21"/>
          <w:highlight w:val="none"/>
          <w:lang w:bidi="ar"/>
        </w:rPr>
        <w:t xml:space="preserve"> </w:t>
      </w:r>
      <w:r>
        <w:rPr>
          <w:rFonts w:hint="eastAsia" w:ascii="宋体" w:hAnsi="宋体" w:cs="仿宋"/>
          <w:spacing w:val="16"/>
          <w:szCs w:val="21"/>
          <w:highlight w:val="none"/>
          <w:lang w:bidi="ar"/>
        </w:rPr>
        <w:t>为大</w:t>
      </w:r>
      <w:r>
        <w:rPr>
          <w:rFonts w:hint="eastAsia" w:ascii="宋体" w:hAnsi="宋体" w:cs="仿宋"/>
          <w:spacing w:val="8"/>
          <w:szCs w:val="21"/>
          <w:highlight w:val="none"/>
          <w:lang w:bidi="ar"/>
        </w:rPr>
        <w:t>企业的情形，也不存在与大企业的负责人为同一人的情</w:t>
      </w:r>
      <w:r>
        <w:rPr>
          <w:rFonts w:hint="eastAsia" w:ascii="宋体" w:hAnsi="宋体" w:cs="仿宋"/>
          <w:szCs w:val="21"/>
          <w:highlight w:val="none"/>
          <w:lang w:bidi="ar"/>
        </w:rPr>
        <w:t xml:space="preserve"> </w:t>
      </w:r>
      <w:r>
        <w:rPr>
          <w:rFonts w:hint="eastAsia" w:ascii="宋体" w:hAnsi="宋体" w:cs="仿宋"/>
          <w:spacing w:val="-7"/>
          <w:szCs w:val="21"/>
          <w:highlight w:val="none"/>
          <w:lang w:bidi="ar"/>
        </w:rPr>
        <w:t>形</w:t>
      </w:r>
      <w:r>
        <w:rPr>
          <w:rFonts w:hint="eastAsia" w:ascii="宋体" w:hAnsi="宋体" w:cs="仿宋"/>
          <w:spacing w:val="-6"/>
          <w:szCs w:val="21"/>
          <w:highlight w:val="none"/>
          <w:lang w:bidi="ar"/>
        </w:rPr>
        <w:t>。</w:t>
      </w:r>
    </w:p>
    <w:p w14:paraId="4345DC37">
      <w:pPr>
        <w:spacing w:before="2" w:line="314" w:lineRule="auto"/>
        <w:ind w:left="45" w:right="235" w:firstLine="636"/>
        <w:rPr>
          <w:rFonts w:ascii="宋体" w:hAnsi="宋体" w:cs="仿宋"/>
          <w:szCs w:val="21"/>
          <w:highlight w:val="none"/>
        </w:rPr>
      </w:pPr>
      <w:r>
        <w:rPr>
          <w:rFonts w:hint="eastAsia" w:ascii="宋体" w:hAnsi="宋体" w:cs="仿宋"/>
          <w:spacing w:val="11"/>
          <w:szCs w:val="21"/>
          <w:highlight w:val="none"/>
          <w:lang w:bidi="ar"/>
        </w:rPr>
        <w:t>本</w:t>
      </w:r>
      <w:r>
        <w:rPr>
          <w:rFonts w:hint="eastAsia" w:ascii="宋体" w:hAnsi="宋体" w:cs="仿宋"/>
          <w:spacing w:val="8"/>
          <w:szCs w:val="21"/>
          <w:highlight w:val="none"/>
          <w:lang w:bidi="ar"/>
        </w:rPr>
        <w:t>企业对上述声明内容的真实性负责。如有虚假，将依</w:t>
      </w:r>
      <w:r>
        <w:rPr>
          <w:rFonts w:hint="eastAsia" w:ascii="宋体" w:hAnsi="宋体" w:cs="仿宋"/>
          <w:szCs w:val="21"/>
          <w:highlight w:val="none"/>
          <w:lang w:bidi="ar"/>
        </w:rPr>
        <w:t xml:space="preserve"> </w:t>
      </w:r>
      <w:r>
        <w:rPr>
          <w:rFonts w:hint="eastAsia" w:ascii="宋体" w:hAnsi="宋体" w:cs="仿宋"/>
          <w:spacing w:val="8"/>
          <w:szCs w:val="21"/>
          <w:highlight w:val="none"/>
          <w:lang w:bidi="ar"/>
        </w:rPr>
        <w:t>法</w:t>
      </w:r>
      <w:r>
        <w:rPr>
          <w:rFonts w:hint="eastAsia" w:ascii="宋体" w:hAnsi="宋体" w:cs="仿宋"/>
          <w:spacing w:val="5"/>
          <w:szCs w:val="21"/>
          <w:highlight w:val="none"/>
          <w:lang w:bidi="ar"/>
        </w:rPr>
        <w:t>承</w:t>
      </w:r>
      <w:r>
        <w:rPr>
          <w:rFonts w:hint="eastAsia" w:ascii="宋体" w:hAnsi="宋体" w:cs="仿宋"/>
          <w:spacing w:val="4"/>
          <w:szCs w:val="21"/>
          <w:highlight w:val="none"/>
          <w:lang w:bidi="ar"/>
        </w:rPr>
        <w:t>担相应责任。</w:t>
      </w:r>
    </w:p>
    <w:p w14:paraId="3391A1CC">
      <w:pPr>
        <w:spacing w:before="1"/>
        <w:ind w:left="3876"/>
        <w:rPr>
          <w:rFonts w:ascii="宋体" w:hAnsi="宋体" w:cs="仿宋"/>
          <w:szCs w:val="21"/>
          <w:highlight w:val="none"/>
        </w:rPr>
      </w:pPr>
      <w:r>
        <w:rPr>
          <w:rFonts w:hint="eastAsia" w:ascii="宋体" w:hAnsi="宋体" w:cs="仿宋"/>
          <w:spacing w:val="3"/>
          <w:szCs w:val="21"/>
          <w:highlight w:val="none"/>
          <w:lang w:bidi="ar"/>
        </w:rPr>
        <w:t>企业名称 (盖章)：</w:t>
      </w:r>
    </w:p>
    <w:p w14:paraId="4AADE59F">
      <w:pPr>
        <w:spacing w:before="159"/>
        <w:ind w:left="3942"/>
        <w:rPr>
          <w:rFonts w:ascii="Arial" w:hAnsi="Arial"/>
          <w:szCs w:val="21"/>
          <w:highlight w:val="none"/>
        </w:rPr>
      </w:pPr>
      <w:r>
        <w:rPr>
          <w:rFonts w:hint="eastAsia" w:ascii="宋体" w:hAnsi="宋体" w:cs="仿宋"/>
          <w:szCs w:val="21"/>
          <w:highlight w:val="none"/>
          <w:lang w:bidi="ar"/>
        </w:rPr>
        <w:t>日 期：</w:t>
      </w:r>
      <w:r>
        <w:rPr>
          <w:highlight w:val="none"/>
          <w:u w:val="single"/>
          <w:lang w:bidi="ar"/>
        </w:rPr>
        <w:tab/>
      </w:r>
    </w:p>
    <w:p w14:paraId="7FC6570B">
      <w:pPr>
        <w:spacing w:before="105"/>
        <w:ind w:left="27"/>
        <w:rPr>
          <w:rFonts w:ascii="宋体" w:hAnsi="宋体" w:cs="宋体"/>
          <w:sz w:val="17"/>
          <w:szCs w:val="17"/>
          <w:highlight w:val="none"/>
        </w:rPr>
      </w:pPr>
      <w:r>
        <w:rPr>
          <w:spacing w:val="18"/>
          <w:position w:val="6"/>
          <w:sz w:val="11"/>
          <w:szCs w:val="11"/>
          <w:highlight w:val="none"/>
          <w:lang w:bidi="ar"/>
        </w:rPr>
        <w:t>1</w:t>
      </w:r>
      <w:r>
        <w:rPr>
          <w:rFonts w:hint="eastAsia" w:ascii="宋体" w:hAnsi="宋体" w:cs="宋体"/>
          <w:spacing w:val="11"/>
          <w:sz w:val="17"/>
          <w:szCs w:val="17"/>
          <w:highlight w:val="none"/>
          <w:lang w:bidi="ar"/>
        </w:rPr>
        <w:t>从</w:t>
      </w:r>
      <w:r>
        <w:rPr>
          <w:rFonts w:hint="eastAsia" w:ascii="宋体" w:hAnsi="宋体" w:cs="宋体"/>
          <w:spacing w:val="9"/>
          <w:sz w:val="17"/>
          <w:szCs w:val="17"/>
          <w:highlight w:val="none"/>
          <w:lang w:bidi="ar"/>
        </w:rPr>
        <w:t>业人员、营业收入、资产总额填报上一年度数据，无上一年度数据的新成立企业可不填报。</w:t>
      </w:r>
    </w:p>
    <w:p w14:paraId="26B392C1">
      <w:pPr>
        <w:adjustRightInd w:val="0"/>
        <w:snapToGrid w:val="0"/>
        <w:spacing w:line="360" w:lineRule="auto"/>
        <w:ind w:right="24" w:firstLine="420" w:firstLineChars="200"/>
        <w:rPr>
          <w:rFonts w:ascii="宋体" w:hAnsi="宋体"/>
          <w:spacing w:val="6"/>
          <w:kern w:val="0"/>
          <w:sz w:val="28"/>
          <w:szCs w:val="28"/>
          <w:highlight w:val="none"/>
        </w:rPr>
      </w:pPr>
      <w:r>
        <w:rPr>
          <w:rFonts w:hint="eastAsia" w:ascii="宋体" w:hAnsi="宋体"/>
          <w:szCs w:val="21"/>
          <w:highlight w:val="none"/>
          <w:lang w:bidi="ar"/>
        </w:rPr>
        <w:br w:type="page"/>
      </w:r>
      <w:r>
        <w:rPr>
          <w:rFonts w:hint="eastAsia" w:ascii="宋体" w:hAnsi="宋体"/>
          <w:bCs/>
          <w:sz w:val="28"/>
          <w:szCs w:val="28"/>
          <w:highlight w:val="none"/>
        </w:rPr>
        <w:t>附件8</w:t>
      </w:r>
      <w:bookmarkStart w:id="79" w:name="OLE_LINK13"/>
      <w:bookmarkStart w:id="80" w:name="OLE_LINK14"/>
    </w:p>
    <w:p w14:paraId="6EDF17E3">
      <w:pPr>
        <w:tabs>
          <w:tab w:val="left" w:pos="3600"/>
        </w:tabs>
        <w:adjustRightInd w:val="0"/>
        <w:snapToGrid w:val="0"/>
        <w:jc w:val="center"/>
        <w:rPr>
          <w:rFonts w:ascii="宋体" w:hAnsi="宋体" w:cs="宋体"/>
          <w:b/>
          <w:bCs/>
          <w:spacing w:val="6"/>
          <w:kern w:val="0"/>
          <w:sz w:val="24"/>
          <w:highlight w:val="none"/>
        </w:rPr>
      </w:pPr>
      <w:bookmarkStart w:id="81" w:name="_Hlk73465908"/>
      <w:r>
        <w:rPr>
          <w:rFonts w:hint="eastAsia" w:ascii="宋体" w:hAnsi="宋体" w:cs="宋体"/>
          <w:b/>
          <w:bCs/>
          <w:spacing w:val="6"/>
          <w:kern w:val="0"/>
          <w:sz w:val="24"/>
          <w:highlight w:val="none"/>
        </w:rPr>
        <w:t>残疾人福利性单位声明函</w:t>
      </w:r>
    </w:p>
    <w:bookmarkEnd w:id="79"/>
    <w:bookmarkEnd w:id="80"/>
    <w:p w14:paraId="35A803BA">
      <w:pPr>
        <w:spacing w:line="588" w:lineRule="exact"/>
        <w:rPr>
          <w:rFonts w:ascii="宋体" w:hAnsi="宋体"/>
          <w:b/>
          <w:bCs/>
          <w:spacing w:val="6"/>
          <w:szCs w:val="21"/>
          <w:highlight w:val="none"/>
        </w:rPr>
      </w:pPr>
    </w:p>
    <w:p w14:paraId="165CB836">
      <w:pPr>
        <w:widowControl/>
        <w:adjustRightInd w:val="0"/>
        <w:snapToGrid w:val="0"/>
        <w:spacing w:line="360" w:lineRule="auto"/>
        <w:ind w:firstLine="444" w:firstLineChars="200"/>
        <w:jc w:val="left"/>
        <w:rPr>
          <w:rFonts w:ascii="宋体" w:hAnsi="宋体" w:cs="宋体"/>
          <w:spacing w:val="6"/>
          <w:kern w:val="0"/>
          <w:szCs w:val="21"/>
          <w:highlight w:val="none"/>
        </w:rPr>
      </w:pPr>
    </w:p>
    <w:p w14:paraId="20C5D118">
      <w:pPr>
        <w:widowControl/>
        <w:adjustRightInd w:val="0"/>
        <w:snapToGrid w:val="0"/>
        <w:spacing w:line="360" w:lineRule="auto"/>
        <w:ind w:firstLine="444" w:firstLineChars="200"/>
        <w:jc w:val="left"/>
        <w:rPr>
          <w:rFonts w:ascii="宋体" w:hAnsi="宋体"/>
          <w:spacing w:val="6"/>
          <w:kern w:val="0"/>
          <w:szCs w:val="21"/>
          <w:highlight w:val="none"/>
        </w:rPr>
      </w:pPr>
      <w:r>
        <w:rPr>
          <w:rFonts w:hint="eastAsia" w:ascii="宋体" w:hAnsi="宋体" w:cs="宋体"/>
          <w:spacing w:val="6"/>
          <w:kern w:val="0"/>
          <w:szCs w:val="21"/>
          <w:highlight w:val="none"/>
        </w:rPr>
        <w:t>本单位郑重声明，根据《财政部</w:t>
      </w:r>
      <w:r>
        <w:rPr>
          <w:rFonts w:ascii="宋体" w:hAnsi="宋体" w:cs="宋体"/>
          <w:spacing w:val="6"/>
          <w:kern w:val="0"/>
          <w:szCs w:val="21"/>
          <w:highlight w:val="none"/>
        </w:rPr>
        <w:t xml:space="preserve"> </w:t>
      </w:r>
      <w:r>
        <w:rPr>
          <w:rFonts w:hint="eastAsia" w:ascii="宋体" w:hAnsi="宋体" w:cs="宋体"/>
          <w:spacing w:val="6"/>
          <w:kern w:val="0"/>
          <w:szCs w:val="21"/>
          <w:highlight w:val="none"/>
        </w:rPr>
        <w:t>民政部</w:t>
      </w:r>
      <w:r>
        <w:rPr>
          <w:rFonts w:ascii="宋体" w:hAnsi="宋体" w:cs="宋体"/>
          <w:spacing w:val="6"/>
          <w:kern w:val="0"/>
          <w:szCs w:val="21"/>
          <w:highlight w:val="none"/>
        </w:rPr>
        <w:t xml:space="preserve"> </w:t>
      </w:r>
      <w:r>
        <w:rPr>
          <w:rFonts w:hint="eastAsia" w:ascii="宋体" w:hAnsi="宋体" w:cs="宋体"/>
          <w:spacing w:val="6"/>
          <w:kern w:val="0"/>
          <w:szCs w:val="21"/>
          <w:highlight w:val="none"/>
        </w:rPr>
        <w:t>中国残疾人联合会关于促进残疾人就业政府采购政策的通知》（财库〔</w:t>
      </w:r>
      <w:r>
        <w:rPr>
          <w:rFonts w:ascii="宋体" w:hAnsi="宋体" w:cs="宋体"/>
          <w:spacing w:val="6"/>
          <w:kern w:val="0"/>
          <w:szCs w:val="21"/>
          <w:highlight w:val="none"/>
        </w:rPr>
        <w:t>2017</w:t>
      </w:r>
      <w:r>
        <w:rPr>
          <w:rFonts w:hint="eastAsia" w:ascii="宋体" w:hAnsi="宋体" w:cs="宋体"/>
          <w:spacing w:val="6"/>
          <w:kern w:val="0"/>
          <w:szCs w:val="21"/>
          <w:highlight w:val="none"/>
        </w:rPr>
        <w:t>〕</w:t>
      </w:r>
      <w:r>
        <w:rPr>
          <w:rFonts w:ascii="宋体" w:hAnsi="宋体" w:cs="宋体"/>
          <w:spacing w:val="6"/>
          <w:kern w:val="0"/>
          <w:szCs w:val="21"/>
          <w:highlight w:val="none"/>
        </w:rPr>
        <w:t xml:space="preserve"> 141</w:t>
      </w:r>
      <w:r>
        <w:rPr>
          <w:rFonts w:hint="eastAsia" w:ascii="宋体" w:hAnsi="宋体" w:cs="宋体"/>
          <w:spacing w:val="6"/>
          <w:kern w:val="0"/>
          <w:szCs w:val="21"/>
          <w:highlight w:val="none"/>
        </w:rPr>
        <w:t>号）的规定，本单位为符合条件的残疾人福利性单位，且本单位参加</w:t>
      </w:r>
      <w:r>
        <w:rPr>
          <w:rFonts w:ascii="宋体" w:hAnsi="宋体" w:cs="宋体"/>
          <w:spacing w:val="6"/>
          <w:kern w:val="0"/>
          <w:szCs w:val="21"/>
          <w:highlight w:val="none"/>
        </w:rPr>
        <w:t>______</w:t>
      </w:r>
      <w:r>
        <w:rPr>
          <w:rFonts w:hint="eastAsia" w:ascii="宋体" w:hAnsi="宋体" w:cs="宋体"/>
          <w:spacing w:val="6"/>
          <w:kern w:val="0"/>
          <w:szCs w:val="21"/>
          <w:highlight w:val="none"/>
        </w:rPr>
        <w:t>单位的</w:t>
      </w:r>
      <w:r>
        <w:rPr>
          <w:rFonts w:ascii="宋体" w:hAnsi="宋体" w:cs="宋体"/>
          <w:spacing w:val="6"/>
          <w:kern w:val="0"/>
          <w:szCs w:val="21"/>
          <w:highlight w:val="none"/>
        </w:rPr>
        <w:t>______</w:t>
      </w:r>
      <w:r>
        <w:rPr>
          <w:rFonts w:hint="eastAsia" w:ascii="宋体" w:hAnsi="宋体" w:cs="宋体"/>
          <w:spacing w:val="6"/>
          <w:kern w:val="0"/>
          <w:szCs w:val="21"/>
          <w:highlight w:val="none"/>
        </w:rPr>
        <w:t>项目采购活动提供本单位制造的货物（由本单位承担工程</w:t>
      </w:r>
      <w:r>
        <w:rPr>
          <w:rFonts w:ascii="宋体" w:hAnsi="宋体" w:cs="宋体"/>
          <w:spacing w:val="6"/>
          <w:kern w:val="0"/>
          <w:szCs w:val="21"/>
          <w:highlight w:val="none"/>
        </w:rPr>
        <w:t>/</w:t>
      </w:r>
      <w:r>
        <w:rPr>
          <w:rFonts w:hint="eastAsia" w:ascii="宋体" w:hAnsi="宋体" w:cs="宋体"/>
          <w:spacing w:val="6"/>
          <w:kern w:val="0"/>
          <w:szCs w:val="21"/>
          <w:highlight w:val="none"/>
        </w:rPr>
        <w:t>提供服务），或者提供其他残疾人福利性单位制造的货物（不包括使用非残疾人福利性单位注册商标的货物）。</w:t>
      </w:r>
    </w:p>
    <w:p w14:paraId="2EFA102B">
      <w:pPr>
        <w:widowControl/>
        <w:adjustRightInd w:val="0"/>
        <w:snapToGrid w:val="0"/>
        <w:spacing w:line="360" w:lineRule="auto"/>
        <w:ind w:firstLine="444" w:firstLineChars="200"/>
        <w:jc w:val="left"/>
        <w:rPr>
          <w:rFonts w:ascii="宋体" w:hAnsi="宋体"/>
          <w:spacing w:val="6"/>
          <w:kern w:val="0"/>
          <w:szCs w:val="21"/>
          <w:highlight w:val="none"/>
        </w:rPr>
      </w:pPr>
      <w:r>
        <w:rPr>
          <w:rFonts w:hint="eastAsia" w:ascii="宋体" w:hAnsi="宋体" w:cs="宋体"/>
          <w:spacing w:val="6"/>
          <w:kern w:val="0"/>
          <w:szCs w:val="21"/>
          <w:highlight w:val="none"/>
        </w:rPr>
        <w:t>本单位对上述声明的真实性负责。如有虚假，将依法承担相应责任。</w:t>
      </w:r>
    </w:p>
    <w:p w14:paraId="34A3AF1F">
      <w:pPr>
        <w:widowControl/>
        <w:adjustRightInd w:val="0"/>
        <w:snapToGrid w:val="0"/>
        <w:spacing w:line="360" w:lineRule="auto"/>
        <w:ind w:firstLine="444" w:firstLineChars="200"/>
        <w:jc w:val="left"/>
        <w:rPr>
          <w:rFonts w:ascii="宋体" w:hAnsi="宋体"/>
          <w:spacing w:val="6"/>
          <w:kern w:val="0"/>
          <w:szCs w:val="21"/>
          <w:highlight w:val="none"/>
        </w:rPr>
      </w:pPr>
    </w:p>
    <w:p w14:paraId="4D4570DE">
      <w:pPr>
        <w:widowControl/>
        <w:adjustRightInd w:val="0"/>
        <w:snapToGrid w:val="0"/>
        <w:spacing w:line="360" w:lineRule="auto"/>
        <w:ind w:firstLine="444" w:firstLineChars="200"/>
        <w:jc w:val="left"/>
        <w:rPr>
          <w:rFonts w:ascii="宋体" w:hAnsi="宋体" w:cs="宋体"/>
          <w:spacing w:val="6"/>
          <w:kern w:val="0"/>
          <w:szCs w:val="21"/>
          <w:highlight w:val="none"/>
        </w:rPr>
      </w:pPr>
    </w:p>
    <w:p w14:paraId="2648A296">
      <w:pPr>
        <w:widowControl/>
        <w:adjustRightInd w:val="0"/>
        <w:snapToGrid w:val="0"/>
        <w:spacing w:line="360" w:lineRule="auto"/>
        <w:ind w:firstLine="444" w:firstLineChars="200"/>
        <w:jc w:val="left"/>
        <w:rPr>
          <w:rFonts w:ascii="宋体" w:hAnsi="宋体" w:cs="宋体"/>
          <w:spacing w:val="6"/>
          <w:kern w:val="0"/>
          <w:szCs w:val="21"/>
          <w:highlight w:val="none"/>
        </w:rPr>
      </w:pPr>
    </w:p>
    <w:p w14:paraId="5516A3EA">
      <w:pPr>
        <w:widowControl/>
        <w:adjustRightInd w:val="0"/>
        <w:snapToGrid w:val="0"/>
        <w:spacing w:line="360" w:lineRule="auto"/>
        <w:ind w:firstLine="444" w:firstLineChars="200"/>
        <w:jc w:val="left"/>
        <w:rPr>
          <w:rFonts w:ascii="宋体" w:hAnsi="宋体" w:cs="宋体"/>
          <w:spacing w:val="6"/>
          <w:kern w:val="0"/>
          <w:szCs w:val="21"/>
          <w:highlight w:val="none"/>
        </w:rPr>
      </w:pPr>
    </w:p>
    <w:p w14:paraId="1A513C4D">
      <w:pPr>
        <w:widowControl/>
        <w:adjustRightInd w:val="0"/>
        <w:snapToGrid w:val="0"/>
        <w:spacing w:line="360" w:lineRule="auto"/>
        <w:ind w:firstLine="444" w:firstLineChars="200"/>
        <w:jc w:val="left"/>
        <w:rPr>
          <w:rFonts w:ascii="宋体" w:hAnsi="宋体" w:cs="宋体"/>
          <w:spacing w:val="6"/>
          <w:kern w:val="0"/>
          <w:szCs w:val="21"/>
          <w:highlight w:val="none"/>
        </w:rPr>
      </w:pPr>
    </w:p>
    <w:p w14:paraId="75A28677">
      <w:pPr>
        <w:widowControl/>
        <w:adjustRightInd w:val="0"/>
        <w:snapToGrid w:val="0"/>
        <w:spacing w:line="360" w:lineRule="auto"/>
        <w:ind w:firstLine="444" w:firstLineChars="200"/>
        <w:jc w:val="left"/>
        <w:rPr>
          <w:rFonts w:ascii="宋体" w:hAnsi="宋体" w:cs="宋体"/>
          <w:spacing w:val="6"/>
          <w:kern w:val="0"/>
          <w:szCs w:val="21"/>
          <w:highlight w:val="none"/>
        </w:rPr>
      </w:pPr>
    </w:p>
    <w:p w14:paraId="7AEC1B9E">
      <w:pPr>
        <w:pStyle w:val="24"/>
        <w:adjustRightInd w:val="0"/>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投标人名称(盖单位章)：</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2B897C6C">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法定代表人或其委托代理人 (签字</w:t>
      </w:r>
      <w:r>
        <w:rPr>
          <w:rFonts w:hint="eastAsia" w:ascii="宋体" w:hAnsi="宋体"/>
          <w:color w:val="auto"/>
          <w:szCs w:val="21"/>
          <w:highlight w:val="none"/>
          <w:lang w:eastAsia="zh-CN"/>
        </w:rPr>
        <w:t>或盖章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2C87DCEA">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日期：</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4C1E023E">
      <w:pPr>
        <w:adjustRightInd w:val="0"/>
        <w:snapToGrid w:val="0"/>
        <w:rPr>
          <w:rFonts w:ascii="宋体" w:hAnsi="宋体"/>
          <w:b/>
          <w:sz w:val="24"/>
          <w:highlight w:val="none"/>
        </w:rPr>
      </w:pPr>
      <w:r>
        <w:rPr>
          <w:rFonts w:hint="eastAsia" w:ascii="宋体" w:hAnsi="宋体"/>
          <w:b/>
          <w:sz w:val="24"/>
          <w:highlight w:val="none"/>
        </w:rPr>
        <w:t xml:space="preserve"> </w:t>
      </w:r>
    </w:p>
    <w:p w14:paraId="62CD3725">
      <w:pPr>
        <w:widowControl/>
        <w:adjustRightInd w:val="0"/>
        <w:snapToGrid w:val="0"/>
        <w:spacing w:line="360" w:lineRule="auto"/>
        <w:ind w:firstLine="444" w:firstLineChars="200"/>
        <w:jc w:val="left"/>
        <w:rPr>
          <w:rFonts w:ascii="宋体" w:hAnsi="宋体" w:cs="宋体"/>
          <w:spacing w:val="6"/>
          <w:kern w:val="0"/>
          <w:szCs w:val="21"/>
          <w:highlight w:val="none"/>
        </w:rPr>
      </w:pPr>
    </w:p>
    <w:p w14:paraId="79D2A235">
      <w:pPr>
        <w:widowControl/>
        <w:adjustRightInd w:val="0"/>
        <w:snapToGrid w:val="0"/>
        <w:spacing w:line="360" w:lineRule="auto"/>
        <w:ind w:firstLine="444" w:firstLineChars="200"/>
        <w:jc w:val="left"/>
        <w:rPr>
          <w:rFonts w:ascii="宋体" w:hAnsi="宋体" w:cs="宋体"/>
          <w:spacing w:val="6"/>
          <w:kern w:val="0"/>
          <w:szCs w:val="21"/>
          <w:highlight w:val="none"/>
        </w:rPr>
      </w:pPr>
    </w:p>
    <w:p w14:paraId="41034A81">
      <w:pPr>
        <w:widowControl/>
        <w:adjustRightInd w:val="0"/>
        <w:snapToGrid w:val="0"/>
        <w:spacing w:line="360" w:lineRule="auto"/>
        <w:ind w:firstLine="444" w:firstLineChars="200"/>
        <w:jc w:val="left"/>
        <w:rPr>
          <w:rFonts w:ascii="宋体" w:hAnsi="宋体" w:cs="宋体"/>
          <w:b/>
          <w:spacing w:val="6"/>
          <w:kern w:val="0"/>
          <w:szCs w:val="21"/>
          <w:highlight w:val="none"/>
        </w:rPr>
      </w:pPr>
      <w:r>
        <w:rPr>
          <w:rFonts w:hint="eastAsia" w:ascii="宋体" w:hAnsi="宋体" w:cs="宋体"/>
          <w:spacing w:val="6"/>
          <w:kern w:val="0"/>
          <w:szCs w:val="21"/>
          <w:highlight w:val="none"/>
        </w:rPr>
        <w:t>说明：按照《关于促进残疾人就业政府采购政策的通知》（财库〔2017〕141号）的规定，残疾人福利性单位仅需提供声明函，不需提供其他证明材料。</w:t>
      </w:r>
      <w:r>
        <w:rPr>
          <w:rFonts w:hint="eastAsia" w:ascii="宋体" w:hAnsi="宋体" w:cs="宋体"/>
          <w:b/>
          <w:spacing w:val="6"/>
          <w:kern w:val="0"/>
          <w:szCs w:val="21"/>
          <w:highlight w:val="none"/>
        </w:rPr>
        <w:t>非残疾人福利性单位，本表可不提供。</w:t>
      </w:r>
    </w:p>
    <w:bookmarkEnd w:id="81"/>
    <w:p w14:paraId="2A74F6C8">
      <w:pPr>
        <w:widowControl/>
        <w:adjustRightInd w:val="0"/>
        <w:snapToGrid w:val="0"/>
        <w:spacing w:line="360" w:lineRule="auto"/>
        <w:jc w:val="left"/>
        <w:rPr>
          <w:rFonts w:ascii="宋体" w:hAnsi="宋体" w:cs="宋体"/>
          <w:spacing w:val="6"/>
          <w:kern w:val="0"/>
          <w:szCs w:val="21"/>
          <w:highlight w:val="none"/>
        </w:rPr>
      </w:pPr>
    </w:p>
    <w:p w14:paraId="6A414B87">
      <w:pPr>
        <w:tabs>
          <w:tab w:val="left" w:pos="3600"/>
        </w:tabs>
        <w:adjustRightInd w:val="0"/>
        <w:snapToGrid w:val="0"/>
        <w:jc w:val="left"/>
        <w:rPr>
          <w:rFonts w:ascii="宋体" w:hAnsi="宋体" w:cs="宋体"/>
          <w:b/>
          <w:bCs/>
          <w:spacing w:val="6"/>
          <w:kern w:val="0"/>
          <w:sz w:val="24"/>
          <w:highlight w:val="none"/>
        </w:rPr>
      </w:pPr>
      <w:r>
        <w:rPr>
          <w:rFonts w:ascii="宋体" w:hAnsi="宋体"/>
          <w:bCs/>
          <w:sz w:val="28"/>
          <w:szCs w:val="28"/>
          <w:highlight w:val="none"/>
        </w:rPr>
        <w:br w:type="page"/>
      </w:r>
      <w:r>
        <w:rPr>
          <w:rFonts w:hint="eastAsia" w:ascii="宋体" w:hAnsi="宋体"/>
          <w:bCs/>
          <w:sz w:val="28"/>
          <w:szCs w:val="28"/>
          <w:highlight w:val="none"/>
        </w:rPr>
        <w:t>附件</w:t>
      </w:r>
      <w:r>
        <w:rPr>
          <w:rFonts w:ascii="宋体" w:hAnsi="宋体"/>
          <w:bCs/>
          <w:sz w:val="28"/>
          <w:szCs w:val="28"/>
          <w:highlight w:val="none"/>
        </w:rPr>
        <w:t>9</w:t>
      </w:r>
    </w:p>
    <w:p w14:paraId="4B0B4776">
      <w:pPr>
        <w:tabs>
          <w:tab w:val="left" w:pos="3600"/>
        </w:tabs>
        <w:adjustRightInd w:val="0"/>
        <w:snapToGrid w:val="0"/>
        <w:jc w:val="center"/>
        <w:rPr>
          <w:rFonts w:ascii="宋体" w:hAnsi="宋体" w:cs="宋体"/>
          <w:b/>
          <w:bCs/>
          <w:spacing w:val="6"/>
          <w:kern w:val="0"/>
          <w:sz w:val="24"/>
          <w:highlight w:val="none"/>
        </w:rPr>
      </w:pPr>
      <w:bookmarkStart w:id="82" w:name="_Hlk73465936"/>
      <w:r>
        <w:rPr>
          <w:rFonts w:hint="eastAsia" w:ascii="宋体" w:hAnsi="宋体" w:cs="宋体"/>
          <w:b/>
          <w:bCs/>
          <w:spacing w:val="6"/>
          <w:kern w:val="0"/>
          <w:sz w:val="24"/>
          <w:highlight w:val="none"/>
        </w:rPr>
        <w:t>投标人监狱企业声明函</w:t>
      </w:r>
    </w:p>
    <w:p w14:paraId="00314B79">
      <w:pPr>
        <w:tabs>
          <w:tab w:val="left" w:pos="3600"/>
        </w:tabs>
        <w:adjustRightInd w:val="0"/>
        <w:snapToGrid w:val="0"/>
        <w:jc w:val="center"/>
        <w:rPr>
          <w:rFonts w:ascii="宋体" w:hAnsi="宋体" w:cs="宋体"/>
          <w:b/>
          <w:bCs/>
          <w:spacing w:val="6"/>
          <w:kern w:val="0"/>
          <w:sz w:val="24"/>
          <w:highlight w:val="none"/>
        </w:rPr>
      </w:pPr>
    </w:p>
    <w:p w14:paraId="1A0C030E">
      <w:pPr>
        <w:widowControl/>
        <w:spacing w:line="360" w:lineRule="auto"/>
        <w:ind w:firstLine="444" w:firstLineChars="200"/>
        <w:jc w:val="left"/>
        <w:rPr>
          <w:rFonts w:ascii="宋体" w:hAnsi="宋体" w:cs="宋体"/>
          <w:spacing w:val="6"/>
          <w:kern w:val="0"/>
          <w:szCs w:val="21"/>
          <w:highlight w:val="none"/>
        </w:rPr>
      </w:pPr>
      <w:r>
        <w:rPr>
          <w:rFonts w:ascii="宋体" w:hAnsi="宋体" w:cs="宋体"/>
          <w:spacing w:val="6"/>
          <w:kern w:val="0"/>
          <w:szCs w:val="21"/>
          <w:highlight w:val="none"/>
        </w:rPr>
        <w:t>本</w:t>
      </w:r>
      <w:r>
        <w:rPr>
          <w:rFonts w:hint="eastAsia" w:ascii="宋体" w:hAnsi="宋体" w:cs="宋体"/>
          <w:spacing w:val="6"/>
          <w:kern w:val="0"/>
          <w:szCs w:val="21"/>
          <w:highlight w:val="none"/>
        </w:rPr>
        <w:t>企业</w:t>
      </w:r>
      <w:r>
        <w:rPr>
          <w:rFonts w:ascii="宋体" w:hAnsi="宋体" w:cs="宋体"/>
          <w:spacing w:val="6"/>
          <w:kern w:val="0"/>
          <w:szCs w:val="21"/>
          <w:highlight w:val="none"/>
        </w:rPr>
        <w:t>（</w:t>
      </w:r>
      <w:r>
        <w:rPr>
          <w:rFonts w:hint="eastAsia" w:ascii="宋体" w:hAnsi="宋体" w:cs="宋体"/>
          <w:spacing w:val="6"/>
          <w:kern w:val="0"/>
          <w:szCs w:val="21"/>
          <w:highlight w:val="none"/>
        </w:rPr>
        <w:t>单位</w:t>
      </w:r>
      <w:r>
        <w:rPr>
          <w:rFonts w:ascii="宋体" w:hAnsi="宋体" w:cs="宋体"/>
          <w:spacing w:val="6"/>
          <w:kern w:val="0"/>
          <w:szCs w:val="21"/>
          <w:highlight w:val="none"/>
        </w:rPr>
        <w:t>）郑重声明下</w:t>
      </w:r>
      <w:r>
        <w:rPr>
          <w:rFonts w:hint="eastAsia" w:ascii="宋体" w:hAnsi="宋体" w:cs="宋体"/>
          <w:spacing w:val="6"/>
          <w:kern w:val="0"/>
          <w:szCs w:val="21"/>
          <w:highlight w:val="none"/>
        </w:rPr>
        <w:t>列事项（按照</w:t>
      </w:r>
      <w:r>
        <w:rPr>
          <w:rFonts w:ascii="宋体" w:hAnsi="宋体" w:cs="宋体"/>
          <w:spacing w:val="6"/>
          <w:kern w:val="0"/>
          <w:szCs w:val="21"/>
          <w:highlight w:val="none"/>
        </w:rPr>
        <w:t>实际情况勾选或</w:t>
      </w:r>
      <w:r>
        <w:rPr>
          <w:rFonts w:hint="eastAsia" w:ascii="宋体" w:hAnsi="宋体" w:cs="宋体"/>
          <w:spacing w:val="6"/>
          <w:kern w:val="0"/>
          <w:szCs w:val="21"/>
          <w:highlight w:val="none"/>
        </w:rPr>
        <w:t>填空）：</w:t>
      </w:r>
    </w:p>
    <w:p w14:paraId="2DF10FEB">
      <w:pPr>
        <w:widowControl/>
        <w:spacing w:line="360" w:lineRule="auto"/>
        <w:ind w:firstLine="444" w:firstLineChars="200"/>
        <w:jc w:val="left"/>
        <w:rPr>
          <w:rFonts w:ascii="宋体" w:hAnsi="宋体" w:cs="宋体"/>
          <w:spacing w:val="6"/>
          <w:kern w:val="0"/>
          <w:szCs w:val="21"/>
          <w:highlight w:val="none"/>
        </w:rPr>
      </w:pPr>
      <w:r>
        <w:rPr>
          <w:rFonts w:ascii="宋体" w:hAnsi="宋体" w:cs="宋体"/>
          <w:spacing w:val="6"/>
          <w:kern w:val="0"/>
          <w:szCs w:val="21"/>
          <w:highlight w:val="none"/>
        </w:rPr>
        <w:t>本</w:t>
      </w:r>
      <w:r>
        <w:rPr>
          <w:rFonts w:hint="eastAsia" w:ascii="宋体" w:hAnsi="宋体" w:cs="宋体"/>
          <w:spacing w:val="6"/>
          <w:kern w:val="0"/>
          <w:szCs w:val="21"/>
          <w:highlight w:val="none"/>
        </w:rPr>
        <w:t>企业（单位）为直接投标人</w:t>
      </w:r>
      <w:r>
        <w:rPr>
          <w:rFonts w:ascii="宋体" w:hAnsi="宋体" w:cs="宋体"/>
          <w:spacing w:val="6"/>
          <w:kern w:val="0"/>
          <w:szCs w:val="21"/>
          <w:highlight w:val="none"/>
        </w:rPr>
        <w:t>提供本企业</w:t>
      </w:r>
      <w:r>
        <w:rPr>
          <w:rFonts w:hint="eastAsia" w:ascii="宋体" w:hAnsi="宋体" w:cs="宋体"/>
          <w:spacing w:val="6"/>
          <w:kern w:val="0"/>
          <w:szCs w:val="21"/>
          <w:highlight w:val="none"/>
        </w:rPr>
        <w:t>（单位）</w:t>
      </w:r>
      <w:r>
        <w:rPr>
          <w:rFonts w:ascii="宋体" w:hAnsi="宋体" w:cs="宋体"/>
          <w:spacing w:val="6"/>
          <w:kern w:val="0"/>
          <w:szCs w:val="21"/>
          <w:highlight w:val="none"/>
        </w:rPr>
        <w:t>制造的货物</w:t>
      </w:r>
      <w:r>
        <w:rPr>
          <w:rFonts w:hint="eastAsia" w:ascii="宋体" w:hAnsi="宋体" w:cs="宋体"/>
          <w:spacing w:val="6"/>
          <w:kern w:val="0"/>
          <w:szCs w:val="21"/>
          <w:highlight w:val="none"/>
        </w:rPr>
        <w:t>。</w:t>
      </w:r>
    </w:p>
    <w:p w14:paraId="41146C71">
      <w:pPr>
        <w:widowControl/>
        <w:spacing w:line="360" w:lineRule="auto"/>
        <w:ind w:firstLine="333" w:firstLineChars="150"/>
        <w:jc w:val="left"/>
        <w:rPr>
          <w:rFonts w:ascii="宋体" w:hAnsi="宋体" w:cs="宋体"/>
          <w:spacing w:val="6"/>
          <w:kern w:val="0"/>
          <w:szCs w:val="21"/>
          <w:highlight w:val="none"/>
        </w:rPr>
      </w:pPr>
      <w:r>
        <w:rPr>
          <w:rFonts w:hint="eastAsia" w:ascii="宋体" w:hAnsi="宋体" w:cs="宋体"/>
          <w:spacing w:val="6"/>
          <w:kern w:val="0"/>
          <w:szCs w:val="21"/>
          <w:highlight w:val="none"/>
        </w:rPr>
        <w:t>（1）</w:t>
      </w:r>
      <w:r>
        <w:rPr>
          <w:rFonts w:ascii="宋体" w:hAnsi="宋体" w:cs="宋体"/>
          <w:spacing w:val="6"/>
          <w:kern w:val="0"/>
          <w:szCs w:val="21"/>
          <w:highlight w:val="none"/>
        </w:rPr>
        <w:t>本</w:t>
      </w:r>
      <w:r>
        <w:rPr>
          <w:rFonts w:hint="eastAsia" w:ascii="宋体" w:hAnsi="宋体" w:cs="宋体"/>
          <w:spacing w:val="6"/>
          <w:kern w:val="0"/>
          <w:szCs w:val="21"/>
          <w:highlight w:val="none"/>
        </w:rPr>
        <w:t xml:space="preserve">企业（单位）        </w:t>
      </w:r>
      <w:r>
        <w:rPr>
          <w:rFonts w:ascii="宋体" w:hAnsi="宋体" w:cs="宋体"/>
          <w:spacing w:val="6"/>
          <w:kern w:val="0"/>
          <w:szCs w:val="21"/>
          <w:highlight w:val="none"/>
        </w:rPr>
        <w:t>（请填写：</w:t>
      </w:r>
      <w:r>
        <w:rPr>
          <w:rFonts w:hint="eastAsia" w:ascii="宋体" w:hAnsi="宋体" w:cs="宋体"/>
          <w:spacing w:val="6"/>
          <w:kern w:val="0"/>
          <w:szCs w:val="21"/>
          <w:highlight w:val="none"/>
        </w:rPr>
        <w:t>是、不是</w:t>
      </w:r>
      <w:r>
        <w:rPr>
          <w:rFonts w:ascii="宋体" w:hAnsi="宋体" w:cs="宋体"/>
          <w:spacing w:val="6"/>
          <w:kern w:val="0"/>
          <w:szCs w:val="21"/>
          <w:highlight w:val="none"/>
        </w:rPr>
        <w:t>）监狱企业。</w:t>
      </w:r>
      <w:r>
        <w:rPr>
          <w:rFonts w:hint="eastAsia" w:ascii="宋体" w:hAnsi="宋体" w:cs="宋体"/>
          <w:spacing w:val="6"/>
          <w:kern w:val="0"/>
          <w:szCs w:val="21"/>
          <w:highlight w:val="none"/>
        </w:rPr>
        <w:t>后附省级以上监狱管理局、戒毒管理局（含新疆生产建设兵团）出具的属于监狱企业的证明文件。</w:t>
      </w:r>
    </w:p>
    <w:p w14:paraId="7D2E0969">
      <w:pPr>
        <w:widowControl/>
        <w:spacing w:line="360" w:lineRule="auto"/>
        <w:ind w:firstLine="420"/>
        <w:jc w:val="left"/>
        <w:rPr>
          <w:rFonts w:ascii="宋体" w:hAnsi="宋体" w:cs="宋体"/>
          <w:spacing w:val="6"/>
          <w:kern w:val="0"/>
          <w:szCs w:val="21"/>
          <w:highlight w:val="none"/>
        </w:rPr>
      </w:pPr>
      <w:r>
        <w:rPr>
          <w:rFonts w:hint="eastAsia" w:ascii="宋体" w:hAnsi="宋体" w:cs="宋体"/>
          <w:spacing w:val="6"/>
          <w:kern w:val="0"/>
          <w:szCs w:val="21"/>
          <w:highlight w:val="none"/>
        </w:rPr>
        <w:t>（</w:t>
      </w:r>
      <w:r>
        <w:rPr>
          <w:rFonts w:ascii="宋体" w:hAnsi="宋体" w:cs="宋体"/>
          <w:spacing w:val="6"/>
          <w:kern w:val="0"/>
          <w:szCs w:val="21"/>
          <w:highlight w:val="none"/>
        </w:rPr>
        <w:t>2</w:t>
      </w:r>
      <w:r>
        <w:rPr>
          <w:rFonts w:hint="eastAsia" w:ascii="宋体" w:hAnsi="宋体" w:cs="宋体"/>
          <w:spacing w:val="6"/>
          <w:kern w:val="0"/>
          <w:szCs w:val="21"/>
          <w:highlight w:val="none"/>
        </w:rPr>
        <w:t>）</w:t>
      </w:r>
      <w:r>
        <w:rPr>
          <w:rFonts w:ascii="宋体" w:hAnsi="宋体" w:cs="宋体"/>
          <w:spacing w:val="6"/>
          <w:kern w:val="0"/>
          <w:szCs w:val="21"/>
          <w:highlight w:val="none"/>
        </w:rPr>
        <w:t>本</w:t>
      </w:r>
      <w:r>
        <w:rPr>
          <w:rFonts w:hint="eastAsia" w:ascii="宋体" w:hAnsi="宋体" w:cs="宋体"/>
          <w:spacing w:val="6"/>
          <w:kern w:val="0"/>
          <w:szCs w:val="21"/>
          <w:highlight w:val="none"/>
        </w:rPr>
        <w:t xml:space="preserve">企业（单位）        </w:t>
      </w:r>
      <w:r>
        <w:rPr>
          <w:rFonts w:ascii="宋体" w:hAnsi="宋体" w:cs="宋体"/>
          <w:spacing w:val="6"/>
          <w:kern w:val="0"/>
          <w:szCs w:val="21"/>
          <w:highlight w:val="none"/>
        </w:rPr>
        <w:t>（请填写：</w:t>
      </w:r>
      <w:r>
        <w:rPr>
          <w:rFonts w:hint="eastAsia" w:ascii="宋体" w:hAnsi="宋体" w:cs="宋体"/>
          <w:spacing w:val="6"/>
          <w:kern w:val="0"/>
          <w:szCs w:val="21"/>
          <w:highlight w:val="none"/>
        </w:rPr>
        <w:t>是、不是</w:t>
      </w:r>
      <w:r>
        <w:rPr>
          <w:rFonts w:ascii="宋体" w:hAnsi="宋体" w:cs="宋体"/>
          <w:spacing w:val="6"/>
          <w:kern w:val="0"/>
          <w:szCs w:val="21"/>
          <w:highlight w:val="none"/>
        </w:rPr>
        <w:t>）</w:t>
      </w:r>
      <w:r>
        <w:rPr>
          <w:rFonts w:hint="eastAsia" w:ascii="宋体" w:hAnsi="宋体" w:cs="宋体"/>
          <w:spacing w:val="6"/>
          <w:kern w:val="0"/>
          <w:szCs w:val="21"/>
          <w:highlight w:val="none"/>
        </w:rPr>
        <w:t>为联合体一方，</w:t>
      </w:r>
      <w:r>
        <w:rPr>
          <w:rFonts w:ascii="宋体" w:hAnsi="宋体" w:cs="宋体"/>
          <w:spacing w:val="6"/>
          <w:kern w:val="0"/>
          <w:szCs w:val="21"/>
          <w:highlight w:val="none"/>
        </w:rPr>
        <w:t>提供本企业</w:t>
      </w:r>
      <w:r>
        <w:rPr>
          <w:rFonts w:hint="eastAsia" w:ascii="宋体" w:hAnsi="宋体" w:cs="宋体"/>
          <w:spacing w:val="6"/>
          <w:kern w:val="0"/>
          <w:szCs w:val="21"/>
          <w:highlight w:val="none"/>
        </w:rPr>
        <w:t>（单位）</w:t>
      </w:r>
      <w:r>
        <w:rPr>
          <w:rFonts w:ascii="宋体" w:hAnsi="宋体" w:cs="宋体"/>
          <w:spacing w:val="6"/>
          <w:kern w:val="0"/>
          <w:szCs w:val="21"/>
          <w:highlight w:val="none"/>
        </w:rPr>
        <w:t>制造的货物，由本企业</w:t>
      </w:r>
      <w:r>
        <w:rPr>
          <w:rFonts w:hint="eastAsia" w:ascii="宋体" w:hAnsi="宋体" w:cs="宋体"/>
          <w:spacing w:val="6"/>
          <w:kern w:val="0"/>
          <w:szCs w:val="21"/>
          <w:highlight w:val="none"/>
        </w:rPr>
        <w:t>（单位）</w:t>
      </w:r>
      <w:r>
        <w:rPr>
          <w:rFonts w:ascii="宋体" w:hAnsi="宋体" w:cs="宋体"/>
          <w:spacing w:val="6"/>
          <w:kern w:val="0"/>
          <w:szCs w:val="21"/>
          <w:highlight w:val="none"/>
        </w:rPr>
        <w:t>承担工程、提供服务</w:t>
      </w:r>
      <w:r>
        <w:rPr>
          <w:rFonts w:hint="eastAsia" w:ascii="宋体" w:hAnsi="宋体" w:cs="宋体"/>
          <w:spacing w:val="6"/>
          <w:kern w:val="0"/>
          <w:szCs w:val="21"/>
          <w:highlight w:val="none"/>
        </w:rPr>
        <w:t>。本企业</w:t>
      </w:r>
      <w:r>
        <w:rPr>
          <w:rFonts w:ascii="宋体" w:hAnsi="宋体" w:cs="宋体"/>
          <w:spacing w:val="6"/>
          <w:kern w:val="0"/>
          <w:szCs w:val="21"/>
          <w:highlight w:val="none"/>
        </w:rPr>
        <w:t>（</w:t>
      </w:r>
      <w:r>
        <w:rPr>
          <w:rFonts w:hint="eastAsia" w:ascii="宋体" w:hAnsi="宋体" w:cs="宋体"/>
          <w:spacing w:val="6"/>
          <w:kern w:val="0"/>
          <w:szCs w:val="21"/>
          <w:highlight w:val="none"/>
        </w:rPr>
        <w:t>单位</w:t>
      </w:r>
      <w:r>
        <w:rPr>
          <w:rFonts w:ascii="宋体" w:hAnsi="宋体" w:cs="宋体"/>
          <w:spacing w:val="6"/>
          <w:kern w:val="0"/>
          <w:szCs w:val="21"/>
          <w:highlight w:val="none"/>
        </w:rPr>
        <w:t>）</w:t>
      </w:r>
      <w:r>
        <w:rPr>
          <w:rFonts w:hint="eastAsia" w:ascii="宋体" w:hAnsi="宋体" w:cs="宋体"/>
          <w:spacing w:val="6"/>
          <w:kern w:val="0"/>
          <w:szCs w:val="21"/>
          <w:highlight w:val="none"/>
        </w:rPr>
        <w:t>提供</w:t>
      </w:r>
      <w:r>
        <w:rPr>
          <w:rFonts w:ascii="宋体" w:hAnsi="宋体" w:cs="宋体"/>
          <w:spacing w:val="6"/>
          <w:kern w:val="0"/>
          <w:szCs w:val="21"/>
          <w:highlight w:val="none"/>
        </w:rPr>
        <w:t>协议合同金额占到</w:t>
      </w:r>
      <w:r>
        <w:rPr>
          <w:rFonts w:hint="eastAsia" w:ascii="宋体" w:hAnsi="宋体" w:cs="宋体"/>
          <w:spacing w:val="6"/>
          <w:kern w:val="0"/>
          <w:szCs w:val="21"/>
          <w:highlight w:val="none"/>
        </w:rPr>
        <w:t>共同投标</w:t>
      </w:r>
      <w:r>
        <w:rPr>
          <w:rFonts w:ascii="宋体" w:hAnsi="宋体" w:cs="宋体"/>
          <w:spacing w:val="6"/>
          <w:kern w:val="0"/>
          <w:szCs w:val="21"/>
          <w:highlight w:val="none"/>
        </w:rPr>
        <w:t>协议合同总金额</w:t>
      </w:r>
      <w:r>
        <w:rPr>
          <w:rFonts w:hint="eastAsia" w:ascii="宋体" w:hAnsi="宋体" w:cs="宋体"/>
          <w:spacing w:val="6"/>
          <w:kern w:val="0"/>
          <w:szCs w:val="21"/>
          <w:highlight w:val="none"/>
        </w:rPr>
        <w:t>的比例为       。</w:t>
      </w:r>
    </w:p>
    <w:p w14:paraId="70E2D638">
      <w:pPr>
        <w:widowControl/>
        <w:spacing w:line="360" w:lineRule="auto"/>
        <w:jc w:val="left"/>
        <w:rPr>
          <w:rFonts w:ascii="宋体" w:hAnsi="宋体" w:cs="宋体"/>
          <w:spacing w:val="6"/>
          <w:kern w:val="0"/>
          <w:szCs w:val="21"/>
          <w:highlight w:val="none"/>
        </w:rPr>
      </w:pPr>
      <w:r>
        <w:rPr>
          <w:rFonts w:ascii="宋体" w:hAnsi="宋体" w:cs="宋体"/>
          <w:spacing w:val="6"/>
          <w:kern w:val="0"/>
          <w:szCs w:val="21"/>
          <w:highlight w:val="none"/>
        </w:rPr>
        <w:t>　　本</w:t>
      </w:r>
      <w:r>
        <w:rPr>
          <w:rFonts w:hint="eastAsia" w:ascii="宋体" w:hAnsi="宋体" w:cs="宋体"/>
          <w:spacing w:val="6"/>
          <w:kern w:val="0"/>
          <w:szCs w:val="21"/>
          <w:highlight w:val="none"/>
        </w:rPr>
        <w:t>企业</w:t>
      </w:r>
      <w:r>
        <w:rPr>
          <w:rFonts w:ascii="宋体" w:hAnsi="宋体" w:cs="宋体"/>
          <w:spacing w:val="6"/>
          <w:kern w:val="0"/>
          <w:szCs w:val="21"/>
          <w:highlight w:val="none"/>
        </w:rPr>
        <w:t>（</w:t>
      </w:r>
      <w:r>
        <w:rPr>
          <w:rFonts w:hint="eastAsia" w:ascii="宋体" w:hAnsi="宋体" w:cs="宋体"/>
          <w:spacing w:val="6"/>
          <w:kern w:val="0"/>
          <w:szCs w:val="21"/>
          <w:highlight w:val="none"/>
        </w:rPr>
        <w:t>单位</w:t>
      </w:r>
      <w:r>
        <w:rPr>
          <w:rFonts w:ascii="宋体" w:hAnsi="宋体" w:cs="宋体"/>
          <w:spacing w:val="6"/>
          <w:kern w:val="0"/>
          <w:szCs w:val="21"/>
          <w:highlight w:val="none"/>
        </w:rPr>
        <w:t>）对上述声明的真实性负责。如有虚假，将依法承担相应责任。</w:t>
      </w:r>
    </w:p>
    <w:p w14:paraId="0095C087">
      <w:pPr>
        <w:pStyle w:val="18"/>
        <w:rPr>
          <w:highlight w:val="none"/>
        </w:rPr>
      </w:pPr>
    </w:p>
    <w:p w14:paraId="482C8181">
      <w:pPr>
        <w:pStyle w:val="18"/>
        <w:rPr>
          <w:highlight w:val="none"/>
        </w:rPr>
      </w:pPr>
    </w:p>
    <w:p w14:paraId="6AA95669">
      <w:pPr>
        <w:pStyle w:val="18"/>
        <w:rPr>
          <w:highlight w:val="none"/>
        </w:rPr>
      </w:pPr>
    </w:p>
    <w:p w14:paraId="6C0FAF3C">
      <w:pPr>
        <w:pStyle w:val="24"/>
        <w:adjustRightInd w:val="0"/>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投标人名称(盖单位章)：</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42F9141C">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法定代表人或其委托代理人 (签字</w:t>
      </w:r>
      <w:r>
        <w:rPr>
          <w:rFonts w:hint="eastAsia" w:ascii="宋体" w:hAnsi="宋体"/>
          <w:color w:val="auto"/>
          <w:szCs w:val="21"/>
          <w:highlight w:val="none"/>
          <w:lang w:eastAsia="zh-CN"/>
        </w:rPr>
        <w:t>或盖章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0FFDC623">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日期：</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2BC3EBF0">
      <w:pPr>
        <w:adjustRightInd w:val="0"/>
        <w:snapToGrid w:val="0"/>
        <w:rPr>
          <w:rFonts w:ascii="宋体" w:hAnsi="宋体"/>
          <w:b/>
          <w:sz w:val="24"/>
          <w:highlight w:val="none"/>
        </w:rPr>
      </w:pPr>
      <w:r>
        <w:rPr>
          <w:rFonts w:hint="eastAsia" w:ascii="宋体" w:hAnsi="宋体"/>
          <w:b/>
          <w:sz w:val="24"/>
          <w:highlight w:val="none"/>
        </w:rPr>
        <w:t xml:space="preserve"> </w:t>
      </w:r>
    </w:p>
    <w:p w14:paraId="60690C4F">
      <w:pPr>
        <w:adjustRightInd w:val="0"/>
        <w:snapToGrid w:val="0"/>
        <w:spacing w:line="360" w:lineRule="auto"/>
        <w:rPr>
          <w:rFonts w:ascii="宋体" w:hAnsi="宋体"/>
          <w:bCs/>
          <w:szCs w:val="21"/>
          <w:highlight w:val="none"/>
        </w:rPr>
      </w:pPr>
    </w:p>
    <w:p w14:paraId="1E62B291">
      <w:pPr>
        <w:adjustRightInd w:val="0"/>
        <w:snapToGrid w:val="0"/>
        <w:spacing w:line="360" w:lineRule="auto"/>
        <w:rPr>
          <w:rFonts w:ascii="宋体" w:hAnsi="宋体"/>
          <w:bCs/>
          <w:szCs w:val="21"/>
          <w:highlight w:val="none"/>
        </w:rPr>
      </w:pPr>
    </w:p>
    <w:p w14:paraId="3C0501C5">
      <w:pPr>
        <w:adjustRightInd w:val="0"/>
        <w:snapToGrid w:val="0"/>
        <w:spacing w:line="360" w:lineRule="auto"/>
        <w:rPr>
          <w:rFonts w:ascii="宋体" w:hAnsi="宋体"/>
          <w:bCs/>
          <w:szCs w:val="21"/>
          <w:highlight w:val="none"/>
        </w:rPr>
      </w:pPr>
    </w:p>
    <w:p w14:paraId="54B8D522">
      <w:pPr>
        <w:adjustRightInd w:val="0"/>
        <w:snapToGrid w:val="0"/>
        <w:spacing w:line="360" w:lineRule="auto"/>
        <w:rPr>
          <w:rFonts w:ascii="宋体" w:hAnsi="宋体"/>
          <w:bCs/>
          <w:szCs w:val="21"/>
          <w:highlight w:val="none"/>
        </w:rPr>
        <w:sectPr>
          <w:footerReference r:id="rId10" w:type="even"/>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r>
        <w:rPr>
          <w:rFonts w:hint="eastAsia" w:ascii="宋体" w:hAnsi="宋体" w:cs="宋体"/>
          <w:spacing w:val="6"/>
          <w:kern w:val="0"/>
          <w:szCs w:val="21"/>
          <w:highlight w:val="none"/>
        </w:rPr>
        <w:t>说明：按照《财政部、司法部关于政府采购支持监狱企业发展有关问题的通知》（财库〔2014〕68号）的规定，监狱企业仅需提供声明函，不需提供其他证明材料。</w:t>
      </w:r>
      <w:r>
        <w:rPr>
          <w:rFonts w:hint="eastAsia" w:ascii="宋体" w:hAnsi="宋体" w:cs="宋体"/>
          <w:b/>
          <w:spacing w:val="6"/>
          <w:kern w:val="0"/>
          <w:szCs w:val="21"/>
          <w:highlight w:val="none"/>
        </w:rPr>
        <w:t>非监狱企业，本表可不提供。</w:t>
      </w:r>
    </w:p>
    <w:bookmarkEnd w:id="82"/>
    <w:p w14:paraId="71E3FF42">
      <w:pPr>
        <w:pStyle w:val="3"/>
        <w:jc w:val="center"/>
        <w:rPr>
          <w:rFonts w:ascii="宋体" w:hAnsi="宋体"/>
          <w:sz w:val="28"/>
          <w:szCs w:val="28"/>
          <w:highlight w:val="none"/>
        </w:rPr>
      </w:pPr>
      <w:bookmarkStart w:id="83" w:name="_Toc20707"/>
      <w:r>
        <w:rPr>
          <w:rFonts w:hint="eastAsia" w:ascii="宋体" w:hAnsi="宋体"/>
          <w:sz w:val="28"/>
          <w:szCs w:val="28"/>
          <w:highlight w:val="none"/>
        </w:rPr>
        <w:t>五、投标人的资格证明材料</w:t>
      </w:r>
      <w:bookmarkEnd w:id="78"/>
      <w:bookmarkEnd w:id="83"/>
    </w:p>
    <w:p w14:paraId="699D0A43">
      <w:pPr>
        <w:adjustRightInd w:val="0"/>
        <w:snapToGrid w:val="0"/>
        <w:spacing w:line="360" w:lineRule="auto"/>
        <w:jc w:val="left"/>
        <w:rPr>
          <w:rFonts w:ascii="宋体" w:hAnsi="宋体"/>
          <w:szCs w:val="21"/>
          <w:highlight w:val="none"/>
        </w:rPr>
      </w:pPr>
      <w:r>
        <w:rPr>
          <w:rFonts w:hint="eastAsia" w:ascii="宋体" w:hAnsi="宋体"/>
          <w:szCs w:val="21"/>
          <w:highlight w:val="none"/>
        </w:rPr>
        <w:t>（一）法人或者其他组织的营业执照等证明文件，自然人的身份证明；：</w:t>
      </w:r>
    </w:p>
    <w:p w14:paraId="40DA611E">
      <w:pPr>
        <w:adjustRightInd w:val="0"/>
        <w:snapToGrid w:val="0"/>
        <w:spacing w:line="360" w:lineRule="auto"/>
        <w:ind w:firstLine="315" w:firstLineChars="150"/>
        <w:jc w:val="left"/>
        <w:rPr>
          <w:rFonts w:ascii="宋体" w:hAnsi="宋体"/>
          <w:szCs w:val="21"/>
          <w:highlight w:val="none"/>
        </w:rPr>
      </w:pPr>
      <w:r>
        <w:rPr>
          <w:rFonts w:hint="eastAsia" w:ascii="宋体" w:hAnsi="宋体"/>
          <w:szCs w:val="21"/>
          <w:highlight w:val="none"/>
        </w:rPr>
        <w:t>投标人是企业（包括合伙企业）的，应提供其在工商部门注册的有效“企业法人营业执照”或“营业执照”的复印件；</w:t>
      </w:r>
    </w:p>
    <w:p w14:paraId="008E51BC">
      <w:pPr>
        <w:adjustRightInd w:val="0"/>
        <w:snapToGrid w:val="0"/>
        <w:spacing w:line="360" w:lineRule="auto"/>
        <w:ind w:firstLine="315" w:firstLineChars="150"/>
        <w:jc w:val="left"/>
        <w:rPr>
          <w:rFonts w:ascii="宋体" w:hAnsi="宋体"/>
          <w:szCs w:val="21"/>
          <w:highlight w:val="none"/>
        </w:rPr>
      </w:pPr>
      <w:r>
        <w:rPr>
          <w:rFonts w:hint="eastAsia" w:ascii="宋体" w:hAnsi="宋体"/>
          <w:szCs w:val="21"/>
          <w:highlight w:val="none"/>
        </w:rPr>
        <w:t>投标人是事业单位的，应提供其有效的“事业单位法人证书”复印件；</w:t>
      </w:r>
    </w:p>
    <w:p w14:paraId="57492A21">
      <w:pPr>
        <w:adjustRightInd w:val="0"/>
        <w:snapToGrid w:val="0"/>
        <w:spacing w:line="360" w:lineRule="auto"/>
        <w:ind w:firstLine="315" w:firstLineChars="150"/>
        <w:jc w:val="left"/>
        <w:rPr>
          <w:rFonts w:ascii="宋体" w:hAnsi="宋体"/>
          <w:szCs w:val="21"/>
          <w:highlight w:val="none"/>
        </w:rPr>
      </w:pPr>
      <w:r>
        <w:rPr>
          <w:rFonts w:hint="eastAsia" w:ascii="宋体" w:hAnsi="宋体"/>
          <w:szCs w:val="21"/>
          <w:highlight w:val="none"/>
        </w:rPr>
        <w:t>投标人是非企业专业服务机构的，应提供其有效的执业许可证复印件；</w:t>
      </w:r>
    </w:p>
    <w:p w14:paraId="73FF6F2A">
      <w:pPr>
        <w:adjustRightInd w:val="0"/>
        <w:snapToGrid w:val="0"/>
        <w:spacing w:line="360" w:lineRule="auto"/>
        <w:ind w:firstLine="315" w:firstLineChars="150"/>
        <w:jc w:val="left"/>
        <w:rPr>
          <w:rFonts w:ascii="宋体" w:hAnsi="宋体"/>
          <w:szCs w:val="21"/>
          <w:highlight w:val="none"/>
        </w:rPr>
      </w:pPr>
      <w:r>
        <w:rPr>
          <w:rFonts w:hint="eastAsia" w:ascii="宋体" w:hAnsi="宋体"/>
          <w:szCs w:val="21"/>
          <w:highlight w:val="none"/>
        </w:rPr>
        <w:t>投标人是个体工商户的，应提供其有效的“个体工商户营业执照”复印件；</w:t>
      </w:r>
    </w:p>
    <w:p w14:paraId="65376579">
      <w:pPr>
        <w:adjustRightInd w:val="0"/>
        <w:snapToGrid w:val="0"/>
        <w:spacing w:line="360" w:lineRule="auto"/>
        <w:jc w:val="left"/>
        <w:rPr>
          <w:rFonts w:ascii="宋体" w:hAnsi="宋体"/>
          <w:szCs w:val="21"/>
          <w:highlight w:val="none"/>
        </w:rPr>
      </w:pPr>
      <w:r>
        <w:rPr>
          <w:rFonts w:hint="eastAsia" w:ascii="宋体" w:hAnsi="宋体"/>
          <w:szCs w:val="21"/>
          <w:highlight w:val="none"/>
        </w:rPr>
        <w:t>（二）</w:t>
      </w:r>
      <w:r>
        <w:rPr>
          <w:rFonts w:hint="eastAsia" w:ascii="宋体" w:hAnsi="宋体"/>
          <w:bCs/>
          <w:szCs w:val="21"/>
          <w:highlight w:val="none"/>
        </w:rPr>
        <w:t>财务状况报告；</w:t>
      </w:r>
    </w:p>
    <w:p w14:paraId="53056643">
      <w:pPr>
        <w:adjustRightInd w:val="0"/>
        <w:snapToGrid w:val="0"/>
        <w:spacing w:line="360" w:lineRule="auto"/>
        <w:ind w:firstLine="315" w:firstLineChars="150"/>
        <w:jc w:val="left"/>
        <w:rPr>
          <w:rFonts w:ascii="宋体" w:hAnsi="宋体"/>
          <w:szCs w:val="21"/>
          <w:highlight w:val="none"/>
        </w:rPr>
      </w:pPr>
      <w:r>
        <w:rPr>
          <w:rFonts w:hint="eastAsia" w:ascii="宋体" w:hAnsi="宋体"/>
          <w:szCs w:val="21"/>
          <w:highlight w:val="none"/>
        </w:rPr>
        <w:t>会计师事务所出具的上一年度财务审计报告（报告中须包括资产负债表、利润表、现金流量表及财务报表附注）；</w:t>
      </w:r>
    </w:p>
    <w:p w14:paraId="7520EE5F">
      <w:pPr>
        <w:adjustRightInd w:val="0"/>
        <w:snapToGrid w:val="0"/>
        <w:spacing w:line="360" w:lineRule="auto"/>
        <w:ind w:firstLine="315" w:firstLineChars="150"/>
        <w:jc w:val="left"/>
        <w:rPr>
          <w:rFonts w:ascii="宋体" w:hAnsi="宋体"/>
          <w:szCs w:val="21"/>
          <w:highlight w:val="none"/>
        </w:rPr>
      </w:pPr>
      <w:r>
        <w:rPr>
          <w:rFonts w:hint="eastAsia" w:ascii="宋体" w:hAnsi="宋体"/>
          <w:szCs w:val="21"/>
          <w:highlight w:val="none"/>
        </w:rPr>
        <w:t>如果投标人为新成立单位，无法提供审计报告，则需提供新企业验资报告复印件并加盖提供报告单位的公章；</w:t>
      </w:r>
    </w:p>
    <w:p w14:paraId="0D5B69FB">
      <w:pPr>
        <w:adjustRightInd w:val="0"/>
        <w:snapToGrid w:val="0"/>
        <w:spacing w:line="360" w:lineRule="auto"/>
        <w:ind w:firstLine="315" w:firstLineChars="150"/>
        <w:jc w:val="left"/>
        <w:rPr>
          <w:rFonts w:ascii="宋体" w:hAnsi="宋体"/>
          <w:szCs w:val="21"/>
          <w:highlight w:val="none"/>
        </w:rPr>
      </w:pPr>
      <w:r>
        <w:rPr>
          <w:rFonts w:hint="eastAsia" w:ascii="宋体" w:hAnsi="宋体"/>
          <w:szCs w:val="21"/>
          <w:highlight w:val="none"/>
        </w:rPr>
        <w:t>如投标人无法提供上年度审计报告或新企业验资报告，则需提供开户银行出具的资信证明并附基本户开户许可证；</w:t>
      </w:r>
      <w:r>
        <w:rPr>
          <w:rFonts w:ascii="宋体" w:hAnsi="宋体"/>
          <w:szCs w:val="21"/>
          <w:highlight w:val="none"/>
        </w:rPr>
        <w:t xml:space="preserve"> </w:t>
      </w:r>
    </w:p>
    <w:p w14:paraId="5153A2D1">
      <w:pPr>
        <w:adjustRightInd w:val="0"/>
        <w:snapToGrid w:val="0"/>
        <w:spacing w:line="360" w:lineRule="auto"/>
        <w:ind w:firstLine="315" w:firstLineChars="150"/>
        <w:jc w:val="left"/>
        <w:rPr>
          <w:rFonts w:ascii="宋体" w:hAnsi="宋体"/>
          <w:szCs w:val="21"/>
          <w:highlight w:val="none"/>
        </w:rPr>
      </w:pPr>
      <w:r>
        <w:rPr>
          <w:rFonts w:hint="eastAsia" w:ascii="宋体" w:hAnsi="宋体"/>
          <w:szCs w:val="21"/>
          <w:highlight w:val="none"/>
        </w:rPr>
        <w:t>银行资信证明可提供原件，也可提供银行在开标日前十二个月内开具资信证明的复印件，对于资信证明文件中写明“复印无效”的应提供原件。银行资信证明的抬头可以与采购人或采购代理机构名称不同。</w:t>
      </w:r>
    </w:p>
    <w:p w14:paraId="57277780">
      <w:pPr>
        <w:adjustRightInd w:val="0"/>
        <w:snapToGrid w:val="0"/>
        <w:spacing w:line="360" w:lineRule="auto"/>
        <w:ind w:firstLine="315" w:firstLineChars="150"/>
        <w:jc w:val="left"/>
        <w:rPr>
          <w:rFonts w:ascii="宋体" w:hAnsi="宋体"/>
          <w:szCs w:val="21"/>
          <w:highlight w:val="none"/>
        </w:rPr>
      </w:pPr>
      <w:r>
        <w:rPr>
          <w:rFonts w:hint="eastAsia" w:ascii="宋体" w:hAnsi="宋体"/>
          <w:szCs w:val="21"/>
          <w:highlight w:val="none"/>
        </w:rPr>
        <w:t>银行资信证明应能说明该投标人与银行之间业务往来正常，无不良记录，企业信誉良好等。银行出具的存款证明不能作为银行资信证明。</w:t>
      </w:r>
    </w:p>
    <w:p w14:paraId="2069A11C">
      <w:pPr>
        <w:adjustRightInd w:val="0"/>
        <w:snapToGrid w:val="0"/>
        <w:spacing w:line="360" w:lineRule="auto"/>
        <w:jc w:val="left"/>
        <w:rPr>
          <w:rFonts w:ascii="宋体" w:hAnsi="宋体"/>
          <w:szCs w:val="21"/>
          <w:highlight w:val="none"/>
        </w:rPr>
      </w:pPr>
      <w:r>
        <w:rPr>
          <w:rFonts w:hint="eastAsia" w:ascii="宋体" w:hAnsi="宋体"/>
          <w:szCs w:val="21"/>
          <w:highlight w:val="none"/>
        </w:rPr>
        <w:t>（三）依法缴纳税收和社会保障资金的良好记录：</w:t>
      </w:r>
    </w:p>
    <w:p w14:paraId="2ED8ABA4">
      <w:pPr>
        <w:adjustRightInd w:val="0"/>
        <w:snapToGrid w:val="0"/>
        <w:spacing w:line="360" w:lineRule="auto"/>
        <w:ind w:firstLine="210" w:firstLineChars="100"/>
        <w:jc w:val="left"/>
        <w:rPr>
          <w:rFonts w:ascii="宋体" w:hAnsi="宋体"/>
          <w:szCs w:val="21"/>
          <w:highlight w:val="none"/>
        </w:rPr>
      </w:pPr>
      <w:r>
        <w:rPr>
          <w:rFonts w:hint="eastAsia" w:ascii="宋体" w:hAnsi="宋体"/>
          <w:szCs w:val="21"/>
          <w:highlight w:val="none"/>
        </w:rPr>
        <w:t>（1）投标人是法人的，缴纳税收的证明材料，应提供开标前六个月的纳税凭据复印件，指投标人缴纳增值税、营业税和企业所得税等缴纳凭据（完税证、缴款书、印花税票、银行代扣（代缴）转账凭证等均可）；</w:t>
      </w:r>
    </w:p>
    <w:p w14:paraId="5D60AC06">
      <w:pPr>
        <w:adjustRightInd w:val="0"/>
        <w:snapToGrid w:val="0"/>
        <w:spacing w:line="360" w:lineRule="auto"/>
        <w:jc w:val="left"/>
        <w:rPr>
          <w:rFonts w:ascii="宋体" w:hAnsi="宋体"/>
          <w:szCs w:val="21"/>
          <w:highlight w:val="none"/>
        </w:rPr>
      </w:pPr>
      <w:r>
        <w:rPr>
          <w:rFonts w:hint="eastAsia" w:ascii="宋体" w:hAnsi="宋体"/>
          <w:szCs w:val="21"/>
          <w:highlight w:val="none"/>
        </w:rPr>
        <w:t xml:space="preserve">  （2）投标人是法人的，缴纳社会保障资金的证明材料，应提供开标前六个月的缴纳社会保险的凭据（专用收据或社会保险缴纳清单）；</w:t>
      </w:r>
    </w:p>
    <w:p w14:paraId="4138B876">
      <w:pPr>
        <w:adjustRightInd w:val="0"/>
        <w:snapToGrid w:val="0"/>
        <w:spacing w:line="360" w:lineRule="auto"/>
        <w:ind w:firstLine="420" w:firstLineChars="200"/>
        <w:jc w:val="left"/>
        <w:rPr>
          <w:rFonts w:ascii="宋体" w:hAnsi="宋体"/>
          <w:szCs w:val="21"/>
          <w:highlight w:val="none"/>
        </w:rPr>
      </w:pPr>
      <w:r>
        <w:rPr>
          <w:rFonts w:hint="eastAsia" w:ascii="宋体" w:hAnsi="宋体"/>
          <w:szCs w:val="21"/>
          <w:highlight w:val="none"/>
        </w:rPr>
        <w:t>投标人是其他组织和自然人的，需要提供开标前六个月缴纳税收（专用收据或社会保险缴纳清单）。</w:t>
      </w:r>
    </w:p>
    <w:p w14:paraId="6B75247A">
      <w:pPr>
        <w:adjustRightInd w:val="0"/>
        <w:snapToGrid w:val="0"/>
        <w:spacing w:line="360" w:lineRule="auto"/>
        <w:ind w:firstLine="420"/>
        <w:jc w:val="left"/>
        <w:rPr>
          <w:rFonts w:ascii="宋体" w:hAnsi="宋体"/>
          <w:szCs w:val="21"/>
          <w:highlight w:val="none"/>
        </w:rPr>
      </w:pPr>
      <w:r>
        <w:rPr>
          <w:rFonts w:hint="eastAsia" w:ascii="宋体" w:hAnsi="宋体"/>
          <w:szCs w:val="21"/>
          <w:highlight w:val="none"/>
        </w:rPr>
        <w:t>1）如投标人的社会保险为委托第三方代缴，还需同时提供投标人与第三方服务机构签署的服务合同（合同中应明确写明第三方为投标人代缴其社会保险）。</w:t>
      </w:r>
    </w:p>
    <w:p w14:paraId="17054B1C">
      <w:pPr>
        <w:adjustRightInd w:val="0"/>
        <w:snapToGrid w:val="0"/>
        <w:spacing w:line="360" w:lineRule="auto"/>
        <w:jc w:val="left"/>
        <w:rPr>
          <w:rFonts w:ascii="宋体" w:hAnsi="宋体"/>
          <w:szCs w:val="21"/>
          <w:highlight w:val="none"/>
        </w:rPr>
      </w:pPr>
      <w:r>
        <w:rPr>
          <w:rFonts w:hint="eastAsia" w:ascii="宋体" w:hAnsi="宋体"/>
          <w:szCs w:val="21"/>
          <w:highlight w:val="none"/>
        </w:rPr>
        <w:t xml:space="preserve">（四）投标人须具有履行合同所必需的设备和专业技术能力，须附相关证明材料或声明： </w:t>
      </w:r>
    </w:p>
    <w:p w14:paraId="04338572">
      <w:pPr>
        <w:adjustRightInd w:val="0"/>
        <w:snapToGrid w:val="0"/>
        <w:spacing w:line="360" w:lineRule="auto"/>
        <w:ind w:firstLine="420" w:firstLineChars="200"/>
        <w:jc w:val="left"/>
        <w:rPr>
          <w:rFonts w:ascii="宋体" w:hAnsi="宋体"/>
          <w:szCs w:val="21"/>
          <w:highlight w:val="none"/>
        </w:rPr>
      </w:pPr>
      <w:r>
        <w:rPr>
          <w:rFonts w:hint="eastAsia" w:ascii="宋体" w:hAnsi="宋体"/>
          <w:szCs w:val="21"/>
          <w:highlight w:val="none"/>
        </w:rPr>
        <w:t>见附件11</w:t>
      </w:r>
    </w:p>
    <w:p w14:paraId="5E103486">
      <w:pPr>
        <w:adjustRightInd w:val="0"/>
        <w:snapToGrid w:val="0"/>
        <w:spacing w:line="360" w:lineRule="auto"/>
        <w:jc w:val="left"/>
        <w:rPr>
          <w:rFonts w:ascii="宋体" w:hAnsi="宋体"/>
          <w:szCs w:val="21"/>
          <w:highlight w:val="none"/>
        </w:rPr>
      </w:pPr>
      <w:r>
        <w:rPr>
          <w:rFonts w:hint="eastAsia" w:ascii="宋体" w:hAnsi="宋体"/>
          <w:szCs w:val="21"/>
          <w:highlight w:val="none"/>
        </w:rPr>
        <w:t>（五）近三年内在经营活动中没有重大违法记录的书面声明：</w:t>
      </w:r>
    </w:p>
    <w:p w14:paraId="66161166">
      <w:pPr>
        <w:adjustRightInd w:val="0"/>
        <w:snapToGrid w:val="0"/>
        <w:spacing w:line="360" w:lineRule="auto"/>
        <w:ind w:firstLine="420" w:firstLineChars="200"/>
        <w:jc w:val="left"/>
        <w:rPr>
          <w:rFonts w:ascii="宋体" w:hAnsi="宋体"/>
          <w:szCs w:val="21"/>
          <w:highlight w:val="none"/>
        </w:rPr>
      </w:pPr>
      <w:r>
        <w:rPr>
          <w:rFonts w:hint="eastAsia" w:ascii="宋体" w:hAnsi="宋体"/>
          <w:szCs w:val="21"/>
          <w:highlight w:val="none"/>
        </w:rPr>
        <w:t>见附件12</w:t>
      </w:r>
    </w:p>
    <w:p w14:paraId="7DF8BB1A">
      <w:pPr>
        <w:adjustRightInd w:val="0"/>
        <w:snapToGrid w:val="0"/>
        <w:spacing w:line="360" w:lineRule="auto"/>
        <w:jc w:val="left"/>
        <w:rPr>
          <w:rFonts w:ascii="宋体" w:hAnsi="宋体"/>
          <w:szCs w:val="21"/>
          <w:highlight w:val="none"/>
        </w:rPr>
      </w:pPr>
    </w:p>
    <w:p w14:paraId="1E23CB63">
      <w:pPr>
        <w:adjustRightInd w:val="0"/>
        <w:snapToGrid w:val="0"/>
        <w:spacing w:line="360" w:lineRule="auto"/>
        <w:jc w:val="left"/>
        <w:rPr>
          <w:rFonts w:ascii="宋体" w:hAnsi="宋体"/>
          <w:szCs w:val="21"/>
          <w:highlight w:val="none"/>
        </w:rPr>
      </w:pPr>
      <w:r>
        <w:rPr>
          <w:rFonts w:hint="eastAsia" w:ascii="宋体" w:hAnsi="宋体"/>
          <w:szCs w:val="21"/>
          <w:highlight w:val="none"/>
        </w:rPr>
        <w:t>（六）投标人未列入失信被执行人、重大税收违法案件当事人名单、政府采购严重违法失信行为记录名单证明材料（财库[2016]125号）</w:t>
      </w:r>
    </w:p>
    <w:p w14:paraId="35F3CE20">
      <w:pPr>
        <w:adjustRightInd w:val="0"/>
        <w:snapToGrid w:val="0"/>
        <w:spacing w:line="360" w:lineRule="auto"/>
        <w:ind w:firstLine="420" w:firstLineChars="200"/>
        <w:jc w:val="left"/>
        <w:rPr>
          <w:rFonts w:ascii="宋体" w:hAnsi="宋体"/>
          <w:szCs w:val="21"/>
          <w:highlight w:val="none"/>
        </w:rPr>
      </w:pPr>
      <w:r>
        <w:rPr>
          <w:rFonts w:hint="eastAsia" w:ascii="宋体" w:hAnsi="宋体"/>
          <w:szCs w:val="21"/>
          <w:highlight w:val="none"/>
        </w:rPr>
        <w:t>见附件13</w:t>
      </w:r>
    </w:p>
    <w:p w14:paraId="3499DFFD">
      <w:pPr>
        <w:adjustRightInd w:val="0"/>
        <w:snapToGrid w:val="0"/>
        <w:spacing w:line="360" w:lineRule="auto"/>
        <w:jc w:val="left"/>
        <w:rPr>
          <w:rFonts w:ascii="宋体" w:hAnsi="宋体"/>
          <w:szCs w:val="21"/>
          <w:highlight w:val="none"/>
        </w:rPr>
      </w:pPr>
      <w:r>
        <w:rPr>
          <w:rFonts w:hint="eastAsia" w:ascii="宋体" w:hAnsi="宋体"/>
          <w:szCs w:val="21"/>
          <w:highlight w:val="none"/>
        </w:rPr>
        <w:t>注：1、以上复印件均需要加盖投标人公章。</w:t>
      </w:r>
    </w:p>
    <w:p w14:paraId="540CB34F">
      <w:pPr>
        <w:adjustRightInd w:val="0"/>
        <w:snapToGrid w:val="0"/>
        <w:spacing w:line="360" w:lineRule="auto"/>
        <w:ind w:firstLine="420" w:firstLineChars="200"/>
        <w:jc w:val="left"/>
        <w:rPr>
          <w:rFonts w:ascii="宋体" w:hAnsi="宋体"/>
          <w:szCs w:val="21"/>
          <w:highlight w:val="none"/>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r>
        <w:rPr>
          <w:rFonts w:hint="eastAsia" w:ascii="宋体" w:hAnsi="宋体"/>
          <w:szCs w:val="21"/>
          <w:highlight w:val="none"/>
        </w:rPr>
        <w:t>2、依法免税或不需要缴纳社会保障资金的投标人，应提供相应文件证明其依法免税或不需要缴纳社会保障资金。</w:t>
      </w:r>
    </w:p>
    <w:p w14:paraId="63DE4212">
      <w:pPr>
        <w:adjustRightInd w:val="0"/>
        <w:snapToGrid w:val="0"/>
        <w:rPr>
          <w:rFonts w:ascii="宋体" w:hAnsi="宋体"/>
          <w:sz w:val="24"/>
          <w:highlight w:val="none"/>
        </w:rPr>
      </w:pPr>
      <w:r>
        <w:rPr>
          <w:rFonts w:hint="eastAsia" w:ascii="宋体" w:hAnsi="宋体"/>
          <w:sz w:val="24"/>
          <w:highlight w:val="none"/>
        </w:rPr>
        <w:t>附件</w:t>
      </w:r>
      <w:r>
        <w:rPr>
          <w:rFonts w:ascii="宋体" w:hAnsi="宋体"/>
          <w:sz w:val="24"/>
          <w:highlight w:val="none"/>
        </w:rPr>
        <w:t>10</w:t>
      </w:r>
    </w:p>
    <w:p w14:paraId="6A46D049">
      <w:pPr>
        <w:adjustRightInd w:val="0"/>
        <w:snapToGrid w:val="0"/>
        <w:spacing w:line="360" w:lineRule="auto"/>
        <w:jc w:val="center"/>
        <w:rPr>
          <w:rFonts w:ascii="宋体" w:hAnsi="宋体"/>
          <w:b/>
          <w:sz w:val="24"/>
          <w:highlight w:val="none"/>
        </w:rPr>
      </w:pPr>
      <w:r>
        <w:rPr>
          <w:rFonts w:hint="eastAsia" w:ascii="宋体" w:hAnsi="宋体"/>
          <w:b/>
          <w:sz w:val="24"/>
          <w:highlight w:val="none"/>
        </w:rPr>
        <w:t>投标人基本情况表</w:t>
      </w:r>
    </w:p>
    <w:p w14:paraId="76B1BBF8">
      <w:pPr>
        <w:adjustRightInd w:val="0"/>
        <w:snapToGrid w:val="0"/>
        <w:spacing w:line="360" w:lineRule="auto"/>
        <w:rPr>
          <w:rFonts w:ascii="宋体" w:hAnsi="宋体"/>
          <w:szCs w:val="21"/>
          <w:highlight w:val="none"/>
        </w:rPr>
      </w:pPr>
      <w:r>
        <w:rPr>
          <w:rFonts w:hint="eastAsia" w:ascii="宋体" w:hAnsi="宋体"/>
          <w:szCs w:val="21"/>
          <w:highlight w:val="none"/>
        </w:rPr>
        <w:t>盖投标人单位章</w:t>
      </w:r>
    </w:p>
    <w:tbl>
      <w:tblPr>
        <w:tblStyle w:val="46"/>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539"/>
        <w:gridCol w:w="362"/>
        <w:gridCol w:w="360"/>
        <w:gridCol w:w="783"/>
        <w:gridCol w:w="1377"/>
        <w:gridCol w:w="63"/>
        <w:gridCol w:w="1377"/>
        <w:gridCol w:w="720"/>
        <w:gridCol w:w="609"/>
        <w:gridCol w:w="1596"/>
      </w:tblGrid>
      <w:tr w14:paraId="7EAE3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gridSpan w:val="3"/>
            <w:vAlign w:val="center"/>
          </w:tcPr>
          <w:p w14:paraId="53BE7D24">
            <w:pPr>
              <w:topLinePunct/>
              <w:spacing w:line="440" w:lineRule="exact"/>
              <w:jc w:val="center"/>
              <w:rPr>
                <w:rFonts w:ascii="宋体" w:hAnsi="宋体"/>
                <w:szCs w:val="21"/>
                <w:highlight w:val="none"/>
              </w:rPr>
            </w:pPr>
            <w:r>
              <w:rPr>
                <w:rFonts w:hint="eastAsia" w:ascii="宋体" w:hAnsi="宋体"/>
                <w:highlight w:val="none"/>
              </w:rPr>
              <w:t>投标人</w:t>
            </w:r>
            <w:r>
              <w:rPr>
                <w:rFonts w:ascii="宋体" w:hAnsi="宋体"/>
                <w:szCs w:val="21"/>
                <w:highlight w:val="none"/>
              </w:rPr>
              <w:t>名称</w:t>
            </w:r>
          </w:p>
        </w:tc>
        <w:tc>
          <w:tcPr>
            <w:tcW w:w="3960" w:type="dxa"/>
            <w:gridSpan w:val="5"/>
            <w:vAlign w:val="center"/>
          </w:tcPr>
          <w:p w14:paraId="1E590BC8">
            <w:pPr>
              <w:topLinePunct/>
              <w:spacing w:line="440" w:lineRule="exact"/>
              <w:jc w:val="center"/>
              <w:rPr>
                <w:rFonts w:ascii="宋体" w:hAnsi="宋体"/>
                <w:szCs w:val="21"/>
                <w:highlight w:val="none"/>
              </w:rPr>
            </w:pPr>
          </w:p>
        </w:tc>
        <w:tc>
          <w:tcPr>
            <w:tcW w:w="1329" w:type="dxa"/>
            <w:gridSpan w:val="2"/>
            <w:vAlign w:val="center"/>
          </w:tcPr>
          <w:p w14:paraId="189FF5FD">
            <w:pPr>
              <w:topLinePunct/>
              <w:spacing w:line="440" w:lineRule="exact"/>
              <w:jc w:val="center"/>
              <w:rPr>
                <w:rFonts w:ascii="宋体" w:hAnsi="宋体"/>
                <w:szCs w:val="21"/>
                <w:highlight w:val="none"/>
              </w:rPr>
            </w:pPr>
            <w:r>
              <w:rPr>
                <w:rFonts w:ascii="宋体" w:hAnsi="宋体"/>
                <w:szCs w:val="21"/>
                <w:highlight w:val="none"/>
              </w:rPr>
              <w:t>法定代表人</w:t>
            </w:r>
          </w:p>
        </w:tc>
        <w:tc>
          <w:tcPr>
            <w:tcW w:w="1596" w:type="dxa"/>
            <w:vAlign w:val="center"/>
          </w:tcPr>
          <w:p w14:paraId="2284D849">
            <w:pPr>
              <w:topLinePunct/>
              <w:spacing w:line="440" w:lineRule="exact"/>
              <w:jc w:val="center"/>
              <w:rPr>
                <w:rFonts w:ascii="宋体" w:hAnsi="宋体"/>
                <w:szCs w:val="21"/>
                <w:highlight w:val="none"/>
              </w:rPr>
            </w:pPr>
          </w:p>
        </w:tc>
      </w:tr>
      <w:tr w14:paraId="4CA8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gridSpan w:val="3"/>
            <w:vAlign w:val="center"/>
          </w:tcPr>
          <w:p w14:paraId="2AC9A184">
            <w:pPr>
              <w:topLinePunct/>
              <w:spacing w:line="440" w:lineRule="exact"/>
              <w:jc w:val="center"/>
              <w:rPr>
                <w:rFonts w:ascii="宋体" w:hAnsi="宋体"/>
                <w:szCs w:val="21"/>
                <w:highlight w:val="none"/>
              </w:rPr>
            </w:pPr>
            <w:r>
              <w:rPr>
                <w:rFonts w:hint="eastAsia" w:ascii="宋体" w:hAnsi="宋体"/>
                <w:szCs w:val="21"/>
                <w:highlight w:val="none"/>
              </w:rPr>
              <w:t>组织机构代码</w:t>
            </w:r>
          </w:p>
        </w:tc>
        <w:tc>
          <w:tcPr>
            <w:tcW w:w="3960" w:type="dxa"/>
            <w:gridSpan w:val="5"/>
            <w:vAlign w:val="center"/>
          </w:tcPr>
          <w:p w14:paraId="03EC235B">
            <w:pPr>
              <w:topLinePunct/>
              <w:spacing w:line="440" w:lineRule="exact"/>
              <w:jc w:val="center"/>
              <w:rPr>
                <w:rFonts w:ascii="宋体" w:hAnsi="宋体"/>
                <w:szCs w:val="21"/>
                <w:highlight w:val="none"/>
              </w:rPr>
            </w:pPr>
          </w:p>
        </w:tc>
        <w:tc>
          <w:tcPr>
            <w:tcW w:w="1329" w:type="dxa"/>
            <w:gridSpan w:val="2"/>
            <w:vAlign w:val="center"/>
          </w:tcPr>
          <w:p w14:paraId="7D9A6926">
            <w:pPr>
              <w:topLinePunct/>
              <w:spacing w:line="440" w:lineRule="exact"/>
              <w:jc w:val="center"/>
              <w:rPr>
                <w:rFonts w:ascii="宋体" w:hAnsi="宋体"/>
                <w:szCs w:val="21"/>
                <w:highlight w:val="none"/>
              </w:rPr>
            </w:pPr>
            <w:r>
              <w:rPr>
                <w:rFonts w:ascii="宋体" w:hAnsi="宋体"/>
                <w:szCs w:val="21"/>
                <w:highlight w:val="none"/>
              </w:rPr>
              <w:t>邮政编码</w:t>
            </w:r>
          </w:p>
        </w:tc>
        <w:tc>
          <w:tcPr>
            <w:tcW w:w="1596" w:type="dxa"/>
            <w:vAlign w:val="center"/>
          </w:tcPr>
          <w:p w14:paraId="5127FA86">
            <w:pPr>
              <w:topLinePunct/>
              <w:spacing w:line="440" w:lineRule="exact"/>
              <w:jc w:val="center"/>
              <w:rPr>
                <w:rFonts w:ascii="宋体" w:hAnsi="宋体"/>
                <w:szCs w:val="21"/>
                <w:highlight w:val="none"/>
              </w:rPr>
            </w:pPr>
          </w:p>
        </w:tc>
      </w:tr>
      <w:tr w14:paraId="44F42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gridSpan w:val="3"/>
            <w:vAlign w:val="center"/>
          </w:tcPr>
          <w:p w14:paraId="24DC59C9">
            <w:pPr>
              <w:topLinePunct/>
              <w:spacing w:line="440" w:lineRule="exact"/>
              <w:jc w:val="center"/>
              <w:rPr>
                <w:rFonts w:ascii="宋体" w:hAnsi="宋体"/>
                <w:szCs w:val="21"/>
                <w:highlight w:val="none"/>
              </w:rPr>
            </w:pPr>
            <w:r>
              <w:rPr>
                <w:rFonts w:hint="eastAsia" w:ascii="宋体" w:hAnsi="宋体"/>
                <w:szCs w:val="21"/>
                <w:highlight w:val="none"/>
              </w:rPr>
              <w:t>委托代理</w:t>
            </w:r>
            <w:r>
              <w:rPr>
                <w:rFonts w:ascii="宋体" w:hAnsi="宋体"/>
                <w:szCs w:val="21"/>
                <w:highlight w:val="none"/>
              </w:rPr>
              <w:t>人</w:t>
            </w:r>
          </w:p>
        </w:tc>
        <w:tc>
          <w:tcPr>
            <w:tcW w:w="3960" w:type="dxa"/>
            <w:gridSpan w:val="5"/>
            <w:vAlign w:val="center"/>
          </w:tcPr>
          <w:p w14:paraId="3BAC660B">
            <w:pPr>
              <w:topLinePunct/>
              <w:spacing w:line="440" w:lineRule="exact"/>
              <w:jc w:val="center"/>
              <w:rPr>
                <w:rFonts w:ascii="宋体" w:hAnsi="宋体"/>
                <w:szCs w:val="21"/>
                <w:highlight w:val="none"/>
              </w:rPr>
            </w:pPr>
          </w:p>
        </w:tc>
        <w:tc>
          <w:tcPr>
            <w:tcW w:w="1329" w:type="dxa"/>
            <w:gridSpan w:val="2"/>
            <w:vAlign w:val="center"/>
          </w:tcPr>
          <w:p w14:paraId="4AAD3A2B">
            <w:pPr>
              <w:topLinePunct/>
              <w:spacing w:line="440" w:lineRule="exact"/>
              <w:jc w:val="center"/>
              <w:rPr>
                <w:rFonts w:ascii="宋体" w:hAnsi="宋体"/>
                <w:szCs w:val="21"/>
                <w:highlight w:val="none"/>
              </w:rPr>
            </w:pPr>
            <w:r>
              <w:rPr>
                <w:rFonts w:hint="eastAsia" w:ascii="宋体" w:hAnsi="宋体"/>
                <w:szCs w:val="21"/>
                <w:highlight w:val="none"/>
              </w:rPr>
              <w:t>电子邮箱</w:t>
            </w:r>
          </w:p>
        </w:tc>
        <w:tc>
          <w:tcPr>
            <w:tcW w:w="1596" w:type="dxa"/>
            <w:vAlign w:val="center"/>
          </w:tcPr>
          <w:p w14:paraId="623514D9">
            <w:pPr>
              <w:topLinePunct/>
              <w:spacing w:line="440" w:lineRule="exact"/>
              <w:jc w:val="center"/>
              <w:rPr>
                <w:rFonts w:ascii="宋体" w:hAnsi="宋体"/>
                <w:szCs w:val="21"/>
                <w:highlight w:val="none"/>
              </w:rPr>
            </w:pPr>
          </w:p>
        </w:tc>
      </w:tr>
      <w:tr w14:paraId="01D4A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gridSpan w:val="3"/>
            <w:vAlign w:val="center"/>
          </w:tcPr>
          <w:p w14:paraId="067187BD">
            <w:pPr>
              <w:topLinePunct/>
              <w:spacing w:line="440" w:lineRule="exact"/>
              <w:jc w:val="center"/>
              <w:rPr>
                <w:rFonts w:ascii="宋体" w:hAnsi="宋体"/>
                <w:szCs w:val="21"/>
                <w:highlight w:val="none"/>
              </w:rPr>
            </w:pPr>
            <w:r>
              <w:rPr>
                <w:rFonts w:hint="eastAsia" w:ascii="宋体" w:hAnsi="宋体"/>
                <w:szCs w:val="21"/>
                <w:highlight w:val="none"/>
              </w:rPr>
              <w:t>上年营业收入</w:t>
            </w:r>
          </w:p>
        </w:tc>
        <w:tc>
          <w:tcPr>
            <w:tcW w:w="3960" w:type="dxa"/>
            <w:gridSpan w:val="5"/>
            <w:vAlign w:val="center"/>
          </w:tcPr>
          <w:p w14:paraId="6C94D0E9">
            <w:pPr>
              <w:topLinePunct/>
              <w:spacing w:line="440" w:lineRule="exact"/>
              <w:jc w:val="center"/>
              <w:rPr>
                <w:rFonts w:ascii="宋体" w:hAnsi="宋体"/>
                <w:szCs w:val="21"/>
                <w:highlight w:val="none"/>
              </w:rPr>
            </w:pPr>
          </w:p>
        </w:tc>
        <w:tc>
          <w:tcPr>
            <w:tcW w:w="1329" w:type="dxa"/>
            <w:gridSpan w:val="2"/>
            <w:vAlign w:val="center"/>
          </w:tcPr>
          <w:p w14:paraId="1AEC1DD8">
            <w:pPr>
              <w:topLinePunct/>
              <w:spacing w:line="440" w:lineRule="exact"/>
              <w:jc w:val="center"/>
              <w:rPr>
                <w:rFonts w:ascii="宋体" w:hAnsi="宋体"/>
                <w:szCs w:val="21"/>
                <w:highlight w:val="none"/>
              </w:rPr>
            </w:pPr>
            <w:r>
              <w:rPr>
                <w:rFonts w:hint="eastAsia" w:ascii="宋体" w:hAnsi="宋体"/>
                <w:szCs w:val="21"/>
                <w:highlight w:val="none"/>
              </w:rPr>
              <w:t>员工总人数</w:t>
            </w:r>
          </w:p>
        </w:tc>
        <w:tc>
          <w:tcPr>
            <w:tcW w:w="1596" w:type="dxa"/>
            <w:vAlign w:val="center"/>
          </w:tcPr>
          <w:p w14:paraId="73C4EBDA">
            <w:pPr>
              <w:topLinePunct/>
              <w:spacing w:line="440" w:lineRule="exact"/>
              <w:jc w:val="center"/>
              <w:rPr>
                <w:rFonts w:ascii="宋体" w:hAnsi="宋体"/>
                <w:szCs w:val="21"/>
                <w:highlight w:val="none"/>
              </w:rPr>
            </w:pPr>
          </w:p>
        </w:tc>
      </w:tr>
      <w:tr w14:paraId="25733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gridSpan w:val="3"/>
            <w:vAlign w:val="center"/>
          </w:tcPr>
          <w:p w14:paraId="6AC09B69">
            <w:pPr>
              <w:topLinePunct/>
              <w:spacing w:line="440" w:lineRule="exact"/>
              <w:jc w:val="center"/>
              <w:rPr>
                <w:rFonts w:ascii="宋体" w:hAnsi="宋体"/>
                <w:szCs w:val="21"/>
                <w:highlight w:val="none"/>
              </w:rPr>
            </w:pPr>
            <w:r>
              <w:rPr>
                <w:rFonts w:hint="eastAsia" w:ascii="宋体" w:hAnsi="宋体"/>
                <w:szCs w:val="21"/>
                <w:highlight w:val="none"/>
              </w:rPr>
              <w:t>固定电话</w:t>
            </w:r>
          </w:p>
        </w:tc>
        <w:tc>
          <w:tcPr>
            <w:tcW w:w="3960" w:type="dxa"/>
            <w:gridSpan w:val="5"/>
            <w:vAlign w:val="center"/>
          </w:tcPr>
          <w:p w14:paraId="275306B6">
            <w:pPr>
              <w:topLinePunct/>
              <w:spacing w:line="440" w:lineRule="exact"/>
              <w:jc w:val="center"/>
              <w:rPr>
                <w:rFonts w:ascii="宋体" w:hAnsi="宋体"/>
                <w:szCs w:val="21"/>
                <w:highlight w:val="none"/>
              </w:rPr>
            </w:pPr>
          </w:p>
        </w:tc>
        <w:tc>
          <w:tcPr>
            <w:tcW w:w="1329" w:type="dxa"/>
            <w:gridSpan w:val="2"/>
            <w:vAlign w:val="center"/>
          </w:tcPr>
          <w:p w14:paraId="7C32C7B6">
            <w:pPr>
              <w:topLinePunct/>
              <w:spacing w:line="440" w:lineRule="exact"/>
              <w:jc w:val="center"/>
              <w:rPr>
                <w:rFonts w:ascii="宋体" w:hAnsi="宋体"/>
                <w:szCs w:val="21"/>
                <w:highlight w:val="none"/>
              </w:rPr>
            </w:pPr>
          </w:p>
        </w:tc>
        <w:tc>
          <w:tcPr>
            <w:tcW w:w="1596" w:type="dxa"/>
            <w:vAlign w:val="center"/>
          </w:tcPr>
          <w:p w14:paraId="509CE024">
            <w:pPr>
              <w:topLinePunct/>
              <w:spacing w:line="440" w:lineRule="exact"/>
              <w:jc w:val="center"/>
              <w:rPr>
                <w:rFonts w:ascii="宋体" w:hAnsi="宋体"/>
                <w:szCs w:val="21"/>
                <w:highlight w:val="none"/>
              </w:rPr>
            </w:pPr>
          </w:p>
        </w:tc>
      </w:tr>
      <w:tr w14:paraId="7B5F9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9" w:type="dxa"/>
            <w:vMerge w:val="restart"/>
            <w:vAlign w:val="center"/>
          </w:tcPr>
          <w:p w14:paraId="41117624">
            <w:pPr>
              <w:topLinePunct/>
              <w:spacing w:line="440" w:lineRule="exact"/>
              <w:jc w:val="center"/>
              <w:rPr>
                <w:rFonts w:ascii="宋体" w:hAnsi="宋体"/>
                <w:szCs w:val="21"/>
                <w:highlight w:val="none"/>
              </w:rPr>
            </w:pPr>
            <w:r>
              <w:rPr>
                <w:rFonts w:hint="eastAsia" w:ascii="宋体" w:hAnsi="宋体"/>
                <w:szCs w:val="21"/>
                <w:highlight w:val="none"/>
              </w:rPr>
              <w:t>营业执照</w:t>
            </w:r>
          </w:p>
        </w:tc>
        <w:tc>
          <w:tcPr>
            <w:tcW w:w="2044" w:type="dxa"/>
            <w:gridSpan w:val="4"/>
            <w:vAlign w:val="center"/>
          </w:tcPr>
          <w:p w14:paraId="60AFAE2A">
            <w:pPr>
              <w:topLinePunct/>
              <w:spacing w:line="440" w:lineRule="exact"/>
              <w:jc w:val="center"/>
              <w:rPr>
                <w:rFonts w:ascii="宋体" w:hAnsi="宋体"/>
                <w:szCs w:val="21"/>
                <w:highlight w:val="none"/>
              </w:rPr>
            </w:pPr>
            <w:r>
              <w:rPr>
                <w:rFonts w:hint="eastAsia" w:ascii="宋体" w:hAnsi="宋体"/>
                <w:szCs w:val="21"/>
                <w:highlight w:val="none"/>
              </w:rPr>
              <w:t>注册号码</w:t>
            </w:r>
          </w:p>
        </w:tc>
        <w:tc>
          <w:tcPr>
            <w:tcW w:w="1440" w:type="dxa"/>
            <w:gridSpan w:val="2"/>
            <w:vAlign w:val="center"/>
          </w:tcPr>
          <w:p w14:paraId="276F0C29">
            <w:pPr>
              <w:topLinePunct/>
              <w:spacing w:line="440" w:lineRule="exact"/>
              <w:jc w:val="center"/>
              <w:rPr>
                <w:rFonts w:ascii="宋体" w:hAnsi="宋体"/>
                <w:szCs w:val="21"/>
                <w:highlight w:val="none"/>
              </w:rPr>
            </w:pPr>
          </w:p>
        </w:tc>
        <w:tc>
          <w:tcPr>
            <w:tcW w:w="1377" w:type="dxa"/>
            <w:vAlign w:val="center"/>
          </w:tcPr>
          <w:p w14:paraId="225AA3C8">
            <w:pPr>
              <w:topLinePunct/>
              <w:spacing w:line="440" w:lineRule="exact"/>
              <w:ind w:firstLine="105" w:firstLineChars="50"/>
              <w:jc w:val="center"/>
              <w:rPr>
                <w:rFonts w:ascii="宋体" w:hAnsi="宋体"/>
                <w:szCs w:val="21"/>
                <w:highlight w:val="none"/>
              </w:rPr>
            </w:pPr>
            <w:r>
              <w:rPr>
                <w:rFonts w:hint="eastAsia" w:ascii="宋体" w:hAnsi="宋体"/>
                <w:szCs w:val="21"/>
                <w:highlight w:val="none"/>
              </w:rPr>
              <w:t>注册地址</w:t>
            </w:r>
          </w:p>
        </w:tc>
        <w:tc>
          <w:tcPr>
            <w:tcW w:w="2925" w:type="dxa"/>
            <w:gridSpan w:val="3"/>
            <w:vAlign w:val="center"/>
          </w:tcPr>
          <w:p w14:paraId="7ADA6D2A">
            <w:pPr>
              <w:topLinePunct/>
              <w:spacing w:line="440" w:lineRule="exact"/>
              <w:ind w:firstLine="105" w:firstLineChars="50"/>
              <w:jc w:val="center"/>
              <w:rPr>
                <w:rFonts w:ascii="宋体" w:hAnsi="宋体"/>
                <w:szCs w:val="21"/>
                <w:highlight w:val="none"/>
              </w:rPr>
            </w:pPr>
          </w:p>
        </w:tc>
      </w:tr>
      <w:tr w14:paraId="451B8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9" w:type="dxa"/>
            <w:vMerge w:val="continue"/>
            <w:vAlign w:val="center"/>
          </w:tcPr>
          <w:p w14:paraId="3622BC72">
            <w:pPr>
              <w:topLinePunct/>
              <w:spacing w:line="440" w:lineRule="exact"/>
              <w:jc w:val="center"/>
              <w:rPr>
                <w:rFonts w:ascii="宋体" w:hAnsi="宋体"/>
                <w:szCs w:val="21"/>
                <w:highlight w:val="none"/>
              </w:rPr>
            </w:pPr>
          </w:p>
        </w:tc>
        <w:tc>
          <w:tcPr>
            <w:tcW w:w="2044" w:type="dxa"/>
            <w:gridSpan w:val="4"/>
            <w:vAlign w:val="center"/>
          </w:tcPr>
          <w:p w14:paraId="555CC54A">
            <w:pPr>
              <w:topLinePunct/>
              <w:spacing w:line="440" w:lineRule="exact"/>
              <w:jc w:val="center"/>
              <w:rPr>
                <w:rFonts w:ascii="宋体" w:hAnsi="宋体"/>
                <w:szCs w:val="21"/>
                <w:highlight w:val="none"/>
              </w:rPr>
            </w:pPr>
            <w:r>
              <w:rPr>
                <w:rFonts w:hint="eastAsia" w:ascii="宋体" w:hAnsi="宋体"/>
                <w:szCs w:val="21"/>
                <w:highlight w:val="none"/>
              </w:rPr>
              <w:t>发证机关</w:t>
            </w:r>
          </w:p>
        </w:tc>
        <w:tc>
          <w:tcPr>
            <w:tcW w:w="1440" w:type="dxa"/>
            <w:gridSpan w:val="2"/>
            <w:vAlign w:val="center"/>
          </w:tcPr>
          <w:p w14:paraId="1D609493">
            <w:pPr>
              <w:topLinePunct/>
              <w:spacing w:line="440" w:lineRule="exact"/>
              <w:jc w:val="center"/>
              <w:rPr>
                <w:rFonts w:ascii="宋体" w:hAnsi="宋体"/>
                <w:szCs w:val="21"/>
                <w:highlight w:val="none"/>
              </w:rPr>
            </w:pPr>
          </w:p>
        </w:tc>
        <w:tc>
          <w:tcPr>
            <w:tcW w:w="1377" w:type="dxa"/>
            <w:vAlign w:val="center"/>
          </w:tcPr>
          <w:p w14:paraId="794198F4">
            <w:pPr>
              <w:topLinePunct/>
              <w:spacing w:line="440" w:lineRule="exact"/>
              <w:ind w:firstLine="105" w:firstLineChars="50"/>
              <w:jc w:val="center"/>
              <w:rPr>
                <w:rFonts w:ascii="宋体" w:hAnsi="宋体"/>
                <w:szCs w:val="21"/>
                <w:highlight w:val="none"/>
              </w:rPr>
            </w:pPr>
            <w:r>
              <w:rPr>
                <w:rFonts w:hint="eastAsia" w:ascii="宋体" w:hAnsi="宋体"/>
                <w:szCs w:val="21"/>
                <w:highlight w:val="none"/>
              </w:rPr>
              <w:t>发证日期</w:t>
            </w:r>
          </w:p>
        </w:tc>
        <w:tc>
          <w:tcPr>
            <w:tcW w:w="2925" w:type="dxa"/>
            <w:gridSpan w:val="3"/>
            <w:vAlign w:val="center"/>
          </w:tcPr>
          <w:p w14:paraId="3CB74C73">
            <w:pPr>
              <w:topLinePunct/>
              <w:spacing w:line="440" w:lineRule="exact"/>
              <w:ind w:firstLine="105" w:firstLineChars="50"/>
              <w:jc w:val="center"/>
              <w:rPr>
                <w:rFonts w:ascii="宋体" w:hAnsi="宋体"/>
                <w:szCs w:val="21"/>
                <w:highlight w:val="none"/>
              </w:rPr>
            </w:pPr>
          </w:p>
        </w:tc>
      </w:tr>
      <w:tr w14:paraId="7FE15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9" w:type="dxa"/>
            <w:vMerge w:val="continue"/>
            <w:vAlign w:val="center"/>
          </w:tcPr>
          <w:p w14:paraId="7474D5B7">
            <w:pPr>
              <w:topLinePunct/>
              <w:spacing w:line="440" w:lineRule="exact"/>
              <w:jc w:val="center"/>
              <w:rPr>
                <w:rFonts w:ascii="宋体" w:hAnsi="宋体"/>
                <w:szCs w:val="21"/>
                <w:highlight w:val="none"/>
              </w:rPr>
            </w:pPr>
          </w:p>
        </w:tc>
        <w:tc>
          <w:tcPr>
            <w:tcW w:w="2044" w:type="dxa"/>
            <w:gridSpan w:val="4"/>
            <w:vAlign w:val="center"/>
          </w:tcPr>
          <w:p w14:paraId="2084BDEA">
            <w:pPr>
              <w:topLinePunct/>
              <w:spacing w:line="440" w:lineRule="exact"/>
              <w:jc w:val="center"/>
              <w:rPr>
                <w:rFonts w:ascii="宋体" w:hAnsi="宋体"/>
                <w:szCs w:val="21"/>
                <w:highlight w:val="none"/>
              </w:rPr>
            </w:pPr>
            <w:r>
              <w:rPr>
                <w:rFonts w:hint="eastAsia" w:ascii="宋体" w:hAnsi="宋体"/>
                <w:szCs w:val="21"/>
                <w:highlight w:val="none"/>
              </w:rPr>
              <w:t>营业范围（主营）</w:t>
            </w:r>
          </w:p>
        </w:tc>
        <w:tc>
          <w:tcPr>
            <w:tcW w:w="5742" w:type="dxa"/>
            <w:gridSpan w:val="6"/>
            <w:vAlign w:val="center"/>
          </w:tcPr>
          <w:p w14:paraId="0F1CBE29">
            <w:pPr>
              <w:topLinePunct/>
              <w:spacing w:line="440" w:lineRule="exact"/>
              <w:ind w:firstLine="105" w:firstLineChars="50"/>
              <w:jc w:val="center"/>
              <w:rPr>
                <w:rFonts w:ascii="宋体" w:hAnsi="宋体"/>
                <w:szCs w:val="21"/>
                <w:highlight w:val="none"/>
              </w:rPr>
            </w:pPr>
          </w:p>
        </w:tc>
      </w:tr>
      <w:tr w14:paraId="03690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9" w:type="dxa"/>
            <w:vMerge w:val="continue"/>
            <w:vAlign w:val="center"/>
          </w:tcPr>
          <w:p w14:paraId="356587EE">
            <w:pPr>
              <w:topLinePunct/>
              <w:spacing w:line="440" w:lineRule="exact"/>
              <w:jc w:val="center"/>
              <w:rPr>
                <w:rFonts w:ascii="宋体" w:hAnsi="宋体"/>
                <w:szCs w:val="21"/>
                <w:highlight w:val="none"/>
              </w:rPr>
            </w:pPr>
          </w:p>
        </w:tc>
        <w:tc>
          <w:tcPr>
            <w:tcW w:w="2044" w:type="dxa"/>
            <w:gridSpan w:val="4"/>
            <w:vAlign w:val="center"/>
          </w:tcPr>
          <w:p w14:paraId="260E7614">
            <w:pPr>
              <w:topLinePunct/>
              <w:spacing w:line="440" w:lineRule="exact"/>
              <w:jc w:val="center"/>
              <w:rPr>
                <w:rFonts w:ascii="宋体" w:hAnsi="宋体"/>
                <w:szCs w:val="21"/>
                <w:highlight w:val="none"/>
              </w:rPr>
            </w:pPr>
            <w:r>
              <w:rPr>
                <w:rFonts w:hint="eastAsia" w:ascii="宋体" w:hAnsi="宋体"/>
                <w:szCs w:val="21"/>
                <w:highlight w:val="none"/>
              </w:rPr>
              <w:t>营业范围（兼营）</w:t>
            </w:r>
          </w:p>
        </w:tc>
        <w:tc>
          <w:tcPr>
            <w:tcW w:w="5742" w:type="dxa"/>
            <w:gridSpan w:val="6"/>
            <w:vAlign w:val="center"/>
          </w:tcPr>
          <w:p w14:paraId="7AD4D53D">
            <w:pPr>
              <w:topLinePunct/>
              <w:spacing w:line="440" w:lineRule="exact"/>
              <w:ind w:firstLine="105" w:firstLineChars="50"/>
              <w:jc w:val="center"/>
              <w:rPr>
                <w:rFonts w:ascii="宋体" w:hAnsi="宋体"/>
                <w:szCs w:val="21"/>
                <w:highlight w:val="none"/>
              </w:rPr>
            </w:pPr>
          </w:p>
        </w:tc>
      </w:tr>
      <w:tr w14:paraId="75098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3" w:type="dxa"/>
            <w:gridSpan w:val="5"/>
            <w:vAlign w:val="center"/>
          </w:tcPr>
          <w:p w14:paraId="259916D6">
            <w:pPr>
              <w:topLinePunct/>
              <w:spacing w:line="440" w:lineRule="exact"/>
              <w:jc w:val="center"/>
              <w:rPr>
                <w:rFonts w:ascii="宋体" w:hAnsi="宋体"/>
                <w:szCs w:val="21"/>
                <w:highlight w:val="none"/>
              </w:rPr>
            </w:pPr>
            <w:r>
              <w:rPr>
                <w:rFonts w:hint="eastAsia" w:ascii="宋体" w:hAnsi="宋体"/>
                <w:szCs w:val="21"/>
                <w:highlight w:val="none"/>
              </w:rPr>
              <w:t>基本账户开户行及帐号</w:t>
            </w:r>
          </w:p>
        </w:tc>
        <w:tc>
          <w:tcPr>
            <w:tcW w:w="5742" w:type="dxa"/>
            <w:gridSpan w:val="6"/>
            <w:vAlign w:val="center"/>
          </w:tcPr>
          <w:p w14:paraId="4E954435">
            <w:pPr>
              <w:topLinePunct/>
              <w:spacing w:line="440" w:lineRule="exact"/>
              <w:jc w:val="center"/>
              <w:rPr>
                <w:rFonts w:ascii="宋体" w:hAnsi="宋体"/>
                <w:szCs w:val="21"/>
                <w:highlight w:val="none"/>
              </w:rPr>
            </w:pPr>
          </w:p>
        </w:tc>
      </w:tr>
      <w:tr w14:paraId="21633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3" w:type="dxa"/>
            <w:gridSpan w:val="5"/>
            <w:vAlign w:val="center"/>
          </w:tcPr>
          <w:p w14:paraId="038982C9">
            <w:pPr>
              <w:topLinePunct/>
              <w:spacing w:line="440" w:lineRule="exact"/>
              <w:jc w:val="center"/>
              <w:rPr>
                <w:rFonts w:ascii="宋体" w:hAnsi="宋体"/>
                <w:szCs w:val="21"/>
                <w:highlight w:val="none"/>
              </w:rPr>
            </w:pPr>
            <w:r>
              <w:rPr>
                <w:rFonts w:hint="eastAsia" w:ascii="宋体" w:hAnsi="宋体"/>
                <w:szCs w:val="21"/>
                <w:highlight w:val="none"/>
              </w:rPr>
              <w:t>税务登记机关</w:t>
            </w:r>
          </w:p>
        </w:tc>
        <w:tc>
          <w:tcPr>
            <w:tcW w:w="5742" w:type="dxa"/>
            <w:gridSpan w:val="6"/>
            <w:vAlign w:val="center"/>
          </w:tcPr>
          <w:p w14:paraId="237A5CDA">
            <w:pPr>
              <w:topLinePunct/>
              <w:spacing w:line="440" w:lineRule="exact"/>
              <w:jc w:val="center"/>
              <w:rPr>
                <w:rFonts w:ascii="宋体" w:hAnsi="宋体"/>
                <w:szCs w:val="21"/>
                <w:highlight w:val="none"/>
              </w:rPr>
            </w:pPr>
          </w:p>
        </w:tc>
      </w:tr>
      <w:tr w14:paraId="453E5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5" w:type="dxa"/>
            <w:gridSpan w:val="11"/>
            <w:vAlign w:val="center"/>
          </w:tcPr>
          <w:p w14:paraId="0EBAEE1E">
            <w:pPr>
              <w:topLinePunct/>
              <w:spacing w:line="440" w:lineRule="exact"/>
              <w:jc w:val="center"/>
              <w:rPr>
                <w:rFonts w:ascii="宋体" w:hAnsi="宋体"/>
                <w:szCs w:val="21"/>
                <w:highlight w:val="none"/>
              </w:rPr>
            </w:pPr>
            <w:r>
              <w:rPr>
                <w:rFonts w:hint="eastAsia" w:ascii="宋体" w:hAnsi="宋体"/>
                <w:szCs w:val="21"/>
                <w:highlight w:val="none"/>
              </w:rPr>
              <w:t>资质能力</w:t>
            </w:r>
          </w:p>
        </w:tc>
      </w:tr>
      <w:tr w14:paraId="175E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gridSpan w:val="4"/>
            <w:vAlign w:val="center"/>
          </w:tcPr>
          <w:p w14:paraId="19770CBF">
            <w:pPr>
              <w:topLinePunct/>
              <w:spacing w:line="440" w:lineRule="exact"/>
              <w:jc w:val="center"/>
              <w:rPr>
                <w:rFonts w:ascii="宋体" w:hAnsi="宋体"/>
                <w:szCs w:val="21"/>
                <w:highlight w:val="none"/>
              </w:rPr>
            </w:pPr>
            <w:r>
              <w:rPr>
                <w:rFonts w:ascii="宋体" w:hAnsi="宋体"/>
                <w:szCs w:val="21"/>
                <w:highlight w:val="none"/>
              </w:rPr>
              <w:t>资质</w:t>
            </w:r>
            <w:r>
              <w:rPr>
                <w:rFonts w:hint="eastAsia" w:ascii="宋体" w:hAnsi="宋体"/>
                <w:szCs w:val="21"/>
                <w:highlight w:val="none"/>
              </w:rPr>
              <w:t>名称</w:t>
            </w:r>
          </w:p>
        </w:tc>
        <w:tc>
          <w:tcPr>
            <w:tcW w:w="2160" w:type="dxa"/>
            <w:gridSpan w:val="2"/>
            <w:vAlign w:val="center"/>
          </w:tcPr>
          <w:p w14:paraId="11ED2E93">
            <w:pPr>
              <w:topLinePunct/>
              <w:spacing w:line="440" w:lineRule="exact"/>
              <w:jc w:val="center"/>
              <w:rPr>
                <w:rFonts w:ascii="宋体" w:hAnsi="宋体"/>
                <w:szCs w:val="21"/>
                <w:highlight w:val="none"/>
              </w:rPr>
            </w:pPr>
            <w:r>
              <w:rPr>
                <w:rFonts w:ascii="宋体" w:hAnsi="宋体"/>
                <w:szCs w:val="21"/>
                <w:highlight w:val="none"/>
              </w:rPr>
              <w:t>等级</w:t>
            </w:r>
          </w:p>
        </w:tc>
        <w:tc>
          <w:tcPr>
            <w:tcW w:w="2160" w:type="dxa"/>
            <w:gridSpan w:val="3"/>
            <w:vAlign w:val="center"/>
          </w:tcPr>
          <w:p w14:paraId="2C912189">
            <w:pPr>
              <w:topLinePunct/>
              <w:spacing w:line="440" w:lineRule="exact"/>
              <w:jc w:val="center"/>
              <w:rPr>
                <w:rFonts w:ascii="宋体" w:hAnsi="宋体"/>
                <w:szCs w:val="21"/>
                <w:highlight w:val="none"/>
              </w:rPr>
            </w:pPr>
            <w:r>
              <w:rPr>
                <w:rFonts w:hint="eastAsia" w:ascii="宋体" w:hAnsi="宋体"/>
                <w:szCs w:val="21"/>
                <w:highlight w:val="none"/>
              </w:rPr>
              <w:t>发证机关</w:t>
            </w:r>
          </w:p>
        </w:tc>
        <w:tc>
          <w:tcPr>
            <w:tcW w:w="2205" w:type="dxa"/>
            <w:gridSpan w:val="2"/>
            <w:vAlign w:val="center"/>
          </w:tcPr>
          <w:p w14:paraId="0ACDD287">
            <w:pPr>
              <w:topLinePunct/>
              <w:spacing w:line="440" w:lineRule="exact"/>
              <w:jc w:val="center"/>
              <w:rPr>
                <w:rFonts w:ascii="宋体" w:hAnsi="宋体"/>
                <w:szCs w:val="21"/>
                <w:highlight w:val="none"/>
              </w:rPr>
            </w:pPr>
            <w:r>
              <w:rPr>
                <w:rFonts w:hint="eastAsia" w:ascii="宋体" w:hAnsi="宋体"/>
                <w:szCs w:val="21"/>
                <w:highlight w:val="none"/>
              </w:rPr>
              <w:t>有效期</w:t>
            </w:r>
          </w:p>
        </w:tc>
      </w:tr>
      <w:tr w14:paraId="16D09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gridSpan w:val="4"/>
            <w:vAlign w:val="center"/>
          </w:tcPr>
          <w:p w14:paraId="552CF78C">
            <w:pPr>
              <w:topLinePunct/>
              <w:spacing w:line="440" w:lineRule="exact"/>
              <w:jc w:val="center"/>
              <w:rPr>
                <w:rFonts w:ascii="宋体" w:hAnsi="宋体"/>
                <w:szCs w:val="21"/>
                <w:highlight w:val="none"/>
              </w:rPr>
            </w:pPr>
          </w:p>
        </w:tc>
        <w:tc>
          <w:tcPr>
            <w:tcW w:w="2160" w:type="dxa"/>
            <w:gridSpan w:val="2"/>
            <w:vAlign w:val="center"/>
          </w:tcPr>
          <w:p w14:paraId="781154E8">
            <w:pPr>
              <w:topLinePunct/>
              <w:spacing w:line="440" w:lineRule="exact"/>
              <w:jc w:val="center"/>
              <w:rPr>
                <w:rFonts w:ascii="宋体" w:hAnsi="宋体"/>
                <w:szCs w:val="21"/>
                <w:highlight w:val="none"/>
              </w:rPr>
            </w:pPr>
          </w:p>
        </w:tc>
        <w:tc>
          <w:tcPr>
            <w:tcW w:w="2160" w:type="dxa"/>
            <w:gridSpan w:val="3"/>
            <w:vAlign w:val="center"/>
          </w:tcPr>
          <w:p w14:paraId="7879191B">
            <w:pPr>
              <w:topLinePunct/>
              <w:spacing w:line="440" w:lineRule="exact"/>
              <w:jc w:val="center"/>
              <w:rPr>
                <w:rFonts w:ascii="宋体" w:hAnsi="宋体"/>
                <w:szCs w:val="21"/>
                <w:highlight w:val="none"/>
              </w:rPr>
            </w:pPr>
          </w:p>
        </w:tc>
        <w:tc>
          <w:tcPr>
            <w:tcW w:w="2205" w:type="dxa"/>
            <w:gridSpan w:val="2"/>
            <w:vAlign w:val="center"/>
          </w:tcPr>
          <w:p w14:paraId="2FD34033">
            <w:pPr>
              <w:topLinePunct/>
              <w:spacing w:line="440" w:lineRule="exact"/>
              <w:jc w:val="center"/>
              <w:rPr>
                <w:rFonts w:ascii="宋体" w:hAnsi="宋体"/>
                <w:szCs w:val="21"/>
                <w:highlight w:val="none"/>
              </w:rPr>
            </w:pPr>
          </w:p>
        </w:tc>
      </w:tr>
      <w:tr w14:paraId="0026B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gridSpan w:val="4"/>
            <w:vAlign w:val="center"/>
          </w:tcPr>
          <w:p w14:paraId="31BBFB4A">
            <w:pPr>
              <w:topLinePunct/>
              <w:spacing w:line="440" w:lineRule="exact"/>
              <w:jc w:val="center"/>
              <w:rPr>
                <w:rFonts w:ascii="宋体" w:hAnsi="宋体"/>
                <w:szCs w:val="21"/>
                <w:highlight w:val="none"/>
              </w:rPr>
            </w:pPr>
          </w:p>
        </w:tc>
        <w:tc>
          <w:tcPr>
            <w:tcW w:w="2160" w:type="dxa"/>
            <w:gridSpan w:val="2"/>
            <w:vAlign w:val="center"/>
          </w:tcPr>
          <w:p w14:paraId="161D22E5">
            <w:pPr>
              <w:topLinePunct/>
              <w:spacing w:line="440" w:lineRule="exact"/>
              <w:jc w:val="center"/>
              <w:rPr>
                <w:rFonts w:ascii="宋体" w:hAnsi="宋体"/>
                <w:szCs w:val="21"/>
                <w:highlight w:val="none"/>
              </w:rPr>
            </w:pPr>
          </w:p>
        </w:tc>
        <w:tc>
          <w:tcPr>
            <w:tcW w:w="2160" w:type="dxa"/>
            <w:gridSpan w:val="3"/>
            <w:vAlign w:val="center"/>
          </w:tcPr>
          <w:p w14:paraId="26FF4662">
            <w:pPr>
              <w:topLinePunct/>
              <w:spacing w:line="440" w:lineRule="exact"/>
              <w:jc w:val="center"/>
              <w:rPr>
                <w:rFonts w:ascii="宋体" w:hAnsi="宋体"/>
                <w:szCs w:val="21"/>
                <w:highlight w:val="none"/>
              </w:rPr>
            </w:pPr>
          </w:p>
        </w:tc>
        <w:tc>
          <w:tcPr>
            <w:tcW w:w="2205" w:type="dxa"/>
            <w:gridSpan w:val="2"/>
            <w:vAlign w:val="center"/>
          </w:tcPr>
          <w:p w14:paraId="3A612E02">
            <w:pPr>
              <w:topLinePunct/>
              <w:spacing w:line="440" w:lineRule="exact"/>
              <w:jc w:val="center"/>
              <w:rPr>
                <w:rFonts w:ascii="宋体" w:hAnsi="宋体"/>
                <w:szCs w:val="21"/>
                <w:highlight w:val="none"/>
              </w:rPr>
            </w:pPr>
          </w:p>
        </w:tc>
      </w:tr>
      <w:tr w14:paraId="45B04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5" w:type="dxa"/>
            <w:gridSpan w:val="11"/>
            <w:vAlign w:val="center"/>
          </w:tcPr>
          <w:p w14:paraId="3E68AA44">
            <w:pPr>
              <w:topLinePunct/>
              <w:spacing w:line="440" w:lineRule="exact"/>
              <w:jc w:val="center"/>
              <w:rPr>
                <w:rFonts w:ascii="宋体" w:hAnsi="宋体"/>
                <w:szCs w:val="21"/>
                <w:highlight w:val="none"/>
              </w:rPr>
            </w:pPr>
            <w:r>
              <w:rPr>
                <w:rFonts w:hint="eastAsia" w:ascii="宋体" w:hAnsi="宋体"/>
                <w:szCs w:val="21"/>
                <w:highlight w:val="none"/>
              </w:rPr>
              <w:t>投标人近三年项目业绩</w:t>
            </w:r>
          </w:p>
        </w:tc>
      </w:tr>
      <w:tr w14:paraId="6765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gridSpan w:val="4"/>
            <w:vAlign w:val="center"/>
          </w:tcPr>
          <w:p w14:paraId="7D13D891">
            <w:pPr>
              <w:topLinePunct/>
              <w:spacing w:line="440" w:lineRule="exact"/>
              <w:jc w:val="center"/>
              <w:rPr>
                <w:rFonts w:ascii="宋体" w:hAnsi="宋体"/>
                <w:szCs w:val="21"/>
                <w:highlight w:val="none"/>
              </w:rPr>
            </w:pPr>
            <w:r>
              <w:rPr>
                <w:rFonts w:hint="eastAsia" w:ascii="宋体" w:hAnsi="宋体"/>
                <w:szCs w:val="21"/>
                <w:highlight w:val="none"/>
              </w:rPr>
              <w:t>项目业绩名称</w:t>
            </w:r>
          </w:p>
        </w:tc>
        <w:tc>
          <w:tcPr>
            <w:tcW w:w="2160" w:type="dxa"/>
            <w:gridSpan w:val="2"/>
            <w:vAlign w:val="center"/>
          </w:tcPr>
          <w:p w14:paraId="0FCF3853">
            <w:pPr>
              <w:topLinePunct/>
              <w:spacing w:line="440" w:lineRule="exact"/>
              <w:jc w:val="center"/>
              <w:rPr>
                <w:rFonts w:ascii="宋体" w:hAnsi="宋体"/>
                <w:szCs w:val="21"/>
                <w:highlight w:val="none"/>
              </w:rPr>
            </w:pPr>
            <w:r>
              <w:rPr>
                <w:rFonts w:hint="eastAsia" w:ascii="宋体" w:hAnsi="宋体"/>
                <w:szCs w:val="21"/>
                <w:highlight w:val="none"/>
              </w:rPr>
              <w:t>项目地点、起止时间</w:t>
            </w:r>
          </w:p>
        </w:tc>
        <w:tc>
          <w:tcPr>
            <w:tcW w:w="2160" w:type="dxa"/>
            <w:gridSpan w:val="3"/>
            <w:vAlign w:val="center"/>
          </w:tcPr>
          <w:p w14:paraId="12DD293C">
            <w:pPr>
              <w:topLinePunct/>
              <w:spacing w:line="440" w:lineRule="exact"/>
              <w:jc w:val="center"/>
              <w:rPr>
                <w:rFonts w:ascii="宋体" w:hAnsi="宋体"/>
                <w:szCs w:val="21"/>
                <w:highlight w:val="none"/>
              </w:rPr>
            </w:pPr>
            <w:r>
              <w:rPr>
                <w:rFonts w:hint="eastAsia" w:ascii="宋体" w:hAnsi="宋体"/>
                <w:szCs w:val="21"/>
                <w:highlight w:val="none"/>
              </w:rPr>
              <w:t>合同内容、金额</w:t>
            </w:r>
          </w:p>
        </w:tc>
        <w:tc>
          <w:tcPr>
            <w:tcW w:w="2205" w:type="dxa"/>
            <w:gridSpan w:val="2"/>
            <w:vAlign w:val="center"/>
          </w:tcPr>
          <w:p w14:paraId="680B7DB2">
            <w:pPr>
              <w:topLinePunct/>
              <w:spacing w:line="440" w:lineRule="exact"/>
              <w:jc w:val="center"/>
              <w:rPr>
                <w:rFonts w:ascii="宋体" w:hAnsi="宋体"/>
                <w:szCs w:val="21"/>
                <w:highlight w:val="none"/>
              </w:rPr>
            </w:pPr>
            <w:r>
              <w:rPr>
                <w:rFonts w:hint="eastAsia" w:ascii="宋体" w:hAnsi="宋体"/>
                <w:szCs w:val="21"/>
                <w:highlight w:val="none"/>
              </w:rPr>
              <w:t>甲方联系人及电话</w:t>
            </w:r>
          </w:p>
        </w:tc>
      </w:tr>
      <w:tr w14:paraId="312AF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gridSpan w:val="4"/>
            <w:vAlign w:val="center"/>
          </w:tcPr>
          <w:p w14:paraId="4D47A324">
            <w:pPr>
              <w:topLinePunct/>
              <w:spacing w:line="440" w:lineRule="exact"/>
              <w:jc w:val="center"/>
              <w:rPr>
                <w:rFonts w:ascii="宋体" w:hAnsi="宋体"/>
                <w:szCs w:val="21"/>
                <w:highlight w:val="none"/>
              </w:rPr>
            </w:pPr>
          </w:p>
        </w:tc>
        <w:tc>
          <w:tcPr>
            <w:tcW w:w="2160" w:type="dxa"/>
            <w:gridSpan w:val="2"/>
            <w:vAlign w:val="center"/>
          </w:tcPr>
          <w:p w14:paraId="1EF0343E">
            <w:pPr>
              <w:topLinePunct/>
              <w:spacing w:line="440" w:lineRule="exact"/>
              <w:jc w:val="center"/>
              <w:rPr>
                <w:rFonts w:ascii="宋体" w:hAnsi="宋体"/>
                <w:szCs w:val="21"/>
                <w:highlight w:val="none"/>
              </w:rPr>
            </w:pPr>
          </w:p>
        </w:tc>
        <w:tc>
          <w:tcPr>
            <w:tcW w:w="2160" w:type="dxa"/>
            <w:gridSpan w:val="3"/>
            <w:vAlign w:val="center"/>
          </w:tcPr>
          <w:p w14:paraId="5CA58FFC">
            <w:pPr>
              <w:topLinePunct/>
              <w:spacing w:line="440" w:lineRule="exact"/>
              <w:jc w:val="center"/>
              <w:rPr>
                <w:rFonts w:ascii="宋体" w:hAnsi="宋体"/>
                <w:szCs w:val="21"/>
                <w:highlight w:val="none"/>
              </w:rPr>
            </w:pPr>
          </w:p>
        </w:tc>
        <w:tc>
          <w:tcPr>
            <w:tcW w:w="2205" w:type="dxa"/>
            <w:gridSpan w:val="2"/>
            <w:vAlign w:val="center"/>
          </w:tcPr>
          <w:p w14:paraId="02184238">
            <w:pPr>
              <w:topLinePunct/>
              <w:spacing w:line="440" w:lineRule="exact"/>
              <w:jc w:val="center"/>
              <w:rPr>
                <w:rFonts w:ascii="宋体" w:hAnsi="宋体"/>
                <w:szCs w:val="21"/>
                <w:highlight w:val="none"/>
              </w:rPr>
            </w:pPr>
          </w:p>
        </w:tc>
      </w:tr>
      <w:tr w14:paraId="41C27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gridSpan w:val="4"/>
            <w:vAlign w:val="center"/>
          </w:tcPr>
          <w:p w14:paraId="1DF945F3">
            <w:pPr>
              <w:topLinePunct/>
              <w:spacing w:line="440" w:lineRule="exact"/>
              <w:jc w:val="center"/>
              <w:rPr>
                <w:rFonts w:ascii="宋体" w:hAnsi="宋体"/>
                <w:szCs w:val="21"/>
                <w:highlight w:val="none"/>
              </w:rPr>
            </w:pPr>
          </w:p>
        </w:tc>
        <w:tc>
          <w:tcPr>
            <w:tcW w:w="2160" w:type="dxa"/>
            <w:gridSpan w:val="2"/>
            <w:vAlign w:val="center"/>
          </w:tcPr>
          <w:p w14:paraId="3AE54DD5">
            <w:pPr>
              <w:topLinePunct/>
              <w:spacing w:line="440" w:lineRule="exact"/>
              <w:jc w:val="center"/>
              <w:rPr>
                <w:rFonts w:ascii="宋体" w:hAnsi="宋体"/>
                <w:szCs w:val="21"/>
                <w:highlight w:val="none"/>
              </w:rPr>
            </w:pPr>
          </w:p>
        </w:tc>
        <w:tc>
          <w:tcPr>
            <w:tcW w:w="2160" w:type="dxa"/>
            <w:gridSpan w:val="3"/>
            <w:vAlign w:val="center"/>
          </w:tcPr>
          <w:p w14:paraId="67CD3BCB">
            <w:pPr>
              <w:topLinePunct/>
              <w:spacing w:line="440" w:lineRule="exact"/>
              <w:jc w:val="center"/>
              <w:rPr>
                <w:rFonts w:ascii="宋体" w:hAnsi="宋体"/>
                <w:szCs w:val="21"/>
                <w:highlight w:val="none"/>
              </w:rPr>
            </w:pPr>
          </w:p>
        </w:tc>
        <w:tc>
          <w:tcPr>
            <w:tcW w:w="2205" w:type="dxa"/>
            <w:gridSpan w:val="2"/>
            <w:vAlign w:val="center"/>
          </w:tcPr>
          <w:p w14:paraId="0B688FBD">
            <w:pPr>
              <w:topLinePunct/>
              <w:spacing w:line="440" w:lineRule="exact"/>
              <w:jc w:val="center"/>
              <w:rPr>
                <w:rFonts w:ascii="宋体" w:hAnsi="宋体"/>
                <w:szCs w:val="21"/>
                <w:highlight w:val="none"/>
              </w:rPr>
            </w:pPr>
          </w:p>
        </w:tc>
      </w:tr>
      <w:tr w14:paraId="49D4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gridSpan w:val="4"/>
            <w:vAlign w:val="center"/>
          </w:tcPr>
          <w:p w14:paraId="274EF831">
            <w:pPr>
              <w:topLinePunct/>
              <w:spacing w:line="440" w:lineRule="exact"/>
              <w:jc w:val="center"/>
              <w:rPr>
                <w:rFonts w:ascii="宋体" w:hAnsi="宋体"/>
                <w:szCs w:val="21"/>
                <w:highlight w:val="none"/>
              </w:rPr>
            </w:pPr>
          </w:p>
        </w:tc>
        <w:tc>
          <w:tcPr>
            <w:tcW w:w="2160" w:type="dxa"/>
            <w:gridSpan w:val="2"/>
            <w:vAlign w:val="center"/>
          </w:tcPr>
          <w:p w14:paraId="32585120">
            <w:pPr>
              <w:topLinePunct/>
              <w:spacing w:line="440" w:lineRule="exact"/>
              <w:jc w:val="center"/>
              <w:rPr>
                <w:rFonts w:ascii="宋体" w:hAnsi="宋体"/>
                <w:szCs w:val="21"/>
                <w:highlight w:val="none"/>
              </w:rPr>
            </w:pPr>
          </w:p>
        </w:tc>
        <w:tc>
          <w:tcPr>
            <w:tcW w:w="2160" w:type="dxa"/>
            <w:gridSpan w:val="3"/>
            <w:vAlign w:val="center"/>
          </w:tcPr>
          <w:p w14:paraId="78255CBD">
            <w:pPr>
              <w:topLinePunct/>
              <w:spacing w:line="440" w:lineRule="exact"/>
              <w:jc w:val="center"/>
              <w:rPr>
                <w:rFonts w:ascii="宋体" w:hAnsi="宋体"/>
                <w:szCs w:val="21"/>
                <w:highlight w:val="none"/>
              </w:rPr>
            </w:pPr>
          </w:p>
        </w:tc>
        <w:tc>
          <w:tcPr>
            <w:tcW w:w="2205" w:type="dxa"/>
            <w:gridSpan w:val="2"/>
            <w:vAlign w:val="center"/>
          </w:tcPr>
          <w:p w14:paraId="2ED1C46D">
            <w:pPr>
              <w:topLinePunct/>
              <w:spacing w:line="440" w:lineRule="exact"/>
              <w:jc w:val="center"/>
              <w:rPr>
                <w:rFonts w:ascii="宋体" w:hAnsi="宋体"/>
                <w:szCs w:val="21"/>
                <w:highlight w:val="none"/>
              </w:rPr>
            </w:pPr>
          </w:p>
        </w:tc>
      </w:tr>
      <w:tr w14:paraId="5BA50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258" w:type="dxa"/>
            <w:gridSpan w:val="2"/>
            <w:vAlign w:val="center"/>
          </w:tcPr>
          <w:p w14:paraId="7C31F061">
            <w:pPr>
              <w:topLinePunct/>
              <w:spacing w:line="440" w:lineRule="exact"/>
              <w:jc w:val="center"/>
              <w:rPr>
                <w:rFonts w:ascii="宋体" w:hAnsi="宋体"/>
                <w:szCs w:val="21"/>
                <w:highlight w:val="none"/>
              </w:rPr>
            </w:pPr>
            <w:r>
              <w:rPr>
                <w:rFonts w:ascii="宋体" w:hAnsi="宋体"/>
                <w:szCs w:val="21"/>
                <w:highlight w:val="none"/>
              </w:rPr>
              <w:t>备注</w:t>
            </w:r>
          </w:p>
        </w:tc>
        <w:tc>
          <w:tcPr>
            <w:tcW w:w="7247" w:type="dxa"/>
            <w:gridSpan w:val="9"/>
            <w:vAlign w:val="center"/>
          </w:tcPr>
          <w:p w14:paraId="0B328D5B">
            <w:pPr>
              <w:topLinePunct/>
              <w:spacing w:line="440" w:lineRule="exact"/>
              <w:rPr>
                <w:rFonts w:ascii="宋体" w:hAnsi="宋体"/>
                <w:szCs w:val="21"/>
                <w:highlight w:val="none"/>
              </w:rPr>
            </w:pPr>
            <w:r>
              <w:rPr>
                <w:rFonts w:hint="eastAsia" w:ascii="宋体" w:hAnsi="宋体"/>
                <w:szCs w:val="21"/>
                <w:highlight w:val="none"/>
              </w:rPr>
              <w:t>后附项目业绩证明材料</w:t>
            </w:r>
          </w:p>
        </w:tc>
      </w:tr>
    </w:tbl>
    <w:p w14:paraId="113C8686">
      <w:pPr>
        <w:adjustRightInd w:val="0"/>
        <w:snapToGrid w:val="0"/>
        <w:spacing w:line="360" w:lineRule="auto"/>
        <w:jc w:val="center"/>
        <w:rPr>
          <w:rFonts w:ascii="宋体" w:hAnsi="宋体"/>
          <w:sz w:val="24"/>
          <w:highlight w:val="none"/>
        </w:rPr>
      </w:pPr>
    </w:p>
    <w:p w14:paraId="68F39C47">
      <w:pPr>
        <w:spacing w:line="480" w:lineRule="exact"/>
        <w:rPr>
          <w:rFonts w:ascii="宋体" w:hAnsi="宋体"/>
          <w:sz w:val="32"/>
          <w:szCs w:val="32"/>
          <w:highlight w:val="none"/>
        </w:rPr>
      </w:pPr>
    </w:p>
    <w:p w14:paraId="53DEC1F9">
      <w:pPr>
        <w:spacing w:line="480" w:lineRule="exact"/>
        <w:rPr>
          <w:rFonts w:ascii="宋体" w:hAnsi="宋体"/>
          <w:sz w:val="32"/>
          <w:szCs w:val="32"/>
          <w:highlight w:val="none"/>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14:paraId="3EB09C09">
      <w:pPr>
        <w:adjustRightInd w:val="0"/>
        <w:snapToGrid w:val="0"/>
        <w:spacing w:line="480" w:lineRule="auto"/>
        <w:jc w:val="left"/>
        <w:rPr>
          <w:rFonts w:ascii="宋体" w:hAnsi="宋体"/>
          <w:bCs/>
          <w:sz w:val="24"/>
          <w:highlight w:val="none"/>
        </w:rPr>
      </w:pPr>
      <w:r>
        <w:rPr>
          <w:rFonts w:hint="eastAsia" w:ascii="宋体" w:hAnsi="宋体"/>
          <w:bCs/>
          <w:sz w:val="24"/>
          <w:highlight w:val="none"/>
        </w:rPr>
        <w:t>附件1</w:t>
      </w:r>
      <w:r>
        <w:rPr>
          <w:rFonts w:ascii="宋体" w:hAnsi="宋体"/>
          <w:bCs/>
          <w:sz w:val="24"/>
          <w:highlight w:val="none"/>
        </w:rPr>
        <w:t>1</w:t>
      </w:r>
    </w:p>
    <w:p w14:paraId="08747A7B">
      <w:pPr>
        <w:adjustRightInd w:val="0"/>
        <w:snapToGrid w:val="0"/>
        <w:spacing w:line="360" w:lineRule="auto"/>
        <w:ind w:firstLine="562" w:firstLineChars="200"/>
        <w:jc w:val="center"/>
        <w:rPr>
          <w:rFonts w:ascii="宋体" w:hAnsi="宋体"/>
          <w:b/>
          <w:sz w:val="28"/>
          <w:szCs w:val="28"/>
          <w:highlight w:val="none"/>
        </w:rPr>
      </w:pPr>
      <w:r>
        <w:rPr>
          <w:rFonts w:hint="eastAsia" w:ascii="宋体" w:hAnsi="宋体"/>
          <w:b/>
          <w:sz w:val="28"/>
          <w:szCs w:val="28"/>
          <w:highlight w:val="none"/>
        </w:rPr>
        <w:t>具备履行合同所必需的设备和专业技术能力的承诺</w:t>
      </w:r>
    </w:p>
    <w:p w14:paraId="670CE8F0">
      <w:pPr>
        <w:adjustRightInd w:val="0"/>
        <w:snapToGrid w:val="0"/>
        <w:spacing w:line="360" w:lineRule="auto"/>
        <w:ind w:firstLine="560" w:firstLineChars="200"/>
        <w:jc w:val="center"/>
        <w:rPr>
          <w:rFonts w:ascii="宋体" w:hAnsi="宋体"/>
          <w:sz w:val="28"/>
          <w:szCs w:val="28"/>
          <w:highlight w:val="none"/>
        </w:rPr>
      </w:pPr>
    </w:p>
    <w:p w14:paraId="6BD03EAB">
      <w:pPr>
        <w:autoSpaceDE w:val="0"/>
        <w:autoSpaceDN w:val="0"/>
        <w:adjustRightInd w:val="0"/>
        <w:spacing w:line="440" w:lineRule="exact"/>
        <w:jc w:val="left"/>
        <w:rPr>
          <w:rFonts w:ascii="宋体" w:cs="宋体"/>
          <w:kern w:val="0"/>
          <w:szCs w:val="21"/>
          <w:highlight w:val="none"/>
        </w:rPr>
      </w:pPr>
      <w:r>
        <w:rPr>
          <w:rFonts w:hint="eastAsia" w:ascii="宋体" w:cs="宋体"/>
          <w:kern w:val="0"/>
          <w:szCs w:val="21"/>
          <w:highlight w:val="none"/>
        </w:rPr>
        <w:t>本投标人郑重声明：</w:t>
      </w:r>
      <w:r>
        <w:rPr>
          <w:rFonts w:ascii="宋体" w:cs="宋体"/>
          <w:kern w:val="0"/>
          <w:szCs w:val="21"/>
          <w:highlight w:val="none"/>
        </w:rPr>
        <w:t xml:space="preserve"> </w:t>
      </w:r>
    </w:p>
    <w:p w14:paraId="3873CA81">
      <w:pPr>
        <w:autoSpaceDE w:val="0"/>
        <w:autoSpaceDN w:val="0"/>
        <w:adjustRightInd w:val="0"/>
        <w:spacing w:line="440" w:lineRule="exact"/>
        <w:ind w:left="420"/>
        <w:jc w:val="left"/>
        <w:rPr>
          <w:rFonts w:ascii="宋体" w:cs="宋体"/>
          <w:kern w:val="0"/>
          <w:szCs w:val="21"/>
          <w:highlight w:val="none"/>
        </w:rPr>
      </w:pPr>
    </w:p>
    <w:p w14:paraId="2C52540A">
      <w:pPr>
        <w:autoSpaceDE w:val="0"/>
        <w:autoSpaceDN w:val="0"/>
        <w:adjustRightInd w:val="0"/>
        <w:spacing w:line="440" w:lineRule="exact"/>
        <w:ind w:firstLine="420" w:firstLineChars="200"/>
        <w:jc w:val="left"/>
        <w:rPr>
          <w:rFonts w:ascii="宋体" w:cs="宋体"/>
          <w:kern w:val="0"/>
          <w:szCs w:val="21"/>
          <w:highlight w:val="none"/>
        </w:rPr>
      </w:pPr>
      <w:r>
        <w:rPr>
          <w:rFonts w:hint="eastAsia" w:ascii="宋体" w:cs="宋体"/>
          <w:kern w:val="0"/>
          <w:szCs w:val="21"/>
          <w:highlight w:val="none"/>
        </w:rPr>
        <w:t>本公司（或单位）具备本项目履行合同所必需的设备和专业技术能力，特此承诺。</w:t>
      </w:r>
      <w:r>
        <w:rPr>
          <w:rFonts w:ascii="宋体" w:cs="宋体"/>
          <w:kern w:val="0"/>
          <w:szCs w:val="21"/>
          <w:highlight w:val="none"/>
        </w:rPr>
        <w:t xml:space="preserve"> </w:t>
      </w:r>
    </w:p>
    <w:p w14:paraId="3A768689">
      <w:pPr>
        <w:autoSpaceDE w:val="0"/>
        <w:autoSpaceDN w:val="0"/>
        <w:adjustRightInd w:val="0"/>
        <w:spacing w:line="440" w:lineRule="exact"/>
        <w:jc w:val="left"/>
        <w:rPr>
          <w:rFonts w:ascii="宋体" w:cs="宋体"/>
          <w:kern w:val="0"/>
          <w:szCs w:val="21"/>
          <w:highlight w:val="none"/>
        </w:rPr>
      </w:pPr>
    </w:p>
    <w:p w14:paraId="53B15C91">
      <w:pPr>
        <w:pStyle w:val="24"/>
        <w:adjustRightInd w:val="0"/>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投标人名称(盖单位章)：</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5DC89F7C">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法定代表人或其委托代理人 (签字</w:t>
      </w:r>
      <w:r>
        <w:rPr>
          <w:rFonts w:hint="eastAsia" w:ascii="宋体" w:hAnsi="宋体"/>
          <w:color w:val="auto"/>
          <w:szCs w:val="21"/>
          <w:highlight w:val="none"/>
          <w:lang w:eastAsia="zh-CN"/>
        </w:rPr>
        <w:t>或盖章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43090D58">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日期：</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069F9338">
      <w:pPr>
        <w:widowControl/>
        <w:adjustRightInd w:val="0"/>
        <w:snapToGrid w:val="0"/>
        <w:spacing w:line="360" w:lineRule="auto"/>
        <w:ind w:firstLine="444" w:firstLineChars="200"/>
        <w:jc w:val="left"/>
        <w:rPr>
          <w:rFonts w:ascii="宋体" w:hAnsi="宋体" w:cs="宋体"/>
          <w:spacing w:val="6"/>
          <w:kern w:val="0"/>
          <w:szCs w:val="21"/>
          <w:highlight w:val="none"/>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14:paraId="735039A2">
      <w:pPr>
        <w:adjustRightInd w:val="0"/>
        <w:snapToGrid w:val="0"/>
        <w:rPr>
          <w:rFonts w:ascii="宋体" w:hAnsi="宋体"/>
          <w:sz w:val="24"/>
          <w:highlight w:val="none"/>
        </w:rPr>
      </w:pPr>
      <w:r>
        <w:rPr>
          <w:rFonts w:hint="eastAsia" w:ascii="宋体" w:hAnsi="宋体"/>
          <w:sz w:val="24"/>
          <w:highlight w:val="none"/>
        </w:rPr>
        <w:t>附件1</w:t>
      </w:r>
      <w:r>
        <w:rPr>
          <w:rFonts w:ascii="宋体" w:hAnsi="宋体"/>
          <w:sz w:val="24"/>
          <w:highlight w:val="none"/>
        </w:rPr>
        <w:t>2</w:t>
      </w:r>
    </w:p>
    <w:p w14:paraId="04487CAB">
      <w:pPr>
        <w:adjustRightInd w:val="0"/>
        <w:snapToGrid w:val="0"/>
        <w:spacing w:before="156" w:beforeLines="50" w:line="360" w:lineRule="auto"/>
        <w:rPr>
          <w:rFonts w:ascii="宋体" w:hAnsi="宋体"/>
          <w:b/>
          <w:highlight w:val="none"/>
        </w:rPr>
      </w:pPr>
    </w:p>
    <w:p w14:paraId="3FDB334A">
      <w:pPr>
        <w:adjustRightInd w:val="0"/>
        <w:snapToGrid w:val="0"/>
        <w:spacing w:line="360" w:lineRule="auto"/>
        <w:ind w:firstLine="562" w:firstLineChars="200"/>
        <w:jc w:val="center"/>
        <w:rPr>
          <w:rFonts w:ascii="宋体" w:hAnsi="宋体"/>
          <w:b/>
          <w:sz w:val="28"/>
          <w:szCs w:val="28"/>
          <w:highlight w:val="none"/>
        </w:rPr>
      </w:pPr>
      <w:r>
        <w:rPr>
          <w:rFonts w:hint="eastAsia" w:ascii="宋体" w:hAnsi="宋体"/>
          <w:b/>
          <w:sz w:val="28"/>
          <w:szCs w:val="28"/>
          <w:highlight w:val="none"/>
        </w:rPr>
        <w:t>无重大违法记录声明书</w:t>
      </w:r>
    </w:p>
    <w:p w14:paraId="2D517CC6">
      <w:pPr>
        <w:widowControl/>
        <w:adjustRightInd w:val="0"/>
        <w:snapToGrid w:val="0"/>
        <w:spacing w:line="360" w:lineRule="auto"/>
        <w:jc w:val="center"/>
        <w:rPr>
          <w:rFonts w:ascii="宋体" w:hAnsi="宋体"/>
          <w:szCs w:val="21"/>
          <w:highlight w:val="none"/>
        </w:rPr>
      </w:pPr>
    </w:p>
    <w:p w14:paraId="05920039">
      <w:pPr>
        <w:adjustRightInd w:val="0"/>
        <w:snapToGrid w:val="0"/>
        <w:spacing w:line="360" w:lineRule="auto"/>
        <w:rPr>
          <w:rFonts w:ascii="宋体" w:hAnsi="宋体"/>
          <w:szCs w:val="21"/>
          <w:highlight w:val="none"/>
        </w:rPr>
      </w:pPr>
      <w:r>
        <w:rPr>
          <w:rFonts w:hint="eastAsia" w:ascii="宋体" w:hAnsi="宋体"/>
          <w:szCs w:val="21"/>
          <w:highlight w:val="none"/>
          <w:u w:val="single"/>
        </w:rPr>
        <w:t xml:space="preserve">（采购人）         </w:t>
      </w:r>
      <w:r>
        <w:rPr>
          <w:rFonts w:hint="eastAsia" w:ascii="宋体" w:hAnsi="宋体"/>
          <w:szCs w:val="21"/>
          <w:highlight w:val="none"/>
        </w:rPr>
        <w:t>：</w:t>
      </w:r>
    </w:p>
    <w:p w14:paraId="0DD6BAF3">
      <w:pPr>
        <w:adjustRightInd w:val="0"/>
        <w:snapToGrid w:val="0"/>
        <w:spacing w:line="360" w:lineRule="auto"/>
        <w:ind w:firstLine="420" w:firstLineChars="200"/>
        <w:rPr>
          <w:rFonts w:ascii="宋体" w:hAnsi="宋体"/>
          <w:szCs w:val="21"/>
          <w:highlight w:val="none"/>
        </w:rPr>
      </w:pPr>
    </w:p>
    <w:p w14:paraId="192FD7CA">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我公司参与</w:t>
      </w:r>
      <w:r>
        <w:rPr>
          <w:rFonts w:hint="eastAsia" w:ascii="宋体" w:hAnsi="宋体"/>
          <w:szCs w:val="21"/>
          <w:highlight w:val="none"/>
          <w:u w:val="single"/>
        </w:rPr>
        <w:t xml:space="preserve">                          （</w:t>
      </w:r>
      <w:r>
        <w:rPr>
          <w:rFonts w:hint="eastAsia" w:ascii="宋体" w:hAnsi="宋体"/>
          <w:szCs w:val="21"/>
          <w:highlight w:val="none"/>
        </w:rPr>
        <w:t>项目名称、编号）公开招标，本公司郑重声明，我方参加本项目政府采购活动前三年内无重大违法记录，符合《政府采购法》规定的投标人条件。若贵方在本项目采购过程中发现我方政府采购活动前三年内有重大违法记录，我公司将无条件退出本项目的投标，并承担因此引起的一切后果。我方对此声明负全部法律责任。</w:t>
      </w:r>
    </w:p>
    <w:p w14:paraId="7F1FB0E4">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 xml:space="preserve">特此声明  </w:t>
      </w:r>
    </w:p>
    <w:p w14:paraId="25404417">
      <w:pPr>
        <w:adjustRightInd w:val="0"/>
        <w:snapToGrid w:val="0"/>
        <w:spacing w:line="360" w:lineRule="auto"/>
        <w:ind w:firstLine="420" w:firstLineChars="200"/>
        <w:rPr>
          <w:rFonts w:ascii="宋体" w:hAnsi="宋体"/>
          <w:szCs w:val="21"/>
          <w:highlight w:val="none"/>
        </w:rPr>
      </w:pPr>
    </w:p>
    <w:p w14:paraId="26B5CF31">
      <w:pPr>
        <w:adjustRightInd w:val="0"/>
        <w:snapToGrid w:val="0"/>
        <w:spacing w:line="360" w:lineRule="auto"/>
        <w:ind w:firstLine="420" w:firstLineChars="200"/>
        <w:rPr>
          <w:rFonts w:ascii="宋体" w:hAnsi="宋体"/>
          <w:szCs w:val="21"/>
          <w:highlight w:val="none"/>
        </w:rPr>
      </w:pPr>
    </w:p>
    <w:p w14:paraId="15FC27F9">
      <w:pPr>
        <w:adjustRightInd w:val="0"/>
        <w:snapToGrid w:val="0"/>
        <w:spacing w:line="360" w:lineRule="auto"/>
        <w:ind w:firstLine="420" w:firstLineChars="200"/>
        <w:rPr>
          <w:rFonts w:ascii="宋体" w:hAnsi="宋体"/>
          <w:szCs w:val="21"/>
          <w:highlight w:val="none"/>
        </w:rPr>
      </w:pPr>
    </w:p>
    <w:p w14:paraId="75D532BD">
      <w:pPr>
        <w:adjustRightInd w:val="0"/>
        <w:snapToGrid w:val="0"/>
        <w:spacing w:line="360" w:lineRule="auto"/>
        <w:ind w:firstLine="420" w:firstLineChars="200"/>
        <w:rPr>
          <w:rFonts w:ascii="宋体" w:hAnsi="宋体"/>
          <w:szCs w:val="21"/>
          <w:highlight w:val="none"/>
        </w:rPr>
      </w:pPr>
    </w:p>
    <w:p w14:paraId="5D0872CE">
      <w:pPr>
        <w:adjustRightInd w:val="0"/>
        <w:snapToGrid w:val="0"/>
        <w:spacing w:line="360" w:lineRule="auto"/>
        <w:ind w:firstLine="420" w:firstLineChars="200"/>
        <w:rPr>
          <w:rFonts w:ascii="宋体" w:hAnsi="宋体"/>
          <w:bCs/>
          <w:szCs w:val="21"/>
          <w:highlight w:val="none"/>
        </w:rPr>
      </w:pPr>
    </w:p>
    <w:p w14:paraId="36EA5E66">
      <w:pPr>
        <w:adjustRightInd w:val="0"/>
        <w:snapToGrid w:val="0"/>
        <w:spacing w:line="360" w:lineRule="auto"/>
        <w:ind w:firstLine="2723" w:firstLineChars="1297"/>
        <w:rPr>
          <w:rFonts w:ascii="宋体" w:hAnsi="宋体"/>
          <w:szCs w:val="21"/>
          <w:highlight w:val="none"/>
        </w:rPr>
      </w:pPr>
    </w:p>
    <w:p w14:paraId="1896C098">
      <w:pPr>
        <w:pStyle w:val="24"/>
        <w:adjustRightInd w:val="0"/>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投标人名称(盖单位章)：</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04CDBB20">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法定代表人或其委托代理人 (签字</w:t>
      </w:r>
      <w:r>
        <w:rPr>
          <w:rFonts w:hint="eastAsia" w:ascii="宋体" w:hAnsi="宋体"/>
          <w:color w:val="auto"/>
          <w:szCs w:val="21"/>
          <w:highlight w:val="none"/>
          <w:lang w:eastAsia="zh-CN"/>
        </w:rPr>
        <w:t>或盖章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5B3A7C59">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日期：</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2A975402">
      <w:pPr>
        <w:spacing w:line="360" w:lineRule="auto"/>
        <w:ind w:firstLine="3502" w:firstLineChars="1668"/>
        <w:rPr>
          <w:rFonts w:ascii="宋体" w:hAnsi="宋体"/>
          <w:szCs w:val="21"/>
          <w:highlight w:val="none"/>
        </w:rPr>
      </w:pPr>
    </w:p>
    <w:p w14:paraId="5BCD4061">
      <w:pPr>
        <w:spacing w:line="360" w:lineRule="auto"/>
        <w:ind w:firstLine="3502" w:firstLineChars="1668"/>
        <w:rPr>
          <w:rFonts w:ascii="宋体" w:hAnsi="宋体"/>
          <w:szCs w:val="21"/>
          <w:highlight w:val="none"/>
        </w:rPr>
      </w:pPr>
    </w:p>
    <w:p w14:paraId="45B793C3">
      <w:pPr>
        <w:rPr>
          <w:szCs w:val="21"/>
          <w:highlight w:val="none"/>
        </w:rPr>
      </w:pPr>
      <w:r>
        <w:rPr>
          <w:rFonts w:hint="eastAsia"/>
          <w:highlight w:val="none"/>
        </w:rPr>
        <w:t>附注：近三年指成立三年以上的，为提交首次投标文件截止时间前三年内；成立不足三年的，为实际时间</w:t>
      </w:r>
      <w:r>
        <w:rPr>
          <w:rFonts w:hint="eastAsia"/>
          <w:szCs w:val="21"/>
          <w:highlight w:val="none"/>
        </w:rPr>
        <w:t>。</w:t>
      </w:r>
    </w:p>
    <w:p w14:paraId="04B66958">
      <w:pPr>
        <w:adjustRightInd w:val="0"/>
        <w:snapToGrid w:val="0"/>
        <w:rPr>
          <w:rFonts w:ascii="宋体" w:hAnsi="宋体"/>
          <w:sz w:val="24"/>
          <w:highlight w:val="none"/>
        </w:rPr>
      </w:pPr>
      <w:r>
        <w:rPr>
          <w:rFonts w:ascii="宋体" w:hAnsi="宋体"/>
          <w:sz w:val="24"/>
          <w:highlight w:val="none"/>
        </w:rPr>
        <w:br w:type="page"/>
      </w:r>
      <w:r>
        <w:rPr>
          <w:rFonts w:hint="eastAsia" w:ascii="宋体" w:hAnsi="宋体"/>
          <w:sz w:val="24"/>
          <w:highlight w:val="none"/>
        </w:rPr>
        <w:t>附件1</w:t>
      </w:r>
      <w:r>
        <w:rPr>
          <w:rFonts w:ascii="宋体" w:hAnsi="宋体"/>
          <w:sz w:val="24"/>
          <w:highlight w:val="none"/>
        </w:rPr>
        <w:t>3</w:t>
      </w:r>
    </w:p>
    <w:p w14:paraId="322833A3">
      <w:pPr>
        <w:autoSpaceDE w:val="0"/>
        <w:autoSpaceDN w:val="0"/>
        <w:adjustRightInd w:val="0"/>
        <w:jc w:val="center"/>
        <w:rPr>
          <w:rFonts w:ascii="宋体" w:hAnsi="宋体"/>
          <w:b/>
          <w:kern w:val="0"/>
          <w:sz w:val="24"/>
          <w:highlight w:val="none"/>
        </w:rPr>
      </w:pPr>
      <w:r>
        <w:rPr>
          <w:rFonts w:hint="eastAsia" w:ascii="宋体" w:hAnsi="宋体"/>
          <w:b/>
          <w:kern w:val="0"/>
          <w:sz w:val="24"/>
          <w:highlight w:val="none"/>
        </w:rPr>
        <w:t>信用记录</w:t>
      </w:r>
    </w:p>
    <w:p w14:paraId="3B51CACD">
      <w:pPr>
        <w:widowControl/>
        <w:adjustRightInd w:val="0"/>
        <w:snapToGrid w:val="0"/>
        <w:spacing w:line="360" w:lineRule="auto"/>
        <w:ind w:firstLine="444" w:firstLineChars="200"/>
        <w:jc w:val="center"/>
        <w:rPr>
          <w:rFonts w:ascii="宋体" w:hAnsi="宋体" w:cs="宋体"/>
          <w:spacing w:val="6"/>
          <w:kern w:val="0"/>
          <w:szCs w:val="21"/>
          <w:highlight w:val="none"/>
        </w:rPr>
      </w:pPr>
      <w:r>
        <w:rPr>
          <w:rFonts w:hint="eastAsia" w:ascii="宋体" w:hAnsi="宋体" w:cs="宋体"/>
          <w:spacing w:val="6"/>
          <w:kern w:val="0"/>
          <w:szCs w:val="21"/>
          <w:highlight w:val="none"/>
        </w:rPr>
        <w:t>（复印件并加盖投标人单位公章）</w:t>
      </w:r>
    </w:p>
    <w:p w14:paraId="7642AF91">
      <w:pPr>
        <w:widowControl/>
        <w:adjustRightInd w:val="0"/>
        <w:snapToGrid w:val="0"/>
        <w:spacing w:line="360" w:lineRule="auto"/>
        <w:ind w:firstLine="444" w:firstLineChars="200"/>
        <w:jc w:val="left"/>
        <w:rPr>
          <w:rFonts w:ascii="宋体" w:hAnsi="宋体" w:cs="宋体"/>
          <w:spacing w:val="6"/>
          <w:kern w:val="0"/>
          <w:szCs w:val="21"/>
          <w:highlight w:val="none"/>
        </w:rPr>
      </w:pPr>
    </w:p>
    <w:p w14:paraId="062444EE">
      <w:pPr>
        <w:widowControl/>
        <w:adjustRightInd w:val="0"/>
        <w:snapToGrid w:val="0"/>
        <w:spacing w:line="360" w:lineRule="auto"/>
        <w:ind w:firstLine="444"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依据财库</w:t>
      </w:r>
      <w:r>
        <w:rPr>
          <w:rFonts w:ascii="宋体" w:hAnsi="宋体" w:cs="宋体"/>
          <w:spacing w:val="6"/>
          <w:kern w:val="0"/>
          <w:szCs w:val="21"/>
          <w:highlight w:val="none"/>
        </w:rPr>
        <w:t>[2016]125</w:t>
      </w:r>
      <w:r>
        <w:rPr>
          <w:rFonts w:hint="eastAsia" w:ascii="宋体" w:hAnsi="宋体" w:cs="宋体"/>
          <w:spacing w:val="6"/>
          <w:kern w:val="0"/>
          <w:szCs w:val="21"/>
          <w:highlight w:val="none"/>
        </w:rPr>
        <w:t>号文件规定，投标人须符合《关于在政府采购活动中查询及使用信用记录有关问题的通知》的相关要求，即具有良好的信用记录。</w:t>
      </w:r>
    </w:p>
    <w:p w14:paraId="5BE85406">
      <w:pPr>
        <w:widowControl/>
        <w:adjustRightInd w:val="0"/>
        <w:snapToGrid w:val="0"/>
        <w:spacing w:line="360" w:lineRule="auto"/>
        <w:ind w:firstLine="444"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投标人须提供本单位（出售文件起至递交投标文件截止日前）</w:t>
      </w:r>
      <w:r>
        <w:rPr>
          <w:rFonts w:ascii="宋体" w:hAnsi="宋体" w:cs="宋体"/>
          <w:spacing w:val="6"/>
          <w:kern w:val="0"/>
          <w:szCs w:val="21"/>
          <w:highlight w:val="none"/>
        </w:rPr>
        <w:t>“</w:t>
      </w:r>
      <w:r>
        <w:rPr>
          <w:rFonts w:hint="eastAsia" w:ascii="宋体" w:hAnsi="宋体" w:cs="宋体"/>
          <w:spacing w:val="6"/>
          <w:kern w:val="0"/>
          <w:szCs w:val="21"/>
          <w:highlight w:val="none"/>
        </w:rPr>
        <w:t>信用中国</w:t>
      </w:r>
      <w:r>
        <w:rPr>
          <w:rFonts w:ascii="宋体" w:hAnsi="宋体" w:cs="宋体"/>
          <w:spacing w:val="6"/>
          <w:kern w:val="0"/>
          <w:szCs w:val="21"/>
          <w:highlight w:val="none"/>
        </w:rPr>
        <w:t>”</w:t>
      </w:r>
      <w:r>
        <w:rPr>
          <w:rFonts w:hint="eastAsia" w:ascii="宋体" w:hAnsi="宋体" w:cs="宋体"/>
          <w:spacing w:val="6"/>
          <w:kern w:val="0"/>
          <w:szCs w:val="21"/>
          <w:highlight w:val="none"/>
        </w:rPr>
        <w:t>网站（</w:t>
      </w:r>
      <w:r>
        <w:rPr>
          <w:rFonts w:ascii="宋体" w:hAnsi="宋体" w:cs="宋体"/>
          <w:spacing w:val="6"/>
          <w:kern w:val="0"/>
          <w:szCs w:val="21"/>
          <w:highlight w:val="none"/>
        </w:rPr>
        <w:t>www.creditchina.gov.cn</w:t>
      </w:r>
      <w:r>
        <w:rPr>
          <w:rFonts w:hint="eastAsia" w:ascii="宋体" w:hAnsi="宋体" w:cs="宋体"/>
          <w:spacing w:val="6"/>
          <w:kern w:val="0"/>
          <w:szCs w:val="21"/>
          <w:highlight w:val="none"/>
        </w:rPr>
        <w:t>）及中国政府采购网（</w:t>
      </w:r>
      <w:r>
        <w:rPr>
          <w:rFonts w:ascii="宋体" w:hAnsi="宋体" w:cs="宋体"/>
          <w:spacing w:val="6"/>
          <w:kern w:val="0"/>
          <w:szCs w:val="21"/>
          <w:highlight w:val="none"/>
        </w:rPr>
        <w:t>www.ccgp.gov.cn</w:t>
      </w:r>
      <w:r>
        <w:rPr>
          <w:rFonts w:hint="eastAsia" w:ascii="宋体" w:hAnsi="宋体" w:cs="宋体"/>
          <w:spacing w:val="6"/>
          <w:kern w:val="0"/>
          <w:szCs w:val="21"/>
          <w:highlight w:val="none"/>
        </w:rPr>
        <w:t>）已公布的信用记录查询截图。</w:t>
      </w:r>
    </w:p>
    <w:p w14:paraId="5757BA48">
      <w:pPr>
        <w:widowControl/>
        <w:adjustRightInd w:val="0"/>
        <w:snapToGrid w:val="0"/>
        <w:spacing w:line="360" w:lineRule="auto"/>
        <w:ind w:firstLine="444"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截图含1）未被列入失信被执行人</w:t>
      </w:r>
    </w:p>
    <w:p w14:paraId="39EF9BBC">
      <w:pPr>
        <w:widowControl/>
        <w:adjustRightInd w:val="0"/>
        <w:snapToGrid w:val="0"/>
        <w:spacing w:line="360" w:lineRule="auto"/>
        <w:ind w:firstLine="1221" w:firstLineChars="550"/>
        <w:jc w:val="left"/>
        <w:rPr>
          <w:rFonts w:ascii="宋体" w:hAnsi="宋体" w:cs="宋体"/>
          <w:spacing w:val="6"/>
          <w:kern w:val="0"/>
          <w:szCs w:val="21"/>
          <w:highlight w:val="none"/>
        </w:rPr>
      </w:pPr>
      <w:r>
        <w:rPr>
          <w:rFonts w:hint="eastAsia" w:ascii="宋体" w:hAnsi="宋体" w:cs="宋体"/>
          <w:spacing w:val="6"/>
          <w:kern w:val="0"/>
          <w:szCs w:val="21"/>
          <w:highlight w:val="none"/>
        </w:rPr>
        <w:t>2）非重大税收违法案件当事人名单的投标人</w:t>
      </w:r>
    </w:p>
    <w:p w14:paraId="7C72FAF8">
      <w:pPr>
        <w:widowControl/>
        <w:adjustRightInd w:val="0"/>
        <w:snapToGrid w:val="0"/>
        <w:spacing w:line="360" w:lineRule="auto"/>
        <w:ind w:firstLine="1221" w:firstLineChars="550"/>
        <w:jc w:val="left"/>
        <w:rPr>
          <w:rFonts w:ascii="宋体" w:hAnsi="宋体" w:cs="宋体"/>
          <w:spacing w:val="6"/>
          <w:kern w:val="0"/>
          <w:szCs w:val="21"/>
          <w:highlight w:val="none"/>
        </w:rPr>
      </w:pPr>
      <w:r>
        <w:rPr>
          <w:rFonts w:hint="eastAsia" w:ascii="宋体" w:hAnsi="宋体" w:cs="宋体"/>
          <w:spacing w:val="6"/>
          <w:kern w:val="0"/>
          <w:szCs w:val="21"/>
          <w:highlight w:val="none"/>
        </w:rPr>
        <w:t>3）未列入政府采购严重违法失信行为记录名单</w:t>
      </w:r>
    </w:p>
    <w:p w14:paraId="71D3A2F6">
      <w:pPr>
        <w:widowControl/>
        <w:adjustRightInd w:val="0"/>
        <w:snapToGrid w:val="0"/>
        <w:spacing w:line="360" w:lineRule="auto"/>
        <w:ind w:firstLine="444" w:firstLineChars="200"/>
        <w:jc w:val="left"/>
        <w:rPr>
          <w:rFonts w:ascii="宋体" w:hAnsi="宋体" w:cs="宋体"/>
          <w:spacing w:val="6"/>
          <w:kern w:val="0"/>
          <w:szCs w:val="21"/>
          <w:highlight w:val="none"/>
        </w:rPr>
      </w:pPr>
    </w:p>
    <w:p w14:paraId="6E819A79">
      <w:pPr>
        <w:widowControl/>
        <w:adjustRightInd w:val="0"/>
        <w:snapToGrid w:val="0"/>
        <w:spacing w:line="360" w:lineRule="auto"/>
        <w:ind w:firstLine="444"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例如：网站搜索页输入投标人名称，截图查询结果。</w:t>
      </w:r>
    </w:p>
    <w:p w14:paraId="3146F56E">
      <w:pPr>
        <w:widowControl/>
        <w:adjustRightInd w:val="0"/>
        <w:snapToGrid w:val="0"/>
        <w:spacing w:line="360" w:lineRule="auto"/>
        <w:ind w:firstLine="444" w:firstLineChars="200"/>
        <w:jc w:val="left"/>
        <w:rPr>
          <w:rFonts w:ascii="宋体" w:hAnsi="宋体" w:cs="宋体"/>
          <w:spacing w:val="6"/>
          <w:kern w:val="0"/>
          <w:szCs w:val="21"/>
          <w:highlight w:val="none"/>
        </w:rPr>
      </w:pPr>
    </w:p>
    <w:p w14:paraId="36A8552F">
      <w:pPr>
        <w:widowControl/>
        <w:adjustRightInd w:val="0"/>
        <w:snapToGrid w:val="0"/>
        <w:spacing w:line="360" w:lineRule="auto"/>
        <w:ind w:firstLine="446" w:firstLineChars="200"/>
        <w:jc w:val="left"/>
        <w:rPr>
          <w:rFonts w:ascii="宋体" w:hAnsi="宋体" w:cs="宋体"/>
          <w:b/>
          <w:spacing w:val="6"/>
          <w:kern w:val="0"/>
          <w:szCs w:val="21"/>
          <w:highlight w:val="none"/>
        </w:rPr>
      </w:pPr>
      <w:r>
        <w:rPr>
          <w:rFonts w:hint="eastAsia" w:ascii="宋体" w:hAnsi="宋体" w:cs="宋体"/>
          <w:b/>
          <w:spacing w:val="6"/>
          <w:kern w:val="0"/>
          <w:szCs w:val="21"/>
          <w:highlight w:val="none"/>
        </w:rPr>
        <w:t>说明：投标人提供的截图与采购人或采购代理机构查询截图不一致的，以采购人或采购代理机构查询结果为准。</w:t>
      </w:r>
    </w:p>
    <w:p w14:paraId="7FA34DF1">
      <w:pPr>
        <w:widowControl/>
        <w:adjustRightInd w:val="0"/>
        <w:snapToGrid w:val="0"/>
        <w:spacing w:line="360" w:lineRule="auto"/>
        <w:ind w:firstLine="444" w:firstLineChars="200"/>
        <w:jc w:val="left"/>
        <w:rPr>
          <w:rFonts w:ascii="宋体" w:hAnsi="宋体" w:cs="宋体"/>
          <w:spacing w:val="6"/>
          <w:kern w:val="0"/>
          <w:szCs w:val="21"/>
          <w:highlight w:val="none"/>
        </w:rPr>
        <w:sectPr>
          <w:footerReference r:id="rId11" w:type="even"/>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0260F36A">
      <w:pPr>
        <w:pStyle w:val="3"/>
        <w:jc w:val="center"/>
        <w:rPr>
          <w:rFonts w:ascii="宋体" w:hAnsi="宋体"/>
          <w:sz w:val="28"/>
          <w:szCs w:val="28"/>
          <w:highlight w:val="none"/>
        </w:rPr>
      </w:pPr>
      <w:bookmarkStart w:id="84" w:name="_Toc333"/>
      <w:bookmarkStart w:id="85" w:name="_Toc433187369"/>
      <w:r>
        <w:rPr>
          <w:rFonts w:hint="eastAsia" w:ascii="宋体" w:hAnsi="宋体"/>
          <w:sz w:val="28"/>
          <w:szCs w:val="28"/>
          <w:highlight w:val="none"/>
        </w:rPr>
        <w:t>六、项目方案</w:t>
      </w:r>
      <w:bookmarkEnd w:id="84"/>
    </w:p>
    <w:p w14:paraId="1BA5A0D9">
      <w:pPr>
        <w:spacing w:line="360" w:lineRule="auto"/>
        <w:rPr>
          <w:rFonts w:ascii="宋体" w:hAnsi="宋体"/>
          <w:b/>
          <w:szCs w:val="21"/>
          <w:highlight w:val="none"/>
        </w:rPr>
      </w:pPr>
    </w:p>
    <w:p w14:paraId="3D8AB139">
      <w:pPr>
        <w:spacing w:line="360" w:lineRule="auto"/>
        <w:rPr>
          <w:rFonts w:ascii="宋体" w:hAnsi="宋体"/>
          <w:b/>
          <w:szCs w:val="21"/>
          <w:highlight w:val="none"/>
        </w:rPr>
      </w:pPr>
      <w:r>
        <w:rPr>
          <w:rFonts w:hint="eastAsia" w:ascii="宋体" w:hAnsi="宋体"/>
          <w:b/>
          <w:szCs w:val="21"/>
          <w:highlight w:val="none"/>
        </w:rPr>
        <w:t>包括：</w:t>
      </w:r>
    </w:p>
    <w:p w14:paraId="52860BD8">
      <w:pPr>
        <w:adjustRightInd w:val="0"/>
        <w:snapToGrid w:val="0"/>
        <w:spacing w:line="360" w:lineRule="auto"/>
        <w:ind w:left="-88" w:leftChars="-42" w:firstLine="210" w:firstLineChars="100"/>
        <w:rPr>
          <w:rFonts w:ascii="宋体" w:hAnsi="宋体"/>
          <w:szCs w:val="21"/>
          <w:highlight w:val="none"/>
        </w:rPr>
      </w:pPr>
    </w:p>
    <w:p w14:paraId="3413FF0F">
      <w:pPr>
        <w:spacing w:line="460" w:lineRule="exact"/>
        <w:ind w:firstLine="420" w:firstLineChars="200"/>
        <w:rPr>
          <w:rFonts w:ascii="宋体" w:hAnsi="宋体"/>
          <w:highlight w:val="none"/>
          <w:lang w:val="en-GB"/>
        </w:rPr>
      </w:pPr>
      <w:r>
        <w:rPr>
          <w:rFonts w:hint="eastAsia" w:ascii="宋体" w:hAnsi="宋体"/>
          <w:highlight w:val="none"/>
          <w:lang w:val="en-GB"/>
        </w:rPr>
        <w:t>投标人应按采购文件要求的内容和顺序，对完成整个项目提出相应的实施方案。组织实施方案的内容应包括（根据采购文件要求补充）：</w:t>
      </w:r>
    </w:p>
    <w:p w14:paraId="4925080E">
      <w:pPr>
        <w:spacing w:line="420" w:lineRule="exact"/>
        <w:rPr>
          <w:rFonts w:ascii="宋体" w:hAnsi="宋体"/>
          <w:b/>
          <w:sz w:val="24"/>
          <w:highlight w:val="none"/>
          <w:lang w:val="en-GB"/>
        </w:rPr>
      </w:pPr>
      <w:r>
        <w:rPr>
          <w:rFonts w:hint="eastAsia" w:ascii="宋体" w:hAnsi="宋体"/>
          <w:highlight w:val="none"/>
          <w:lang w:val="en-GB"/>
        </w:rPr>
        <w:t>（结合评审办法自行编制）</w:t>
      </w:r>
    </w:p>
    <w:p w14:paraId="4FFD4B66">
      <w:pPr>
        <w:adjustRightInd w:val="0"/>
        <w:snapToGrid w:val="0"/>
        <w:spacing w:line="360" w:lineRule="auto"/>
        <w:rPr>
          <w:rFonts w:ascii="宋体" w:hAnsi="宋体"/>
          <w:bCs/>
          <w:highlight w:val="none"/>
        </w:rPr>
      </w:pPr>
      <w:r>
        <w:rPr>
          <w:rFonts w:ascii="宋体" w:hAnsi="宋体"/>
          <w:b/>
          <w:highlight w:val="none"/>
        </w:rPr>
        <w:br w:type="page"/>
      </w:r>
      <w:bookmarkStart w:id="86" w:name="_Toc531624162"/>
      <w:bookmarkStart w:id="87" w:name="_Toc3979604"/>
      <w:bookmarkStart w:id="88" w:name="_Toc533178576"/>
      <w:r>
        <w:rPr>
          <w:rFonts w:hint="eastAsia" w:ascii="宋体" w:hAnsi="宋体"/>
          <w:bCs/>
          <w:sz w:val="24"/>
          <w:highlight w:val="none"/>
        </w:rPr>
        <w:t>附件</w:t>
      </w:r>
      <w:bookmarkEnd w:id="86"/>
      <w:r>
        <w:rPr>
          <w:rFonts w:hint="eastAsia" w:ascii="宋体" w:hAnsi="宋体"/>
          <w:bCs/>
          <w:sz w:val="24"/>
          <w:highlight w:val="none"/>
        </w:rPr>
        <w:t>1</w:t>
      </w:r>
      <w:bookmarkEnd w:id="87"/>
      <w:bookmarkEnd w:id="88"/>
      <w:r>
        <w:rPr>
          <w:rFonts w:hint="eastAsia" w:ascii="宋体" w:hAnsi="宋体"/>
          <w:bCs/>
          <w:sz w:val="24"/>
          <w:highlight w:val="none"/>
        </w:rPr>
        <w:t>4</w:t>
      </w:r>
    </w:p>
    <w:p w14:paraId="66F61CF0">
      <w:pPr>
        <w:spacing w:line="420" w:lineRule="exact"/>
        <w:jc w:val="center"/>
        <w:rPr>
          <w:rFonts w:ascii="宋体" w:hAnsi="宋体"/>
          <w:b/>
          <w:sz w:val="24"/>
          <w:highlight w:val="none"/>
        </w:rPr>
      </w:pPr>
      <w:r>
        <w:rPr>
          <w:rFonts w:hint="eastAsia" w:ascii="宋体" w:hAnsi="宋体"/>
          <w:b/>
          <w:sz w:val="24"/>
          <w:highlight w:val="none"/>
        </w:rPr>
        <w:t>拟投入本项目的人员一览表</w:t>
      </w:r>
    </w:p>
    <w:p w14:paraId="04774DAA">
      <w:pPr>
        <w:spacing w:line="360" w:lineRule="exact"/>
        <w:jc w:val="left"/>
        <w:rPr>
          <w:rFonts w:ascii="宋体" w:hAnsi="宋体"/>
          <w:b/>
          <w:highlight w:val="none"/>
        </w:rPr>
      </w:pPr>
      <w:r>
        <w:rPr>
          <w:rFonts w:hint="eastAsia" w:ascii="宋体" w:hAnsi="宋体"/>
          <w:b/>
          <w:highlight w:val="none"/>
        </w:rPr>
        <w:t xml:space="preserve">                          </w:t>
      </w:r>
    </w:p>
    <w:tbl>
      <w:tblPr>
        <w:tblStyle w:val="46"/>
        <w:tblW w:w="704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6"/>
        <w:gridCol w:w="1183"/>
        <w:gridCol w:w="945"/>
        <w:gridCol w:w="1137"/>
        <w:gridCol w:w="1359"/>
        <w:gridCol w:w="1142"/>
      </w:tblGrid>
      <w:tr w14:paraId="4FC3B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3" w:hRule="exact"/>
          <w:jc w:val="center"/>
        </w:trPr>
        <w:tc>
          <w:tcPr>
            <w:tcW w:w="1276" w:type="dxa"/>
            <w:vAlign w:val="center"/>
          </w:tcPr>
          <w:p w14:paraId="08DBA7B8">
            <w:pPr>
              <w:jc w:val="center"/>
              <w:rPr>
                <w:rFonts w:ascii="宋体" w:hAnsi="宋体"/>
                <w:highlight w:val="none"/>
              </w:rPr>
            </w:pPr>
            <w:r>
              <w:rPr>
                <w:rFonts w:hint="eastAsia" w:ascii="宋体" w:hAnsi="宋体"/>
                <w:highlight w:val="none"/>
              </w:rPr>
              <w:t>职责分工</w:t>
            </w:r>
          </w:p>
        </w:tc>
        <w:tc>
          <w:tcPr>
            <w:tcW w:w="1183" w:type="dxa"/>
            <w:vAlign w:val="center"/>
          </w:tcPr>
          <w:p w14:paraId="285EE630">
            <w:pPr>
              <w:jc w:val="center"/>
              <w:rPr>
                <w:rFonts w:ascii="宋体" w:hAnsi="宋体"/>
                <w:highlight w:val="none"/>
              </w:rPr>
            </w:pPr>
            <w:r>
              <w:rPr>
                <w:rFonts w:hint="eastAsia" w:ascii="宋体" w:hAnsi="宋体"/>
                <w:highlight w:val="none"/>
              </w:rPr>
              <w:t>姓名</w:t>
            </w:r>
          </w:p>
        </w:tc>
        <w:tc>
          <w:tcPr>
            <w:tcW w:w="945" w:type="dxa"/>
            <w:vAlign w:val="center"/>
          </w:tcPr>
          <w:p w14:paraId="64053404">
            <w:pPr>
              <w:jc w:val="center"/>
              <w:rPr>
                <w:rFonts w:ascii="宋体" w:hAnsi="宋体"/>
                <w:highlight w:val="none"/>
              </w:rPr>
            </w:pPr>
            <w:r>
              <w:rPr>
                <w:rFonts w:hint="eastAsia" w:ascii="宋体" w:hAnsi="宋体"/>
                <w:highlight w:val="none"/>
              </w:rPr>
              <w:t>年龄</w:t>
            </w:r>
          </w:p>
        </w:tc>
        <w:tc>
          <w:tcPr>
            <w:tcW w:w="1137" w:type="dxa"/>
            <w:vAlign w:val="center"/>
          </w:tcPr>
          <w:p w14:paraId="0DD5962B">
            <w:pPr>
              <w:jc w:val="center"/>
              <w:rPr>
                <w:rFonts w:ascii="宋体" w:hAnsi="宋体"/>
                <w:highlight w:val="none"/>
              </w:rPr>
            </w:pPr>
            <w:r>
              <w:rPr>
                <w:rFonts w:hint="eastAsia" w:ascii="宋体" w:hAnsi="宋体"/>
                <w:highlight w:val="none"/>
              </w:rPr>
              <w:t>专业</w:t>
            </w:r>
          </w:p>
        </w:tc>
        <w:tc>
          <w:tcPr>
            <w:tcW w:w="1359" w:type="dxa"/>
            <w:vAlign w:val="center"/>
          </w:tcPr>
          <w:p w14:paraId="1AF6C063">
            <w:pPr>
              <w:jc w:val="center"/>
              <w:rPr>
                <w:rFonts w:ascii="宋体" w:hAnsi="宋体"/>
                <w:highlight w:val="none"/>
              </w:rPr>
            </w:pPr>
            <w:r>
              <w:rPr>
                <w:rFonts w:hint="eastAsia" w:ascii="宋体" w:hAnsi="宋体"/>
                <w:highlight w:val="none"/>
              </w:rPr>
              <w:t>在本项目中担任的岗位</w:t>
            </w:r>
          </w:p>
        </w:tc>
        <w:tc>
          <w:tcPr>
            <w:tcW w:w="1142" w:type="dxa"/>
            <w:vAlign w:val="center"/>
          </w:tcPr>
          <w:p w14:paraId="1950D30B">
            <w:pPr>
              <w:ind w:firstLine="12"/>
              <w:jc w:val="center"/>
              <w:rPr>
                <w:rFonts w:ascii="宋体" w:hAnsi="宋体"/>
                <w:highlight w:val="none"/>
              </w:rPr>
            </w:pPr>
            <w:r>
              <w:rPr>
                <w:rFonts w:hint="eastAsia" w:ascii="宋体" w:hAnsi="宋体"/>
                <w:highlight w:val="none"/>
              </w:rPr>
              <w:t>备注</w:t>
            </w:r>
          </w:p>
        </w:tc>
      </w:tr>
      <w:tr w14:paraId="3B4E2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276" w:type="dxa"/>
            <w:vAlign w:val="center"/>
          </w:tcPr>
          <w:p w14:paraId="372E0A38">
            <w:pPr>
              <w:jc w:val="center"/>
              <w:rPr>
                <w:rFonts w:ascii="宋体" w:hAnsi="宋体"/>
                <w:highlight w:val="none"/>
              </w:rPr>
            </w:pPr>
            <w:r>
              <w:rPr>
                <w:rFonts w:hint="eastAsia" w:ascii="宋体" w:hAnsi="宋体"/>
                <w:highlight w:val="none"/>
              </w:rPr>
              <w:t>项目负责人</w:t>
            </w:r>
          </w:p>
        </w:tc>
        <w:tc>
          <w:tcPr>
            <w:tcW w:w="1183" w:type="dxa"/>
            <w:vAlign w:val="center"/>
          </w:tcPr>
          <w:p w14:paraId="467F7294">
            <w:pPr>
              <w:jc w:val="center"/>
              <w:rPr>
                <w:rFonts w:ascii="宋体" w:hAnsi="宋体"/>
                <w:highlight w:val="none"/>
              </w:rPr>
            </w:pPr>
          </w:p>
        </w:tc>
        <w:tc>
          <w:tcPr>
            <w:tcW w:w="945" w:type="dxa"/>
            <w:vAlign w:val="center"/>
          </w:tcPr>
          <w:p w14:paraId="35A86215">
            <w:pPr>
              <w:jc w:val="center"/>
              <w:rPr>
                <w:rFonts w:ascii="宋体" w:hAnsi="宋体"/>
                <w:highlight w:val="none"/>
              </w:rPr>
            </w:pPr>
          </w:p>
        </w:tc>
        <w:tc>
          <w:tcPr>
            <w:tcW w:w="1137" w:type="dxa"/>
            <w:vAlign w:val="center"/>
          </w:tcPr>
          <w:p w14:paraId="67737810">
            <w:pPr>
              <w:pStyle w:val="254"/>
              <w:keepNext w:val="0"/>
              <w:adjustRightInd/>
              <w:spacing w:before="0" w:after="0" w:line="240" w:lineRule="auto"/>
              <w:textAlignment w:val="auto"/>
              <w:rPr>
                <w:rFonts w:ascii="宋体" w:hAnsi="宋体"/>
                <w:snapToGrid/>
                <w:spacing w:val="0"/>
                <w:kern w:val="2"/>
                <w:szCs w:val="24"/>
                <w:highlight w:val="none"/>
              </w:rPr>
            </w:pPr>
          </w:p>
        </w:tc>
        <w:tc>
          <w:tcPr>
            <w:tcW w:w="1359" w:type="dxa"/>
            <w:vAlign w:val="center"/>
          </w:tcPr>
          <w:p w14:paraId="6E7769F2">
            <w:pPr>
              <w:jc w:val="center"/>
              <w:rPr>
                <w:rFonts w:ascii="宋体" w:hAnsi="宋体"/>
                <w:highlight w:val="none"/>
              </w:rPr>
            </w:pPr>
          </w:p>
        </w:tc>
        <w:tc>
          <w:tcPr>
            <w:tcW w:w="1142" w:type="dxa"/>
            <w:vAlign w:val="center"/>
          </w:tcPr>
          <w:p w14:paraId="648262F5">
            <w:pPr>
              <w:ind w:firstLine="12"/>
              <w:jc w:val="center"/>
              <w:rPr>
                <w:rFonts w:ascii="宋体" w:hAnsi="宋体"/>
                <w:highlight w:val="none"/>
              </w:rPr>
            </w:pPr>
          </w:p>
        </w:tc>
      </w:tr>
      <w:tr w14:paraId="282D2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276" w:type="dxa"/>
            <w:vMerge w:val="restart"/>
            <w:vAlign w:val="center"/>
          </w:tcPr>
          <w:p w14:paraId="757DB6FF">
            <w:pPr>
              <w:jc w:val="center"/>
              <w:rPr>
                <w:rFonts w:ascii="宋体" w:hAnsi="宋体"/>
                <w:highlight w:val="none"/>
              </w:rPr>
            </w:pPr>
            <w:r>
              <w:rPr>
                <w:rFonts w:hint="eastAsia" w:ascii="宋体" w:hAnsi="宋体"/>
                <w:highlight w:val="none"/>
              </w:rPr>
              <w:t>其他人员</w:t>
            </w:r>
          </w:p>
        </w:tc>
        <w:tc>
          <w:tcPr>
            <w:tcW w:w="1183" w:type="dxa"/>
            <w:vAlign w:val="center"/>
          </w:tcPr>
          <w:p w14:paraId="71BD117C">
            <w:pPr>
              <w:jc w:val="center"/>
              <w:rPr>
                <w:rFonts w:ascii="宋体" w:hAnsi="宋体"/>
                <w:highlight w:val="none"/>
              </w:rPr>
            </w:pPr>
          </w:p>
        </w:tc>
        <w:tc>
          <w:tcPr>
            <w:tcW w:w="945" w:type="dxa"/>
            <w:vAlign w:val="center"/>
          </w:tcPr>
          <w:p w14:paraId="19B541F8">
            <w:pPr>
              <w:jc w:val="center"/>
              <w:rPr>
                <w:rFonts w:ascii="宋体" w:hAnsi="宋体"/>
                <w:highlight w:val="none"/>
              </w:rPr>
            </w:pPr>
          </w:p>
        </w:tc>
        <w:tc>
          <w:tcPr>
            <w:tcW w:w="1137" w:type="dxa"/>
            <w:vAlign w:val="center"/>
          </w:tcPr>
          <w:p w14:paraId="135FBF32">
            <w:pPr>
              <w:jc w:val="center"/>
              <w:rPr>
                <w:rFonts w:ascii="宋体" w:hAnsi="宋体"/>
                <w:highlight w:val="none"/>
              </w:rPr>
            </w:pPr>
          </w:p>
        </w:tc>
        <w:tc>
          <w:tcPr>
            <w:tcW w:w="1359" w:type="dxa"/>
            <w:vAlign w:val="center"/>
          </w:tcPr>
          <w:p w14:paraId="4FC6A607">
            <w:pPr>
              <w:jc w:val="center"/>
              <w:rPr>
                <w:rFonts w:ascii="宋体" w:hAnsi="宋体"/>
                <w:highlight w:val="none"/>
              </w:rPr>
            </w:pPr>
          </w:p>
        </w:tc>
        <w:tc>
          <w:tcPr>
            <w:tcW w:w="1142" w:type="dxa"/>
            <w:vAlign w:val="center"/>
          </w:tcPr>
          <w:p w14:paraId="5E769873">
            <w:pPr>
              <w:jc w:val="center"/>
              <w:rPr>
                <w:rFonts w:ascii="宋体" w:hAnsi="宋体"/>
                <w:highlight w:val="none"/>
              </w:rPr>
            </w:pPr>
          </w:p>
        </w:tc>
      </w:tr>
      <w:tr w14:paraId="2D624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276" w:type="dxa"/>
            <w:vMerge w:val="continue"/>
            <w:vAlign w:val="center"/>
          </w:tcPr>
          <w:p w14:paraId="5BBBE08D">
            <w:pPr>
              <w:jc w:val="center"/>
              <w:rPr>
                <w:rFonts w:ascii="宋体" w:hAnsi="宋体"/>
                <w:highlight w:val="none"/>
              </w:rPr>
            </w:pPr>
          </w:p>
        </w:tc>
        <w:tc>
          <w:tcPr>
            <w:tcW w:w="1183" w:type="dxa"/>
            <w:vAlign w:val="center"/>
          </w:tcPr>
          <w:p w14:paraId="11AD849F">
            <w:pPr>
              <w:jc w:val="center"/>
              <w:rPr>
                <w:rFonts w:ascii="宋体" w:hAnsi="宋体"/>
                <w:highlight w:val="none"/>
              </w:rPr>
            </w:pPr>
          </w:p>
        </w:tc>
        <w:tc>
          <w:tcPr>
            <w:tcW w:w="945" w:type="dxa"/>
            <w:vAlign w:val="center"/>
          </w:tcPr>
          <w:p w14:paraId="1874FDB8">
            <w:pPr>
              <w:jc w:val="center"/>
              <w:rPr>
                <w:rFonts w:ascii="宋体" w:hAnsi="宋体"/>
                <w:highlight w:val="none"/>
              </w:rPr>
            </w:pPr>
          </w:p>
        </w:tc>
        <w:tc>
          <w:tcPr>
            <w:tcW w:w="1137" w:type="dxa"/>
            <w:vAlign w:val="center"/>
          </w:tcPr>
          <w:p w14:paraId="2DF20D86">
            <w:pPr>
              <w:jc w:val="center"/>
              <w:rPr>
                <w:rFonts w:ascii="宋体" w:hAnsi="宋体"/>
                <w:highlight w:val="none"/>
              </w:rPr>
            </w:pPr>
          </w:p>
        </w:tc>
        <w:tc>
          <w:tcPr>
            <w:tcW w:w="1359" w:type="dxa"/>
            <w:vAlign w:val="center"/>
          </w:tcPr>
          <w:p w14:paraId="66596D0E">
            <w:pPr>
              <w:jc w:val="center"/>
              <w:rPr>
                <w:rFonts w:ascii="宋体" w:hAnsi="宋体"/>
                <w:highlight w:val="none"/>
              </w:rPr>
            </w:pPr>
          </w:p>
        </w:tc>
        <w:tc>
          <w:tcPr>
            <w:tcW w:w="1142" w:type="dxa"/>
            <w:vAlign w:val="center"/>
          </w:tcPr>
          <w:p w14:paraId="051D01BC">
            <w:pPr>
              <w:jc w:val="center"/>
              <w:rPr>
                <w:rFonts w:ascii="宋体" w:hAnsi="宋体"/>
                <w:highlight w:val="none"/>
              </w:rPr>
            </w:pPr>
          </w:p>
        </w:tc>
      </w:tr>
      <w:tr w14:paraId="319E0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276" w:type="dxa"/>
            <w:vMerge w:val="continue"/>
            <w:vAlign w:val="center"/>
          </w:tcPr>
          <w:p w14:paraId="2EA04D16">
            <w:pPr>
              <w:jc w:val="center"/>
              <w:rPr>
                <w:rFonts w:ascii="宋体" w:hAnsi="宋体"/>
                <w:highlight w:val="none"/>
              </w:rPr>
            </w:pPr>
          </w:p>
        </w:tc>
        <w:tc>
          <w:tcPr>
            <w:tcW w:w="1183" w:type="dxa"/>
            <w:vAlign w:val="center"/>
          </w:tcPr>
          <w:p w14:paraId="287CC850">
            <w:pPr>
              <w:jc w:val="center"/>
              <w:rPr>
                <w:rFonts w:ascii="宋体" w:hAnsi="宋体"/>
                <w:highlight w:val="none"/>
              </w:rPr>
            </w:pPr>
          </w:p>
        </w:tc>
        <w:tc>
          <w:tcPr>
            <w:tcW w:w="945" w:type="dxa"/>
            <w:vAlign w:val="center"/>
          </w:tcPr>
          <w:p w14:paraId="59AA09AA">
            <w:pPr>
              <w:jc w:val="center"/>
              <w:rPr>
                <w:rFonts w:ascii="宋体" w:hAnsi="宋体"/>
                <w:highlight w:val="none"/>
              </w:rPr>
            </w:pPr>
          </w:p>
        </w:tc>
        <w:tc>
          <w:tcPr>
            <w:tcW w:w="1137" w:type="dxa"/>
            <w:vAlign w:val="center"/>
          </w:tcPr>
          <w:p w14:paraId="366DFBE7">
            <w:pPr>
              <w:jc w:val="center"/>
              <w:rPr>
                <w:rFonts w:ascii="宋体" w:hAnsi="宋体"/>
                <w:highlight w:val="none"/>
              </w:rPr>
            </w:pPr>
          </w:p>
        </w:tc>
        <w:tc>
          <w:tcPr>
            <w:tcW w:w="1359" w:type="dxa"/>
            <w:vAlign w:val="center"/>
          </w:tcPr>
          <w:p w14:paraId="5427AD6C">
            <w:pPr>
              <w:jc w:val="center"/>
              <w:rPr>
                <w:rFonts w:ascii="宋体" w:hAnsi="宋体"/>
                <w:highlight w:val="none"/>
              </w:rPr>
            </w:pPr>
          </w:p>
        </w:tc>
        <w:tc>
          <w:tcPr>
            <w:tcW w:w="1142" w:type="dxa"/>
            <w:vAlign w:val="center"/>
          </w:tcPr>
          <w:p w14:paraId="42793982">
            <w:pPr>
              <w:jc w:val="center"/>
              <w:rPr>
                <w:rFonts w:ascii="宋体" w:hAnsi="宋体"/>
                <w:highlight w:val="none"/>
              </w:rPr>
            </w:pPr>
          </w:p>
        </w:tc>
      </w:tr>
      <w:tr w14:paraId="653A3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276" w:type="dxa"/>
            <w:vMerge w:val="continue"/>
            <w:vAlign w:val="center"/>
          </w:tcPr>
          <w:p w14:paraId="42CEC574">
            <w:pPr>
              <w:jc w:val="center"/>
              <w:rPr>
                <w:rFonts w:ascii="宋体" w:hAnsi="宋体"/>
                <w:highlight w:val="none"/>
              </w:rPr>
            </w:pPr>
          </w:p>
        </w:tc>
        <w:tc>
          <w:tcPr>
            <w:tcW w:w="1183" w:type="dxa"/>
            <w:vAlign w:val="center"/>
          </w:tcPr>
          <w:p w14:paraId="44667F88">
            <w:pPr>
              <w:jc w:val="center"/>
              <w:rPr>
                <w:rFonts w:ascii="宋体" w:hAnsi="宋体"/>
                <w:highlight w:val="none"/>
              </w:rPr>
            </w:pPr>
          </w:p>
        </w:tc>
        <w:tc>
          <w:tcPr>
            <w:tcW w:w="945" w:type="dxa"/>
            <w:vAlign w:val="center"/>
          </w:tcPr>
          <w:p w14:paraId="273261EC">
            <w:pPr>
              <w:jc w:val="center"/>
              <w:rPr>
                <w:rFonts w:ascii="宋体" w:hAnsi="宋体"/>
                <w:highlight w:val="none"/>
              </w:rPr>
            </w:pPr>
          </w:p>
        </w:tc>
        <w:tc>
          <w:tcPr>
            <w:tcW w:w="1137" w:type="dxa"/>
            <w:vAlign w:val="center"/>
          </w:tcPr>
          <w:p w14:paraId="03FDEA90">
            <w:pPr>
              <w:jc w:val="center"/>
              <w:rPr>
                <w:rFonts w:ascii="宋体" w:hAnsi="宋体"/>
                <w:highlight w:val="none"/>
              </w:rPr>
            </w:pPr>
          </w:p>
        </w:tc>
        <w:tc>
          <w:tcPr>
            <w:tcW w:w="1359" w:type="dxa"/>
            <w:vAlign w:val="center"/>
          </w:tcPr>
          <w:p w14:paraId="581361A7">
            <w:pPr>
              <w:jc w:val="center"/>
              <w:rPr>
                <w:rFonts w:ascii="宋体" w:hAnsi="宋体"/>
                <w:highlight w:val="none"/>
              </w:rPr>
            </w:pPr>
          </w:p>
        </w:tc>
        <w:tc>
          <w:tcPr>
            <w:tcW w:w="1142" w:type="dxa"/>
            <w:vAlign w:val="center"/>
          </w:tcPr>
          <w:p w14:paraId="59938B33">
            <w:pPr>
              <w:jc w:val="center"/>
              <w:rPr>
                <w:rFonts w:ascii="宋体" w:hAnsi="宋体"/>
                <w:highlight w:val="none"/>
              </w:rPr>
            </w:pPr>
          </w:p>
        </w:tc>
      </w:tr>
      <w:tr w14:paraId="2C0E7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276" w:type="dxa"/>
            <w:vMerge w:val="continue"/>
            <w:vAlign w:val="center"/>
          </w:tcPr>
          <w:p w14:paraId="7A37270A">
            <w:pPr>
              <w:jc w:val="center"/>
              <w:rPr>
                <w:rFonts w:ascii="宋体" w:hAnsi="宋体"/>
                <w:highlight w:val="none"/>
              </w:rPr>
            </w:pPr>
          </w:p>
        </w:tc>
        <w:tc>
          <w:tcPr>
            <w:tcW w:w="1183" w:type="dxa"/>
            <w:vAlign w:val="center"/>
          </w:tcPr>
          <w:p w14:paraId="2E0907D2">
            <w:pPr>
              <w:jc w:val="center"/>
              <w:rPr>
                <w:rFonts w:ascii="宋体" w:hAnsi="宋体"/>
                <w:highlight w:val="none"/>
              </w:rPr>
            </w:pPr>
          </w:p>
        </w:tc>
        <w:tc>
          <w:tcPr>
            <w:tcW w:w="945" w:type="dxa"/>
            <w:vAlign w:val="center"/>
          </w:tcPr>
          <w:p w14:paraId="27818E74">
            <w:pPr>
              <w:jc w:val="center"/>
              <w:rPr>
                <w:rFonts w:ascii="宋体" w:hAnsi="宋体"/>
                <w:highlight w:val="none"/>
              </w:rPr>
            </w:pPr>
          </w:p>
        </w:tc>
        <w:tc>
          <w:tcPr>
            <w:tcW w:w="1137" w:type="dxa"/>
            <w:vAlign w:val="center"/>
          </w:tcPr>
          <w:p w14:paraId="5DF3DD14">
            <w:pPr>
              <w:jc w:val="center"/>
              <w:rPr>
                <w:rFonts w:ascii="宋体" w:hAnsi="宋体"/>
                <w:highlight w:val="none"/>
              </w:rPr>
            </w:pPr>
          </w:p>
        </w:tc>
        <w:tc>
          <w:tcPr>
            <w:tcW w:w="1359" w:type="dxa"/>
            <w:vAlign w:val="center"/>
          </w:tcPr>
          <w:p w14:paraId="664C8B33">
            <w:pPr>
              <w:jc w:val="center"/>
              <w:rPr>
                <w:rFonts w:ascii="宋体" w:hAnsi="宋体"/>
                <w:highlight w:val="none"/>
              </w:rPr>
            </w:pPr>
          </w:p>
        </w:tc>
        <w:tc>
          <w:tcPr>
            <w:tcW w:w="1142" w:type="dxa"/>
            <w:vAlign w:val="center"/>
          </w:tcPr>
          <w:p w14:paraId="77D0A0E8">
            <w:pPr>
              <w:jc w:val="center"/>
              <w:rPr>
                <w:rFonts w:ascii="宋体" w:hAnsi="宋体"/>
                <w:highlight w:val="none"/>
              </w:rPr>
            </w:pPr>
          </w:p>
        </w:tc>
      </w:tr>
      <w:tr w14:paraId="586A4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276" w:type="dxa"/>
            <w:vMerge w:val="continue"/>
            <w:vAlign w:val="center"/>
          </w:tcPr>
          <w:p w14:paraId="1F48B4C4">
            <w:pPr>
              <w:jc w:val="center"/>
              <w:rPr>
                <w:rFonts w:ascii="宋体" w:hAnsi="宋体"/>
                <w:highlight w:val="none"/>
              </w:rPr>
            </w:pPr>
          </w:p>
        </w:tc>
        <w:tc>
          <w:tcPr>
            <w:tcW w:w="1183" w:type="dxa"/>
            <w:vAlign w:val="center"/>
          </w:tcPr>
          <w:p w14:paraId="46B129F2">
            <w:pPr>
              <w:jc w:val="center"/>
              <w:rPr>
                <w:rFonts w:ascii="宋体" w:hAnsi="宋体"/>
                <w:highlight w:val="none"/>
              </w:rPr>
            </w:pPr>
          </w:p>
        </w:tc>
        <w:tc>
          <w:tcPr>
            <w:tcW w:w="945" w:type="dxa"/>
            <w:vAlign w:val="center"/>
          </w:tcPr>
          <w:p w14:paraId="2E664FA6">
            <w:pPr>
              <w:jc w:val="center"/>
              <w:rPr>
                <w:rFonts w:ascii="宋体" w:hAnsi="宋体"/>
                <w:highlight w:val="none"/>
              </w:rPr>
            </w:pPr>
          </w:p>
        </w:tc>
        <w:tc>
          <w:tcPr>
            <w:tcW w:w="1137" w:type="dxa"/>
            <w:vAlign w:val="center"/>
          </w:tcPr>
          <w:p w14:paraId="69E03B65">
            <w:pPr>
              <w:jc w:val="center"/>
              <w:rPr>
                <w:rFonts w:ascii="宋体" w:hAnsi="宋体"/>
                <w:highlight w:val="none"/>
              </w:rPr>
            </w:pPr>
          </w:p>
        </w:tc>
        <w:tc>
          <w:tcPr>
            <w:tcW w:w="1359" w:type="dxa"/>
            <w:vAlign w:val="center"/>
          </w:tcPr>
          <w:p w14:paraId="671C075F">
            <w:pPr>
              <w:jc w:val="center"/>
              <w:rPr>
                <w:rFonts w:ascii="宋体" w:hAnsi="宋体"/>
                <w:highlight w:val="none"/>
              </w:rPr>
            </w:pPr>
          </w:p>
        </w:tc>
        <w:tc>
          <w:tcPr>
            <w:tcW w:w="1142" w:type="dxa"/>
            <w:vAlign w:val="center"/>
          </w:tcPr>
          <w:p w14:paraId="79661B0E">
            <w:pPr>
              <w:jc w:val="center"/>
              <w:rPr>
                <w:rFonts w:ascii="宋体" w:hAnsi="宋体"/>
                <w:highlight w:val="none"/>
              </w:rPr>
            </w:pPr>
          </w:p>
        </w:tc>
      </w:tr>
      <w:tr w14:paraId="77974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276" w:type="dxa"/>
            <w:vMerge w:val="continue"/>
            <w:tcBorders>
              <w:bottom w:val="single" w:color="auto" w:sz="4" w:space="0"/>
            </w:tcBorders>
            <w:vAlign w:val="center"/>
          </w:tcPr>
          <w:p w14:paraId="28E27816">
            <w:pPr>
              <w:jc w:val="center"/>
              <w:rPr>
                <w:rFonts w:ascii="宋体" w:hAnsi="宋体"/>
                <w:highlight w:val="none"/>
              </w:rPr>
            </w:pPr>
          </w:p>
        </w:tc>
        <w:tc>
          <w:tcPr>
            <w:tcW w:w="1183" w:type="dxa"/>
            <w:tcBorders>
              <w:bottom w:val="single" w:color="auto" w:sz="4" w:space="0"/>
            </w:tcBorders>
            <w:vAlign w:val="center"/>
          </w:tcPr>
          <w:p w14:paraId="0AE377D8">
            <w:pPr>
              <w:jc w:val="center"/>
              <w:rPr>
                <w:rFonts w:ascii="宋体" w:hAnsi="宋体"/>
                <w:highlight w:val="none"/>
              </w:rPr>
            </w:pPr>
          </w:p>
        </w:tc>
        <w:tc>
          <w:tcPr>
            <w:tcW w:w="945" w:type="dxa"/>
            <w:vAlign w:val="center"/>
          </w:tcPr>
          <w:p w14:paraId="62FF37A4">
            <w:pPr>
              <w:jc w:val="center"/>
              <w:rPr>
                <w:rFonts w:ascii="宋体" w:hAnsi="宋体"/>
                <w:highlight w:val="none"/>
              </w:rPr>
            </w:pPr>
          </w:p>
        </w:tc>
        <w:tc>
          <w:tcPr>
            <w:tcW w:w="1137" w:type="dxa"/>
            <w:vAlign w:val="center"/>
          </w:tcPr>
          <w:p w14:paraId="7343FFA4">
            <w:pPr>
              <w:jc w:val="center"/>
              <w:rPr>
                <w:rFonts w:ascii="宋体" w:hAnsi="宋体"/>
                <w:highlight w:val="none"/>
              </w:rPr>
            </w:pPr>
          </w:p>
        </w:tc>
        <w:tc>
          <w:tcPr>
            <w:tcW w:w="1359" w:type="dxa"/>
            <w:vAlign w:val="center"/>
          </w:tcPr>
          <w:p w14:paraId="163C146D">
            <w:pPr>
              <w:jc w:val="center"/>
              <w:rPr>
                <w:rFonts w:ascii="宋体" w:hAnsi="宋体"/>
                <w:highlight w:val="none"/>
              </w:rPr>
            </w:pPr>
          </w:p>
        </w:tc>
        <w:tc>
          <w:tcPr>
            <w:tcW w:w="1142" w:type="dxa"/>
            <w:vAlign w:val="center"/>
          </w:tcPr>
          <w:p w14:paraId="3C0FB29C">
            <w:pPr>
              <w:jc w:val="center"/>
              <w:rPr>
                <w:rFonts w:ascii="宋体" w:hAnsi="宋体"/>
                <w:highlight w:val="none"/>
              </w:rPr>
            </w:pPr>
          </w:p>
        </w:tc>
      </w:tr>
    </w:tbl>
    <w:p w14:paraId="1389046F">
      <w:pPr>
        <w:spacing w:line="400" w:lineRule="exact"/>
        <w:rPr>
          <w:rFonts w:ascii="宋体" w:hAnsi="宋体"/>
          <w:highlight w:val="none"/>
        </w:rPr>
      </w:pPr>
    </w:p>
    <w:p w14:paraId="5E90EE7D">
      <w:pPr>
        <w:spacing w:line="400" w:lineRule="exact"/>
        <w:rPr>
          <w:rFonts w:ascii="宋体" w:hAnsi="宋体"/>
          <w:highlight w:val="none"/>
        </w:rPr>
      </w:pPr>
      <w:r>
        <w:rPr>
          <w:rFonts w:ascii="宋体" w:hAnsi="宋体"/>
          <w:highlight w:val="none"/>
        </w:rPr>
        <w:t xml:space="preserve"> </w:t>
      </w:r>
    </w:p>
    <w:p w14:paraId="7BCC662F">
      <w:pPr>
        <w:spacing w:line="400" w:lineRule="exact"/>
        <w:rPr>
          <w:rFonts w:ascii="宋体" w:hAnsi="宋体"/>
          <w:highlight w:val="none"/>
        </w:rPr>
      </w:pPr>
    </w:p>
    <w:p w14:paraId="2EF5850A">
      <w:pPr>
        <w:spacing w:line="400" w:lineRule="exact"/>
        <w:rPr>
          <w:rFonts w:ascii="宋体" w:hAnsi="宋体"/>
          <w:highlight w:val="none"/>
        </w:rPr>
      </w:pPr>
    </w:p>
    <w:p w14:paraId="79C06C9A">
      <w:pPr>
        <w:spacing w:line="400" w:lineRule="exact"/>
        <w:rPr>
          <w:rFonts w:ascii="宋体" w:hAnsi="宋体"/>
          <w:highlight w:val="none"/>
        </w:rPr>
      </w:pPr>
    </w:p>
    <w:p w14:paraId="6EBA845B">
      <w:pPr>
        <w:pStyle w:val="24"/>
        <w:adjustRightInd w:val="0"/>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投标人名称(盖单位章)：</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2F1B1D17">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法定代表人或其委托代理人 (签字</w:t>
      </w:r>
      <w:r>
        <w:rPr>
          <w:rFonts w:hint="eastAsia" w:ascii="宋体" w:hAnsi="宋体"/>
          <w:color w:val="auto"/>
          <w:szCs w:val="21"/>
          <w:highlight w:val="none"/>
          <w:lang w:eastAsia="zh-CN"/>
        </w:rPr>
        <w:t>或盖章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4BAC0D94">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日期：</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1084BD9F">
      <w:pPr>
        <w:spacing w:line="400" w:lineRule="exact"/>
        <w:rPr>
          <w:rFonts w:ascii="宋体" w:hAnsi="宋体"/>
          <w:highlight w:val="none"/>
        </w:rPr>
      </w:pPr>
    </w:p>
    <w:p w14:paraId="3F0E30B6">
      <w:pPr>
        <w:spacing w:line="400" w:lineRule="exact"/>
        <w:rPr>
          <w:rFonts w:ascii="宋体" w:hAnsi="宋体"/>
          <w:highlight w:val="none"/>
        </w:rPr>
      </w:pPr>
    </w:p>
    <w:p w14:paraId="702F9C74">
      <w:pPr>
        <w:adjustRightInd w:val="0"/>
        <w:snapToGrid w:val="0"/>
        <w:spacing w:line="360" w:lineRule="auto"/>
        <w:rPr>
          <w:rFonts w:ascii="宋体" w:hAnsi="宋体"/>
          <w:bCs/>
          <w:sz w:val="24"/>
          <w:highlight w:val="none"/>
        </w:rPr>
      </w:pPr>
      <w:r>
        <w:rPr>
          <w:rFonts w:ascii="宋体" w:hAnsi="宋体"/>
          <w:bCs/>
          <w:highlight w:val="none"/>
        </w:rPr>
        <w:br w:type="page"/>
      </w:r>
      <w:r>
        <w:rPr>
          <w:rFonts w:hint="eastAsia" w:ascii="宋体" w:hAnsi="宋体"/>
          <w:bCs/>
          <w:sz w:val="24"/>
          <w:highlight w:val="none"/>
        </w:rPr>
        <w:t>附件15</w:t>
      </w:r>
    </w:p>
    <w:p w14:paraId="34A9E138">
      <w:pPr>
        <w:pStyle w:val="24"/>
        <w:snapToGrid w:val="0"/>
        <w:spacing w:before="295" w:after="295"/>
        <w:jc w:val="center"/>
        <w:rPr>
          <w:rFonts w:ascii="宋体" w:hAnsi="宋体"/>
          <w:b/>
          <w:szCs w:val="24"/>
          <w:highlight w:val="none"/>
        </w:rPr>
      </w:pPr>
      <w:r>
        <w:rPr>
          <w:rFonts w:hint="eastAsia" w:ascii="宋体" w:hAnsi="宋体"/>
          <w:b/>
          <w:szCs w:val="24"/>
          <w:highlight w:val="none"/>
        </w:rPr>
        <w:t>服务附表</w:t>
      </w:r>
    </w:p>
    <w:tbl>
      <w:tblPr>
        <w:tblStyle w:val="46"/>
        <w:tblW w:w="874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1440"/>
        <w:gridCol w:w="191"/>
        <w:gridCol w:w="1440"/>
        <w:gridCol w:w="705"/>
        <w:gridCol w:w="1196"/>
        <w:gridCol w:w="2048"/>
      </w:tblGrid>
      <w:tr w14:paraId="110BE0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728" w:type="dxa"/>
            <w:tcBorders>
              <w:top w:val="single" w:color="auto" w:sz="4" w:space="0"/>
              <w:left w:val="single" w:color="auto" w:sz="4" w:space="0"/>
              <w:bottom w:val="single" w:color="auto" w:sz="4" w:space="0"/>
              <w:right w:val="single" w:color="auto" w:sz="4" w:space="0"/>
            </w:tcBorders>
            <w:vAlign w:val="center"/>
          </w:tcPr>
          <w:p w14:paraId="05C70FFE">
            <w:pPr>
              <w:snapToGrid w:val="0"/>
              <w:spacing w:before="50" w:after="120" w:afterLines="50" w:line="400" w:lineRule="exact"/>
              <w:rPr>
                <w:rFonts w:ascii="宋体" w:hAnsi="宋体"/>
                <w:szCs w:val="21"/>
                <w:highlight w:val="none"/>
              </w:rPr>
            </w:pPr>
            <w:r>
              <w:rPr>
                <w:rFonts w:hint="eastAsia" w:ascii="宋体" w:hAnsi="宋体"/>
                <w:szCs w:val="21"/>
                <w:highlight w:val="none"/>
              </w:rPr>
              <w:t>公司名称</w:t>
            </w:r>
          </w:p>
        </w:tc>
        <w:tc>
          <w:tcPr>
            <w:tcW w:w="4972" w:type="dxa"/>
            <w:gridSpan w:val="5"/>
            <w:tcBorders>
              <w:top w:val="single" w:color="auto" w:sz="4" w:space="0"/>
              <w:left w:val="single" w:color="auto" w:sz="4" w:space="0"/>
              <w:bottom w:val="single" w:color="auto" w:sz="4" w:space="0"/>
              <w:right w:val="single" w:color="auto" w:sz="4" w:space="0"/>
            </w:tcBorders>
            <w:vAlign w:val="center"/>
          </w:tcPr>
          <w:p w14:paraId="180C37BC">
            <w:pPr>
              <w:snapToGrid w:val="0"/>
              <w:spacing w:before="50" w:after="120" w:afterLines="50" w:line="400" w:lineRule="exact"/>
              <w:jc w:val="center"/>
              <w:rPr>
                <w:rFonts w:ascii="宋体" w:hAnsi="宋体"/>
                <w:szCs w:val="21"/>
                <w:highlight w:val="none"/>
              </w:rPr>
            </w:pPr>
          </w:p>
        </w:tc>
        <w:tc>
          <w:tcPr>
            <w:tcW w:w="2048" w:type="dxa"/>
            <w:vMerge w:val="restart"/>
            <w:tcBorders>
              <w:top w:val="single" w:color="auto" w:sz="4" w:space="0"/>
              <w:left w:val="single" w:color="auto" w:sz="4" w:space="0"/>
              <w:bottom w:val="single" w:color="auto" w:sz="4" w:space="0"/>
              <w:right w:val="single" w:color="auto" w:sz="4" w:space="0"/>
            </w:tcBorders>
            <w:vAlign w:val="center"/>
          </w:tcPr>
          <w:p w14:paraId="36968821">
            <w:pPr>
              <w:snapToGrid w:val="0"/>
              <w:spacing w:before="50" w:after="120" w:afterLines="50" w:line="400" w:lineRule="exact"/>
              <w:jc w:val="center"/>
              <w:rPr>
                <w:rFonts w:ascii="宋体" w:hAnsi="宋体"/>
                <w:szCs w:val="21"/>
                <w:highlight w:val="none"/>
              </w:rPr>
            </w:pPr>
            <w:r>
              <w:rPr>
                <w:rFonts w:hint="eastAsia" w:ascii="宋体" w:hAnsi="宋体"/>
                <w:szCs w:val="21"/>
                <w:highlight w:val="none"/>
              </w:rPr>
              <w:t>备注</w:t>
            </w:r>
          </w:p>
        </w:tc>
      </w:tr>
      <w:tr w14:paraId="30DB42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728" w:type="dxa"/>
            <w:tcBorders>
              <w:top w:val="single" w:color="auto" w:sz="4" w:space="0"/>
              <w:left w:val="single" w:color="auto" w:sz="4" w:space="0"/>
              <w:bottom w:val="single" w:color="auto" w:sz="4" w:space="0"/>
              <w:right w:val="single" w:color="auto" w:sz="4" w:space="0"/>
            </w:tcBorders>
            <w:vAlign w:val="center"/>
          </w:tcPr>
          <w:p w14:paraId="2E062D71">
            <w:pPr>
              <w:snapToGrid w:val="0"/>
              <w:spacing w:before="50" w:after="120" w:afterLines="50" w:line="400" w:lineRule="exact"/>
              <w:rPr>
                <w:rFonts w:ascii="宋体" w:hAnsi="宋体"/>
                <w:szCs w:val="21"/>
                <w:highlight w:val="none"/>
              </w:rPr>
            </w:pPr>
            <w:r>
              <w:rPr>
                <w:rFonts w:hint="eastAsia" w:ascii="宋体" w:hAnsi="宋体"/>
                <w:szCs w:val="21"/>
                <w:highlight w:val="none"/>
              </w:rPr>
              <w:t>地址</w:t>
            </w:r>
          </w:p>
        </w:tc>
        <w:tc>
          <w:tcPr>
            <w:tcW w:w="4972" w:type="dxa"/>
            <w:gridSpan w:val="5"/>
            <w:tcBorders>
              <w:top w:val="single" w:color="auto" w:sz="4" w:space="0"/>
              <w:left w:val="single" w:color="auto" w:sz="4" w:space="0"/>
              <w:bottom w:val="single" w:color="auto" w:sz="4" w:space="0"/>
              <w:right w:val="single" w:color="auto" w:sz="4" w:space="0"/>
            </w:tcBorders>
            <w:vAlign w:val="center"/>
          </w:tcPr>
          <w:p w14:paraId="6E2C5CD7">
            <w:pPr>
              <w:snapToGrid w:val="0"/>
              <w:spacing w:before="50" w:after="120" w:afterLines="50" w:line="400" w:lineRule="exact"/>
              <w:jc w:val="center"/>
              <w:rPr>
                <w:rFonts w:ascii="宋体" w:hAnsi="宋体"/>
                <w:szCs w:val="21"/>
                <w:highlight w:val="none"/>
              </w:rPr>
            </w:pPr>
          </w:p>
        </w:tc>
        <w:tc>
          <w:tcPr>
            <w:tcW w:w="2048" w:type="dxa"/>
            <w:vMerge w:val="continue"/>
            <w:tcBorders>
              <w:top w:val="single" w:color="auto" w:sz="4" w:space="0"/>
              <w:left w:val="single" w:color="auto" w:sz="4" w:space="0"/>
              <w:bottom w:val="single" w:color="auto" w:sz="4" w:space="0"/>
              <w:right w:val="single" w:color="auto" w:sz="4" w:space="0"/>
            </w:tcBorders>
            <w:vAlign w:val="center"/>
          </w:tcPr>
          <w:p w14:paraId="3271FC15">
            <w:pPr>
              <w:jc w:val="center"/>
              <w:rPr>
                <w:rFonts w:ascii="宋体" w:hAnsi="宋体"/>
                <w:szCs w:val="21"/>
                <w:highlight w:val="none"/>
              </w:rPr>
            </w:pPr>
          </w:p>
        </w:tc>
      </w:tr>
      <w:tr w14:paraId="28E2EF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8" w:type="dxa"/>
            <w:tcBorders>
              <w:top w:val="single" w:color="auto" w:sz="4" w:space="0"/>
              <w:left w:val="single" w:color="auto" w:sz="4" w:space="0"/>
              <w:bottom w:val="single" w:color="auto" w:sz="4" w:space="0"/>
              <w:right w:val="single" w:color="auto" w:sz="4" w:space="0"/>
            </w:tcBorders>
            <w:vAlign w:val="center"/>
          </w:tcPr>
          <w:p w14:paraId="2019213E">
            <w:pPr>
              <w:snapToGrid w:val="0"/>
              <w:spacing w:before="50" w:after="120" w:afterLines="50" w:line="400" w:lineRule="exact"/>
              <w:rPr>
                <w:rFonts w:ascii="宋体" w:hAnsi="宋体"/>
                <w:szCs w:val="21"/>
                <w:highlight w:val="none"/>
              </w:rPr>
            </w:pPr>
            <w:r>
              <w:rPr>
                <w:rFonts w:hint="eastAsia" w:ascii="宋体" w:hAnsi="宋体"/>
                <w:szCs w:val="21"/>
                <w:highlight w:val="none"/>
              </w:rPr>
              <w:t>注册资本金</w:t>
            </w:r>
          </w:p>
        </w:tc>
        <w:tc>
          <w:tcPr>
            <w:tcW w:w="1440" w:type="dxa"/>
            <w:tcBorders>
              <w:top w:val="single" w:color="auto" w:sz="4" w:space="0"/>
              <w:left w:val="single" w:color="auto" w:sz="4" w:space="0"/>
              <w:bottom w:val="single" w:color="auto" w:sz="4" w:space="0"/>
              <w:right w:val="single" w:color="auto" w:sz="4" w:space="0"/>
            </w:tcBorders>
          </w:tcPr>
          <w:p w14:paraId="35642CB2">
            <w:pPr>
              <w:snapToGrid w:val="0"/>
              <w:spacing w:before="50" w:after="120" w:afterLines="50" w:line="400" w:lineRule="exact"/>
              <w:jc w:val="left"/>
              <w:rPr>
                <w:rFonts w:ascii="宋体" w:hAnsi="宋体"/>
                <w:szCs w:val="21"/>
                <w:highlight w:val="none"/>
              </w:rPr>
            </w:pPr>
          </w:p>
        </w:tc>
        <w:tc>
          <w:tcPr>
            <w:tcW w:w="2336" w:type="dxa"/>
            <w:gridSpan w:val="3"/>
            <w:tcBorders>
              <w:top w:val="single" w:color="auto" w:sz="4" w:space="0"/>
              <w:left w:val="single" w:color="auto" w:sz="4" w:space="0"/>
              <w:bottom w:val="single" w:color="auto" w:sz="4" w:space="0"/>
              <w:right w:val="single" w:color="auto" w:sz="4" w:space="0"/>
            </w:tcBorders>
          </w:tcPr>
          <w:p w14:paraId="6ECC558E">
            <w:pPr>
              <w:snapToGrid w:val="0"/>
              <w:spacing w:before="50" w:after="120" w:afterLines="50" w:line="400" w:lineRule="exact"/>
              <w:jc w:val="left"/>
              <w:rPr>
                <w:rFonts w:ascii="宋体" w:hAnsi="宋体"/>
                <w:szCs w:val="21"/>
                <w:highlight w:val="none"/>
              </w:rPr>
            </w:pPr>
            <w:r>
              <w:rPr>
                <w:rFonts w:hint="eastAsia" w:ascii="宋体" w:hAnsi="宋体"/>
                <w:szCs w:val="21"/>
                <w:highlight w:val="none"/>
              </w:rPr>
              <w:t>其中：投标人出资比例</w:t>
            </w:r>
          </w:p>
        </w:tc>
        <w:tc>
          <w:tcPr>
            <w:tcW w:w="1196" w:type="dxa"/>
            <w:tcBorders>
              <w:top w:val="single" w:color="auto" w:sz="4" w:space="0"/>
              <w:left w:val="single" w:color="auto" w:sz="4" w:space="0"/>
              <w:bottom w:val="single" w:color="auto" w:sz="4" w:space="0"/>
              <w:right w:val="single" w:color="auto" w:sz="4" w:space="0"/>
            </w:tcBorders>
          </w:tcPr>
          <w:p w14:paraId="05E8A68F">
            <w:pPr>
              <w:snapToGrid w:val="0"/>
              <w:spacing w:before="50" w:after="120" w:afterLines="50" w:line="400" w:lineRule="exact"/>
              <w:jc w:val="left"/>
              <w:rPr>
                <w:rFonts w:ascii="宋体" w:hAnsi="宋体"/>
                <w:szCs w:val="21"/>
                <w:highlight w:val="none"/>
              </w:rPr>
            </w:pPr>
          </w:p>
        </w:tc>
        <w:tc>
          <w:tcPr>
            <w:tcW w:w="2048" w:type="dxa"/>
            <w:vMerge w:val="restart"/>
            <w:tcBorders>
              <w:top w:val="single" w:color="auto" w:sz="4" w:space="0"/>
              <w:left w:val="single" w:color="auto" w:sz="4" w:space="0"/>
              <w:right w:val="single" w:color="auto" w:sz="4" w:space="0"/>
            </w:tcBorders>
            <w:vAlign w:val="center"/>
          </w:tcPr>
          <w:p w14:paraId="76E0C29B">
            <w:pPr>
              <w:snapToGrid w:val="0"/>
              <w:spacing w:before="50" w:after="120" w:afterLines="50" w:line="400" w:lineRule="exact"/>
              <w:rPr>
                <w:rFonts w:ascii="宋体" w:hAnsi="宋体"/>
                <w:szCs w:val="21"/>
                <w:highlight w:val="none"/>
              </w:rPr>
            </w:pPr>
            <w:r>
              <w:rPr>
                <w:rFonts w:hint="eastAsia" w:ascii="宋体" w:hAnsi="宋体"/>
                <w:szCs w:val="21"/>
                <w:highlight w:val="none"/>
              </w:rPr>
              <w:t>提供相关证明材料（如：营业执照或租房合同等）</w:t>
            </w:r>
          </w:p>
        </w:tc>
      </w:tr>
      <w:tr w14:paraId="2510A7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8" w:type="dxa"/>
            <w:tcBorders>
              <w:top w:val="single" w:color="auto" w:sz="4" w:space="0"/>
              <w:left w:val="single" w:color="auto" w:sz="4" w:space="0"/>
              <w:bottom w:val="single" w:color="auto" w:sz="4" w:space="0"/>
              <w:right w:val="single" w:color="auto" w:sz="4" w:space="0"/>
            </w:tcBorders>
            <w:vAlign w:val="center"/>
          </w:tcPr>
          <w:p w14:paraId="524DC2D6">
            <w:pPr>
              <w:snapToGrid w:val="0"/>
              <w:spacing w:before="50" w:after="120" w:afterLines="50" w:line="400" w:lineRule="exact"/>
              <w:rPr>
                <w:rFonts w:ascii="宋体" w:hAnsi="宋体"/>
                <w:szCs w:val="21"/>
                <w:highlight w:val="none"/>
              </w:rPr>
            </w:pPr>
            <w:r>
              <w:rPr>
                <w:rFonts w:hint="eastAsia" w:ascii="宋体" w:hAnsi="宋体"/>
                <w:szCs w:val="21"/>
                <w:highlight w:val="none"/>
              </w:rPr>
              <w:t>员工总人数</w:t>
            </w:r>
          </w:p>
        </w:tc>
        <w:tc>
          <w:tcPr>
            <w:tcW w:w="1440" w:type="dxa"/>
            <w:tcBorders>
              <w:top w:val="single" w:color="auto" w:sz="4" w:space="0"/>
              <w:left w:val="single" w:color="auto" w:sz="4" w:space="0"/>
              <w:bottom w:val="single" w:color="auto" w:sz="4" w:space="0"/>
              <w:right w:val="single" w:color="auto" w:sz="4" w:space="0"/>
            </w:tcBorders>
          </w:tcPr>
          <w:p w14:paraId="42705549">
            <w:pPr>
              <w:snapToGrid w:val="0"/>
              <w:spacing w:before="50" w:after="120" w:afterLines="50" w:line="400" w:lineRule="exact"/>
              <w:jc w:val="left"/>
              <w:rPr>
                <w:rFonts w:ascii="宋体" w:hAnsi="宋体"/>
                <w:szCs w:val="21"/>
                <w:highlight w:val="none"/>
              </w:rPr>
            </w:pPr>
          </w:p>
        </w:tc>
        <w:tc>
          <w:tcPr>
            <w:tcW w:w="2336" w:type="dxa"/>
            <w:gridSpan w:val="3"/>
            <w:tcBorders>
              <w:top w:val="single" w:color="auto" w:sz="4" w:space="0"/>
              <w:left w:val="single" w:color="auto" w:sz="4" w:space="0"/>
              <w:bottom w:val="single" w:color="auto" w:sz="4" w:space="0"/>
              <w:right w:val="single" w:color="auto" w:sz="4" w:space="0"/>
            </w:tcBorders>
          </w:tcPr>
          <w:p w14:paraId="11E08657">
            <w:pPr>
              <w:snapToGrid w:val="0"/>
              <w:spacing w:before="50" w:after="120" w:afterLines="50" w:line="400" w:lineRule="exact"/>
              <w:ind w:left="60"/>
              <w:jc w:val="left"/>
              <w:rPr>
                <w:rFonts w:ascii="宋体" w:hAnsi="宋体"/>
                <w:szCs w:val="21"/>
                <w:highlight w:val="none"/>
              </w:rPr>
            </w:pPr>
            <w:r>
              <w:rPr>
                <w:rFonts w:hint="eastAsia" w:ascii="宋体" w:hAnsi="宋体"/>
                <w:szCs w:val="21"/>
                <w:highlight w:val="none"/>
              </w:rPr>
              <w:t>其中：技术人员数</w:t>
            </w:r>
          </w:p>
        </w:tc>
        <w:tc>
          <w:tcPr>
            <w:tcW w:w="1196" w:type="dxa"/>
            <w:tcBorders>
              <w:top w:val="single" w:color="auto" w:sz="4" w:space="0"/>
              <w:left w:val="single" w:color="auto" w:sz="4" w:space="0"/>
              <w:bottom w:val="single" w:color="auto" w:sz="4" w:space="0"/>
              <w:right w:val="single" w:color="auto" w:sz="4" w:space="0"/>
            </w:tcBorders>
          </w:tcPr>
          <w:p w14:paraId="2298F11B">
            <w:pPr>
              <w:snapToGrid w:val="0"/>
              <w:spacing w:before="50" w:after="120" w:afterLines="50" w:line="400" w:lineRule="exact"/>
              <w:jc w:val="left"/>
              <w:rPr>
                <w:rFonts w:ascii="宋体" w:hAnsi="宋体"/>
                <w:szCs w:val="21"/>
                <w:highlight w:val="none"/>
              </w:rPr>
            </w:pPr>
          </w:p>
        </w:tc>
        <w:tc>
          <w:tcPr>
            <w:tcW w:w="2048" w:type="dxa"/>
            <w:vMerge w:val="continue"/>
            <w:tcBorders>
              <w:left w:val="single" w:color="auto" w:sz="4" w:space="0"/>
              <w:right w:val="single" w:color="auto" w:sz="4" w:space="0"/>
            </w:tcBorders>
            <w:vAlign w:val="center"/>
          </w:tcPr>
          <w:p w14:paraId="5F26499E">
            <w:pPr>
              <w:snapToGrid w:val="0"/>
              <w:spacing w:before="50" w:after="120" w:afterLines="50" w:line="400" w:lineRule="exact"/>
              <w:rPr>
                <w:rFonts w:ascii="宋体" w:hAnsi="宋体"/>
                <w:szCs w:val="21"/>
                <w:highlight w:val="none"/>
              </w:rPr>
            </w:pPr>
          </w:p>
        </w:tc>
      </w:tr>
      <w:tr w14:paraId="368691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8" w:type="dxa"/>
            <w:tcBorders>
              <w:top w:val="single" w:color="auto" w:sz="4" w:space="0"/>
              <w:left w:val="single" w:color="auto" w:sz="4" w:space="0"/>
              <w:bottom w:val="single" w:color="auto" w:sz="4" w:space="0"/>
              <w:right w:val="single" w:color="auto" w:sz="4" w:space="0"/>
            </w:tcBorders>
            <w:vAlign w:val="center"/>
          </w:tcPr>
          <w:p w14:paraId="3A390A7E">
            <w:pPr>
              <w:snapToGrid w:val="0"/>
              <w:spacing w:before="50" w:after="120" w:afterLines="50" w:line="400" w:lineRule="exact"/>
              <w:rPr>
                <w:rFonts w:ascii="宋体" w:hAnsi="宋体"/>
                <w:szCs w:val="21"/>
                <w:highlight w:val="none"/>
              </w:rPr>
            </w:pPr>
            <w:r>
              <w:rPr>
                <w:rFonts w:hint="eastAsia" w:ascii="宋体" w:hAnsi="宋体"/>
                <w:szCs w:val="21"/>
                <w:highlight w:val="none"/>
              </w:rPr>
              <w:t>经营期限</w:t>
            </w:r>
          </w:p>
        </w:tc>
        <w:tc>
          <w:tcPr>
            <w:tcW w:w="4972" w:type="dxa"/>
            <w:gridSpan w:val="5"/>
            <w:tcBorders>
              <w:top w:val="single" w:color="auto" w:sz="4" w:space="0"/>
              <w:left w:val="single" w:color="auto" w:sz="4" w:space="0"/>
              <w:bottom w:val="single" w:color="auto" w:sz="4" w:space="0"/>
              <w:right w:val="single" w:color="auto" w:sz="4" w:space="0"/>
            </w:tcBorders>
          </w:tcPr>
          <w:p w14:paraId="7AB2C2B0">
            <w:pPr>
              <w:snapToGrid w:val="0"/>
              <w:spacing w:before="50" w:after="120" w:afterLines="50" w:line="400" w:lineRule="exact"/>
              <w:jc w:val="left"/>
              <w:rPr>
                <w:rFonts w:ascii="宋体" w:hAnsi="宋体"/>
                <w:szCs w:val="21"/>
                <w:highlight w:val="none"/>
              </w:rPr>
            </w:pPr>
          </w:p>
        </w:tc>
        <w:tc>
          <w:tcPr>
            <w:tcW w:w="2048" w:type="dxa"/>
            <w:vMerge w:val="continue"/>
            <w:tcBorders>
              <w:left w:val="single" w:color="auto" w:sz="4" w:space="0"/>
              <w:bottom w:val="single" w:color="auto" w:sz="4" w:space="0"/>
              <w:right w:val="single" w:color="auto" w:sz="4" w:space="0"/>
            </w:tcBorders>
            <w:vAlign w:val="center"/>
          </w:tcPr>
          <w:p w14:paraId="7CE1F927">
            <w:pPr>
              <w:snapToGrid w:val="0"/>
              <w:spacing w:before="50" w:after="120" w:afterLines="50" w:line="400" w:lineRule="exact"/>
              <w:rPr>
                <w:rFonts w:ascii="宋体" w:hAnsi="宋体"/>
                <w:szCs w:val="21"/>
                <w:highlight w:val="none"/>
              </w:rPr>
            </w:pPr>
          </w:p>
        </w:tc>
      </w:tr>
      <w:tr w14:paraId="570C9B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8" w:type="dxa"/>
            <w:tcBorders>
              <w:top w:val="single" w:color="auto" w:sz="4" w:space="0"/>
              <w:left w:val="single" w:color="auto" w:sz="4" w:space="0"/>
              <w:bottom w:val="single" w:color="auto" w:sz="4" w:space="0"/>
              <w:right w:val="single" w:color="auto" w:sz="4" w:space="0"/>
            </w:tcBorders>
            <w:vAlign w:val="center"/>
          </w:tcPr>
          <w:p w14:paraId="4A298B40">
            <w:pPr>
              <w:snapToGrid w:val="0"/>
              <w:spacing w:before="50" w:after="120" w:afterLines="50" w:line="400" w:lineRule="exact"/>
              <w:rPr>
                <w:rFonts w:ascii="宋体" w:hAnsi="宋体"/>
                <w:szCs w:val="21"/>
                <w:highlight w:val="none"/>
              </w:rPr>
            </w:pPr>
            <w:r>
              <w:rPr>
                <w:rFonts w:hint="eastAsia" w:ascii="宋体" w:hAnsi="宋体"/>
                <w:szCs w:val="21"/>
                <w:highlight w:val="none"/>
              </w:rPr>
              <w:t>售后服务协议</w:t>
            </w:r>
          </w:p>
        </w:tc>
        <w:tc>
          <w:tcPr>
            <w:tcW w:w="4972" w:type="dxa"/>
            <w:gridSpan w:val="5"/>
            <w:tcBorders>
              <w:top w:val="single" w:color="auto" w:sz="4" w:space="0"/>
              <w:left w:val="single" w:color="auto" w:sz="4" w:space="0"/>
              <w:bottom w:val="single" w:color="auto" w:sz="4" w:space="0"/>
              <w:right w:val="single" w:color="auto" w:sz="4" w:space="0"/>
            </w:tcBorders>
          </w:tcPr>
          <w:p w14:paraId="6A184527">
            <w:pPr>
              <w:snapToGrid w:val="0"/>
              <w:spacing w:before="50" w:after="120" w:afterLines="50" w:line="400" w:lineRule="exact"/>
              <w:jc w:val="left"/>
              <w:rPr>
                <w:rFonts w:ascii="宋体" w:hAnsi="宋体"/>
                <w:szCs w:val="21"/>
                <w:highlight w:val="none"/>
              </w:rPr>
            </w:pPr>
          </w:p>
        </w:tc>
        <w:tc>
          <w:tcPr>
            <w:tcW w:w="2048" w:type="dxa"/>
            <w:tcBorders>
              <w:top w:val="single" w:color="auto" w:sz="4" w:space="0"/>
              <w:left w:val="single" w:color="auto" w:sz="4" w:space="0"/>
              <w:bottom w:val="single" w:color="auto" w:sz="4" w:space="0"/>
              <w:right w:val="single" w:color="auto" w:sz="4" w:space="0"/>
            </w:tcBorders>
            <w:vAlign w:val="center"/>
          </w:tcPr>
          <w:p w14:paraId="30DE2230">
            <w:pPr>
              <w:snapToGrid w:val="0"/>
              <w:spacing w:before="50" w:after="120" w:afterLines="50" w:line="400" w:lineRule="exact"/>
              <w:rPr>
                <w:rFonts w:ascii="宋体" w:hAnsi="宋体"/>
                <w:szCs w:val="21"/>
                <w:highlight w:val="none"/>
              </w:rPr>
            </w:pPr>
            <w:r>
              <w:rPr>
                <w:rFonts w:hint="eastAsia" w:ascii="宋体" w:hAnsi="宋体"/>
                <w:szCs w:val="21"/>
                <w:highlight w:val="none"/>
              </w:rPr>
              <w:t>提供相关证明材料</w:t>
            </w:r>
          </w:p>
        </w:tc>
      </w:tr>
      <w:tr w14:paraId="566E01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8" w:type="dxa"/>
            <w:tcBorders>
              <w:top w:val="single" w:color="auto" w:sz="4" w:space="0"/>
              <w:left w:val="single" w:color="auto" w:sz="4" w:space="0"/>
              <w:bottom w:val="single" w:color="auto" w:sz="4" w:space="0"/>
              <w:right w:val="single" w:color="auto" w:sz="4" w:space="0"/>
            </w:tcBorders>
            <w:vAlign w:val="center"/>
          </w:tcPr>
          <w:p w14:paraId="4EE49CE9">
            <w:pPr>
              <w:snapToGrid w:val="0"/>
              <w:spacing w:before="50" w:after="120" w:afterLines="50" w:line="400" w:lineRule="exact"/>
              <w:rPr>
                <w:rFonts w:ascii="宋体" w:hAnsi="宋体"/>
                <w:szCs w:val="21"/>
                <w:highlight w:val="none"/>
              </w:rPr>
            </w:pPr>
            <w:r>
              <w:rPr>
                <w:rFonts w:hint="eastAsia" w:ascii="宋体" w:hAnsi="宋体"/>
                <w:szCs w:val="21"/>
                <w:highlight w:val="none"/>
              </w:rPr>
              <w:t>售后服务内容</w:t>
            </w:r>
          </w:p>
        </w:tc>
        <w:tc>
          <w:tcPr>
            <w:tcW w:w="4972" w:type="dxa"/>
            <w:gridSpan w:val="5"/>
            <w:tcBorders>
              <w:top w:val="single" w:color="auto" w:sz="4" w:space="0"/>
              <w:left w:val="single" w:color="auto" w:sz="4" w:space="0"/>
              <w:bottom w:val="single" w:color="auto" w:sz="4" w:space="0"/>
              <w:right w:val="single" w:color="auto" w:sz="4" w:space="0"/>
            </w:tcBorders>
          </w:tcPr>
          <w:p w14:paraId="3FDB70B3">
            <w:pPr>
              <w:snapToGrid w:val="0"/>
              <w:spacing w:before="50" w:after="120" w:afterLines="50" w:line="400" w:lineRule="exact"/>
              <w:jc w:val="left"/>
              <w:rPr>
                <w:rFonts w:ascii="宋体" w:hAnsi="宋体"/>
                <w:szCs w:val="21"/>
                <w:highlight w:val="none"/>
              </w:rPr>
            </w:pPr>
          </w:p>
        </w:tc>
        <w:tc>
          <w:tcPr>
            <w:tcW w:w="2048" w:type="dxa"/>
            <w:vMerge w:val="restart"/>
            <w:tcBorders>
              <w:top w:val="single" w:color="auto" w:sz="4" w:space="0"/>
              <w:left w:val="single" w:color="auto" w:sz="4" w:space="0"/>
              <w:right w:val="single" w:color="auto" w:sz="4" w:space="0"/>
            </w:tcBorders>
            <w:vAlign w:val="center"/>
          </w:tcPr>
          <w:p w14:paraId="587DFF59">
            <w:pPr>
              <w:snapToGrid w:val="0"/>
              <w:spacing w:before="50" w:after="120" w:afterLines="50" w:line="400" w:lineRule="exact"/>
              <w:rPr>
                <w:rFonts w:ascii="宋体" w:hAnsi="宋体"/>
                <w:szCs w:val="21"/>
                <w:highlight w:val="none"/>
              </w:rPr>
            </w:pPr>
            <w:r>
              <w:rPr>
                <w:rFonts w:hint="eastAsia" w:ascii="宋体" w:hAnsi="宋体"/>
                <w:szCs w:val="21"/>
                <w:highlight w:val="none"/>
              </w:rPr>
              <w:t>此部分内容做附件进行详细说明</w:t>
            </w:r>
          </w:p>
        </w:tc>
      </w:tr>
      <w:tr w14:paraId="5C65A3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8" w:type="dxa"/>
            <w:tcBorders>
              <w:top w:val="single" w:color="auto" w:sz="4" w:space="0"/>
              <w:left w:val="single" w:color="auto" w:sz="4" w:space="0"/>
              <w:bottom w:val="single" w:color="auto" w:sz="4" w:space="0"/>
              <w:right w:val="single" w:color="auto" w:sz="4" w:space="0"/>
            </w:tcBorders>
            <w:vAlign w:val="center"/>
          </w:tcPr>
          <w:p w14:paraId="64A2E1F3">
            <w:pPr>
              <w:snapToGrid w:val="0"/>
              <w:spacing w:before="50" w:after="120" w:afterLines="50" w:line="400" w:lineRule="exact"/>
              <w:rPr>
                <w:rFonts w:ascii="宋体" w:hAnsi="宋体"/>
                <w:szCs w:val="21"/>
                <w:highlight w:val="none"/>
              </w:rPr>
            </w:pPr>
            <w:r>
              <w:rPr>
                <w:rFonts w:hint="eastAsia" w:ascii="宋体" w:hAnsi="宋体"/>
                <w:szCs w:val="21"/>
                <w:highlight w:val="none"/>
              </w:rPr>
              <w:t>服务承诺</w:t>
            </w:r>
          </w:p>
        </w:tc>
        <w:tc>
          <w:tcPr>
            <w:tcW w:w="4972" w:type="dxa"/>
            <w:gridSpan w:val="5"/>
            <w:tcBorders>
              <w:top w:val="single" w:color="auto" w:sz="4" w:space="0"/>
              <w:left w:val="single" w:color="auto" w:sz="4" w:space="0"/>
              <w:bottom w:val="single" w:color="auto" w:sz="4" w:space="0"/>
              <w:right w:val="single" w:color="auto" w:sz="4" w:space="0"/>
            </w:tcBorders>
          </w:tcPr>
          <w:p w14:paraId="2FAD6A14">
            <w:pPr>
              <w:snapToGrid w:val="0"/>
              <w:spacing w:before="50" w:after="120" w:afterLines="50" w:line="400" w:lineRule="exact"/>
              <w:jc w:val="left"/>
              <w:rPr>
                <w:rFonts w:ascii="宋体" w:hAnsi="宋体"/>
                <w:szCs w:val="21"/>
                <w:highlight w:val="none"/>
              </w:rPr>
            </w:pPr>
          </w:p>
        </w:tc>
        <w:tc>
          <w:tcPr>
            <w:tcW w:w="2048" w:type="dxa"/>
            <w:vMerge w:val="continue"/>
            <w:tcBorders>
              <w:left w:val="single" w:color="auto" w:sz="4" w:space="0"/>
              <w:bottom w:val="single" w:color="auto" w:sz="4" w:space="0"/>
              <w:right w:val="single" w:color="auto" w:sz="4" w:space="0"/>
            </w:tcBorders>
            <w:vAlign w:val="center"/>
          </w:tcPr>
          <w:p w14:paraId="7F2FE53D">
            <w:pPr>
              <w:snapToGrid w:val="0"/>
              <w:spacing w:before="50" w:after="120" w:afterLines="50" w:line="400" w:lineRule="exact"/>
              <w:rPr>
                <w:rFonts w:ascii="宋体" w:hAnsi="宋体"/>
                <w:szCs w:val="21"/>
                <w:highlight w:val="none"/>
              </w:rPr>
            </w:pPr>
          </w:p>
        </w:tc>
      </w:tr>
      <w:tr w14:paraId="100F80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8" w:type="dxa"/>
            <w:tcBorders>
              <w:top w:val="single" w:color="auto" w:sz="4" w:space="0"/>
              <w:left w:val="single" w:color="auto" w:sz="4" w:space="0"/>
              <w:bottom w:val="single" w:color="auto" w:sz="4" w:space="0"/>
              <w:right w:val="single" w:color="auto" w:sz="4" w:space="0"/>
            </w:tcBorders>
            <w:vAlign w:val="center"/>
          </w:tcPr>
          <w:p w14:paraId="0CBFDE20">
            <w:pPr>
              <w:snapToGrid w:val="0"/>
              <w:spacing w:before="50" w:after="120" w:afterLines="50" w:line="400" w:lineRule="exact"/>
              <w:rPr>
                <w:rFonts w:ascii="宋体" w:hAnsi="宋体"/>
                <w:szCs w:val="21"/>
                <w:highlight w:val="none"/>
              </w:rPr>
            </w:pPr>
            <w:r>
              <w:rPr>
                <w:rFonts w:hint="eastAsia" w:ascii="宋体" w:hAnsi="宋体"/>
                <w:szCs w:val="21"/>
                <w:highlight w:val="none"/>
              </w:rPr>
              <w:t>工作业绩</w:t>
            </w:r>
          </w:p>
        </w:tc>
        <w:tc>
          <w:tcPr>
            <w:tcW w:w="4972" w:type="dxa"/>
            <w:gridSpan w:val="5"/>
            <w:tcBorders>
              <w:top w:val="single" w:color="auto" w:sz="4" w:space="0"/>
              <w:left w:val="single" w:color="auto" w:sz="4" w:space="0"/>
              <w:bottom w:val="single" w:color="auto" w:sz="4" w:space="0"/>
              <w:right w:val="single" w:color="auto" w:sz="4" w:space="0"/>
            </w:tcBorders>
          </w:tcPr>
          <w:p w14:paraId="42E06AB1">
            <w:pPr>
              <w:snapToGrid w:val="0"/>
              <w:spacing w:before="50" w:after="120" w:afterLines="50" w:line="400" w:lineRule="exact"/>
              <w:jc w:val="left"/>
              <w:rPr>
                <w:rFonts w:ascii="宋体" w:hAnsi="宋体"/>
                <w:szCs w:val="21"/>
                <w:highlight w:val="none"/>
              </w:rPr>
            </w:pPr>
          </w:p>
        </w:tc>
        <w:tc>
          <w:tcPr>
            <w:tcW w:w="2048" w:type="dxa"/>
            <w:tcBorders>
              <w:top w:val="single" w:color="auto" w:sz="4" w:space="0"/>
              <w:left w:val="single" w:color="auto" w:sz="4" w:space="0"/>
              <w:bottom w:val="single" w:color="auto" w:sz="4" w:space="0"/>
              <w:right w:val="single" w:color="auto" w:sz="4" w:space="0"/>
            </w:tcBorders>
            <w:vAlign w:val="center"/>
          </w:tcPr>
          <w:p w14:paraId="2CE0DE51">
            <w:pPr>
              <w:snapToGrid w:val="0"/>
              <w:spacing w:before="50" w:after="120" w:afterLines="50" w:line="400" w:lineRule="exact"/>
              <w:rPr>
                <w:rFonts w:ascii="宋体" w:hAnsi="宋体"/>
                <w:szCs w:val="21"/>
                <w:highlight w:val="none"/>
              </w:rPr>
            </w:pPr>
            <w:r>
              <w:rPr>
                <w:rFonts w:hint="eastAsia" w:ascii="宋体" w:hAnsi="宋体"/>
                <w:szCs w:val="21"/>
                <w:highlight w:val="none"/>
              </w:rPr>
              <w:t>提供相关证明材料</w:t>
            </w:r>
          </w:p>
        </w:tc>
      </w:tr>
      <w:tr w14:paraId="598C4E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8" w:type="dxa"/>
            <w:tcBorders>
              <w:top w:val="single" w:color="auto" w:sz="4" w:space="0"/>
              <w:left w:val="single" w:color="auto" w:sz="4" w:space="0"/>
              <w:bottom w:val="single" w:color="auto" w:sz="4" w:space="0"/>
              <w:right w:val="single" w:color="auto" w:sz="4" w:space="0"/>
            </w:tcBorders>
            <w:vAlign w:val="center"/>
          </w:tcPr>
          <w:p w14:paraId="22F513B4">
            <w:pPr>
              <w:snapToGrid w:val="0"/>
              <w:spacing w:before="50" w:after="120" w:afterLines="50" w:line="400" w:lineRule="exact"/>
              <w:rPr>
                <w:rFonts w:ascii="宋体" w:hAnsi="宋体"/>
                <w:szCs w:val="21"/>
                <w:highlight w:val="none"/>
              </w:rPr>
            </w:pPr>
            <w:r>
              <w:rPr>
                <w:rFonts w:hint="eastAsia" w:ascii="宋体" w:hAnsi="宋体"/>
                <w:szCs w:val="21"/>
                <w:highlight w:val="none"/>
              </w:rPr>
              <w:t>咨询电话</w:t>
            </w:r>
          </w:p>
        </w:tc>
        <w:tc>
          <w:tcPr>
            <w:tcW w:w="1631" w:type="dxa"/>
            <w:gridSpan w:val="2"/>
            <w:tcBorders>
              <w:top w:val="single" w:color="auto" w:sz="4" w:space="0"/>
              <w:left w:val="single" w:color="auto" w:sz="4" w:space="0"/>
              <w:bottom w:val="single" w:color="auto" w:sz="4" w:space="0"/>
              <w:right w:val="single" w:color="auto" w:sz="2" w:space="0"/>
            </w:tcBorders>
          </w:tcPr>
          <w:p w14:paraId="15C242E4">
            <w:pPr>
              <w:snapToGrid w:val="0"/>
              <w:spacing w:before="50" w:after="120" w:afterLines="50" w:line="400" w:lineRule="exact"/>
              <w:jc w:val="left"/>
              <w:rPr>
                <w:rFonts w:ascii="宋体" w:hAnsi="宋体"/>
                <w:szCs w:val="21"/>
                <w:highlight w:val="none"/>
              </w:rPr>
            </w:pPr>
          </w:p>
        </w:tc>
        <w:tc>
          <w:tcPr>
            <w:tcW w:w="1440" w:type="dxa"/>
            <w:tcBorders>
              <w:top w:val="single" w:color="auto" w:sz="4" w:space="0"/>
              <w:left w:val="single" w:color="auto" w:sz="2" w:space="0"/>
              <w:bottom w:val="single" w:color="auto" w:sz="4" w:space="0"/>
              <w:right w:val="single" w:color="auto" w:sz="2" w:space="0"/>
            </w:tcBorders>
          </w:tcPr>
          <w:p w14:paraId="459A13A9">
            <w:pPr>
              <w:snapToGrid w:val="0"/>
              <w:spacing w:before="50" w:after="120" w:afterLines="50" w:line="400" w:lineRule="exact"/>
              <w:ind w:firstLine="210" w:firstLineChars="100"/>
              <w:rPr>
                <w:rFonts w:ascii="宋体" w:hAnsi="宋体"/>
                <w:szCs w:val="21"/>
                <w:highlight w:val="none"/>
              </w:rPr>
            </w:pPr>
            <w:r>
              <w:rPr>
                <w:rFonts w:hint="eastAsia" w:ascii="宋体" w:hAnsi="宋体"/>
                <w:szCs w:val="21"/>
                <w:highlight w:val="none"/>
              </w:rPr>
              <w:t>传</w:t>
            </w:r>
            <w:r>
              <w:rPr>
                <w:rFonts w:ascii="宋体" w:hAnsi="宋体"/>
                <w:szCs w:val="21"/>
                <w:highlight w:val="none"/>
              </w:rPr>
              <w:t xml:space="preserve"> 真</w:t>
            </w:r>
          </w:p>
        </w:tc>
        <w:tc>
          <w:tcPr>
            <w:tcW w:w="1901" w:type="dxa"/>
            <w:gridSpan w:val="2"/>
            <w:tcBorders>
              <w:top w:val="single" w:color="auto" w:sz="4" w:space="0"/>
              <w:left w:val="single" w:color="auto" w:sz="2" w:space="0"/>
              <w:bottom w:val="single" w:color="auto" w:sz="4" w:space="0"/>
              <w:right w:val="single" w:color="auto" w:sz="2" w:space="0"/>
            </w:tcBorders>
          </w:tcPr>
          <w:p w14:paraId="5C20FBDB">
            <w:pPr>
              <w:snapToGrid w:val="0"/>
              <w:spacing w:before="50" w:after="120" w:afterLines="50" w:line="400" w:lineRule="exact"/>
              <w:jc w:val="left"/>
              <w:rPr>
                <w:rFonts w:ascii="宋体" w:hAnsi="宋体"/>
                <w:szCs w:val="21"/>
                <w:highlight w:val="none"/>
              </w:rPr>
            </w:pPr>
          </w:p>
        </w:tc>
        <w:tc>
          <w:tcPr>
            <w:tcW w:w="2048" w:type="dxa"/>
            <w:vMerge w:val="restart"/>
            <w:tcBorders>
              <w:top w:val="single" w:color="auto" w:sz="4" w:space="0"/>
              <w:left w:val="single" w:color="auto" w:sz="2" w:space="0"/>
              <w:right w:val="single" w:color="auto" w:sz="4" w:space="0"/>
            </w:tcBorders>
            <w:vAlign w:val="center"/>
          </w:tcPr>
          <w:p w14:paraId="7071DB06">
            <w:pPr>
              <w:snapToGrid w:val="0"/>
              <w:spacing w:before="50" w:after="120" w:afterLines="50" w:line="400" w:lineRule="exact"/>
              <w:rPr>
                <w:rFonts w:ascii="宋体" w:hAnsi="宋体"/>
                <w:szCs w:val="21"/>
                <w:highlight w:val="none"/>
              </w:rPr>
            </w:pPr>
            <w:r>
              <w:rPr>
                <w:rFonts w:hint="eastAsia" w:ascii="宋体" w:hAnsi="宋体"/>
                <w:szCs w:val="21"/>
                <w:highlight w:val="none"/>
              </w:rPr>
              <w:t>附人员身份证等相关证件</w:t>
            </w:r>
          </w:p>
        </w:tc>
      </w:tr>
      <w:tr w14:paraId="0CC131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8" w:type="dxa"/>
            <w:tcBorders>
              <w:top w:val="single" w:color="auto" w:sz="4" w:space="0"/>
              <w:left w:val="single" w:color="auto" w:sz="4" w:space="0"/>
              <w:bottom w:val="single" w:color="auto" w:sz="4" w:space="0"/>
              <w:right w:val="single" w:color="auto" w:sz="4" w:space="0"/>
            </w:tcBorders>
            <w:vAlign w:val="center"/>
          </w:tcPr>
          <w:p w14:paraId="08486220">
            <w:pPr>
              <w:snapToGrid w:val="0"/>
              <w:spacing w:before="50" w:after="120" w:afterLines="50" w:line="400" w:lineRule="exact"/>
              <w:rPr>
                <w:rFonts w:ascii="宋体" w:hAnsi="宋体"/>
                <w:szCs w:val="21"/>
                <w:highlight w:val="none"/>
              </w:rPr>
            </w:pPr>
            <w:r>
              <w:rPr>
                <w:rFonts w:hint="eastAsia" w:ascii="宋体" w:hAnsi="宋体"/>
                <w:szCs w:val="21"/>
                <w:highlight w:val="none"/>
              </w:rPr>
              <w:t>负责人</w:t>
            </w:r>
          </w:p>
        </w:tc>
        <w:tc>
          <w:tcPr>
            <w:tcW w:w="1631" w:type="dxa"/>
            <w:gridSpan w:val="2"/>
            <w:tcBorders>
              <w:top w:val="single" w:color="auto" w:sz="4" w:space="0"/>
              <w:left w:val="single" w:color="auto" w:sz="4" w:space="0"/>
              <w:bottom w:val="single" w:color="auto" w:sz="4" w:space="0"/>
              <w:right w:val="single" w:color="auto" w:sz="2" w:space="0"/>
            </w:tcBorders>
          </w:tcPr>
          <w:p w14:paraId="02E6EA88">
            <w:pPr>
              <w:snapToGrid w:val="0"/>
              <w:spacing w:before="50" w:after="120" w:afterLines="50" w:line="400" w:lineRule="exact"/>
              <w:jc w:val="left"/>
              <w:rPr>
                <w:rFonts w:ascii="宋体" w:hAnsi="宋体"/>
                <w:szCs w:val="21"/>
                <w:highlight w:val="none"/>
              </w:rPr>
            </w:pPr>
          </w:p>
        </w:tc>
        <w:tc>
          <w:tcPr>
            <w:tcW w:w="1440" w:type="dxa"/>
            <w:tcBorders>
              <w:top w:val="single" w:color="auto" w:sz="4" w:space="0"/>
              <w:left w:val="single" w:color="auto" w:sz="2" w:space="0"/>
              <w:bottom w:val="single" w:color="auto" w:sz="4" w:space="0"/>
              <w:right w:val="single" w:color="auto" w:sz="2" w:space="0"/>
            </w:tcBorders>
          </w:tcPr>
          <w:p w14:paraId="2664C8C4">
            <w:pPr>
              <w:snapToGrid w:val="0"/>
              <w:spacing w:before="50" w:after="120" w:afterLines="50" w:line="400" w:lineRule="exact"/>
              <w:jc w:val="center"/>
              <w:rPr>
                <w:rFonts w:ascii="宋体" w:hAnsi="宋体"/>
                <w:szCs w:val="21"/>
                <w:highlight w:val="none"/>
              </w:rPr>
            </w:pPr>
            <w:r>
              <w:rPr>
                <w:rFonts w:hint="eastAsia" w:ascii="宋体" w:hAnsi="宋体"/>
                <w:szCs w:val="21"/>
                <w:highlight w:val="none"/>
              </w:rPr>
              <w:t>联系电话</w:t>
            </w:r>
          </w:p>
        </w:tc>
        <w:tc>
          <w:tcPr>
            <w:tcW w:w="1901" w:type="dxa"/>
            <w:gridSpan w:val="2"/>
            <w:tcBorders>
              <w:top w:val="single" w:color="auto" w:sz="4" w:space="0"/>
              <w:left w:val="single" w:color="auto" w:sz="2" w:space="0"/>
              <w:bottom w:val="single" w:color="auto" w:sz="4" w:space="0"/>
              <w:right w:val="single" w:color="auto" w:sz="2" w:space="0"/>
            </w:tcBorders>
          </w:tcPr>
          <w:p w14:paraId="3AAF841A">
            <w:pPr>
              <w:snapToGrid w:val="0"/>
              <w:spacing w:before="50" w:after="120" w:afterLines="50" w:line="400" w:lineRule="exact"/>
              <w:jc w:val="left"/>
              <w:rPr>
                <w:rFonts w:ascii="宋体" w:hAnsi="宋体"/>
                <w:szCs w:val="21"/>
                <w:highlight w:val="none"/>
              </w:rPr>
            </w:pPr>
          </w:p>
        </w:tc>
        <w:tc>
          <w:tcPr>
            <w:tcW w:w="2048" w:type="dxa"/>
            <w:vMerge w:val="continue"/>
            <w:tcBorders>
              <w:left w:val="single" w:color="auto" w:sz="2" w:space="0"/>
              <w:bottom w:val="single" w:color="auto" w:sz="4" w:space="0"/>
              <w:right w:val="single" w:color="auto" w:sz="4" w:space="0"/>
            </w:tcBorders>
          </w:tcPr>
          <w:p w14:paraId="2D5EAC9E">
            <w:pPr>
              <w:snapToGrid w:val="0"/>
              <w:spacing w:before="50" w:after="120" w:afterLines="50" w:line="400" w:lineRule="exact"/>
              <w:jc w:val="left"/>
              <w:rPr>
                <w:rFonts w:ascii="宋体" w:hAnsi="宋体"/>
                <w:szCs w:val="21"/>
                <w:highlight w:val="none"/>
              </w:rPr>
            </w:pPr>
          </w:p>
        </w:tc>
      </w:tr>
    </w:tbl>
    <w:p w14:paraId="4276C7ED">
      <w:pPr>
        <w:spacing w:line="440" w:lineRule="exact"/>
        <w:jc w:val="right"/>
        <w:rPr>
          <w:rFonts w:ascii="宋体" w:hAnsi="宋体"/>
          <w:szCs w:val="21"/>
          <w:highlight w:val="none"/>
        </w:rPr>
      </w:pPr>
    </w:p>
    <w:p w14:paraId="41BE4A3F">
      <w:pPr>
        <w:pStyle w:val="24"/>
        <w:adjustRightInd w:val="0"/>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投标人名称(盖单位章)：</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72CB4DB8">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法定代表人或其委托代理人 (签字</w:t>
      </w:r>
      <w:r>
        <w:rPr>
          <w:rFonts w:hint="eastAsia" w:ascii="宋体" w:hAnsi="宋体"/>
          <w:color w:val="auto"/>
          <w:szCs w:val="21"/>
          <w:highlight w:val="none"/>
          <w:lang w:eastAsia="zh-CN"/>
        </w:rPr>
        <w:t>或盖章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0305BDBC">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日期：</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3916B149">
      <w:pPr>
        <w:pStyle w:val="3"/>
        <w:jc w:val="center"/>
        <w:rPr>
          <w:rFonts w:ascii="宋体" w:hAnsi="宋体"/>
          <w:highlight w:val="none"/>
        </w:rPr>
      </w:pPr>
      <w:r>
        <w:rPr>
          <w:rFonts w:ascii="宋体" w:hAnsi="宋体"/>
          <w:szCs w:val="21"/>
          <w:highlight w:val="none"/>
        </w:rPr>
        <w:br w:type="page"/>
      </w:r>
      <w:bookmarkEnd w:id="85"/>
      <w:bookmarkStart w:id="89" w:name="_Toc11200"/>
      <w:bookmarkStart w:id="90" w:name="_Toc439149570"/>
      <w:r>
        <w:rPr>
          <w:rFonts w:hint="eastAsia" w:ascii="宋体" w:hAnsi="宋体"/>
          <w:highlight w:val="none"/>
        </w:rPr>
        <w:t>七、响应/偏离表</w:t>
      </w:r>
      <w:bookmarkEnd w:id="89"/>
    </w:p>
    <w:p w14:paraId="50CD6367">
      <w:pPr>
        <w:spacing w:line="360" w:lineRule="exact"/>
        <w:jc w:val="left"/>
        <w:rPr>
          <w:rFonts w:ascii="宋体" w:hAnsi="宋体"/>
          <w:b/>
          <w:highlight w:val="none"/>
        </w:rPr>
      </w:pPr>
      <w:r>
        <w:rPr>
          <w:rFonts w:hint="eastAsia" w:ascii="宋体" w:hAnsi="宋体"/>
          <w:b/>
          <w:highlight w:val="none"/>
        </w:rPr>
        <w:t xml:space="preserve">                         </w:t>
      </w:r>
    </w:p>
    <w:tbl>
      <w:tblPr>
        <w:tblStyle w:val="46"/>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79"/>
        <w:gridCol w:w="1332"/>
        <w:gridCol w:w="1948"/>
        <w:gridCol w:w="2600"/>
        <w:gridCol w:w="1288"/>
        <w:gridCol w:w="840"/>
      </w:tblGrid>
      <w:tr w14:paraId="3C646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779" w:type="dxa"/>
            <w:vAlign w:val="center"/>
          </w:tcPr>
          <w:p w14:paraId="089CCF9F">
            <w:pPr>
              <w:adjustRightInd w:val="0"/>
              <w:snapToGrid w:val="0"/>
              <w:ind w:left="-88" w:leftChars="-42"/>
              <w:jc w:val="center"/>
              <w:rPr>
                <w:rFonts w:ascii="宋体" w:hAnsi="宋体"/>
                <w:bCs/>
                <w:szCs w:val="21"/>
                <w:highlight w:val="none"/>
              </w:rPr>
            </w:pPr>
            <w:r>
              <w:rPr>
                <w:rFonts w:hint="eastAsia" w:ascii="宋体" w:hAnsi="宋体"/>
                <w:bCs/>
                <w:szCs w:val="21"/>
                <w:highlight w:val="none"/>
              </w:rPr>
              <w:t>序号</w:t>
            </w:r>
          </w:p>
        </w:tc>
        <w:tc>
          <w:tcPr>
            <w:tcW w:w="1332" w:type="dxa"/>
            <w:vAlign w:val="center"/>
          </w:tcPr>
          <w:p w14:paraId="0745C6CC">
            <w:pPr>
              <w:adjustRightInd w:val="0"/>
              <w:snapToGrid w:val="0"/>
              <w:ind w:left="-88" w:leftChars="-42"/>
              <w:jc w:val="center"/>
              <w:rPr>
                <w:rFonts w:ascii="宋体" w:hAnsi="宋体"/>
                <w:szCs w:val="21"/>
                <w:highlight w:val="none"/>
              </w:rPr>
            </w:pPr>
            <w:r>
              <w:rPr>
                <w:rFonts w:hint="eastAsia" w:ascii="宋体" w:hAnsi="宋体"/>
                <w:szCs w:val="21"/>
                <w:highlight w:val="none"/>
              </w:rPr>
              <w:t>文件条目号</w:t>
            </w:r>
          </w:p>
        </w:tc>
        <w:tc>
          <w:tcPr>
            <w:tcW w:w="1948" w:type="dxa"/>
            <w:vAlign w:val="center"/>
          </w:tcPr>
          <w:p w14:paraId="164D52CE">
            <w:pPr>
              <w:adjustRightInd w:val="0"/>
              <w:snapToGrid w:val="0"/>
              <w:ind w:left="-88" w:leftChars="-42"/>
              <w:jc w:val="center"/>
              <w:rPr>
                <w:rFonts w:ascii="宋体" w:hAnsi="宋体"/>
                <w:bCs/>
                <w:szCs w:val="21"/>
                <w:highlight w:val="none"/>
              </w:rPr>
            </w:pPr>
            <w:r>
              <w:rPr>
                <w:rFonts w:hint="eastAsia" w:ascii="宋体" w:hAnsi="宋体"/>
                <w:bCs/>
                <w:szCs w:val="21"/>
                <w:highlight w:val="none"/>
              </w:rPr>
              <w:t>采购规格/条款</w:t>
            </w:r>
          </w:p>
        </w:tc>
        <w:tc>
          <w:tcPr>
            <w:tcW w:w="2600" w:type="dxa"/>
            <w:vAlign w:val="center"/>
          </w:tcPr>
          <w:p w14:paraId="44971BDE">
            <w:pPr>
              <w:adjustRightInd w:val="0"/>
              <w:snapToGrid w:val="0"/>
              <w:ind w:left="-88" w:leftChars="-42"/>
              <w:jc w:val="center"/>
              <w:rPr>
                <w:rFonts w:ascii="宋体" w:hAnsi="宋体"/>
                <w:bCs/>
                <w:szCs w:val="21"/>
                <w:highlight w:val="none"/>
              </w:rPr>
            </w:pPr>
            <w:r>
              <w:rPr>
                <w:rFonts w:hint="eastAsia" w:ascii="宋体" w:hAnsi="宋体"/>
                <w:bCs/>
                <w:szCs w:val="21"/>
                <w:highlight w:val="none"/>
              </w:rPr>
              <w:t>投标文件的规格/条款</w:t>
            </w:r>
          </w:p>
        </w:tc>
        <w:tc>
          <w:tcPr>
            <w:tcW w:w="1288" w:type="dxa"/>
            <w:vAlign w:val="center"/>
          </w:tcPr>
          <w:p w14:paraId="4D0909E7">
            <w:pPr>
              <w:adjustRightInd w:val="0"/>
              <w:snapToGrid w:val="0"/>
              <w:ind w:left="-88" w:leftChars="-42"/>
              <w:jc w:val="center"/>
              <w:rPr>
                <w:rFonts w:ascii="宋体" w:hAnsi="宋体"/>
                <w:bCs/>
                <w:szCs w:val="21"/>
                <w:highlight w:val="none"/>
              </w:rPr>
            </w:pPr>
            <w:r>
              <w:rPr>
                <w:rFonts w:hint="eastAsia" w:ascii="宋体" w:hAnsi="宋体"/>
                <w:bCs/>
                <w:szCs w:val="21"/>
                <w:highlight w:val="none"/>
              </w:rPr>
              <w:t>响应与偏离</w:t>
            </w:r>
          </w:p>
        </w:tc>
        <w:tc>
          <w:tcPr>
            <w:tcW w:w="840" w:type="dxa"/>
            <w:vAlign w:val="center"/>
          </w:tcPr>
          <w:p w14:paraId="57D2AE52">
            <w:pPr>
              <w:adjustRightInd w:val="0"/>
              <w:snapToGrid w:val="0"/>
              <w:ind w:left="-88" w:leftChars="-42"/>
              <w:jc w:val="center"/>
              <w:rPr>
                <w:rFonts w:ascii="宋体" w:hAnsi="宋体"/>
                <w:bCs/>
                <w:szCs w:val="21"/>
                <w:highlight w:val="none"/>
              </w:rPr>
            </w:pPr>
            <w:r>
              <w:rPr>
                <w:rFonts w:hint="eastAsia" w:ascii="宋体" w:hAnsi="宋体"/>
                <w:bCs/>
                <w:szCs w:val="21"/>
                <w:highlight w:val="none"/>
              </w:rPr>
              <w:t>说明</w:t>
            </w:r>
          </w:p>
        </w:tc>
      </w:tr>
      <w:tr w14:paraId="04E0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779" w:type="dxa"/>
          </w:tcPr>
          <w:p w14:paraId="7AAC83CD">
            <w:pPr>
              <w:adjustRightInd w:val="0"/>
              <w:snapToGrid w:val="0"/>
              <w:ind w:left="-88" w:leftChars="-42"/>
              <w:jc w:val="center"/>
              <w:rPr>
                <w:rFonts w:ascii="宋体" w:hAnsi="宋体"/>
                <w:szCs w:val="21"/>
                <w:highlight w:val="none"/>
              </w:rPr>
            </w:pPr>
          </w:p>
        </w:tc>
        <w:tc>
          <w:tcPr>
            <w:tcW w:w="1332" w:type="dxa"/>
            <w:vAlign w:val="center"/>
          </w:tcPr>
          <w:p w14:paraId="31C65673">
            <w:pPr>
              <w:adjustRightInd w:val="0"/>
              <w:snapToGrid w:val="0"/>
              <w:ind w:left="-88" w:leftChars="-42"/>
              <w:jc w:val="center"/>
              <w:rPr>
                <w:rFonts w:ascii="宋体" w:hAnsi="宋体"/>
                <w:szCs w:val="21"/>
                <w:highlight w:val="none"/>
              </w:rPr>
            </w:pPr>
          </w:p>
        </w:tc>
        <w:tc>
          <w:tcPr>
            <w:tcW w:w="1948" w:type="dxa"/>
            <w:vAlign w:val="center"/>
          </w:tcPr>
          <w:p w14:paraId="791F27DA">
            <w:pPr>
              <w:adjustRightInd w:val="0"/>
              <w:snapToGrid w:val="0"/>
              <w:ind w:left="-88" w:leftChars="-42"/>
              <w:jc w:val="center"/>
              <w:rPr>
                <w:rFonts w:ascii="宋体" w:hAnsi="宋体"/>
                <w:bCs/>
                <w:szCs w:val="21"/>
                <w:highlight w:val="none"/>
              </w:rPr>
            </w:pPr>
          </w:p>
        </w:tc>
        <w:tc>
          <w:tcPr>
            <w:tcW w:w="2600" w:type="dxa"/>
            <w:vAlign w:val="center"/>
          </w:tcPr>
          <w:p w14:paraId="503C455C">
            <w:pPr>
              <w:adjustRightInd w:val="0"/>
              <w:snapToGrid w:val="0"/>
              <w:ind w:left="-88" w:leftChars="-42"/>
              <w:jc w:val="center"/>
              <w:rPr>
                <w:rFonts w:ascii="宋体" w:hAnsi="宋体"/>
                <w:bCs/>
                <w:szCs w:val="21"/>
                <w:highlight w:val="none"/>
              </w:rPr>
            </w:pPr>
          </w:p>
        </w:tc>
        <w:tc>
          <w:tcPr>
            <w:tcW w:w="1288" w:type="dxa"/>
            <w:vAlign w:val="center"/>
          </w:tcPr>
          <w:p w14:paraId="350A01E2">
            <w:pPr>
              <w:adjustRightInd w:val="0"/>
              <w:snapToGrid w:val="0"/>
              <w:ind w:left="-88" w:leftChars="-42"/>
              <w:jc w:val="center"/>
              <w:rPr>
                <w:rFonts w:ascii="宋体" w:hAnsi="宋体"/>
                <w:bCs/>
                <w:szCs w:val="21"/>
                <w:highlight w:val="none"/>
              </w:rPr>
            </w:pPr>
          </w:p>
        </w:tc>
        <w:tc>
          <w:tcPr>
            <w:tcW w:w="840" w:type="dxa"/>
            <w:vAlign w:val="center"/>
          </w:tcPr>
          <w:p w14:paraId="4B873FD6">
            <w:pPr>
              <w:adjustRightInd w:val="0"/>
              <w:snapToGrid w:val="0"/>
              <w:ind w:left="-88" w:leftChars="-42"/>
              <w:jc w:val="center"/>
              <w:rPr>
                <w:rFonts w:ascii="宋体" w:hAnsi="宋体"/>
                <w:bCs/>
                <w:szCs w:val="21"/>
                <w:highlight w:val="none"/>
              </w:rPr>
            </w:pPr>
          </w:p>
        </w:tc>
      </w:tr>
      <w:tr w14:paraId="593C9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779" w:type="dxa"/>
          </w:tcPr>
          <w:p w14:paraId="72463569">
            <w:pPr>
              <w:adjustRightInd w:val="0"/>
              <w:snapToGrid w:val="0"/>
              <w:ind w:left="-88" w:leftChars="-42"/>
              <w:jc w:val="center"/>
              <w:rPr>
                <w:rFonts w:ascii="宋体" w:hAnsi="宋体"/>
                <w:szCs w:val="21"/>
                <w:highlight w:val="none"/>
              </w:rPr>
            </w:pPr>
          </w:p>
        </w:tc>
        <w:tc>
          <w:tcPr>
            <w:tcW w:w="1332" w:type="dxa"/>
            <w:vAlign w:val="center"/>
          </w:tcPr>
          <w:p w14:paraId="242F7F39">
            <w:pPr>
              <w:adjustRightInd w:val="0"/>
              <w:snapToGrid w:val="0"/>
              <w:ind w:left="-88" w:leftChars="-42"/>
              <w:jc w:val="center"/>
              <w:rPr>
                <w:rFonts w:ascii="宋体" w:hAnsi="宋体"/>
                <w:szCs w:val="21"/>
                <w:highlight w:val="none"/>
              </w:rPr>
            </w:pPr>
          </w:p>
        </w:tc>
        <w:tc>
          <w:tcPr>
            <w:tcW w:w="1948" w:type="dxa"/>
            <w:vAlign w:val="center"/>
          </w:tcPr>
          <w:p w14:paraId="10D89DE3">
            <w:pPr>
              <w:adjustRightInd w:val="0"/>
              <w:snapToGrid w:val="0"/>
              <w:ind w:left="-88" w:leftChars="-42"/>
              <w:jc w:val="center"/>
              <w:rPr>
                <w:rFonts w:ascii="宋体" w:hAnsi="宋体"/>
                <w:szCs w:val="21"/>
                <w:highlight w:val="none"/>
              </w:rPr>
            </w:pPr>
          </w:p>
        </w:tc>
        <w:tc>
          <w:tcPr>
            <w:tcW w:w="2600" w:type="dxa"/>
            <w:vAlign w:val="center"/>
          </w:tcPr>
          <w:p w14:paraId="31CCC836">
            <w:pPr>
              <w:adjustRightInd w:val="0"/>
              <w:snapToGrid w:val="0"/>
              <w:ind w:left="-88" w:leftChars="-42"/>
              <w:jc w:val="center"/>
              <w:rPr>
                <w:rFonts w:ascii="宋体" w:hAnsi="宋体"/>
                <w:szCs w:val="21"/>
                <w:highlight w:val="none"/>
              </w:rPr>
            </w:pPr>
          </w:p>
        </w:tc>
        <w:tc>
          <w:tcPr>
            <w:tcW w:w="1288" w:type="dxa"/>
            <w:vAlign w:val="center"/>
          </w:tcPr>
          <w:p w14:paraId="726AAB62">
            <w:pPr>
              <w:adjustRightInd w:val="0"/>
              <w:snapToGrid w:val="0"/>
              <w:ind w:left="-88" w:leftChars="-42"/>
              <w:jc w:val="center"/>
              <w:rPr>
                <w:rFonts w:ascii="宋体" w:hAnsi="宋体"/>
                <w:szCs w:val="21"/>
                <w:highlight w:val="none"/>
              </w:rPr>
            </w:pPr>
          </w:p>
        </w:tc>
        <w:tc>
          <w:tcPr>
            <w:tcW w:w="840" w:type="dxa"/>
            <w:vAlign w:val="center"/>
          </w:tcPr>
          <w:p w14:paraId="57D00D6E">
            <w:pPr>
              <w:adjustRightInd w:val="0"/>
              <w:snapToGrid w:val="0"/>
              <w:ind w:left="-88" w:leftChars="-42"/>
              <w:jc w:val="center"/>
              <w:rPr>
                <w:rFonts w:ascii="宋体" w:hAnsi="宋体"/>
                <w:szCs w:val="21"/>
                <w:highlight w:val="none"/>
              </w:rPr>
            </w:pPr>
          </w:p>
        </w:tc>
      </w:tr>
      <w:tr w14:paraId="780F6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779" w:type="dxa"/>
          </w:tcPr>
          <w:p w14:paraId="288E5FD2">
            <w:pPr>
              <w:adjustRightInd w:val="0"/>
              <w:snapToGrid w:val="0"/>
              <w:ind w:left="-88" w:leftChars="-42"/>
              <w:jc w:val="center"/>
              <w:rPr>
                <w:rFonts w:ascii="宋体" w:hAnsi="宋体"/>
                <w:szCs w:val="21"/>
                <w:highlight w:val="none"/>
              </w:rPr>
            </w:pPr>
          </w:p>
        </w:tc>
        <w:tc>
          <w:tcPr>
            <w:tcW w:w="1332" w:type="dxa"/>
            <w:vAlign w:val="center"/>
          </w:tcPr>
          <w:p w14:paraId="145C18B5">
            <w:pPr>
              <w:adjustRightInd w:val="0"/>
              <w:snapToGrid w:val="0"/>
              <w:ind w:left="-88" w:leftChars="-42"/>
              <w:jc w:val="center"/>
              <w:rPr>
                <w:rFonts w:ascii="宋体" w:hAnsi="宋体"/>
                <w:szCs w:val="21"/>
                <w:highlight w:val="none"/>
              </w:rPr>
            </w:pPr>
          </w:p>
        </w:tc>
        <w:tc>
          <w:tcPr>
            <w:tcW w:w="1948" w:type="dxa"/>
            <w:vAlign w:val="center"/>
          </w:tcPr>
          <w:p w14:paraId="0740AE81">
            <w:pPr>
              <w:adjustRightInd w:val="0"/>
              <w:snapToGrid w:val="0"/>
              <w:ind w:left="-88" w:leftChars="-42"/>
              <w:jc w:val="center"/>
              <w:rPr>
                <w:rFonts w:ascii="宋体" w:hAnsi="宋体"/>
                <w:szCs w:val="21"/>
                <w:highlight w:val="none"/>
              </w:rPr>
            </w:pPr>
          </w:p>
        </w:tc>
        <w:tc>
          <w:tcPr>
            <w:tcW w:w="2600" w:type="dxa"/>
            <w:vAlign w:val="center"/>
          </w:tcPr>
          <w:p w14:paraId="68468D0A">
            <w:pPr>
              <w:adjustRightInd w:val="0"/>
              <w:snapToGrid w:val="0"/>
              <w:ind w:left="-88" w:leftChars="-42"/>
              <w:jc w:val="center"/>
              <w:rPr>
                <w:rFonts w:ascii="宋体" w:hAnsi="宋体"/>
                <w:szCs w:val="21"/>
                <w:highlight w:val="none"/>
              </w:rPr>
            </w:pPr>
          </w:p>
        </w:tc>
        <w:tc>
          <w:tcPr>
            <w:tcW w:w="1288" w:type="dxa"/>
            <w:vAlign w:val="center"/>
          </w:tcPr>
          <w:p w14:paraId="2E4893CC">
            <w:pPr>
              <w:adjustRightInd w:val="0"/>
              <w:snapToGrid w:val="0"/>
              <w:ind w:left="-88" w:leftChars="-42"/>
              <w:jc w:val="center"/>
              <w:rPr>
                <w:rFonts w:ascii="宋体" w:hAnsi="宋体"/>
                <w:szCs w:val="21"/>
                <w:highlight w:val="none"/>
              </w:rPr>
            </w:pPr>
          </w:p>
        </w:tc>
        <w:tc>
          <w:tcPr>
            <w:tcW w:w="840" w:type="dxa"/>
            <w:vAlign w:val="center"/>
          </w:tcPr>
          <w:p w14:paraId="6F427736">
            <w:pPr>
              <w:adjustRightInd w:val="0"/>
              <w:snapToGrid w:val="0"/>
              <w:ind w:left="-88" w:leftChars="-42"/>
              <w:jc w:val="center"/>
              <w:rPr>
                <w:rFonts w:ascii="宋体" w:hAnsi="宋体"/>
                <w:szCs w:val="21"/>
                <w:highlight w:val="none"/>
              </w:rPr>
            </w:pPr>
          </w:p>
        </w:tc>
      </w:tr>
      <w:tr w14:paraId="65E5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779" w:type="dxa"/>
          </w:tcPr>
          <w:p w14:paraId="56835C3A">
            <w:pPr>
              <w:adjustRightInd w:val="0"/>
              <w:snapToGrid w:val="0"/>
              <w:ind w:left="-88" w:leftChars="-42"/>
              <w:jc w:val="center"/>
              <w:rPr>
                <w:rFonts w:ascii="宋体" w:hAnsi="宋体"/>
                <w:szCs w:val="21"/>
                <w:highlight w:val="none"/>
              </w:rPr>
            </w:pPr>
          </w:p>
        </w:tc>
        <w:tc>
          <w:tcPr>
            <w:tcW w:w="1332" w:type="dxa"/>
            <w:vAlign w:val="center"/>
          </w:tcPr>
          <w:p w14:paraId="0B84BE24">
            <w:pPr>
              <w:adjustRightInd w:val="0"/>
              <w:snapToGrid w:val="0"/>
              <w:ind w:left="-88" w:leftChars="-42"/>
              <w:jc w:val="center"/>
              <w:rPr>
                <w:rFonts w:ascii="宋体" w:hAnsi="宋体"/>
                <w:szCs w:val="21"/>
                <w:highlight w:val="none"/>
              </w:rPr>
            </w:pPr>
          </w:p>
        </w:tc>
        <w:tc>
          <w:tcPr>
            <w:tcW w:w="1948" w:type="dxa"/>
            <w:vAlign w:val="center"/>
          </w:tcPr>
          <w:p w14:paraId="4231A928">
            <w:pPr>
              <w:adjustRightInd w:val="0"/>
              <w:snapToGrid w:val="0"/>
              <w:ind w:left="-88" w:leftChars="-42"/>
              <w:jc w:val="center"/>
              <w:rPr>
                <w:rFonts w:ascii="宋体" w:hAnsi="宋体"/>
                <w:szCs w:val="21"/>
                <w:highlight w:val="none"/>
              </w:rPr>
            </w:pPr>
          </w:p>
        </w:tc>
        <w:tc>
          <w:tcPr>
            <w:tcW w:w="2600" w:type="dxa"/>
            <w:vAlign w:val="center"/>
          </w:tcPr>
          <w:p w14:paraId="7FBA0900">
            <w:pPr>
              <w:adjustRightInd w:val="0"/>
              <w:snapToGrid w:val="0"/>
              <w:ind w:left="-88" w:leftChars="-42"/>
              <w:jc w:val="center"/>
              <w:rPr>
                <w:rFonts w:ascii="宋体" w:hAnsi="宋体"/>
                <w:szCs w:val="21"/>
                <w:highlight w:val="none"/>
              </w:rPr>
            </w:pPr>
          </w:p>
        </w:tc>
        <w:tc>
          <w:tcPr>
            <w:tcW w:w="1288" w:type="dxa"/>
            <w:vAlign w:val="center"/>
          </w:tcPr>
          <w:p w14:paraId="2D584423">
            <w:pPr>
              <w:adjustRightInd w:val="0"/>
              <w:snapToGrid w:val="0"/>
              <w:ind w:left="-88" w:leftChars="-42"/>
              <w:jc w:val="center"/>
              <w:rPr>
                <w:rFonts w:ascii="宋体" w:hAnsi="宋体"/>
                <w:szCs w:val="21"/>
                <w:highlight w:val="none"/>
              </w:rPr>
            </w:pPr>
          </w:p>
        </w:tc>
        <w:tc>
          <w:tcPr>
            <w:tcW w:w="840" w:type="dxa"/>
            <w:vAlign w:val="center"/>
          </w:tcPr>
          <w:p w14:paraId="3CC6F70B">
            <w:pPr>
              <w:adjustRightInd w:val="0"/>
              <w:snapToGrid w:val="0"/>
              <w:ind w:left="-88" w:leftChars="-42"/>
              <w:jc w:val="center"/>
              <w:rPr>
                <w:rFonts w:ascii="宋体" w:hAnsi="宋体"/>
                <w:szCs w:val="21"/>
                <w:highlight w:val="none"/>
              </w:rPr>
            </w:pPr>
          </w:p>
        </w:tc>
      </w:tr>
      <w:tr w14:paraId="08933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779" w:type="dxa"/>
          </w:tcPr>
          <w:p w14:paraId="7EF903F1">
            <w:pPr>
              <w:adjustRightInd w:val="0"/>
              <w:snapToGrid w:val="0"/>
              <w:ind w:left="-88" w:leftChars="-42"/>
              <w:jc w:val="center"/>
              <w:rPr>
                <w:rFonts w:ascii="宋体" w:hAnsi="宋体"/>
                <w:szCs w:val="21"/>
                <w:highlight w:val="none"/>
              </w:rPr>
            </w:pPr>
          </w:p>
        </w:tc>
        <w:tc>
          <w:tcPr>
            <w:tcW w:w="1332" w:type="dxa"/>
            <w:vAlign w:val="center"/>
          </w:tcPr>
          <w:p w14:paraId="52C79BA6">
            <w:pPr>
              <w:adjustRightInd w:val="0"/>
              <w:snapToGrid w:val="0"/>
              <w:ind w:left="-88" w:leftChars="-42"/>
              <w:jc w:val="center"/>
              <w:rPr>
                <w:rFonts w:ascii="宋体" w:hAnsi="宋体"/>
                <w:szCs w:val="21"/>
                <w:highlight w:val="none"/>
              </w:rPr>
            </w:pPr>
          </w:p>
        </w:tc>
        <w:tc>
          <w:tcPr>
            <w:tcW w:w="1948" w:type="dxa"/>
            <w:vAlign w:val="center"/>
          </w:tcPr>
          <w:p w14:paraId="73F4A0CD">
            <w:pPr>
              <w:adjustRightInd w:val="0"/>
              <w:snapToGrid w:val="0"/>
              <w:ind w:left="-88" w:leftChars="-42"/>
              <w:jc w:val="center"/>
              <w:rPr>
                <w:rFonts w:ascii="宋体" w:hAnsi="宋体"/>
                <w:szCs w:val="21"/>
                <w:highlight w:val="none"/>
              </w:rPr>
            </w:pPr>
          </w:p>
        </w:tc>
        <w:tc>
          <w:tcPr>
            <w:tcW w:w="2600" w:type="dxa"/>
            <w:vAlign w:val="center"/>
          </w:tcPr>
          <w:p w14:paraId="157E6289">
            <w:pPr>
              <w:adjustRightInd w:val="0"/>
              <w:snapToGrid w:val="0"/>
              <w:ind w:left="-88" w:leftChars="-42"/>
              <w:jc w:val="center"/>
              <w:rPr>
                <w:rFonts w:ascii="宋体" w:hAnsi="宋体"/>
                <w:szCs w:val="21"/>
                <w:highlight w:val="none"/>
              </w:rPr>
            </w:pPr>
          </w:p>
        </w:tc>
        <w:tc>
          <w:tcPr>
            <w:tcW w:w="1288" w:type="dxa"/>
            <w:vAlign w:val="center"/>
          </w:tcPr>
          <w:p w14:paraId="42D7B071">
            <w:pPr>
              <w:adjustRightInd w:val="0"/>
              <w:snapToGrid w:val="0"/>
              <w:ind w:left="-88" w:leftChars="-42"/>
              <w:jc w:val="center"/>
              <w:rPr>
                <w:rFonts w:ascii="宋体" w:hAnsi="宋体"/>
                <w:szCs w:val="21"/>
                <w:highlight w:val="none"/>
              </w:rPr>
            </w:pPr>
          </w:p>
        </w:tc>
        <w:tc>
          <w:tcPr>
            <w:tcW w:w="840" w:type="dxa"/>
            <w:vAlign w:val="center"/>
          </w:tcPr>
          <w:p w14:paraId="54CF9E98">
            <w:pPr>
              <w:adjustRightInd w:val="0"/>
              <w:snapToGrid w:val="0"/>
              <w:ind w:left="-88" w:leftChars="-42"/>
              <w:jc w:val="center"/>
              <w:rPr>
                <w:rFonts w:ascii="宋体" w:hAnsi="宋体"/>
                <w:szCs w:val="21"/>
                <w:highlight w:val="none"/>
              </w:rPr>
            </w:pPr>
          </w:p>
        </w:tc>
      </w:tr>
      <w:tr w14:paraId="5F8FC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779" w:type="dxa"/>
          </w:tcPr>
          <w:p w14:paraId="40DE317D">
            <w:pPr>
              <w:adjustRightInd w:val="0"/>
              <w:snapToGrid w:val="0"/>
              <w:ind w:left="-88" w:leftChars="-42"/>
              <w:jc w:val="center"/>
              <w:rPr>
                <w:rFonts w:ascii="宋体" w:hAnsi="宋体"/>
                <w:szCs w:val="21"/>
                <w:highlight w:val="none"/>
              </w:rPr>
            </w:pPr>
          </w:p>
        </w:tc>
        <w:tc>
          <w:tcPr>
            <w:tcW w:w="1332" w:type="dxa"/>
            <w:vAlign w:val="center"/>
          </w:tcPr>
          <w:p w14:paraId="58BA7BF3">
            <w:pPr>
              <w:adjustRightInd w:val="0"/>
              <w:snapToGrid w:val="0"/>
              <w:ind w:left="-88" w:leftChars="-42"/>
              <w:jc w:val="center"/>
              <w:rPr>
                <w:rFonts w:ascii="宋体" w:hAnsi="宋体"/>
                <w:szCs w:val="21"/>
                <w:highlight w:val="none"/>
              </w:rPr>
            </w:pPr>
          </w:p>
        </w:tc>
        <w:tc>
          <w:tcPr>
            <w:tcW w:w="1948" w:type="dxa"/>
            <w:vAlign w:val="center"/>
          </w:tcPr>
          <w:p w14:paraId="5AFF176D">
            <w:pPr>
              <w:adjustRightInd w:val="0"/>
              <w:snapToGrid w:val="0"/>
              <w:ind w:left="-88" w:leftChars="-42"/>
              <w:jc w:val="center"/>
              <w:rPr>
                <w:rFonts w:ascii="宋体" w:hAnsi="宋体"/>
                <w:szCs w:val="21"/>
                <w:highlight w:val="none"/>
              </w:rPr>
            </w:pPr>
          </w:p>
        </w:tc>
        <w:tc>
          <w:tcPr>
            <w:tcW w:w="2600" w:type="dxa"/>
            <w:vAlign w:val="center"/>
          </w:tcPr>
          <w:p w14:paraId="380F10AE">
            <w:pPr>
              <w:adjustRightInd w:val="0"/>
              <w:snapToGrid w:val="0"/>
              <w:ind w:left="-88" w:leftChars="-42"/>
              <w:jc w:val="center"/>
              <w:rPr>
                <w:rFonts w:ascii="宋体" w:hAnsi="宋体"/>
                <w:szCs w:val="21"/>
                <w:highlight w:val="none"/>
              </w:rPr>
            </w:pPr>
          </w:p>
        </w:tc>
        <w:tc>
          <w:tcPr>
            <w:tcW w:w="1288" w:type="dxa"/>
            <w:vAlign w:val="center"/>
          </w:tcPr>
          <w:p w14:paraId="0681778E">
            <w:pPr>
              <w:adjustRightInd w:val="0"/>
              <w:snapToGrid w:val="0"/>
              <w:ind w:left="-88" w:leftChars="-42"/>
              <w:jc w:val="center"/>
              <w:rPr>
                <w:rFonts w:ascii="宋体" w:hAnsi="宋体"/>
                <w:szCs w:val="21"/>
                <w:highlight w:val="none"/>
              </w:rPr>
            </w:pPr>
          </w:p>
        </w:tc>
        <w:tc>
          <w:tcPr>
            <w:tcW w:w="840" w:type="dxa"/>
            <w:vAlign w:val="center"/>
          </w:tcPr>
          <w:p w14:paraId="616B6716">
            <w:pPr>
              <w:adjustRightInd w:val="0"/>
              <w:snapToGrid w:val="0"/>
              <w:ind w:left="-88" w:leftChars="-42"/>
              <w:jc w:val="center"/>
              <w:rPr>
                <w:rFonts w:ascii="宋体" w:hAnsi="宋体"/>
                <w:szCs w:val="21"/>
                <w:highlight w:val="none"/>
              </w:rPr>
            </w:pPr>
          </w:p>
        </w:tc>
      </w:tr>
      <w:tr w14:paraId="4F83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779" w:type="dxa"/>
          </w:tcPr>
          <w:p w14:paraId="20BB90A7">
            <w:pPr>
              <w:adjustRightInd w:val="0"/>
              <w:snapToGrid w:val="0"/>
              <w:ind w:left="-88" w:leftChars="-42"/>
              <w:jc w:val="center"/>
              <w:rPr>
                <w:rFonts w:ascii="宋体" w:hAnsi="宋体"/>
                <w:szCs w:val="21"/>
                <w:highlight w:val="none"/>
              </w:rPr>
            </w:pPr>
          </w:p>
        </w:tc>
        <w:tc>
          <w:tcPr>
            <w:tcW w:w="1332" w:type="dxa"/>
            <w:vAlign w:val="center"/>
          </w:tcPr>
          <w:p w14:paraId="510FFD2D">
            <w:pPr>
              <w:adjustRightInd w:val="0"/>
              <w:snapToGrid w:val="0"/>
              <w:ind w:left="-88" w:leftChars="-42"/>
              <w:jc w:val="center"/>
              <w:rPr>
                <w:rFonts w:ascii="宋体" w:hAnsi="宋体"/>
                <w:szCs w:val="21"/>
                <w:highlight w:val="none"/>
              </w:rPr>
            </w:pPr>
          </w:p>
        </w:tc>
        <w:tc>
          <w:tcPr>
            <w:tcW w:w="1948" w:type="dxa"/>
            <w:vAlign w:val="center"/>
          </w:tcPr>
          <w:p w14:paraId="0AC60C6F">
            <w:pPr>
              <w:adjustRightInd w:val="0"/>
              <w:snapToGrid w:val="0"/>
              <w:ind w:left="-88" w:leftChars="-42"/>
              <w:jc w:val="center"/>
              <w:rPr>
                <w:rFonts w:ascii="宋体" w:hAnsi="宋体"/>
                <w:szCs w:val="21"/>
                <w:highlight w:val="none"/>
              </w:rPr>
            </w:pPr>
          </w:p>
        </w:tc>
        <w:tc>
          <w:tcPr>
            <w:tcW w:w="2600" w:type="dxa"/>
            <w:vAlign w:val="center"/>
          </w:tcPr>
          <w:p w14:paraId="4CFFCD7B">
            <w:pPr>
              <w:adjustRightInd w:val="0"/>
              <w:snapToGrid w:val="0"/>
              <w:ind w:left="-88" w:leftChars="-42"/>
              <w:jc w:val="center"/>
              <w:rPr>
                <w:rFonts w:ascii="宋体" w:hAnsi="宋体"/>
                <w:szCs w:val="21"/>
                <w:highlight w:val="none"/>
              </w:rPr>
            </w:pPr>
          </w:p>
        </w:tc>
        <w:tc>
          <w:tcPr>
            <w:tcW w:w="1288" w:type="dxa"/>
            <w:vAlign w:val="center"/>
          </w:tcPr>
          <w:p w14:paraId="287712D9">
            <w:pPr>
              <w:adjustRightInd w:val="0"/>
              <w:snapToGrid w:val="0"/>
              <w:ind w:left="-88" w:leftChars="-42"/>
              <w:jc w:val="center"/>
              <w:rPr>
                <w:rFonts w:ascii="宋体" w:hAnsi="宋体"/>
                <w:szCs w:val="21"/>
                <w:highlight w:val="none"/>
              </w:rPr>
            </w:pPr>
          </w:p>
        </w:tc>
        <w:tc>
          <w:tcPr>
            <w:tcW w:w="840" w:type="dxa"/>
            <w:vAlign w:val="center"/>
          </w:tcPr>
          <w:p w14:paraId="798F4CD1">
            <w:pPr>
              <w:adjustRightInd w:val="0"/>
              <w:snapToGrid w:val="0"/>
              <w:ind w:left="-88" w:leftChars="-42"/>
              <w:jc w:val="center"/>
              <w:rPr>
                <w:rFonts w:ascii="宋体" w:hAnsi="宋体"/>
                <w:szCs w:val="21"/>
                <w:highlight w:val="none"/>
              </w:rPr>
            </w:pPr>
          </w:p>
        </w:tc>
      </w:tr>
    </w:tbl>
    <w:p w14:paraId="6168EED7">
      <w:pPr>
        <w:adjustRightInd w:val="0"/>
        <w:snapToGrid w:val="0"/>
        <w:spacing w:before="50" w:line="360" w:lineRule="auto"/>
        <w:ind w:firstLine="315" w:firstLineChars="150"/>
        <w:rPr>
          <w:rFonts w:ascii="宋体" w:hAnsi="宋体"/>
          <w:szCs w:val="21"/>
          <w:highlight w:val="none"/>
        </w:rPr>
      </w:pPr>
      <w:r>
        <w:rPr>
          <w:rFonts w:hint="eastAsia" w:ascii="宋体" w:hAnsi="宋体"/>
          <w:szCs w:val="21"/>
          <w:highlight w:val="none"/>
        </w:rPr>
        <w:t xml:space="preserve">说明： “响应与偏离”应注明“响应”或“偏离”。  </w:t>
      </w:r>
    </w:p>
    <w:p w14:paraId="2ED2FCA0">
      <w:pPr>
        <w:adjustRightInd w:val="0"/>
        <w:snapToGrid w:val="0"/>
        <w:spacing w:before="50" w:line="360" w:lineRule="auto"/>
        <w:ind w:firstLine="315" w:firstLineChars="150"/>
        <w:rPr>
          <w:rFonts w:ascii="宋体" w:hAnsi="宋体"/>
          <w:szCs w:val="21"/>
          <w:highlight w:val="none"/>
        </w:rPr>
      </w:pPr>
    </w:p>
    <w:p w14:paraId="0680CF21">
      <w:pPr>
        <w:adjustRightInd w:val="0"/>
        <w:snapToGrid w:val="0"/>
        <w:spacing w:line="360" w:lineRule="auto"/>
        <w:ind w:left="-88" w:leftChars="-42"/>
        <w:rPr>
          <w:rFonts w:ascii="宋体" w:hAnsi="宋体"/>
          <w:szCs w:val="21"/>
          <w:highlight w:val="none"/>
        </w:rPr>
      </w:pPr>
      <w:r>
        <w:rPr>
          <w:rFonts w:hint="eastAsia" w:ascii="宋体" w:hAnsi="宋体"/>
          <w:szCs w:val="21"/>
          <w:highlight w:val="none"/>
        </w:rPr>
        <w:t xml:space="preserve">        </w:t>
      </w:r>
    </w:p>
    <w:p w14:paraId="0A5AF0EF">
      <w:pPr>
        <w:pStyle w:val="26"/>
        <w:adjustRightInd w:val="0"/>
        <w:snapToGrid w:val="0"/>
        <w:spacing w:line="360" w:lineRule="auto"/>
        <w:rPr>
          <w:rFonts w:ascii="宋体" w:hAnsi="宋体"/>
          <w:sz w:val="21"/>
          <w:szCs w:val="21"/>
          <w:highlight w:val="none"/>
        </w:rPr>
      </w:pPr>
    </w:p>
    <w:p w14:paraId="46B452FB">
      <w:pPr>
        <w:pStyle w:val="24"/>
        <w:adjustRightInd w:val="0"/>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投标人名称(盖单位章)：</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0D87E952">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法定代表人或其委托代理人 (签字</w:t>
      </w:r>
      <w:r>
        <w:rPr>
          <w:rFonts w:hint="eastAsia" w:ascii="宋体" w:hAnsi="宋体"/>
          <w:color w:val="auto"/>
          <w:szCs w:val="21"/>
          <w:highlight w:val="none"/>
          <w:lang w:eastAsia="zh-CN"/>
        </w:rPr>
        <w:t>或盖章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65DE29C3">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日期：</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243573E1">
      <w:pPr>
        <w:pStyle w:val="26"/>
        <w:adjustRightInd w:val="0"/>
        <w:snapToGrid w:val="0"/>
        <w:spacing w:line="360" w:lineRule="auto"/>
        <w:rPr>
          <w:rFonts w:ascii="宋体" w:hAnsi="宋体"/>
          <w:sz w:val="21"/>
          <w:szCs w:val="21"/>
          <w:highlight w:val="none"/>
          <w:u w:val="single"/>
        </w:rPr>
      </w:pPr>
    </w:p>
    <w:p w14:paraId="57809AC6">
      <w:pPr>
        <w:pStyle w:val="26"/>
        <w:adjustRightInd w:val="0"/>
        <w:snapToGrid w:val="0"/>
        <w:spacing w:line="360" w:lineRule="auto"/>
        <w:rPr>
          <w:rFonts w:ascii="宋体" w:hAnsi="宋体"/>
          <w:sz w:val="21"/>
          <w:szCs w:val="21"/>
          <w:highlight w:val="none"/>
          <w:u w:val="single"/>
        </w:rPr>
      </w:pPr>
    </w:p>
    <w:p w14:paraId="7A24397C">
      <w:pPr>
        <w:pStyle w:val="26"/>
        <w:adjustRightInd w:val="0"/>
        <w:snapToGrid w:val="0"/>
        <w:spacing w:line="360" w:lineRule="auto"/>
        <w:rPr>
          <w:rFonts w:ascii="宋体" w:hAnsi="宋体"/>
          <w:sz w:val="21"/>
          <w:szCs w:val="21"/>
          <w:highlight w:val="none"/>
          <w:u w:val="single"/>
        </w:rPr>
      </w:pPr>
      <w:bookmarkStart w:id="91" w:name="_Toc12906832"/>
    </w:p>
    <w:p w14:paraId="101789EB">
      <w:pPr>
        <w:pStyle w:val="26"/>
        <w:adjustRightInd w:val="0"/>
        <w:snapToGrid w:val="0"/>
        <w:spacing w:line="360" w:lineRule="auto"/>
        <w:rPr>
          <w:rFonts w:ascii="宋体" w:hAnsi="宋体"/>
          <w:sz w:val="21"/>
          <w:szCs w:val="21"/>
          <w:highlight w:val="none"/>
          <w:u w:val="single"/>
        </w:rPr>
      </w:pPr>
    </w:p>
    <w:p w14:paraId="392BEEC3">
      <w:pPr>
        <w:pStyle w:val="26"/>
        <w:adjustRightInd w:val="0"/>
        <w:snapToGrid w:val="0"/>
        <w:spacing w:line="360" w:lineRule="auto"/>
        <w:rPr>
          <w:rFonts w:ascii="宋体" w:hAnsi="宋体"/>
          <w:sz w:val="21"/>
          <w:szCs w:val="21"/>
          <w:highlight w:val="none"/>
          <w:u w:val="single"/>
        </w:rPr>
      </w:pPr>
    </w:p>
    <w:bookmarkEnd w:id="91"/>
    <w:p w14:paraId="12B88839">
      <w:pPr>
        <w:adjustRightInd w:val="0"/>
        <w:snapToGrid w:val="0"/>
        <w:spacing w:line="360" w:lineRule="auto"/>
        <w:outlineLvl w:val="1"/>
        <w:rPr>
          <w:rFonts w:ascii="宋体" w:hAnsi="宋体"/>
          <w:szCs w:val="21"/>
          <w:highlight w:val="none"/>
          <w:u w:val="single"/>
        </w:rPr>
        <w:sectPr>
          <w:footerReference r:id="rId12" w:type="even"/>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14:paraId="37E5722B">
      <w:pPr>
        <w:pStyle w:val="3"/>
        <w:jc w:val="center"/>
        <w:rPr>
          <w:rFonts w:ascii="宋体" w:hAnsi="宋体"/>
          <w:sz w:val="28"/>
          <w:szCs w:val="28"/>
          <w:highlight w:val="none"/>
        </w:rPr>
      </w:pPr>
      <w:bookmarkStart w:id="92" w:name="_Toc12678"/>
      <w:r>
        <w:rPr>
          <w:rFonts w:hint="eastAsia" w:ascii="宋体" w:hAnsi="宋体"/>
          <w:sz w:val="28"/>
          <w:szCs w:val="28"/>
          <w:highlight w:val="none"/>
        </w:rPr>
        <w:t>八、投标人认为需要提供的其它资料</w:t>
      </w:r>
      <w:bookmarkEnd w:id="90"/>
      <w:bookmarkEnd w:id="92"/>
    </w:p>
    <w:p w14:paraId="45B8A815">
      <w:pPr>
        <w:rPr>
          <w:rFonts w:ascii="宋体" w:hAnsi="宋体"/>
          <w:highlight w:val="none"/>
        </w:rPr>
      </w:pPr>
    </w:p>
    <w:bookmarkEnd w:id="0"/>
    <w:p w14:paraId="7CFD4CC6">
      <w:pPr>
        <w:spacing w:line="360" w:lineRule="exact"/>
        <w:rPr>
          <w:rFonts w:ascii="宋体" w:hAnsi="宋体"/>
          <w:highlight w:val="none"/>
        </w:rPr>
      </w:pPr>
    </w:p>
    <w:p w14:paraId="300DC10C">
      <w:pPr>
        <w:rPr>
          <w:highlight w:val="none"/>
        </w:rPr>
      </w:pPr>
    </w:p>
    <w:sectPr>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CD17879-4953-46DB-B4D6-0B4F0F57879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6D61FC08-2643-4611-8E53-1410E1925BA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5D90759-51CE-4F3D-8AA9-A6F41ACCF57C}"/>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00"/>
    <w:family w:val="auto"/>
    <w:pitch w:val="default"/>
    <w:sig w:usb0="00000000" w:usb1="00000000" w:usb2="00000000" w:usb3="00000000" w:csb0="00000000" w:csb1="00000000"/>
    <w:embedRegular r:id="rId4" w:fontKey="{B67017D2-94C4-43B5-9F36-12E75CFB9563}"/>
  </w:font>
  <w:font w:name="楷体_GB2312">
    <w:altName w:val="楷体"/>
    <w:panose1 w:val="00000000000000000000"/>
    <w:charset w:val="86"/>
    <w:family w:val="modern"/>
    <w:pitch w:val="default"/>
    <w:sig w:usb0="00000000" w:usb1="00000000" w:usb2="00000000" w:usb3="00000000" w:csb0="00040000" w:csb1="00000000"/>
  </w:font>
  <w:font w:name="Arail">
    <w:altName w:val="Courier New"/>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embedRegular r:id="rId5" w:fontKey="{783CF4D6-82AB-4E82-AC92-295127CEAC1A}"/>
  </w:font>
  <w:font w:name="MS Sans Serif">
    <w:altName w:val="Arial"/>
    <w:panose1 w:val="00000000000000000000"/>
    <w:charset w:val="00"/>
    <w:family w:val="auto"/>
    <w:pitch w:val="default"/>
    <w:sig w:usb0="00000000" w:usb1="00000000" w:usb2="00000000" w:usb3="00000000" w:csb0="FFFFFFFF" w:csb1="00000000"/>
  </w:font>
  <w:font w:name="Verdana">
    <w:panose1 w:val="020B0604030504040204"/>
    <w:charset w:val="00"/>
    <w:family w:val="swiss"/>
    <w:pitch w:val="default"/>
    <w:sig w:usb0="A00006FF" w:usb1="4000205B" w:usb2="00000010" w:usb3="00000000" w:csb0="2000019F" w:csb1="00000000"/>
  </w:font>
  <w:font w:name="长城仿宋">
    <w:altName w:val="黑体"/>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方正仿宋_GBK">
    <w:panose1 w:val="02000000000000000000"/>
    <w:charset w:val="86"/>
    <w:family w:val="auto"/>
    <w:pitch w:val="default"/>
    <w:sig w:usb0="A00002BF" w:usb1="38CF7CFA" w:usb2="00082016" w:usb3="00000000" w:csb0="00040001" w:csb1="00000000"/>
    <w:embedRegular r:id="rId6" w:fontKey="{E15AB75A-38D4-4C92-82F9-52F2D6EDD45A}"/>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7" w:fontKey="{8F7CA357-6089-4998-B58A-481D5904F54A}"/>
  </w:font>
  <w:font w:name="Segoe UI">
    <w:panose1 w:val="020B0502040204020203"/>
    <w:charset w:val="00"/>
    <w:family w:val="auto"/>
    <w:pitch w:val="default"/>
    <w:sig w:usb0="E4002EFF" w:usb1="C000E47F" w:usb2="00000009" w:usb3="00000000" w:csb0="200001FF" w:csb1="00000000"/>
    <w:embedRegular r:id="rId8" w:fontKey="{9C5A0403-50C4-457D-88A6-2B7F688C84E0}"/>
  </w:font>
  <w:font w:name="MS PGothic">
    <w:panose1 w:val="020B0600070205080204"/>
    <w:charset w:val="80"/>
    <w:family w:val="auto"/>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BA973">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EB170">
    <w:pPr>
      <w:pStyle w:val="29"/>
    </w:pPr>
    <w:r>
      <mc:AlternateContent>
        <mc:Choice Requires="wps">
          <w:drawing>
            <wp:anchor distT="0" distB="0" distL="114300" distR="114300" simplePos="0" relativeHeight="251660288" behindDoc="0" locked="0" layoutInCell="1" allowOverlap="1">
              <wp:simplePos x="0" y="0"/>
              <wp:positionH relativeFrom="margin">
                <wp:posOffset>2611755</wp:posOffset>
              </wp:positionH>
              <wp:positionV relativeFrom="paragraph">
                <wp:posOffset>3810</wp:posOffset>
              </wp:positionV>
              <wp:extent cx="133350" cy="1524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33350" cy="152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8E4C63">
                          <w:pPr>
                            <w:pStyle w:val="2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5.65pt;margin-top:0.3pt;height:12pt;width:10.5pt;mso-position-horizontal-relative:margin;z-index:251660288;mso-width-relative:page;mso-height-relative:page;" filled="f" stroked="f" coordsize="21600,21600" o:gfxdata="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XaCer1QAAAAcBAAAPAAAAAAAAAAEAIAAAACIAAABkcnMvZG93bnJldi54bWxQSwECFAAU&#10;AAAACACHTuJA1n4Ivy0CAABVBAAADgAAAAAAAAABACAAAAAkAQAAZHJzL2Uyb0RvYy54bWxQSwUG&#10;AAAAAAYABgBZAQAAwwUAAAAA&#10;">
              <v:fill on="f" focussize="0,0"/>
              <v:stroke on="f" weight="0.5pt"/>
              <v:imagedata o:title=""/>
              <o:lock v:ext="edit" aspectratio="f"/>
              <v:textbox inset="0mm,0mm,0mm,0mm">
                <w:txbxContent>
                  <w:p w14:paraId="638E4C63">
                    <w:pPr>
                      <w:pStyle w:val="2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B92E1">
    <w:pPr>
      <w:pStyle w:val="2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9584EF">
                          <w:pPr>
                            <w:pStyle w:val="2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99584EF">
                    <w:pPr>
                      <w:pStyle w:val="2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78A3D">
    <w:pPr>
      <w:pStyle w:val="1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D508EC">
                          <w:pPr>
                            <w:pStyle w:val="29"/>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3D508EC">
                    <w:pPr>
                      <w:pStyle w:val="29"/>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54947">
    <w:pPr>
      <w:pStyle w:val="2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A08FFC">
                          <w:pPr>
                            <w:pStyle w:val="29"/>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8A08FFC">
                    <w:pPr>
                      <w:pStyle w:val="29"/>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E926E">
    <w:pPr>
      <w:ind w:right="360" w:firstLine="360"/>
      <w:rPr>
        <w:rFonts w:ascii="宋体" w:hAnsi="宋体"/>
        <w:sz w:val="28"/>
        <w:szCs w:val="28"/>
      </w:rPr>
    </w:pPr>
    <w:r>
      <w:rPr>
        <w:rFonts w:ascii="宋体" w:hAnsi="宋体"/>
        <w:kern w:val="0"/>
        <w:sz w:val="28"/>
        <w:szCs w:val="28"/>
      </w:rPr>
      <w:t xml:space="preserve">- </w:t>
    </w:r>
    <w:r>
      <w:rPr>
        <w:rFonts w:ascii="宋体" w:hAnsi="宋体"/>
        <w:kern w:val="0"/>
        <w:sz w:val="28"/>
        <w:szCs w:val="28"/>
      </w:rPr>
      <w:fldChar w:fldCharType="begin"/>
    </w:r>
    <w:r>
      <w:rPr>
        <w:rFonts w:ascii="宋体" w:hAnsi="宋体"/>
        <w:kern w:val="0"/>
        <w:sz w:val="28"/>
        <w:szCs w:val="28"/>
      </w:rPr>
      <w:instrText xml:space="preserve"> PAGE </w:instrText>
    </w:r>
    <w:r>
      <w:rPr>
        <w:rFonts w:ascii="宋体" w:hAnsi="宋体"/>
        <w:kern w:val="0"/>
        <w:sz w:val="28"/>
        <w:szCs w:val="28"/>
      </w:rPr>
      <w:fldChar w:fldCharType="separate"/>
    </w:r>
    <w:r>
      <w:rPr>
        <w:rFonts w:ascii="宋体" w:hAnsi="宋体"/>
        <w:kern w:val="0"/>
        <w:sz w:val="28"/>
        <w:szCs w:val="28"/>
      </w:rPr>
      <w:t>188</w:t>
    </w:r>
    <w:r>
      <w:rPr>
        <w:rFonts w:ascii="宋体" w:hAnsi="宋体"/>
        <w:kern w:val="0"/>
        <w:sz w:val="28"/>
        <w:szCs w:val="28"/>
      </w:rPr>
      <w:fldChar w:fldCharType="end"/>
    </w:r>
    <w:r>
      <w:rPr>
        <w:rFonts w:ascii="宋体" w:hAnsi="宋体"/>
        <w:kern w:val="0"/>
        <w:sz w:val="28"/>
        <w:szCs w:val="2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0AE90">
    <w:pPr>
      <w:ind w:right="360" w:firstLine="360"/>
      <w:rPr>
        <w:rFonts w:ascii="宋体" w:hAnsi="宋体"/>
        <w:sz w:val="28"/>
        <w:szCs w:val="28"/>
      </w:rPr>
    </w:pPr>
    <w:r>
      <w:rPr>
        <w:rFonts w:ascii="宋体" w:hAnsi="宋体"/>
        <w:kern w:val="0"/>
        <w:sz w:val="28"/>
        <w:szCs w:val="28"/>
      </w:rPr>
      <w:t xml:space="preserve">- </w:t>
    </w:r>
    <w:r>
      <w:rPr>
        <w:rFonts w:ascii="宋体" w:hAnsi="宋体"/>
        <w:kern w:val="0"/>
        <w:sz w:val="28"/>
        <w:szCs w:val="28"/>
      </w:rPr>
      <w:fldChar w:fldCharType="begin"/>
    </w:r>
    <w:r>
      <w:rPr>
        <w:rFonts w:ascii="宋体" w:hAnsi="宋体"/>
        <w:kern w:val="0"/>
        <w:sz w:val="28"/>
        <w:szCs w:val="28"/>
      </w:rPr>
      <w:instrText xml:space="preserve"> PAGE </w:instrText>
    </w:r>
    <w:r>
      <w:rPr>
        <w:rFonts w:ascii="宋体" w:hAnsi="宋体"/>
        <w:kern w:val="0"/>
        <w:sz w:val="28"/>
        <w:szCs w:val="28"/>
      </w:rPr>
      <w:fldChar w:fldCharType="separate"/>
    </w:r>
    <w:r>
      <w:rPr>
        <w:rFonts w:ascii="宋体" w:hAnsi="宋体"/>
        <w:kern w:val="0"/>
        <w:sz w:val="28"/>
        <w:szCs w:val="28"/>
      </w:rPr>
      <w:t>188</w:t>
    </w:r>
    <w:r>
      <w:rPr>
        <w:rFonts w:ascii="宋体" w:hAnsi="宋体"/>
        <w:kern w:val="0"/>
        <w:sz w:val="28"/>
        <w:szCs w:val="28"/>
      </w:rPr>
      <w:fldChar w:fldCharType="end"/>
    </w:r>
    <w:r>
      <w:rPr>
        <w:rFonts w:ascii="宋体" w:hAnsi="宋体"/>
        <w:kern w:val="0"/>
        <w:sz w:val="28"/>
        <w:szCs w:val="28"/>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262A5">
    <w:pPr>
      <w:ind w:right="360" w:firstLine="360"/>
      <w:rPr>
        <w:rFonts w:ascii="宋体" w:hAnsi="宋体"/>
        <w:sz w:val="28"/>
        <w:szCs w:val="28"/>
      </w:rPr>
    </w:pPr>
    <w:r>
      <w:rPr>
        <w:rFonts w:ascii="宋体" w:hAnsi="宋体"/>
        <w:kern w:val="0"/>
        <w:sz w:val="28"/>
        <w:szCs w:val="28"/>
      </w:rPr>
      <w:t xml:space="preserve">- </w:t>
    </w:r>
    <w:r>
      <w:rPr>
        <w:rFonts w:ascii="宋体" w:hAnsi="宋体"/>
        <w:kern w:val="0"/>
        <w:sz w:val="28"/>
        <w:szCs w:val="28"/>
      </w:rPr>
      <w:fldChar w:fldCharType="begin"/>
    </w:r>
    <w:r>
      <w:rPr>
        <w:rFonts w:ascii="宋体" w:hAnsi="宋体"/>
        <w:kern w:val="0"/>
        <w:sz w:val="28"/>
        <w:szCs w:val="28"/>
      </w:rPr>
      <w:instrText xml:space="preserve"> PAGE </w:instrText>
    </w:r>
    <w:r>
      <w:rPr>
        <w:rFonts w:ascii="宋体" w:hAnsi="宋体"/>
        <w:kern w:val="0"/>
        <w:sz w:val="28"/>
        <w:szCs w:val="28"/>
      </w:rPr>
      <w:fldChar w:fldCharType="separate"/>
    </w:r>
    <w:r>
      <w:rPr>
        <w:rFonts w:ascii="宋体" w:hAnsi="宋体"/>
        <w:kern w:val="0"/>
        <w:sz w:val="28"/>
        <w:szCs w:val="28"/>
      </w:rPr>
      <w:t>188</w:t>
    </w:r>
    <w:r>
      <w:rPr>
        <w:rFonts w:ascii="宋体" w:hAnsi="宋体"/>
        <w:kern w:val="0"/>
        <w:sz w:val="28"/>
        <w:szCs w:val="28"/>
      </w:rPr>
      <w:fldChar w:fldCharType="end"/>
    </w:r>
    <w:r>
      <w:rPr>
        <w:rFonts w:ascii="宋体" w:hAnsi="宋体"/>
        <w:kern w:val="0"/>
        <w:sz w:val="28"/>
        <w:szCs w:val="28"/>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DA0D7">
    <w:pPr>
      <w:pStyle w:val="3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F72F7">
    <w:pPr>
      <w:pStyle w:val="30"/>
      <w:pBdr>
        <w:bottom w:val="none" w:color="auto" w:sz="0" w:space="0"/>
      </w:pBdr>
      <w:jc w:val="right"/>
    </w:pPr>
    <w:r>
      <w:rPr>
        <w:rFonts w:hint="eastAsia"/>
      </w:rPr>
      <w:t xml:space="preserve"> </w:t>
    </w:r>
    <w:r>
      <w:t xml:space="preserve">   </w:t>
    </w:r>
    <w:r>
      <w:drawing>
        <wp:anchor distT="0" distB="0" distL="114300" distR="114300" simplePos="0" relativeHeight="251659264" behindDoc="0" locked="0" layoutInCell="1" allowOverlap="1">
          <wp:simplePos x="0" y="0"/>
          <wp:positionH relativeFrom="margin">
            <wp:posOffset>-657225</wp:posOffset>
          </wp:positionH>
          <wp:positionV relativeFrom="margin">
            <wp:posOffset>-333375</wp:posOffset>
          </wp:positionV>
          <wp:extent cx="3009900" cy="28575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009900" cy="285750"/>
                  </a:xfrm>
                  <a:prstGeom prst="rect">
                    <a:avLst/>
                  </a:prstGeom>
                  <a:noFill/>
                  <a:ln>
                    <a:noFill/>
                  </a:ln>
                </pic:spPr>
              </pic:pic>
            </a:graphicData>
          </a:graphic>
        </wp:anchor>
      </w:drawing>
    </w:r>
    <w:r>
      <w:rPr>
        <w:rFonts w:hint="eastAsia"/>
        <w:sz w:val="24"/>
        <w:szCs w:val="24"/>
      </w:rPr>
      <w:t>采购文件</w:t>
    </w:r>
  </w:p>
  <w:p w14:paraId="3EA5E35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C8F641"/>
    <w:multiLevelType w:val="singleLevel"/>
    <w:tmpl w:val="8AC8F641"/>
    <w:lvl w:ilvl="0" w:tentative="0">
      <w:start w:val="1"/>
      <w:numFmt w:val="decimalEnclosedCircleChinese"/>
      <w:suff w:val="space"/>
      <w:lvlText w:val="%1"/>
      <w:lvlJc w:val="left"/>
      <w:rPr>
        <w:rFonts w:hint="eastAsia"/>
      </w:rPr>
    </w:lvl>
  </w:abstractNum>
  <w:abstractNum w:abstractNumId="1">
    <w:nsid w:val="BBB2BD93"/>
    <w:multiLevelType w:val="singleLevel"/>
    <w:tmpl w:val="BBB2BD93"/>
    <w:lvl w:ilvl="0" w:tentative="0">
      <w:start w:val="3"/>
      <w:numFmt w:val="chineseCounting"/>
      <w:suff w:val="nothing"/>
      <w:lvlText w:val="%1、"/>
      <w:lvlJc w:val="left"/>
      <w:rPr>
        <w:rFonts w:hint="eastAsia"/>
      </w:rPr>
    </w:lvl>
  </w:abstractNum>
  <w:abstractNum w:abstractNumId="2">
    <w:nsid w:val="D5ED25C5"/>
    <w:multiLevelType w:val="singleLevel"/>
    <w:tmpl w:val="D5ED25C5"/>
    <w:lvl w:ilvl="0" w:tentative="0">
      <w:start w:val="1"/>
      <w:numFmt w:val="decimal"/>
      <w:suff w:val="space"/>
      <w:lvlText w:val="%1."/>
      <w:lvlJc w:val="left"/>
    </w:lvl>
  </w:abstractNum>
  <w:abstractNum w:abstractNumId="3">
    <w:nsid w:val="D729AF3C"/>
    <w:multiLevelType w:val="singleLevel"/>
    <w:tmpl w:val="D729AF3C"/>
    <w:lvl w:ilvl="0" w:tentative="0">
      <w:start w:val="1"/>
      <w:numFmt w:val="decimal"/>
      <w:suff w:val="space"/>
      <w:lvlText w:val="%1."/>
      <w:lvlJc w:val="left"/>
    </w:lvl>
  </w:abstractNum>
  <w:abstractNum w:abstractNumId="4">
    <w:nsid w:val="EDCA6D14"/>
    <w:multiLevelType w:val="singleLevel"/>
    <w:tmpl w:val="EDCA6D14"/>
    <w:lvl w:ilvl="0" w:tentative="0">
      <w:start w:val="11"/>
      <w:numFmt w:val="decimal"/>
      <w:suff w:val="nothing"/>
      <w:lvlText w:val="%1、"/>
      <w:lvlJc w:val="left"/>
    </w:lvl>
  </w:abstractNum>
  <w:abstractNum w:abstractNumId="5">
    <w:nsid w:val="FCB79149"/>
    <w:multiLevelType w:val="singleLevel"/>
    <w:tmpl w:val="FCB79149"/>
    <w:lvl w:ilvl="0" w:tentative="0">
      <w:start w:val="2"/>
      <w:numFmt w:val="decimal"/>
      <w:suff w:val="nothing"/>
      <w:lvlText w:val="（%1）"/>
      <w:lvlJc w:val="left"/>
    </w:lvl>
  </w:abstractNum>
  <w:abstractNum w:abstractNumId="6">
    <w:nsid w:val="07E83F20"/>
    <w:multiLevelType w:val="singleLevel"/>
    <w:tmpl w:val="07E83F20"/>
    <w:lvl w:ilvl="0" w:tentative="0">
      <w:start w:val="1"/>
      <w:numFmt w:val="decimal"/>
      <w:lvlText w:val="%1."/>
      <w:lvlJc w:val="left"/>
      <w:pPr>
        <w:tabs>
          <w:tab w:val="left" w:pos="312"/>
        </w:tabs>
      </w:pPr>
    </w:lvl>
  </w:abstractNum>
  <w:abstractNum w:abstractNumId="7">
    <w:nsid w:val="2147AF84"/>
    <w:multiLevelType w:val="singleLevel"/>
    <w:tmpl w:val="2147AF84"/>
    <w:lvl w:ilvl="0" w:tentative="0">
      <w:start w:val="1"/>
      <w:numFmt w:val="decimal"/>
      <w:suff w:val="nothing"/>
      <w:lvlText w:val="%1、"/>
      <w:lvlJc w:val="left"/>
    </w:lvl>
  </w:abstractNum>
  <w:abstractNum w:abstractNumId="8">
    <w:nsid w:val="292994D4"/>
    <w:multiLevelType w:val="singleLevel"/>
    <w:tmpl w:val="292994D4"/>
    <w:lvl w:ilvl="0" w:tentative="0">
      <w:start w:val="1"/>
      <w:numFmt w:val="decimal"/>
      <w:suff w:val="nothing"/>
      <w:lvlText w:val="（%1）"/>
      <w:lvlJc w:val="left"/>
    </w:lvl>
  </w:abstractNum>
  <w:abstractNum w:abstractNumId="9">
    <w:nsid w:val="30F0588E"/>
    <w:multiLevelType w:val="singleLevel"/>
    <w:tmpl w:val="30F0588E"/>
    <w:lvl w:ilvl="0" w:tentative="0">
      <w:start w:val="2"/>
      <w:numFmt w:val="chineseCounting"/>
      <w:suff w:val="nothing"/>
      <w:lvlText w:val="（%1）"/>
      <w:lvlJc w:val="left"/>
      <w:rPr>
        <w:rFonts w:hint="eastAsia"/>
      </w:rPr>
    </w:lvl>
  </w:abstractNum>
  <w:abstractNum w:abstractNumId="10">
    <w:nsid w:val="580207AB"/>
    <w:multiLevelType w:val="multilevel"/>
    <w:tmpl w:val="580207AB"/>
    <w:lvl w:ilvl="0" w:tentative="0">
      <w:start w:val="1"/>
      <w:numFmt w:val="chineseCountingThousand"/>
      <w:suff w:val="space"/>
      <w:lvlText w:val="%1、"/>
      <w:lvlJc w:val="left"/>
      <w:pPr>
        <w:ind w:left="0" w:firstLine="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68608542"/>
    <w:multiLevelType w:val="singleLevel"/>
    <w:tmpl w:val="68608542"/>
    <w:lvl w:ilvl="0" w:tentative="0">
      <w:start w:val="8"/>
      <w:numFmt w:val="decimal"/>
      <w:suff w:val="nothing"/>
      <w:lvlText w:val="%1、"/>
      <w:lvlJc w:val="left"/>
    </w:lvl>
  </w:abstractNum>
  <w:num w:numId="1">
    <w:abstractNumId w:val="8"/>
  </w:num>
  <w:num w:numId="2">
    <w:abstractNumId w:val="6"/>
  </w:num>
  <w:num w:numId="3">
    <w:abstractNumId w:val="9"/>
  </w:num>
  <w:num w:numId="4">
    <w:abstractNumId w:val="10"/>
  </w:num>
  <w:num w:numId="5">
    <w:abstractNumId w:val="7"/>
  </w:num>
  <w:num w:numId="6">
    <w:abstractNumId w:val="1"/>
  </w:num>
  <w:num w:numId="7">
    <w:abstractNumId w:val="5"/>
  </w:num>
  <w:num w:numId="8">
    <w:abstractNumId w:val="2"/>
  </w:num>
  <w:num w:numId="9">
    <w:abstractNumId w:val="3"/>
  </w:num>
  <w:num w:numId="10">
    <w:abstractNumId w:val="0"/>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g4MDI3MzIwNjFlZGFiYzIyNmUwMDcwZWVjOWJiMjkifQ=="/>
  </w:docVars>
  <w:rsids>
    <w:rsidRoot w:val="002A5EDF"/>
    <w:rsid w:val="00003597"/>
    <w:rsid w:val="00007FB8"/>
    <w:rsid w:val="0002460D"/>
    <w:rsid w:val="00036F53"/>
    <w:rsid w:val="00037C7E"/>
    <w:rsid w:val="000416F9"/>
    <w:rsid w:val="000469F9"/>
    <w:rsid w:val="00051E86"/>
    <w:rsid w:val="00060147"/>
    <w:rsid w:val="0007600A"/>
    <w:rsid w:val="000C0101"/>
    <w:rsid w:val="000E519E"/>
    <w:rsid w:val="000E5559"/>
    <w:rsid w:val="00116183"/>
    <w:rsid w:val="001175E8"/>
    <w:rsid w:val="00130E68"/>
    <w:rsid w:val="001423F5"/>
    <w:rsid w:val="001676DA"/>
    <w:rsid w:val="00184464"/>
    <w:rsid w:val="001A3BD2"/>
    <w:rsid w:val="001F1D1C"/>
    <w:rsid w:val="001F36C7"/>
    <w:rsid w:val="00207DC4"/>
    <w:rsid w:val="00211658"/>
    <w:rsid w:val="00213308"/>
    <w:rsid w:val="00232740"/>
    <w:rsid w:val="002765C6"/>
    <w:rsid w:val="002A5EDF"/>
    <w:rsid w:val="002B4591"/>
    <w:rsid w:val="002C009D"/>
    <w:rsid w:val="002C651E"/>
    <w:rsid w:val="002C7D74"/>
    <w:rsid w:val="002D4DB4"/>
    <w:rsid w:val="003061C7"/>
    <w:rsid w:val="003151CA"/>
    <w:rsid w:val="003214D8"/>
    <w:rsid w:val="003303D3"/>
    <w:rsid w:val="00337B1F"/>
    <w:rsid w:val="00346936"/>
    <w:rsid w:val="00354245"/>
    <w:rsid w:val="003547CC"/>
    <w:rsid w:val="00362D5A"/>
    <w:rsid w:val="00373CC3"/>
    <w:rsid w:val="00380AE0"/>
    <w:rsid w:val="00382664"/>
    <w:rsid w:val="003B2056"/>
    <w:rsid w:val="003D339B"/>
    <w:rsid w:val="003D574A"/>
    <w:rsid w:val="003E4124"/>
    <w:rsid w:val="003E78AB"/>
    <w:rsid w:val="003F63A2"/>
    <w:rsid w:val="00406BB9"/>
    <w:rsid w:val="0042027B"/>
    <w:rsid w:val="004249FE"/>
    <w:rsid w:val="00427E02"/>
    <w:rsid w:val="0047631F"/>
    <w:rsid w:val="00481365"/>
    <w:rsid w:val="004B1D96"/>
    <w:rsid w:val="004C1D86"/>
    <w:rsid w:val="004F031D"/>
    <w:rsid w:val="004F12ED"/>
    <w:rsid w:val="00502FD9"/>
    <w:rsid w:val="005060EB"/>
    <w:rsid w:val="00511045"/>
    <w:rsid w:val="00516EBB"/>
    <w:rsid w:val="00522B02"/>
    <w:rsid w:val="005275C4"/>
    <w:rsid w:val="00535DAF"/>
    <w:rsid w:val="005377A8"/>
    <w:rsid w:val="0054449E"/>
    <w:rsid w:val="0056030E"/>
    <w:rsid w:val="0056592C"/>
    <w:rsid w:val="00566340"/>
    <w:rsid w:val="0057035E"/>
    <w:rsid w:val="00572396"/>
    <w:rsid w:val="005B13DC"/>
    <w:rsid w:val="00600A82"/>
    <w:rsid w:val="00603058"/>
    <w:rsid w:val="0062612F"/>
    <w:rsid w:val="00640B18"/>
    <w:rsid w:val="006461EC"/>
    <w:rsid w:val="006505FE"/>
    <w:rsid w:val="0065412B"/>
    <w:rsid w:val="006545EE"/>
    <w:rsid w:val="00667C4A"/>
    <w:rsid w:val="00672372"/>
    <w:rsid w:val="00676114"/>
    <w:rsid w:val="00692BC8"/>
    <w:rsid w:val="006957EB"/>
    <w:rsid w:val="006A7588"/>
    <w:rsid w:val="006B7012"/>
    <w:rsid w:val="006C37F9"/>
    <w:rsid w:val="006D2C40"/>
    <w:rsid w:val="006D5C23"/>
    <w:rsid w:val="006D5EA4"/>
    <w:rsid w:val="006E2D30"/>
    <w:rsid w:val="006E66B0"/>
    <w:rsid w:val="006F08AF"/>
    <w:rsid w:val="00720B2A"/>
    <w:rsid w:val="00736C12"/>
    <w:rsid w:val="0074538B"/>
    <w:rsid w:val="00761393"/>
    <w:rsid w:val="00764DFD"/>
    <w:rsid w:val="00786959"/>
    <w:rsid w:val="007B29B2"/>
    <w:rsid w:val="007C14FF"/>
    <w:rsid w:val="007C2A22"/>
    <w:rsid w:val="007E1CC4"/>
    <w:rsid w:val="007E2043"/>
    <w:rsid w:val="00810CA7"/>
    <w:rsid w:val="00810F5E"/>
    <w:rsid w:val="008114E1"/>
    <w:rsid w:val="00842342"/>
    <w:rsid w:val="00854060"/>
    <w:rsid w:val="00862B69"/>
    <w:rsid w:val="00867932"/>
    <w:rsid w:val="008701D8"/>
    <w:rsid w:val="00890986"/>
    <w:rsid w:val="00891F8B"/>
    <w:rsid w:val="008A5F9A"/>
    <w:rsid w:val="008B0BBA"/>
    <w:rsid w:val="008B5C3F"/>
    <w:rsid w:val="008C6987"/>
    <w:rsid w:val="008D005C"/>
    <w:rsid w:val="008F6850"/>
    <w:rsid w:val="00901231"/>
    <w:rsid w:val="009022E7"/>
    <w:rsid w:val="009054FE"/>
    <w:rsid w:val="00943D7F"/>
    <w:rsid w:val="00947564"/>
    <w:rsid w:val="0095038B"/>
    <w:rsid w:val="00963D60"/>
    <w:rsid w:val="009B354A"/>
    <w:rsid w:val="009B577C"/>
    <w:rsid w:val="009B7901"/>
    <w:rsid w:val="009C4AA1"/>
    <w:rsid w:val="009D4C35"/>
    <w:rsid w:val="00A07E0D"/>
    <w:rsid w:val="00A14B5B"/>
    <w:rsid w:val="00A217CF"/>
    <w:rsid w:val="00A45422"/>
    <w:rsid w:val="00A467B8"/>
    <w:rsid w:val="00A51D8D"/>
    <w:rsid w:val="00A7165F"/>
    <w:rsid w:val="00A77480"/>
    <w:rsid w:val="00A81A1D"/>
    <w:rsid w:val="00A86090"/>
    <w:rsid w:val="00A94ABF"/>
    <w:rsid w:val="00AA0706"/>
    <w:rsid w:val="00AA192C"/>
    <w:rsid w:val="00AA640F"/>
    <w:rsid w:val="00AA6A92"/>
    <w:rsid w:val="00AB6E5B"/>
    <w:rsid w:val="00AB7A1E"/>
    <w:rsid w:val="00AD2FB3"/>
    <w:rsid w:val="00AF63EF"/>
    <w:rsid w:val="00B40055"/>
    <w:rsid w:val="00B4535E"/>
    <w:rsid w:val="00B471C9"/>
    <w:rsid w:val="00B605F4"/>
    <w:rsid w:val="00B9420B"/>
    <w:rsid w:val="00BB62A5"/>
    <w:rsid w:val="00BC36B5"/>
    <w:rsid w:val="00C0149C"/>
    <w:rsid w:val="00C04B3D"/>
    <w:rsid w:val="00C051D6"/>
    <w:rsid w:val="00C117F7"/>
    <w:rsid w:val="00C24B2E"/>
    <w:rsid w:val="00C31C2C"/>
    <w:rsid w:val="00C6342E"/>
    <w:rsid w:val="00CC63EF"/>
    <w:rsid w:val="00CD0C95"/>
    <w:rsid w:val="00CF3291"/>
    <w:rsid w:val="00D00BBA"/>
    <w:rsid w:val="00D02ADD"/>
    <w:rsid w:val="00D07064"/>
    <w:rsid w:val="00D0748B"/>
    <w:rsid w:val="00D10007"/>
    <w:rsid w:val="00D10862"/>
    <w:rsid w:val="00D14004"/>
    <w:rsid w:val="00D211D7"/>
    <w:rsid w:val="00D32381"/>
    <w:rsid w:val="00D51CFF"/>
    <w:rsid w:val="00D60D62"/>
    <w:rsid w:val="00D70E9E"/>
    <w:rsid w:val="00D8123A"/>
    <w:rsid w:val="00DA741A"/>
    <w:rsid w:val="00DB25AB"/>
    <w:rsid w:val="00DB4D58"/>
    <w:rsid w:val="00DB5421"/>
    <w:rsid w:val="00DC7D33"/>
    <w:rsid w:val="00DD27D8"/>
    <w:rsid w:val="00DE2902"/>
    <w:rsid w:val="00E001A8"/>
    <w:rsid w:val="00E03CFD"/>
    <w:rsid w:val="00E13D8B"/>
    <w:rsid w:val="00E264F8"/>
    <w:rsid w:val="00E33BF5"/>
    <w:rsid w:val="00E44B18"/>
    <w:rsid w:val="00E51BF3"/>
    <w:rsid w:val="00E54EDC"/>
    <w:rsid w:val="00E61EAD"/>
    <w:rsid w:val="00E62EEB"/>
    <w:rsid w:val="00E775BC"/>
    <w:rsid w:val="00E934DC"/>
    <w:rsid w:val="00EA2A25"/>
    <w:rsid w:val="00EC5E57"/>
    <w:rsid w:val="00F27E36"/>
    <w:rsid w:val="00F4193B"/>
    <w:rsid w:val="00F7247E"/>
    <w:rsid w:val="00F9447F"/>
    <w:rsid w:val="00F9472C"/>
    <w:rsid w:val="00F9670B"/>
    <w:rsid w:val="00FA692D"/>
    <w:rsid w:val="00FC7028"/>
    <w:rsid w:val="00FF4475"/>
    <w:rsid w:val="011A470B"/>
    <w:rsid w:val="018A58CB"/>
    <w:rsid w:val="02BE3A7E"/>
    <w:rsid w:val="05094D59"/>
    <w:rsid w:val="0837460B"/>
    <w:rsid w:val="0A4C7BC2"/>
    <w:rsid w:val="0A825391"/>
    <w:rsid w:val="0AE24082"/>
    <w:rsid w:val="0D3A63F7"/>
    <w:rsid w:val="0ECA6756"/>
    <w:rsid w:val="0F6E2388"/>
    <w:rsid w:val="104A4BA3"/>
    <w:rsid w:val="10D26299"/>
    <w:rsid w:val="111F21DD"/>
    <w:rsid w:val="11F748B7"/>
    <w:rsid w:val="146B6E96"/>
    <w:rsid w:val="1AA44EB0"/>
    <w:rsid w:val="1E285DF8"/>
    <w:rsid w:val="22AD4B1E"/>
    <w:rsid w:val="25F25669"/>
    <w:rsid w:val="298A22AD"/>
    <w:rsid w:val="2F275C36"/>
    <w:rsid w:val="312A43D2"/>
    <w:rsid w:val="35571045"/>
    <w:rsid w:val="35A80B15"/>
    <w:rsid w:val="37FE4C2A"/>
    <w:rsid w:val="3D8D40E0"/>
    <w:rsid w:val="45B778DE"/>
    <w:rsid w:val="4BAA0989"/>
    <w:rsid w:val="4E7B76FB"/>
    <w:rsid w:val="4FBB0836"/>
    <w:rsid w:val="5097577F"/>
    <w:rsid w:val="57DF519E"/>
    <w:rsid w:val="5B69000D"/>
    <w:rsid w:val="5C502193"/>
    <w:rsid w:val="5EA01AEA"/>
    <w:rsid w:val="5F3C390C"/>
    <w:rsid w:val="608841C4"/>
    <w:rsid w:val="62654422"/>
    <w:rsid w:val="64AF76C6"/>
    <w:rsid w:val="674A50E3"/>
    <w:rsid w:val="73F024A5"/>
    <w:rsid w:val="788928EB"/>
    <w:rsid w:val="79341F69"/>
    <w:rsid w:val="7A8F3CFA"/>
    <w:rsid w:val="7F54171A"/>
    <w:rsid w:val="7F9272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qFormat="1" w:uiPriority="99"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2"/>
    <w:autoRedefine/>
    <w:qFormat/>
    <w:uiPriority w:val="9"/>
    <w:pPr>
      <w:keepNext/>
      <w:spacing w:line="360" w:lineRule="auto"/>
      <w:jc w:val="center"/>
      <w:outlineLvl w:val="0"/>
    </w:pPr>
    <w:rPr>
      <w:b/>
      <w:bCs/>
      <w:sz w:val="28"/>
      <w:szCs w:val="20"/>
    </w:rPr>
  </w:style>
  <w:style w:type="paragraph" w:styleId="3">
    <w:name w:val="heading 2"/>
    <w:basedOn w:val="1"/>
    <w:next w:val="1"/>
    <w:link w:val="63"/>
    <w:autoRedefine/>
    <w:qFormat/>
    <w:uiPriority w:val="9"/>
    <w:pPr>
      <w:keepNext/>
      <w:keepLines/>
      <w:spacing w:line="360" w:lineRule="auto"/>
      <w:outlineLvl w:val="1"/>
    </w:pPr>
    <w:rPr>
      <w:rFonts w:ascii="Arial" w:hAnsi="Arial"/>
      <w:b/>
      <w:bCs/>
      <w:sz w:val="24"/>
      <w:szCs w:val="32"/>
    </w:rPr>
  </w:style>
  <w:style w:type="paragraph" w:styleId="4">
    <w:name w:val="heading 3"/>
    <w:basedOn w:val="1"/>
    <w:next w:val="1"/>
    <w:link w:val="64"/>
    <w:autoRedefine/>
    <w:qFormat/>
    <w:uiPriority w:val="9"/>
    <w:pPr>
      <w:keepNext/>
      <w:keepLines/>
      <w:spacing w:before="260" w:after="260" w:line="416" w:lineRule="auto"/>
      <w:outlineLvl w:val="2"/>
    </w:pPr>
    <w:rPr>
      <w:b/>
      <w:bCs/>
      <w:sz w:val="32"/>
      <w:szCs w:val="32"/>
    </w:rPr>
  </w:style>
  <w:style w:type="paragraph" w:styleId="5">
    <w:name w:val="heading 4"/>
    <w:basedOn w:val="1"/>
    <w:next w:val="1"/>
    <w:link w:val="65"/>
    <w:autoRedefine/>
    <w:qFormat/>
    <w:uiPriority w:val="9"/>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66"/>
    <w:autoRedefine/>
    <w:qFormat/>
    <w:uiPriority w:val="9"/>
    <w:pPr>
      <w:keepNext/>
      <w:keepLines/>
      <w:adjustRightInd w:val="0"/>
      <w:spacing w:before="280" w:after="290" w:line="376" w:lineRule="atLeast"/>
      <w:jc w:val="left"/>
      <w:textAlignment w:val="baseline"/>
      <w:outlineLvl w:val="4"/>
    </w:pPr>
    <w:rPr>
      <w:b/>
      <w:bCs/>
      <w:kern w:val="0"/>
      <w:sz w:val="28"/>
      <w:szCs w:val="28"/>
    </w:rPr>
  </w:style>
  <w:style w:type="paragraph" w:styleId="7">
    <w:name w:val="heading 6"/>
    <w:basedOn w:val="1"/>
    <w:next w:val="1"/>
    <w:link w:val="67"/>
    <w:autoRedefine/>
    <w:qFormat/>
    <w:uiPriority w:val="9"/>
    <w:pPr>
      <w:keepNext/>
      <w:keepLines/>
      <w:adjustRightInd w:val="0"/>
      <w:spacing w:before="240" w:after="64" w:line="320" w:lineRule="atLeast"/>
      <w:jc w:val="left"/>
      <w:textAlignment w:val="baseline"/>
      <w:outlineLvl w:val="5"/>
    </w:pPr>
    <w:rPr>
      <w:rFonts w:ascii="Arial" w:hAnsi="Arial" w:eastAsia="黑体"/>
      <w:b/>
      <w:bCs/>
      <w:kern w:val="0"/>
      <w:sz w:val="24"/>
    </w:rPr>
  </w:style>
  <w:style w:type="paragraph" w:styleId="8">
    <w:name w:val="heading 7"/>
    <w:basedOn w:val="1"/>
    <w:next w:val="1"/>
    <w:link w:val="68"/>
    <w:autoRedefine/>
    <w:qFormat/>
    <w:uiPriority w:val="0"/>
    <w:pPr>
      <w:keepNext/>
      <w:keepLines/>
      <w:adjustRightInd w:val="0"/>
      <w:spacing w:before="240" w:after="64" w:line="320" w:lineRule="atLeast"/>
      <w:jc w:val="left"/>
      <w:textAlignment w:val="baseline"/>
      <w:outlineLvl w:val="6"/>
    </w:pPr>
    <w:rPr>
      <w:b/>
      <w:bCs/>
      <w:kern w:val="0"/>
      <w:sz w:val="24"/>
    </w:rPr>
  </w:style>
  <w:style w:type="paragraph" w:styleId="9">
    <w:name w:val="heading 8"/>
    <w:basedOn w:val="1"/>
    <w:next w:val="1"/>
    <w:link w:val="69"/>
    <w:autoRedefine/>
    <w:qFormat/>
    <w:uiPriority w:val="0"/>
    <w:pPr>
      <w:keepNext/>
      <w:keepLines/>
      <w:adjustRightInd w:val="0"/>
      <w:spacing w:before="240" w:after="64" w:line="320" w:lineRule="atLeast"/>
      <w:jc w:val="left"/>
      <w:textAlignment w:val="baseline"/>
      <w:outlineLvl w:val="7"/>
    </w:pPr>
    <w:rPr>
      <w:rFonts w:ascii="Arial" w:hAnsi="Arial" w:eastAsia="黑体"/>
      <w:kern w:val="0"/>
      <w:sz w:val="24"/>
    </w:rPr>
  </w:style>
  <w:style w:type="paragraph" w:styleId="10">
    <w:name w:val="heading 9"/>
    <w:basedOn w:val="1"/>
    <w:next w:val="1"/>
    <w:link w:val="70"/>
    <w:autoRedefine/>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8">
    <w:name w:val="Default Paragraph Font"/>
    <w:autoRedefine/>
    <w:semiHidden/>
    <w:unhideWhenUsed/>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rPr>
      <w:rFonts w:ascii="Calibri" w:hAnsi="Calibri"/>
      <w:szCs w:val="22"/>
    </w:rPr>
  </w:style>
  <w:style w:type="paragraph" w:styleId="12">
    <w:name w:val="Normal Indent"/>
    <w:basedOn w:val="1"/>
    <w:autoRedefine/>
    <w:qFormat/>
    <w:uiPriority w:val="0"/>
    <w:pPr>
      <w:widowControl/>
      <w:ind w:firstLine="420"/>
      <w:jc w:val="left"/>
    </w:pPr>
    <w:rPr>
      <w:kern w:val="0"/>
      <w:sz w:val="20"/>
      <w:szCs w:val="20"/>
    </w:rPr>
  </w:style>
  <w:style w:type="paragraph" w:styleId="13">
    <w:name w:val="Document Map"/>
    <w:basedOn w:val="1"/>
    <w:link w:val="71"/>
    <w:autoRedefine/>
    <w:qFormat/>
    <w:uiPriority w:val="0"/>
    <w:pPr>
      <w:shd w:val="clear" w:color="auto" w:fill="000080"/>
    </w:pPr>
  </w:style>
  <w:style w:type="paragraph" w:styleId="14">
    <w:name w:val="toa heading"/>
    <w:basedOn w:val="1"/>
    <w:next w:val="1"/>
    <w:autoRedefine/>
    <w:qFormat/>
    <w:uiPriority w:val="99"/>
    <w:pPr>
      <w:spacing w:before="120"/>
    </w:pPr>
    <w:rPr>
      <w:rFonts w:ascii="Cambria" w:hAnsi="Cambria"/>
      <w:sz w:val="24"/>
    </w:rPr>
  </w:style>
  <w:style w:type="paragraph" w:styleId="15">
    <w:name w:val="annotation text"/>
    <w:basedOn w:val="1"/>
    <w:link w:val="72"/>
    <w:autoRedefine/>
    <w:qFormat/>
    <w:uiPriority w:val="0"/>
    <w:pPr>
      <w:jc w:val="left"/>
    </w:pPr>
  </w:style>
  <w:style w:type="paragraph" w:styleId="16">
    <w:name w:val="Salutation"/>
    <w:basedOn w:val="1"/>
    <w:next w:val="1"/>
    <w:link w:val="73"/>
    <w:autoRedefine/>
    <w:qFormat/>
    <w:uiPriority w:val="0"/>
    <w:rPr>
      <w:rFonts w:ascii="仿宋_GB2312" w:eastAsia="仿宋_GB2312"/>
      <w:sz w:val="24"/>
    </w:rPr>
  </w:style>
  <w:style w:type="paragraph" w:styleId="17">
    <w:name w:val="Body Text 3"/>
    <w:basedOn w:val="1"/>
    <w:link w:val="74"/>
    <w:autoRedefine/>
    <w:qFormat/>
    <w:uiPriority w:val="0"/>
    <w:pPr>
      <w:autoSpaceDE w:val="0"/>
      <w:autoSpaceDN w:val="0"/>
      <w:adjustRightInd w:val="0"/>
      <w:spacing w:line="410" w:lineRule="atLeast"/>
      <w:jc w:val="left"/>
    </w:pPr>
    <w:rPr>
      <w:rFonts w:ascii="宋体"/>
      <w:color w:val="000000"/>
      <w:kern w:val="0"/>
      <w:sz w:val="24"/>
      <w:szCs w:val="20"/>
    </w:rPr>
  </w:style>
  <w:style w:type="paragraph" w:styleId="18">
    <w:name w:val="Body Text"/>
    <w:basedOn w:val="1"/>
    <w:next w:val="1"/>
    <w:link w:val="61"/>
    <w:autoRedefine/>
    <w:qFormat/>
    <w:uiPriority w:val="0"/>
    <w:pPr>
      <w:spacing w:before="278" w:after="120" w:line="310" w:lineRule="exact"/>
      <w:jc w:val="left"/>
    </w:pPr>
  </w:style>
  <w:style w:type="paragraph" w:styleId="19">
    <w:name w:val="Body Text Indent"/>
    <w:basedOn w:val="1"/>
    <w:link w:val="75"/>
    <w:autoRedefine/>
    <w:qFormat/>
    <w:uiPriority w:val="0"/>
    <w:pPr>
      <w:spacing w:after="120"/>
      <w:ind w:left="420" w:leftChars="200"/>
    </w:pPr>
  </w:style>
  <w:style w:type="paragraph" w:styleId="20">
    <w:name w:val="Block Text"/>
    <w:basedOn w:val="1"/>
    <w:autoRedefine/>
    <w:qFormat/>
    <w:uiPriority w:val="0"/>
    <w:pPr>
      <w:ind w:left="1171" w:right="91" w:hanging="1080"/>
    </w:pPr>
    <w:rPr>
      <w:rFonts w:eastAsia="楷体_GB2312"/>
      <w:szCs w:val="20"/>
    </w:rPr>
  </w:style>
  <w:style w:type="paragraph" w:styleId="21">
    <w:name w:val="index 4"/>
    <w:basedOn w:val="1"/>
    <w:next w:val="1"/>
    <w:autoRedefine/>
    <w:unhideWhenUsed/>
    <w:qFormat/>
    <w:uiPriority w:val="99"/>
    <w:pPr>
      <w:ind w:left="600" w:leftChars="600"/>
    </w:pPr>
    <w:rPr>
      <w:rFonts w:ascii="Calibri" w:hAnsi="Calibri"/>
    </w:rPr>
  </w:style>
  <w:style w:type="paragraph" w:styleId="22">
    <w:name w:val="toc 5"/>
    <w:basedOn w:val="1"/>
    <w:next w:val="1"/>
    <w:autoRedefine/>
    <w:qFormat/>
    <w:uiPriority w:val="0"/>
    <w:pPr>
      <w:ind w:left="1680" w:leftChars="800"/>
    </w:pPr>
    <w:rPr>
      <w:rFonts w:ascii="Calibri" w:hAnsi="Calibri"/>
      <w:szCs w:val="22"/>
    </w:rPr>
  </w:style>
  <w:style w:type="paragraph" w:styleId="23">
    <w:name w:val="toc 3"/>
    <w:basedOn w:val="1"/>
    <w:next w:val="1"/>
    <w:autoRedefine/>
    <w:qFormat/>
    <w:uiPriority w:val="39"/>
    <w:pPr>
      <w:ind w:left="840" w:leftChars="400"/>
    </w:pPr>
  </w:style>
  <w:style w:type="paragraph" w:styleId="24">
    <w:name w:val="Plain Text"/>
    <w:basedOn w:val="1"/>
    <w:link w:val="76"/>
    <w:autoRedefine/>
    <w:qFormat/>
    <w:uiPriority w:val="99"/>
    <w:rPr>
      <w:sz w:val="24"/>
      <w:szCs w:val="20"/>
    </w:rPr>
  </w:style>
  <w:style w:type="paragraph" w:styleId="25">
    <w:name w:val="toc 8"/>
    <w:basedOn w:val="1"/>
    <w:next w:val="1"/>
    <w:autoRedefine/>
    <w:qFormat/>
    <w:uiPriority w:val="0"/>
    <w:pPr>
      <w:ind w:left="2940" w:leftChars="1400"/>
    </w:pPr>
    <w:rPr>
      <w:rFonts w:ascii="Calibri" w:hAnsi="Calibri"/>
      <w:szCs w:val="22"/>
    </w:rPr>
  </w:style>
  <w:style w:type="paragraph" w:styleId="26">
    <w:name w:val="Date"/>
    <w:basedOn w:val="1"/>
    <w:next w:val="1"/>
    <w:link w:val="77"/>
    <w:autoRedefine/>
    <w:qFormat/>
    <w:uiPriority w:val="0"/>
    <w:rPr>
      <w:sz w:val="24"/>
      <w:szCs w:val="20"/>
    </w:rPr>
  </w:style>
  <w:style w:type="paragraph" w:styleId="27">
    <w:name w:val="Body Text Indent 2"/>
    <w:basedOn w:val="1"/>
    <w:link w:val="78"/>
    <w:autoRedefine/>
    <w:qFormat/>
    <w:uiPriority w:val="0"/>
    <w:pPr>
      <w:spacing w:after="120" w:line="480" w:lineRule="auto"/>
      <w:ind w:left="420" w:leftChars="200"/>
    </w:pPr>
  </w:style>
  <w:style w:type="paragraph" w:styleId="28">
    <w:name w:val="Balloon Text"/>
    <w:basedOn w:val="1"/>
    <w:link w:val="79"/>
    <w:autoRedefine/>
    <w:qFormat/>
    <w:uiPriority w:val="0"/>
    <w:rPr>
      <w:rFonts w:ascii="Calibri" w:hAnsi="Calibri"/>
      <w:sz w:val="18"/>
      <w:szCs w:val="18"/>
    </w:rPr>
  </w:style>
  <w:style w:type="paragraph" w:styleId="29">
    <w:name w:val="footer"/>
    <w:basedOn w:val="1"/>
    <w:link w:val="80"/>
    <w:autoRedefine/>
    <w:qFormat/>
    <w:uiPriority w:val="0"/>
    <w:pPr>
      <w:tabs>
        <w:tab w:val="center" w:pos="4153"/>
        <w:tab w:val="right" w:pos="8306"/>
      </w:tabs>
      <w:snapToGrid w:val="0"/>
      <w:jc w:val="left"/>
    </w:pPr>
    <w:rPr>
      <w:sz w:val="18"/>
      <w:szCs w:val="18"/>
    </w:rPr>
  </w:style>
  <w:style w:type="paragraph" w:styleId="30">
    <w:name w:val="header"/>
    <w:basedOn w:val="1"/>
    <w:link w:val="81"/>
    <w:autoRedefine/>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autoRedefine/>
    <w:qFormat/>
    <w:uiPriority w:val="39"/>
    <w:pPr>
      <w:spacing w:line="500" w:lineRule="exact"/>
    </w:pPr>
    <w:rPr>
      <w:rFonts w:ascii="黑体"/>
      <w:b/>
      <w:sz w:val="24"/>
    </w:rPr>
  </w:style>
  <w:style w:type="paragraph" w:styleId="32">
    <w:name w:val="toc 4"/>
    <w:basedOn w:val="1"/>
    <w:next w:val="1"/>
    <w:autoRedefine/>
    <w:qFormat/>
    <w:uiPriority w:val="0"/>
    <w:pPr>
      <w:ind w:left="1260" w:leftChars="600"/>
    </w:pPr>
  </w:style>
  <w:style w:type="paragraph" w:styleId="33">
    <w:name w:val="index heading"/>
    <w:basedOn w:val="1"/>
    <w:next w:val="34"/>
    <w:autoRedefine/>
    <w:qFormat/>
    <w:uiPriority w:val="0"/>
  </w:style>
  <w:style w:type="paragraph" w:styleId="34">
    <w:name w:val="index 1"/>
    <w:basedOn w:val="1"/>
    <w:next w:val="1"/>
    <w:autoRedefine/>
    <w:unhideWhenUsed/>
    <w:qFormat/>
    <w:uiPriority w:val="0"/>
  </w:style>
  <w:style w:type="paragraph" w:styleId="35">
    <w:name w:val="List"/>
    <w:basedOn w:val="1"/>
    <w:autoRedefine/>
    <w:qFormat/>
    <w:uiPriority w:val="0"/>
    <w:pPr>
      <w:ind w:left="200" w:hanging="200" w:hangingChars="200"/>
    </w:pPr>
    <w:rPr>
      <w:sz w:val="28"/>
    </w:rPr>
  </w:style>
  <w:style w:type="paragraph" w:styleId="36">
    <w:name w:val="toc 6"/>
    <w:basedOn w:val="1"/>
    <w:next w:val="1"/>
    <w:autoRedefine/>
    <w:qFormat/>
    <w:uiPriority w:val="0"/>
    <w:pPr>
      <w:ind w:left="2100" w:leftChars="1000"/>
    </w:pPr>
    <w:rPr>
      <w:rFonts w:ascii="Calibri" w:hAnsi="Calibri"/>
      <w:szCs w:val="22"/>
    </w:rPr>
  </w:style>
  <w:style w:type="paragraph" w:styleId="37">
    <w:name w:val="Body Text Indent 3"/>
    <w:basedOn w:val="1"/>
    <w:link w:val="82"/>
    <w:autoRedefine/>
    <w:qFormat/>
    <w:uiPriority w:val="0"/>
    <w:pPr>
      <w:spacing w:after="120"/>
      <w:ind w:left="420" w:leftChars="200"/>
    </w:pPr>
    <w:rPr>
      <w:sz w:val="16"/>
      <w:szCs w:val="16"/>
    </w:rPr>
  </w:style>
  <w:style w:type="paragraph" w:styleId="38">
    <w:name w:val="toc 2"/>
    <w:basedOn w:val="1"/>
    <w:next w:val="1"/>
    <w:autoRedefine/>
    <w:qFormat/>
    <w:uiPriority w:val="39"/>
    <w:pPr>
      <w:tabs>
        <w:tab w:val="right" w:leader="dot" w:pos="8302"/>
      </w:tabs>
      <w:spacing w:line="500" w:lineRule="exact"/>
      <w:ind w:left="420" w:leftChars="200"/>
    </w:pPr>
    <w:rPr>
      <w:rFonts w:ascii="宋体" w:hAnsi="宋体" w:cs="宋体"/>
    </w:rPr>
  </w:style>
  <w:style w:type="paragraph" w:styleId="39">
    <w:name w:val="toc 9"/>
    <w:basedOn w:val="1"/>
    <w:next w:val="1"/>
    <w:autoRedefine/>
    <w:qFormat/>
    <w:uiPriority w:val="0"/>
    <w:pPr>
      <w:ind w:left="3360" w:leftChars="1600"/>
    </w:pPr>
    <w:rPr>
      <w:rFonts w:ascii="Calibri" w:hAnsi="Calibri"/>
      <w:szCs w:val="22"/>
    </w:rPr>
  </w:style>
  <w:style w:type="paragraph" w:styleId="40">
    <w:name w:val="Body Text 2"/>
    <w:basedOn w:val="1"/>
    <w:link w:val="83"/>
    <w:autoRedefine/>
    <w:qFormat/>
    <w:uiPriority w:val="0"/>
    <w:pPr>
      <w:spacing w:after="120" w:line="480" w:lineRule="auto"/>
    </w:pPr>
  </w:style>
  <w:style w:type="paragraph" w:styleId="41">
    <w:name w:val="HTML Preformatted"/>
    <w:basedOn w:val="1"/>
    <w:link w:val="8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4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43">
    <w:name w:val="Title"/>
    <w:basedOn w:val="1"/>
    <w:next w:val="1"/>
    <w:link w:val="85"/>
    <w:autoRedefine/>
    <w:qFormat/>
    <w:uiPriority w:val="10"/>
    <w:pPr>
      <w:spacing w:before="240" w:after="60"/>
      <w:jc w:val="center"/>
      <w:outlineLvl w:val="0"/>
    </w:pPr>
    <w:rPr>
      <w:rFonts w:ascii="Cambria" w:hAnsi="Cambria"/>
      <w:b/>
      <w:sz w:val="32"/>
    </w:rPr>
  </w:style>
  <w:style w:type="paragraph" w:styleId="44">
    <w:name w:val="annotation subject"/>
    <w:basedOn w:val="15"/>
    <w:next w:val="15"/>
    <w:link w:val="86"/>
    <w:autoRedefine/>
    <w:qFormat/>
    <w:uiPriority w:val="0"/>
    <w:rPr>
      <w:b/>
      <w:bCs/>
    </w:rPr>
  </w:style>
  <w:style w:type="paragraph" w:styleId="45">
    <w:name w:val="Body Text First Indent"/>
    <w:basedOn w:val="18"/>
    <w:next w:val="18"/>
    <w:link w:val="87"/>
    <w:autoRedefine/>
    <w:qFormat/>
    <w:uiPriority w:val="0"/>
    <w:pPr>
      <w:ind w:firstLine="420" w:firstLineChars="100"/>
    </w:pPr>
  </w:style>
  <w:style w:type="table" w:styleId="47">
    <w:name w:val="Table Grid"/>
    <w:basedOn w:val="4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autoRedefine/>
    <w:qFormat/>
    <w:uiPriority w:val="22"/>
    <w:rPr>
      <w:b/>
      <w:bCs/>
    </w:rPr>
  </w:style>
  <w:style w:type="character" w:styleId="50">
    <w:name w:val="page number"/>
    <w:autoRedefine/>
    <w:qFormat/>
    <w:uiPriority w:val="0"/>
  </w:style>
  <w:style w:type="character" w:styleId="51">
    <w:name w:val="FollowedHyperlink"/>
    <w:autoRedefine/>
    <w:qFormat/>
    <w:uiPriority w:val="0"/>
    <w:rPr>
      <w:color w:val="800080"/>
      <w:u w:val="single"/>
    </w:rPr>
  </w:style>
  <w:style w:type="character" w:styleId="52">
    <w:name w:val="Emphasis"/>
    <w:autoRedefine/>
    <w:qFormat/>
    <w:uiPriority w:val="0"/>
    <w:rPr>
      <w:rFonts w:ascii="Times New Roman" w:hAnsi="Times New Roman" w:eastAsia="宋体"/>
    </w:rPr>
  </w:style>
  <w:style w:type="character" w:styleId="53">
    <w:name w:val="HTML Definition"/>
    <w:autoRedefine/>
    <w:qFormat/>
    <w:uiPriority w:val="0"/>
    <w:rPr>
      <w:rFonts w:ascii="Times New Roman" w:hAnsi="Times New Roman" w:eastAsia="宋体"/>
    </w:rPr>
  </w:style>
  <w:style w:type="character" w:styleId="54">
    <w:name w:val="HTML Variable"/>
    <w:autoRedefine/>
    <w:qFormat/>
    <w:uiPriority w:val="0"/>
    <w:rPr>
      <w:rFonts w:ascii="Times New Roman" w:hAnsi="Times New Roman" w:eastAsia="宋体"/>
    </w:rPr>
  </w:style>
  <w:style w:type="character" w:styleId="55">
    <w:name w:val="Hyperlink"/>
    <w:autoRedefine/>
    <w:qFormat/>
    <w:uiPriority w:val="99"/>
    <w:rPr>
      <w:color w:val="136EC2"/>
      <w:u w:val="single"/>
    </w:rPr>
  </w:style>
  <w:style w:type="character" w:styleId="56">
    <w:name w:val="HTML Code"/>
    <w:autoRedefine/>
    <w:qFormat/>
    <w:uiPriority w:val="0"/>
    <w:rPr>
      <w:rFonts w:ascii="Courier New" w:hAnsi="Courier New" w:eastAsia="Courier New" w:cs="Courier New"/>
      <w:sz w:val="20"/>
    </w:rPr>
  </w:style>
  <w:style w:type="character" w:styleId="57">
    <w:name w:val="annotation reference"/>
    <w:autoRedefine/>
    <w:qFormat/>
    <w:uiPriority w:val="0"/>
    <w:rPr>
      <w:sz w:val="21"/>
      <w:szCs w:val="21"/>
    </w:rPr>
  </w:style>
  <w:style w:type="character" w:styleId="58">
    <w:name w:val="HTML Cite"/>
    <w:autoRedefine/>
    <w:qFormat/>
    <w:uiPriority w:val="0"/>
    <w:rPr>
      <w:rFonts w:ascii="Times New Roman" w:hAnsi="Times New Roman" w:eastAsia="宋体"/>
    </w:rPr>
  </w:style>
  <w:style w:type="character" w:styleId="59">
    <w:name w:val="HTML Keyboard"/>
    <w:autoRedefine/>
    <w:qFormat/>
    <w:uiPriority w:val="0"/>
    <w:rPr>
      <w:rFonts w:ascii="Courier New" w:hAnsi="Courier New" w:eastAsia="Courier New" w:cs="Courier New"/>
      <w:sz w:val="20"/>
    </w:rPr>
  </w:style>
  <w:style w:type="character" w:styleId="60">
    <w:name w:val="HTML Sample"/>
    <w:autoRedefine/>
    <w:qFormat/>
    <w:uiPriority w:val="0"/>
    <w:rPr>
      <w:rFonts w:ascii="Courier New" w:hAnsi="Courier New" w:eastAsia="Courier New" w:cs="Courier New"/>
    </w:rPr>
  </w:style>
  <w:style w:type="character" w:customStyle="1" w:styleId="61">
    <w:name w:val="正文文本 字符"/>
    <w:basedOn w:val="48"/>
    <w:link w:val="18"/>
    <w:autoRedefine/>
    <w:qFormat/>
    <w:uiPriority w:val="0"/>
    <w:rPr>
      <w:kern w:val="2"/>
      <w:sz w:val="21"/>
      <w:szCs w:val="24"/>
    </w:rPr>
  </w:style>
  <w:style w:type="character" w:customStyle="1" w:styleId="62">
    <w:name w:val="标题 1 字符"/>
    <w:basedOn w:val="48"/>
    <w:link w:val="2"/>
    <w:autoRedefine/>
    <w:qFormat/>
    <w:uiPriority w:val="0"/>
    <w:rPr>
      <w:rFonts w:ascii="Times New Roman" w:hAnsi="Times New Roman" w:eastAsia="宋体" w:cs="Times New Roman"/>
      <w:b/>
      <w:bCs/>
      <w:sz w:val="28"/>
      <w:szCs w:val="20"/>
    </w:rPr>
  </w:style>
  <w:style w:type="character" w:customStyle="1" w:styleId="63">
    <w:name w:val="标题 2 字符"/>
    <w:basedOn w:val="48"/>
    <w:link w:val="3"/>
    <w:autoRedefine/>
    <w:qFormat/>
    <w:uiPriority w:val="0"/>
    <w:rPr>
      <w:rFonts w:ascii="Arial" w:hAnsi="Arial" w:eastAsia="宋体" w:cs="Times New Roman"/>
      <w:b/>
      <w:bCs/>
      <w:sz w:val="24"/>
      <w:szCs w:val="32"/>
    </w:rPr>
  </w:style>
  <w:style w:type="character" w:customStyle="1" w:styleId="64">
    <w:name w:val="标题 3 字符"/>
    <w:basedOn w:val="48"/>
    <w:link w:val="4"/>
    <w:autoRedefine/>
    <w:qFormat/>
    <w:uiPriority w:val="0"/>
    <w:rPr>
      <w:rFonts w:ascii="Times New Roman" w:hAnsi="Times New Roman" w:eastAsia="宋体" w:cs="Times New Roman"/>
      <w:b/>
      <w:bCs/>
      <w:sz w:val="32"/>
      <w:szCs w:val="32"/>
    </w:rPr>
  </w:style>
  <w:style w:type="character" w:customStyle="1" w:styleId="65">
    <w:name w:val="标题 4 字符"/>
    <w:basedOn w:val="48"/>
    <w:link w:val="5"/>
    <w:autoRedefine/>
    <w:qFormat/>
    <w:uiPriority w:val="0"/>
    <w:rPr>
      <w:rFonts w:ascii="Arial" w:hAnsi="Arial" w:eastAsia="黑体" w:cs="Times New Roman"/>
      <w:b/>
      <w:bCs/>
      <w:sz w:val="28"/>
      <w:szCs w:val="28"/>
    </w:rPr>
  </w:style>
  <w:style w:type="character" w:customStyle="1" w:styleId="66">
    <w:name w:val="标题 5 字符"/>
    <w:basedOn w:val="48"/>
    <w:link w:val="6"/>
    <w:autoRedefine/>
    <w:qFormat/>
    <w:uiPriority w:val="0"/>
    <w:rPr>
      <w:rFonts w:ascii="Times New Roman" w:hAnsi="Times New Roman" w:eastAsia="宋体" w:cs="Times New Roman"/>
      <w:b/>
      <w:bCs/>
      <w:kern w:val="0"/>
      <w:sz w:val="28"/>
      <w:szCs w:val="28"/>
    </w:rPr>
  </w:style>
  <w:style w:type="character" w:customStyle="1" w:styleId="67">
    <w:name w:val="标题 6 字符"/>
    <w:basedOn w:val="48"/>
    <w:link w:val="7"/>
    <w:autoRedefine/>
    <w:qFormat/>
    <w:uiPriority w:val="0"/>
    <w:rPr>
      <w:rFonts w:ascii="Arial" w:hAnsi="Arial" w:eastAsia="黑体" w:cs="Times New Roman"/>
      <w:b/>
      <w:bCs/>
      <w:kern w:val="0"/>
      <w:sz w:val="24"/>
      <w:szCs w:val="24"/>
    </w:rPr>
  </w:style>
  <w:style w:type="character" w:customStyle="1" w:styleId="68">
    <w:name w:val="标题 7 字符"/>
    <w:basedOn w:val="48"/>
    <w:link w:val="8"/>
    <w:autoRedefine/>
    <w:qFormat/>
    <w:uiPriority w:val="0"/>
    <w:rPr>
      <w:rFonts w:ascii="Times New Roman" w:hAnsi="Times New Roman" w:eastAsia="宋体" w:cs="Times New Roman"/>
      <w:b/>
      <w:bCs/>
      <w:kern w:val="0"/>
      <w:sz w:val="24"/>
      <w:szCs w:val="24"/>
    </w:rPr>
  </w:style>
  <w:style w:type="character" w:customStyle="1" w:styleId="69">
    <w:name w:val="标题 8 字符"/>
    <w:basedOn w:val="48"/>
    <w:link w:val="9"/>
    <w:autoRedefine/>
    <w:qFormat/>
    <w:uiPriority w:val="0"/>
    <w:rPr>
      <w:rFonts w:ascii="Arial" w:hAnsi="Arial" w:eastAsia="黑体" w:cs="Times New Roman"/>
      <w:kern w:val="0"/>
      <w:sz w:val="24"/>
      <w:szCs w:val="24"/>
    </w:rPr>
  </w:style>
  <w:style w:type="character" w:customStyle="1" w:styleId="70">
    <w:name w:val="标题 9 字符"/>
    <w:basedOn w:val="48"/>
    <w:link w:val="10"/>
    <w:autoRedefine/>
    <w:qFormat/>
    <w:uiPriority w:val="0"/>
    <w:rPr>
      <w:rFonts w:ascii="Arial" w:hAnsi="Arial" w:eastAsia="黑体" w:cs="Times New Roman"/>
      <w:kern w:val="0"/>
      <w:szCs w:val="21"/>
    </w:rPr>
  </w:style>
  <w:style w:type="character" w:customStyle="1" w:styleId="71">
    <w:name w:val="文档结构图 字符"/>
    <w:basedOn w:val="48"/>
    <w:link w:val="13"/>
    <w:autoRedefine/>
    <w:qFormat/>
    <w:uiPriority w:val="0"/>
    <w:rPr>
      <w:rFonts w:ascii="Times New Roman" w:hAnsi="Times New Roman" w:eastAsia="宋体" w:cs="Times New Roman"/>
      <w:szCs w:val="24"/>
      <w:shd w:val="clear" w:color="auto" w:fill="000080"/>
    </w:rPr>
  </w:style>
  <w:style w:type="character" w:customStyle="1" w:styleId="72">
    <w:name w:val="批注文字 字符"/>
    <w:basedOn w:val="48"/>
    <w:link w:val="15"/>
    <w:autoRedefine/>
    <w:qFormat/>
    <w:uiPriority w:val="0"/>
    <w:rPr>
      <w:rFonts w:ascii="Times New Roman" w:hAnsi="Times New Roman" w:eastAsia="宋体" w:cs="Times New Roman"/>
      <w:szCs w:val="24"/>
    </w:rPr>
  </w:style>
  <w:style w:type="character" w:customStyle="1" w:styleId="73">
    <w:name w:val="称呼 字符"/>
    <w:basedOn w:val="48"/>
    <w:link w:val="16"/>
    <w:autoRedefine/>
    <w:qFormat/>
    <w:uiPriority w:val="0"/>
    <w:rPr>
      <w:rFonts w:ascii="仿宋_GB2312" w:hAnsi="Times New Roman" w:eastAsia="仿宋_GB2312" w:cs="Times New Roman"/>
      <w:sz w:val="24"/>
      <w:szCs w:val="24"/>
    </w:rPr>
  </w:style>
  <w:style w:type="character" w:customStyle="1" w:styleId="74">
    <w:name w:val="正文文本 3 字符"/>
    <w:basedOn w:val="48"/>
    <w:link w:val="17"/>
    <w:autoRedefine/>
    <w:qFormat/>
    <w:uiPriority w:val="0"/>
    <w:rPr>
      <w:rFonts w:ascii="宋体" w:hAnsi="Times New Roman" w:eastAsia="宋体" w:cs="Times New Roman"/>
      <w:color w:val="000000"/>
      <w:kern w:val="0"/>
      <w:sz w:val="24"/>
      <w:szCs w:val="20"/>
    </w:rPr>
  </w:style>
  <w:style w:type="character" w:customStyle="1" w:styleId="75">
    <w:name w:val="正文文本缩进 字符"/>
    <w:basedOn w:val="48"/>
    <w:link w:val="19"/>
    <w:autoRedefine/>
    <w:qFormat/>
    <w:uiPriority w:val="0"/>
    <w:rPr>
      <w:rFonts w:ascii="Times New Roman" w:hAnsi="Times New Roman" w:eastAsia="宋体" w:cs="Times New Roman"/>
      <w:szCs w:val="24"/>
    </w:rPr>
  </w:style>
  <w:style w:type="character" w:customStyle="1" w:styleId="76">
    <w:name w:val="纯文本 字符"/>
    <w:basedOn w:val="48"/>
    <w:link w:val="24"/>
    <w:autoRedefine/>
    <w:qFormat/>
    <w:uiPriority w:val="99"/>
    <w:rPr>
      <w:rFonts w:ascii="Times New Roman" w:hAnsi="Times New Roman" w:eastAsia="宋体" w:cs="Times New Roman"/>
      <w:sz w:val="24"/>
      <w:szCs w:val="20"/>
    </w:rPr>
  </w:style>
  <w:style w:type="character" w:customStyle="1" w:styleId="77">
    <w:name w:val="日期 字符"/>
    <w:basedOn w:val="48"/>
    <w:link w:val="26"/>
    <w:autoRedefine/>
    <w:qFormat/>
    <w:uiPriority w:val="0"/>
    <w:rPr>
      <w:rFonts w:ascii="Times New Roman" w:hAnsi="Times New Roman" w:eastAsia="宋体" w:cs="Times New Roman"/>
      <w:sz w:val="24"/>
      <w:szCs w:val="20"/>
    </w:rPr>
  </w:style>
  <w:style w:type="character" w:customStyle="1" w:styleId="78">
    <w:name w:val="正文文本缩进 2 字符"/>
    <w:basedOn w:val="48"/>
    <w:link w:val="27"/>
    <w:autoRedefine/>
    <w:qFormat/>
    <w:uiPriority w:val="0"/>
    <w:rPr>
      <w:rFonts w:ascii="Times New Roman" w:hAnsi="Times New Roman" w:eastAsia="宋体" w:cs="Times New Roman"/>
      <w:szCs w:val="24"/>
    </w:rPr>
  </w:style>
  <w:style w:type="character" w:customStyle="1" w:styleId="79">
    <w:name w:val="批注框文本 字符"/>
    <w:basedOn w:val="48"/>
    <w:link w:val="28"/>
    <w:autoRedefine/>
    <w:qFormat/>
    <w:uiPriority w:val="0"/>
    <w:rPr>
      <w:rFonts w:ascii="Calibri" w:hAnsi="Calibri" w:eastAsia="宋体" w:cs="Times New Roman"/>
      <w:sz w:val="18"/>
      <w:szCs w:val="18"/>
    </w:rPr>
  </w:style>
  <w:style w:type="character" w:customStyle="1" w:styleId="80">
    <w:name w:val="页脚 字符"/>
    <w:basedOn w:val="48"/>
    <w:link w:val="29"/>
    <w:autoRedefine/>
    <w:qFormat/>
    <w:uiPriority w:val="99"/>
    <w:rPr>
      <w:rFonts w:ascii="Times New Roman" w:hAnsi="Times New Roman" w:eastAsia="宋体" w:cs="Times New Roman"/>
      <w:sz w:val="18"/>
      <w:szCs w:val="18"/>
    </w:rPr>
  </w:style>
  <w:style w:type="character" w:customStyle="1" w:styleId="81">
    <w:name w:val="页眉 字符"/>
    <w:basedOn w:val="48"/>
    <w:link w:val="30"/>
    <w:autoRedefine/>
    <w:qFormat/>
    <w:uiPriority w:val="0"/>
    <w:rPr>
      <w:rFonts w:ascii="Times New Roman" w:hAnsi="Times New Roman" w:eastAsia="宋体" w:cs="Times New Roman"/>
      <w:sz w:val="18"/>
      <w:szCs w:val="18"/>
    </w:rPr>
  </w:style>
  <w:style w:type="character" w:customStyle="1" w:styleId="82">
    <w:name w:val="正文文本缩进 3 字符"/>
    <w:basedOn w:val="48"/>
    <w:link w:val="37"/>
    <w:autoRedefine/>
    <w:qFormat/>
    <w:uiPriority w:val="0"/>
    <w:rPr>
      <w:rFonts w:ascii="Times New Roman" w:hAnsi="Times New Roman" w:eastAsia="宋体" w:cs="Times New Roman"/>
      <w:sz w:val="16"/>
      <w:szCs w:val="16"/>
    </w:rPr>
  </w:style>
  <w:style w:type="character" w:customStyle="1" w:styleId="83">
    <w:name w:val="正文文本 2 字符"/>
    <w:basedOn w:val="48"/>
    <w:link w:val="40"/>
    <w:autoRedefine/>
    <w:qFormat/>
    <w:uiPriority w:val="0"/>
    <w:rPr>
      <w:rFonts w:ascii="Times New Roman" w:hAnsi="Times New Roman" w:eastAsia="宋体" w:cs="Times New Roman"/>
      <w:szCs w:val="24"/>
    </w:rPr>
  </w:style>
  <w:style w:type="character" w:customStyle="1" w:styleId="84">
    <w:name w:val="HTML 预设格式 字符"/>
    <w:basedOn w:val="48"/>
    <w:link w:val="41"/>
    <w:autoRedefine/>
    <w:qFormat/>
    <w:uiPriority w:val="0"/>
    <w:rPr>
      <w:rFonts w:ascii="Arial" w:hAnsi="Arial" w:eastAsia="宋体" w:cs="Arial"/>
      <w:kern w:val="0"/>
      <w:sz w:val="24"/>
      <w:szCs w:val="24"/>
    </w:rPr>
  </w:style>
  <w:style w:type="character" w:customStyle="1" w:styleId="85">
    <w:name w:val="标题 字符"/>
    <w:basedOn w:val="48"/>
    <w:link w:val="43"/>
    <w:autoRedefine/>
    <w:qFormat/>
    <w:uiPriority w:val="0"/>
    <w:rPr>
      <w:rFonts w:ascii="Cambria" w:hAnsi="Cambria" w:eastAsia="宋体" w:cs="Times New Roman"/>
      <w:b/>
      <w:sz w:val="32"/>
      <w:szCs w:val="24"/>
    </w:rPr>
  </w:style>
  <w:style w:type="character" w:customStyle="1" w:styleId="86">
    <w:name w:val="批注主题 字符"/>
    <w:basedOn w:val="72"/>
    <w:link w:val="44"/>
    <w:autoRedefine/>
    <w:qFormat/>
    <w:uiPriority w:val="0"/>
    <w:rPr>
      <w:rFonts w:ascii="Times New Roman" w:hAnsi="Times New Roman" w:eastAsia="宋体" w:cs="Times New Roman"/>
      <w:b/>
      <w:bCs/>
      <w:szCs w:val="24"/>
    </w:rPr>
  </w:style>
  <w:style w:type="character" w:customStyle="1" w:styleId="87">
    <w:name w:val="正文文本首行缩进 字符"/>
    <w:basedOn w:val="61"/>
    <w:link w:val="45"/>
    <w:autoRedefine/>
    <w:qFormat/>
    <w:uiPriority w:val="0"/>
    <w:rPr>
      <w:rFonts w:ascii="Times New Roman" w:hAnsi="Times New Roman" w:eastAsia="宋体" w:cs="Times New Roman"/>
      <w:kern w:val="2"/>
      <w:sz w:val="21"/>
      <w:szCs w:val="24"/>
    </w:rPr>
  </w:style>
  <w:style w:type="character" w:customStyle="1" w:styleId="88">
    <w:name w:val="Font Style122"/>
    <w:autoRedefine/>
    <w:unhideWhenUsed/>
    <w:qFormat/>
    <w:uiPriority w:val="0"/>
    <w:rPr>
      <w:rFonts w:hint="eastAsia" w:ascii="宋体" w:hAnsi="宋体" w:eastAsia="宋体"/>
      <w:spacing w:val="20"/>
      <w:sz w:val="24"/>
    </w:rPr>
  </w:style>
  <w:style w:type="character" w:customStyle="1" w:styleId="89">
    <w:name w:val="标题 4 Char Char"/>
    <w:autoRedefine/>
    <w:qFormat/>
    <w:uiPriority w:val="0"/>
    <w:rPr>
      <w:rFonts w:ascii="Arial" w:hAnsi="Arial" w:eastAsia="宋体"/>
      <w:b/>
      <w:bCs/>
      <w:kern w:val="2"/>
      <w:sz w:val="21"/>
      <w:szCs w:val="28"/>
      <w:lang w:val="en-US" w:eastAsia="zh-CN" w:bidi="ar-SA"/>
    </w:rPr>
  </w:style>
  <w:style w:type="character" w:customStyle="1" w:styleId="90">
    <w:name w:val="标题 1 Char"/>
    <w:autoRedefine/>
    <w:qFormat/>
    <w:uiPriority w:val="0"/>
    <w:rPr>
      <w:rFonts w:ascii="Cambria" w:hAnsi="Cambria"/>
      <w:b/>
      <w:bCs/>
      <w:kern w:val="32"/>
      <w:sz w:val="32"/>
      <w:szCs w:val="32"/>
    </w:rPr>
  </w:style>
  <w:style w:type="character" w:customStyle="1" w:styleId="91">
    <w:name w:val="Font Style116"/>
    <w:autoRedefine/>
    <w:unhideWhenUsed/>
    <w:qFormat/>
    <w:uiPriority w:val="0"/>
    <w:rPr>
      <w:rFonts w:hint="eastAsia" w:ascii="宋体" w:hAnsi="宋体" w:eastAsia="宋体"/>
      <w:spacing w:val="-20"/>
      <w:sz w:val="24"/>
    </w:rPr>
  </w:style>
  <w:style w:type="character" w:customStyle="1" w:styleId="92">
    <w:name w:val="标题 6 Char"/>
    <w:autoRedefine/>
    <w:qFormat/>
    <w:uiPriority w:val="0"/>
    <w:rPr>
      <w:rFonts w:ascii="Arial" w:hAnsi="Arial" w:eastAsia="黑体"/>
      <w:b/>
      <w:bCs/>
      <w:sz w:val="24"/>
      <w:szCs w:val="24"/>
    </w:rPr>
  </w:style>
  <w:style w:type="character" w:customStyle="1" w:styleId="93">
    <w:name w:val="Font Style127"/>
    <w:autoRedefine/>
    <w:unhideWhenUsed/>
    <w:qFormat/>
    <w:uiPriority w:val="0"/>
    <w:rPr>
      <w:rFonts w:hint="eastAsia" w:ascii="Times New Roman" w:hAnsi="Times New Roman" w:eastAsia="Times New Roman"/>
      <w:sz w:val="20"/>
    </w:rPr>
  </w:style>
  <w:style w:type="character" w:customStyle="1" w:styleId="94">
    <w:name w:val="Font Style121"/>
    <w:autoRedefine/>
    <w:unhideWhenUsed/>
    <w:qFormat/>
    <w:uiPriority w:val="0"/>
    <w:rPr>
      <w:rFonts w:hint="eastAsia" w:ascii="宋体" w:hAnsi="宋体" w:eastAsia="宋体"/>
      <w:spacing w:val="-10"/>
      <w:sz w:val="30"/>
    </w:rPr>
  </w:style>
  <w:style w:type="character" w:customStyle="1" w:styleId="95">
    <w:name w:val="bds_nopic2"/>
    <w:autoRedefine/>
    <w:qFormat/>
    <w:uiPriority w:val="0"/>
    <w:rPr>
      <w:rFonts w:ascii="Times New Roman" w:hAnsi="Times New Roman" w:eastAsia="宋体"/>
    </w:rPr>
  </w:style>
  <w:style w:type="character" w:customStyle="1" w:styleId="96">
    <w:name w:val="param-name"/>
    <w:autoRedefine/>
    <w:qFormat/>
    <w:uiPriority w:val="0"/>
  </w:style>
  <w:style w:type="character" w:customStyle="1" w:styleId="97">
    <w:name w:val="bookmark-item"/>
    <w:autoRedefine/>
    <w:qFormat/>
    <w:uiPriority w:val="0"/>
  </w:style>
  <w:style w:type="character" w:customStyle="1" w:styleId="98">
    <w:name w:val="标题 5 Char"/>
    <w:autoRedefine/>
    <w:qFormat/>
    <w:uiPriority w:val="0"/>
    <w:rPr>
      <w:b/>
      <w:bCs/>
      <w:kern w:val="2"/>
      <w:sz w:val="28"/>
      <w:szCs w:val="28"/>
    </w:rPr>
  </w:style>
  <w:style w:type="character" w:customStyle="1" w:styleId="99">
    <w:name w:val="Font Style119"/>
    <w:autoRedefine/>
    <w:unhideWhenUsed/>
    <w:qFormat/>
    <w:uiPriority w:val="0"/>
    <w:rPr>
      <w:rFonts w:hint="eastAsia" w:ascii="宋体" w:hAnsi="宋体" w:eastAsia="宋体"/>
      <w:sz w:val="24"/>
    </w:rPr>
  </w:style>
  <w:style w:type="character" w:customStyle="1" w:styleId="100">
    <w:name w:val="批注文字 Char"/>
    <w:autoRedefine/>
    <w:qFormat/>
    <w:uiPriority w:val="0"/>
    <w:rPr>
      <w:kern w:val="2"/>
      <w:sz w:val="21"/>
      <w:szCs w:val="24"/>
    </w:rPr>
  </w:style>
  <w:style w:type="character" w:customStyle="1" w:styleId="101">
    <w:name w:val="bds_more7"/>
    <w:autoRedefine/>
    <w:qFormat/>
    <w:uiPriority w:val="0"/>
    <w:rPr>
      <w:rFonts w:ascii="Times New Roman" w:hAnsi="Times New Roman" w:eastAsia="宋体"/>
    </w:rPr>
  </w:style>
  <w:style w:type="character" w:customStyle="1" w:styleId="102">
    <w:name w:val="纯文本 Char1 Char Char Char"/>
    <w:autoRedefine/>
    <w:qFormat/>
    <w:locked/>
    <w:uiPriority w:val="0"/>
    <w:rPr>
      <w:rFonts w:ascii="宋体" w:hAnsi="Courier New" w:eastAsia="宋体"/>
      <w:kern w:val="2"/>
      <w:sz w:val="24"/>
      <w:szCs w:val="24"/>
      <w:lang w:val="en-US" w:eastAsia="zh-CN" w:bidi="ar-SA"/>
    </w:rPr>
  </w:style>
  <w:style w:type="character" w:customStyle="1" w:styleId="103">
    <w:name w:val="sidecatalog-index2"/>
    <w:autoRedefine/>
    <w:qFormat/>
    <w:uiPriority w:val="0"/>
    <w:rPr>
      <w:rFonts w:ascii="Arail" w:hAnsi="Arail" w:eastAsia="Arail" w:cs="Arail"/>
      <w:color w:val="999999"/>
      <w:sz w:val="21"/>
      <w:szCs w:val="21"/>
    </w:rPr>
  </w:style>
  <w:style w:type="character" w:customStyle="1" w:styleId="104">
    <w:name w:val="批注框文本 Char"/>
    <w:autoRedefine/>
    <w:qFormat/>
    <w:uiPriority w:val="0"/>
    <w:rPr>
      <w:kern w:val="2"/>
      <w:sz w:val="18"/>
      <w:szCs w:val="18"/>
    </w:rPr>
  </w:style>
  <w:style w:type="character" w:customStyle="1" w:styleId="105">
    <w:name w:val="apple-converted-space"/>
    <w:autoRedefine/>
    <w:qFormat/>
    <w:uiPriority w:val="0"/>
    <w:rPr>
      <w:rFonts w:ascii="Tahoma" w:hAnsi="Tahoma" w:cs="仿宋_GB2312"/>
      <w:sz w:val="24"/>
      <w:szCs w:val="28"/>
    </w:rPr>
  </w:style>
  <w:style w:type="character" w:customStyle="1" w:styleId="106">
    <w:name w:val="Char Char17"/>
    <w:autoRedefine/>
    <w:qFormat/>
    <w:uiPriority w:val="0"/>
    <w:rPr>
      <w:rFonts w:ascii="宋体" w:hAnsi="Times New Roman" w:eastAsia="宋体"/>
      <w:b/>
      <w:sz w:val="28"/>
      <w:lang w:val="en-US" w:eastAsia="zh-CN" w:bidi="ar-SA"/>
    </w:rPr>
  </w:style>
  <w:style w:type="character" w:customStyle="1" w:styleId="107">
    <w:name w:val="标题 9 Char"/>
    <w:autoRedefine/>
    <w:qFormat/>
    <w:uiPriority w:val="0"/>
    <w:rPr>
      <w:rFonts w:ascii="Arial" w:hAnsi="Arial" w:eastAsia="黑体"/>
      <w:sz w:val="21"/>
      <w:szCs w:val="21"/>
    </w:rPr>
  </w:style>
  <w:style w:type="character" w:customStyle="1" w:styleId="108">
    <w:name w:val="Font Style126"/>
    <w:autoRedefine/>
    <w:unhideWhenUsed/>
    <w:qFormat/>
    <w:uiPriority w:val="0"/>
    <w:rPr>
      <w:rFonts w:hint="eastAsia" w:ascii="宋体" w:hAnsi="宋体" w:eastAsia="宋体"/>
      <w:b/>
      <w:spacing w:val="-30"/>
      <w:sz w:val="28"/>
    </w:rPr>
  </w:style>
  <w:style w:type="character" w:customStyle="1" w:styleId="109">
    <w:name w:val="Char Char15"/>
    <w:autoRedefine/>
    <w:qFormat/>
    <w:uiPriority w:val="0"/>
    <w:rPr>
      <w:b/>
      <w:bCs/>
      <w:sz w:val="24"/>
      <w:szCs w:val="24"/>
    </w:rPr>
  </w:style>
  <w:style w:type="character" w:customStyle="1" w:styleId="110">
    <w:name w:val="Font Style94"/>
    <w:autoRedefine/>
    <w:unhideWhenUsed/>
    <w:qFormat/>
    <w:uiPriority w:val="0"/>
    <w:rPr>
      <w:rFonts w:hint="eastAsia" w:ascii="Times New Roman" w:hAnsi="Times New Roman" w:eastAsia="Times New Roman"/>
      <w:sz w:val="28"/>
    </w:rPr>
  </w:style>
  <w:style w:type="character" w:customStyle="1" w:styleId="111">
    <w:name w:val="Char Char14"/>
    <w:autoRedefine/>
    <w:qFormat/>
    <w:uiPriority w:val="0"/>
    <w:rPr>
      <w:rFonts w:ascii="Arial" w:hAnsi="Arial" w:eastAsia="黑体"/>
      <w:b/>
      <w:bCs/>
      <w:sz w:val="28"/>
      <w:szCs w:val="28"/>
      <w:lang w:val="en-US" w:eastAsia="zh-CN" w:bidi="ar-SA"/>
    </w:rPr>
  </w:style>
  <w:style w:type="character" w:customStyle="1" w:styleId="112">
    <w:name w:val="p0 Char"/>
    <w:link w:val="113"/>
    <w:autoRedefine/>
    <w:qFormat/>
    <w:uiPriority w:val="0"/>
    <w:rPr>
      <w:rFonts w:eastAsia="宋体"/>
      <w:szCs w:val="21"/>
    </w:rPr>
  </w:style>
  <w:style w:type="paragraph" w:customStyle="1" w:styleId="113">
    <w:name w:val="p0"/>
    <w:basedOn w:val="1"/>
    <w:link w:val="112"/>
    <w:autoRedefine/>
    <w:qFormat/>
    <w:uiPriority w:val="0"/>
    <w:pPr>
      <w:widowControl/>
    </w:pPr>
    <w:rPr>
      <w:rFonts w:asciiTheme="minorHAnsi" w:hAnsiTheme="minorHAnsi" w:cstheme="minorBidi"/>
      <w:szCs w:val="21"/>
    </w:rPr>
  </w:style>
  <w:style w:type="character" w:customStyle="1" w:styleId="114">
    <w:name w:val="Char Char16"/>
    <w:autoRedefine/>
    <w:qFormat/>
    <w:uiPriority w:val="0"/>
    <w:rPr>
      <w:rFonts w:ascii="宋体" w:hAnsi="Times New Roman" w:eastAsia="宋体"/>
      <w:b/>
      <w:sz w:val="24"/>
      <w:lang w:val="en-US" w:eastAsia="zh-CN" w:bidi="ar-SA"/>
    </w:rPr>
  </w:style>
  <w:style w:type="character" w:customStyle="1" w:styleId="115">
    <w:name w:val="bds_more9"/>
    <w:autoRedefine/>
    <w:qFormat/>
    <w:uiPriority w:val="0"/>
    <w:rPr>
      <w:rFonts w:ascii="Times New Roman" w:hAnsi="Times New Roman" w:eastAsia="宋体"/>
    </w:rPr>
  </w:style>
  <w:style w:type="character" w:customStyle="1" w:styleId="116">
    <w:name w:val="sidecatalog-index1"/>
    <w:autoRedefine/>
    <w:qFormat/>
    <w:uiPriority w:val="0"/>
    <w:rPr>
      <w:rFonts w:ascii="Arial" w:hAnsi="Arial" w:eastAsia="宋体" w:cs="Arial"/>
      <w:b/>
      <w:color w:val="999999"/>
      <w:sz w:val="21"/>
      <w:szCs w:val="21"/>
    </w:rPr>
  </w:style>
  <w:style w:type="character" w:customStyle="1" w:styleId="117">
    <w:name w:val="Font Style104"/>
    <w:autoRedefine/>
    <w:unhideWhenUsed/>
    <w:qFormat/>
    <w:uiPriority w:val="0"/>
    <w:rPr>
      <w:rFonts w:hint="eastAsia" w:ascii="宋体" w:hAnsi="宋体" w:eastAsia="宋体"/>
      <w:spacing w:val="30"/>
      <w:sz w:val="18"/>
    </w:rPr>
  </w:style>
  <w:style w:type="character" w:customStyle="1" w:styleId="118">
    <w:name w:val="sidecatalog-dot"/>
    <w:autoRedefine/>
    <w:qFormat/>
    <w:uiPriority w:val="0"/>
    <w:rPr>
      <w:rFonts w:ascii="Times New Roman" w:hAnsi="Times New Roman" w:eastAsia="宋体"/>
    </w:rPr>
  </w:style>
  <w:style w:type="character" w:customStyle="1" w:styleId="119">
    <w:name w:val="bds_more8"/>
    <w:autoRedefine/>
    <w:qFormat/>
    <w:uiPriority w:val="0"/>
    <w:rPr>
      <w:rFonts w:ascii="Times New Roman" w:hAnsi="Times New Roman" w:eastAsia="宋体"/>
    </w:rPr>
  </w:style>
  <w:style w:type="character" w:customStyle="1" w:styleId="120">
    <w:name w:val="plus"/>
    <w:autoRedefine/>
    <w:qFormat/>
    <w:uiPriority w:val="0"/>
    <w:rPr>
      <w:rFonts w:ascii="Times New Roman" w:hAnsi="Times New Roman" w:eastAsia="宋体"/>
      <w:b/>
      <w:vanish/>
      <w:color w:val="1F8DEF"/>
      <w:sz w:val="24"/>
      <w:szCs w:val="24"/>
    </w:rPr>
  </w:style>
  <w:style w:type="character" w:customStyle="1" w:styleId="121">
    <w:name w:val="polysemyred"/>
    <w:autoRedefine/>
    <w:qFormat/>
    <w:uiPriority w:val="0"/>
    <w:rPr>
      <w:rFonts w:ascii="Times New Roman" w:hAnsi="Times New Roman" w:eastAsia="宋体"/>
      <w:color w:val="FF6666"/>
      <w:sz w:val="18"/>
      <w:szCs w:val="18"/>
    </w:rPr>
  </w:style>
  <w:style w:type="character" w:customStyle="1" w:styleId="122">
    <w:name w:val="lemmatitleh12"/>
    <w:autoRedefine/>
    <w:qFormat/>
    <w:uiPriority w:val="0"/>
    <w:rPr>
      <w:rFonts w:ascii="Times New Roman" w:hAnsi="Times New Roman" w:eastAsia="宋体"/>
    </w:rPr>
  </w:style>
  <w:style w:type="character" w:customStyle="1" w:styleId="123">
    <w:name w:val="页脚 Char"/>
    <w:autoRedefine/>
    <w:qFormat/>
    <w:uiPriority w:val="99"/>
    <w:rPr>
      <w:kern w:val="2"/>
      <w:sz w:val="18"/>
      <w:szCs w:val="18"/>
    </w:rPr>
  </w:style>
  <w:style w:type="character" w:customStyle="1" w:styleId="124">
    <w:name w:val="批注文字 Char Char"/>
    <w:autoRedefine/>
    <w:qFormat/>
    <w:uiPriority w:val="0"/>
    <w:rPr>
      <w:kern w:val="2"/>
      <w:sz w:val="21"/>
      <w:szCs w:val="24"/>
      <w:lang w:bidi="ar-SA"/>
    </w:rPr>
  </w:style>
  <w:style w:type="character" w:customStyle="1" w:styleId="125">
    <w:name w:val="p0 Char Char"/>
    <w:autoRedefine/>
    <w:qFormat/>
    <w:uiPriority w:val="0"/>
    <w:rPr>
      <w:rFonts w:eastAsia="宋体"/>
      <w:kern w:val="2"/>
      <w:sz w:val="21"/>
      <w:szCs w:val="21"/>
      <w:lang w:val="en-US" w:eastAsia="zh-CN" w:bidi="ar-SA"/>
    </w:rPr>
  </w:style>
  <w:style w:type="character" w:customStyle="1" w:styleId="126">
    <w:name w:val="Font Style128"/>
    <w:autoRedefine/>
    <w:unhideWhenUsed/>
    <w:qFormat/>
    <w:uiPriority w:val="0"/>
    <w:rPr>
      <w:rFonts w:hint="eastAsia" w:ascii="Times New Roman" w:hAnsi="Times New Roman" w:eastAsia="Times New Roman"/>
      <w:sz w:val="16"/>
    </w:rPr>
  </w:style>
  <w:style w:type="character" w:customStyle="1" w:styleId="127">
    <w:name w:val="desc"/>
    <w:autoRedefine/>
    <w:qFormat/>
    <w:uiPriority w:val="0"/>
    <w:rPr>
      <w:rFonts w:ascii="Times New Roman" w:hAnsi="Times New Roman" w:eastAsia="宋体"/>
      <w:color w:val="000000"/>
      <w:sz w:val="18"/>
      <w:szCs w:val="18"/>
    </w:rPr>
  </w:style>
  <w:style w:type="character" w:customStyle="1" w:styleId="128">
    <w:name w:val="Font Style117"/>
    <w:autoRedefine/>
    <w:unhideWhenUsed/>
    <w:qFormat/>
    <w:uiPriority w:val="0"/>
    <w:rPr>
      <w:rFonts w:hint="eastAsia" w:ascii="宋体" w:hAnsi="宋体" w:eastAsia="宋体"/>
      <w:spacing w:val="20"/>
      <w:sz w:val="24"/>
    </w:rPr>
  </w:style>
  <w:style w:type="character" w:customStyle="1" w:styleId="129">
    <w:name w:val="Font Style90"/>
    <w:autoRedefine/>
    <w:unhideWhenUsed/>
    <w:qFormat/>
    <w:uiPriority w:val="0"/>
    <w:rPr>
      <w:rFonts w:hint="eastAsia" w:ascii="宋体" w:hAnsi="宋体" w:eastAsia="宋体"/>
      <w:b/>
      <w:spacing w:val="-20"/>
      <w:sz w:val="40"/>
    </w:rPr>
  </w:style>
  <w:style w:type="character" w:customStyle="1" w:styleId="130">
    <w:name w:val="批注主题 Char"/>
    <w:autoRedefine/>
    <w:qFormat/>
    <w:uiPriority w:val="0"/>
    <w:rPr>
      <w:b/>
      <w:bCs/>
      <w:kern w:val="2"/>
      <w:sz w:val="21"/>
      <w:szCs w:val="24"/>
    </w:rPr>
  </w:style>
  <w:style w:type="character" w:customStyle="1" w:styleId="131">
    <w:name w:val="标题 Char1"/>
    <w:autoRedefine/>
    <w:qFormat/>
    <w:uiPriority w:val="0"/>
    <w:rPr>
      <w:rFonts w:ascii="Cambria" w:hAnsi="Cambria" w:eastAsia="宋体" w:cs="Times New Roman"/>
      <w:b/>
      <w:bCs/>
      <w:sz w:val="32"/>
      <w:szCs w:val="32"/>
    </w:rPr>
  </w:style>
  <w:style w:type="character" w:customStyle="1" w:styleId="132">
    <w:name w:val="普通文字 Char"/>
    <w:autoRedefine/>
    <w:qFormat/>
    <w:locked/>
    <w:uiPriority w:val="0"/>
    <w:rPr>
      <w:rFonts w:ascii="宋体" w:hAnsi="Courier New" w:eastAsia="宋体" w:cs="Courier New"/>
      <w:kern w:val="2"/>
      <w:sz w:val="21"/>
      <w:szCs w:val="21"/>
      <w:lang w:val="en-US" w:eastAsia="zh-CN" w:bidi="ar-SA"/>
    </w:rPr>
  </w:style>
  <w:style w:type="character" w:customStyle="1" w:styleId="133">
    <w:name w:val="Font Style131"/>
    <w:autoRedefine/>
    <w:unhideWhenUsed/>
    <w:qFormat/>
    <w:uiPriority w:val="0"/>
    <w:rPr>
      <w:rFonts w:hint="eastAsia" w:ascii="Times New Roman" w:hAnsi="Times New Roman" w:eastAsia="Times New Roman"/>
      <w:sz w:val="18"/>
    </w:rPr>
  </w:style>
  <w:style w:type="character" w:customStyle="1" w:styleId="134">
    <w:name w:val="morelink-item"/>
    <w:autoRedefine/>
    <w:qFormat/>
    <w:uiPriority w:val="0"/>
    <w:rPr>
      <w:rFonts w:ascii="Times New Roman" w:hAnsi="Times New Roman" w:eastAsia="宋体"/>
    </w:rPr>
  </w:style>
  <w:style w:type="character" w:customStyle="1" w:styleId="135">
    <w:name w:val="apple-style-span"/>
    <w:autoRedefine/>
    <w:qFormat/>
    <w:uiPriority w:val="0"/>
    <w:rPr>
      <w:rFonts w:ascii="Tahoma" w:hAnsi="Tahoma" w:cs="仿宋_GB2312"/>
      <w:sz w:val="24"/>
      <w:szCs w:val="28"/>
    </w:rPr>
  </w:style>
  <w:style w:type="character" w:customStyle="1" w:styleId="136">
    <w:name w:val="bds_more10"/>
    <w:autoRedefine/>
    <w:qFormat/>
    <w:uiPriority w:val="0"/>
    <w:rPr>
      <w:rFonts w:ascii="Times New Roman" w:hAnsi="Times New Roman" w:eastAsia="宋体"/>
    </w:rPr>
  </w:style>
  <w:style w:type="character" w:customStyle="1" w:styleId="137">
    <w:name w:val="普通文字1 Char"/>
    <w:autoRedefine/>
    <w:qFormat/>
    <w:uiPriority w:val="0"/>
    <w:rPr>
      <w:rFonts w:ascii="宋体" w:hAnsi="Courier New" w:eastAsia="宋体" w:cs="Courier New"/>
      <w:kern w:val="2"/>
      <w:sz w:val="21"/>
      <w:szCs w:val="21"/>
      <w:lang w:val="en-US" w:eastAsia="zh-CN" w:bidi="ar-SA"/>
    </w:rPr>
  </w:style>
  <w:style w:type="character" w:customStyle="1" w:styleId="138">
    <w:name w:val="bds_nopic1"/>
    <w:autoRedefine/>
    <w:qFormat/>
    <w:uiPriority w:val="0"/>
    <w:rPr>
      <w:rFonts w:ascii="Times New Roman" w:hAnsi="Times New Roman" w:eastAsia="宋体"/>
    </w:rPr>
  </w:style>
  <w:style w:type="character" w:customStyle="1" w:styleId="139">
    <w:name w:val="标题 3 Char"/>
    <w:autoRedefine/>
    <w:qFormat/>
    <w:uiPriority w:val="0"/>
    <w:rPr>
      <w:b/>
      <w:bCs/>
      <w:sz w:val="24"/>
      <w:szCs w:val="24"/>
    </w:rPr>
  </w:style>
  <w:style w:type="character" w:customStyle="1" w:styleId="140">
    <w:name w:val="Font Style124"/>
    <w:autoRedefine/>
    <w:unhideWhenUsed/>
    <w:qFormat/>
    <w:uiPriority w:val="0"/>
    <w:rPr>
      <w:rFonts w:hint="eastAsia" w:ascii="宋体" w:hAnsi="宋体" w:eastAsia="宋体"/>
      <w:spacing w:val="30"/>
      <w:sz w:val="24"/>
    </w:rPr>
  </w:style>
  <w:style w:type="character" w:customStyle="1" w:styleId="141">
    <w:name w:val="正文文本缩进 3 Char"/>
    <w:autoRedefine/>
    <w:qFormat/>
    <w:uiPriority w:val="0"/>
    <w:rPr>
      <w:rFonts w:ascii="宋体" w:hAnsi="MS Sans Serif"/>
      <w:color w:val="000000"/>
      <w:sz w:val="24"/>
    </w:rPr>
  </w:style>
  <w:style w:type="character" w:customStyle="1" w:styleId="142">
    <w:name w:val="font21"/>
    <w:basedOn w:val="48"/>
    <w:autoRedefine/>
    <w:qFormat/>
    <w:uiPriority w:val="0"/>
    <w:rPr>
      <w:rFonts w:hint="eastAsia" w:ascii="宋体" w:hAnsi="宋体" w:eastAsia="宋体" w:cs="宋体"/>
      <w:color w:val="333333"/>
      <w:sz w:val="18"/>
      <w:szCs w:val="18"/>
      <w:u w:val="none"/>
      <w:vertAlign w:val="superscript"/>
    </w:rPr>
  </w:style>
  <w:style w:type="character" w:customStyle="1" w:styleId="143">
    <w:name w:val="zzi1"/>
    <w:autoRedefine/>
    <w:qFormat/>
    <w:uiPriority w:val="0"/>
    <w:rPr>
      <w:rFonts w:ascii="Tahoma" w:hAnsi="Tahoma" w:cs="仿宋_GB2312"/>
      <w:sz w:val="22"/>
      <w:szCs w:val="22"/>
    </w:rPr>
  </w:style>
  <w:style w:type="character" w:customStyle="1" w:styleId="144">
    <w:name w:val="Font Style125"/>
    <w:autoRedefine/>
    <w:unhideWhenUsed/>
    <w:qFormat/>
    <w:uiPriority w:val="0"/>
    <w:rPr>
      <w:rFonts w:hint="eastAsia" w:ascii="宋体" w:hAnsi="宋体" w:eastAsia="宋体"/>
      <w:b/>
      <w:sz w:val="26"/>
    </w:rPr>
  </w:style>
  <w:style w:type="character" w:customStyle="1" w:styleId="145">
    <w:name w:val="font11"/>
    <w:basedOn w:val="48"/>
    <w:autoRedefine/>
    <w:qFormat/>
    <w:uiPriority w:val="0"/>
    <w:rPr>
      <w:rFonts w:hint="default" w:ascii="Times New Roman" w:hAnsi="Times New Roman" w:cs="Times New Roman"/>
      <w:b/>
      <w:color w:val="000000"/>
      <w:sz w:val="21"/>
      <w:szCs w:val="21"/>
      <w:u w:val="none"/>
    </w:rPr>
  </w:style>
  <w:style w:type="character" w:customStyle="1" w:styleId="146">
    <w:name w:val="polysemyexp"/>
    <w:autoRedefine/>
    <w:qFormat/>
    <w:uiPriority w:val="0"/>
    <w:rPr>
      <w:rFonts w:ascii="Times New Roman" w:hAnsi="Times New Roman" w:eastAsia="宋体"/>
      <w:color w:val="AAAAAA"/>
      <w:sz w:val="18"/>
      <w:szCs w:val="18"/>
    </w:rPr>
  </w:style>
  <w:style w:type="character" w:customStyle="1" w:styleId="147">
    <w:name w:val="Font Style115"/>
    <w:autoRedefine/>
    <w:unhideWhenUsed/>
    <w:qFormat/>
    <w:uiPriority w:val="0"/>
    <w:rPr>
      <w:rFonts w:hint="eastAsia" w:ascii="Times New Roman" w:hAnsi="Times New Roman" w:eastAsia="Times New Roman"/>
      <w:sz w:val="16"/>
    </w:rPr>
  </w:style>
  <w:style w:type="character" w:customStyle="1" w:styleId="148">
    <w:name w:val="Font Style123"/>
    <w:autoRedefine/>
    <w:unhideWhenUsed/>
    <w:qFormat/>
    <w:uiPriority w:val="0"/>
    <w:rPr>
      <w:rFonts w:hint="eastAsia" w:ascii="宋体" w:hAnsi="宋体" w:eastAsia="宋体"/>
      <w:b/>
      <w:sz w:val="32"/>
    </w:rPr>
  </w:style>
  <w:style w:type="character" w:customStyle="1" w:styleId="149">
    <w:name w:val="标题 4 Char"/>
    <w:autoRedefine/>
    <w:qFormat/>
    <w:uiPriority w:val="0"/>
    <w:rPr>
      <w:rFonts w:ascii="Arial" w:hAnsi="Arial" w:eastAsia="宋体" w:cs="Times New Roman"/>
      <w:b/>
      <w:bCs/>
      <w:szCs w:val="28"/>
    </w:rPr>
  </w:style>
  <w:style w:type="character" w:customStyle="1" w:styleId="150">
    <w:name w:val="日期 Char"/>
    <w:autoRedefine/>
    <w:qFormat/>
    <w:uiPriority w:val="0"/>
    <w:rPr>
      <w:kern w:val="2"/>
      <w:sz w:val="21"/>
      <w:szCs w:val="24"/>
    </w:rPr>
  </w:style>
  <w:style w:type="character" w:customStyle="1" w:styleId="151">
    <w:name w:val="Heading 2 Hidden Char"/>
    <w:autoRedefine/>
    <w:qFormat/>
    <w:uiPriority w:val="0"/>
    <w:rPr>
      <w:rFonts w:ascii="Arial" w:hAnsi="Arial" w:eastAsia="宋体"/>
      <w:b/>
      <w:bCs/>
      <w:kern w:val="2"/>
      <w:sz w:val="24"/>
      <w:szCs w:val="32"/>
      <w:lang w:val="en-US" w:eastAsia="zh-CN" w:bidi="ar-SA"/>
    </w:rPr>
  </w:style>
  <w:style w:type="character" w:customStyle="1" w:styleId="152">
    <w:name w:val="标题 Char"/>
    <w:autoRedefine/>
    <w:qFormat/>
    <w:uiPriority w:val="0"/>
    <w:rPr>
      <w:rFonts w:ascii="Cambria" w:hAnsi="Cambria"/>
      <w:b/>
      <w:kern w:val="2"/>
      <w:sz w:val="32"/>
      <w:szCs w:val="24"/>
    </w:rPr>
  </w:style>
  <w:style w:type="character" w:customStyle="1" w:styleId="153">
    <w:name w:val="Font Style105"/>
    <w:autoRedefine/>
    <w:unhideWhenUsed/>
    <w:qFormat/>
    <w:uiPriority w:val="0"/>
    <w:rPr>
      <w:rFonts w:hint="eastAsia" w:ascii="Times New Roman" w:hAnsi="Times New Roman" w:eastAsia="Times New Roman"/>
      <w:w w:val="60"/>
      <w:sz w:val="26"/>
    </w:rPr>
  </w:style>
  <w:style w:type="character" w:customStyle="1" w:styleId="154">
    <w:name w:val="标题 2 Char"/>
    <w:autoRedefine/>
    <w:qFormat/>
    <w:uiPriority w:val="0"/>
    <w:rPr>
      <w:rFonts w:ascii="Cambria" w:hAnsi="Cambria" w:eastAsia="宋体" w:cs="Times New Roman"/>
      <w:b/>
      <w:bCs/>
      <w:kern w:val="2"/>
      <w:sz w:val="32"/>
      <w:szCs w:val="32"/>
    </w:rPr>
  </w:style>
  <w:style w:type="character" w:customStyle="1" w:styleId="155">
    <w:name w:val="sidecatalog-dot1"/>
    <w:autoRedefine/>
    <w:qFormat/>
    <w:uiPriority w:val="0"/>
    <w:rPr>
      <w:rFonts w:ascii="Times New Roman" w:hAnsi="Times New Roman" w:eastAsia="宋体"/>
    </w:rPr>
  </w:style>
  <w:style w:type="character" w:customStyle="1" w:styleId="156">
    <w:name w:val="Font Style133"/>
    <w:autoRedefine/>
    <w:unhideWhenUsed/>
    <w:qFormat/>
    <w:uiPriority w:val="0"/>
    <w:rPr>
      <w:rFonts w:hint="eastAsia" w:ascii="宋体" w:hAnsi="宋体" w:eastAsia="宋体"/>
      <w:spacing w:val="30"/>
      <w:sz w:val="24"/>
    </w:rPr>
  </w:style>
  <w:style w:type="character" w:customStyle="1" w:styleId="157">
    <w:name w:val="标题 8 Char"/>
    <w:autoRedefine/>
    <w:qFormat/>
    <w:uiPriority w:val="0"/>
    <w:rPr>
      <w:rFonts w:ascii="Arial" w:hAnsi="Arial" w:eastAsia="黑体"/>
      <w:sz w:val="24"/>
      <w:szCs w:val="24"/>
    </w:rPr>
  </w:style>
  <w:style w:type="character" w:customStyle="1" w:styleId="158">
    <w:name w:val="bds_nopic"/>
    <w:autoRedefine/>
    <w:qFormat/>
    <w:uiPriority w:val="0"/>
    <w:rPr>
      <w:rFonts w:ascii="Times New Roman" w:hAnsi="Times New Roman" w:eastAsia="宋体"/>
    </w:rPr>
  </w:style>
  <w:style w:type="character" w:customStyle="1" w:styleId="159">
    <w:name w:val="sort1"/>
    <w:autoRedefine/>
    <w:qFormat/>
    <w:uiPriority w:val="0"/>
    <w:rPr>
      <w:rFonts w:ascii="Times New Roman" w:hAnsi="Times New Roman" w:eastAsia="宋体"/>
    </w:rPr>
  </w:style>
  <w:style w:type="character" w:customStyle="1" w:styleId="160">
    <w:name w:val="font61"/>
    <w:basedOn w:val="48"/>
    <w:autoRedefine/>
    <w:qFormat/>
    <w:uiPriority w:val="0"/>
    <w:rPr>
      <w:rFonts w:hint="eastAsia" w:ascii="宋体" w:hAnsi="宋体" w:eastAsia="宋体" w:cs="宋体"/>
      <w:color w:val="333333"/>
      <w:sz w:val="18"/>
      <w:szCs w:val="18"/>
      <w:u w:val="none"/>
    </w:rPr>
  </w:style>
  <w:style w:type="character" w:customStyle="1" w:styleId="161">
    <w:name w:val="Char Char6"/>
    <w:autoRedefine/>
    <w:qFormat/>
    <w:uiPriority w:val="0"/>
    <w:rPr>
      <w:rFonts w:ascii="Arial" w:hAnsi="Arial" w:eastAsia="黑体"/>
      <w:sz w:val="24"/>
      <w:szCs w:val="24"/>
      <w:lang w:val="en-US" w:eastAsia="zh-CN" w:bidi="ar-SA"/>
    </w:rPr>
  </w:style>
  <w:style w:type="character" w:customStyle="1" w:styleId="162">
    <w:name w:val="Font Style86"/>
    <w:autoRedefine/>
    <w:unhideWhenUsed/>
    <w:qFormat/>
    <w:uiPriority w:val="0"/>
    <w:rPr>
      <w:rFonts w:hint="eastAsia" w:ascii="黑体" w:hAnsi="黑体" w:eastAsia="黑体"/>
      <w:spacing w:val="10"/>
      <w:sz w:val="30"/>
    </w:rPr>
  </w:style>
  <w:style w:type="character" w:customStyle="1" w:styleId="163">
    <w:name w:val="10_2_2"/>
    <w:autoRedefine/>
    <w:qFormat/>
    <w:uiPriority w:val="0"/>
    <w:rPr>
      <w:rFonts w:hint="default" w:ascii="Times New Roman" w:hAnsi="Times New Roman" w:cs="Times New Roman"/>
      <w:sz w:val="20"/>
      <w:szCs w:val="20"/>
    </w:rPr>
  </w:style>
  <w:style w:type="character" w:customStyle="1" w:styleId="164">
    <w:name w:val="sort"/>
    <w:autoRedefine/>
    <w:qFormat/>
    <w:uiPriority w:val="0"/>
    <w:rPr>
      <w:rFonts w:ascii="Times New Roman" w:hAnsi="Times New Roman" w:eastAsia="宋体"/>
      <w:color w:val="FFFFFF"/>
      <w:bdr w:val="single" w:color="auto" w:sz="24" w:space="0"/>
    </w:rPr>
  </w:style>
  <w:style w:type="character" w:customStyle="1" w:styleId="165">
    <w:name w:val="标题 7 Char"/>
    <w:autoRedefine/>
    <w:qFormat/>
    <w:uiPriority w:val="0"/>
    <w:rPr>
      <w:b/>
      <w:bCs/>
      <w:sz w:val="24"/>
      <w:szCs w:val="24"/>
    </w:rPr>
  </w:style>
  <w:style w:type="character" w:customStyle="1" w:styleId="166">
    <w:name w:val="纯文本 字符1"/>
    <w:autoRedefine/>
    <w:qFormat/>
    <w:locked/>
    <w:uiPriority w:val="0"/>
    <w:rPr>
      <w:kern w:val="2"/>
      <w:sz w:val="24"/>
    </w:rPr>
  </w:style>
  <w:style w:type="character" w:customStyle="1" w:styleId="167">
    <w:name w:val="bds_more6"/>
    <w:autoRedefine/>
    <w:qFormat/>
    <w:uiPriority w:val="0"/>
    <w:rPr>
      <w:rFonts w:hint="eastAsia" w:ascii="宋体" w:hAnsi="宋体" w:eastAsia="宋体" w:cs="宋体"/>
    </w:rPr>
  </w:style>
  <w:style w:type="character" w:customStyle="1" w:styleId="168">
    <w:name w:val="页眉 Char"/>
    <w:autoRedefine/>
    <w:qFormat/>
    <w:uiPriority w:val="0"/>
    <w:rPr>
      <w:kern w:val="2"/>
      <w:sz w:val="18"/>
      <w:szCs w:val="18"/>
    </w:rPr>
  </w:style>
  <w:style w:type="character" w:customStyle="1" w:styleId="169">
    <w:name w:val="样式2 Char Char"/>
    <w:autoRedefine/>
    <w:qFormat/>
    <w:uiPriority w:val="0"/>
    <w:rPr>
      <w:rFonts w:eastAsia="宋体"/>
      <w:kern w:val="2"/>
      <w:sz w:val="18"/>
      <w:szCs w:val="18"/>
      <w:lang w:val="en-US" w:eastAsia="zh-CN" w:bidi="ar-SA"/>
    </w:rPr>
  </w:style>
  <w:style w:type="character" w:customStyle="1" w:styleId="170">
    <w:name w:val="Font Style134"/>
    <w:autoRedefine/>
    <w:unhideWhenUsed/>
    <w:qFormat/>
    <w:uiPriority w:val="0"/>
    <w:rPr>
      <w:rFonts w:hint="eastAsia" w:ascii="宋体" w:hAnsi="宋体" w:eastAsia="宋体"/>
      <w:spacing w:val="20"/>
      <w:sz w:val="22"/>
    </w:rPr>
  </w:style>
  <w:style w:type="paragraph" w:customStyle="1" w:styleId="171">
    <w:name w:val="Char1 Char Char Char"/>
    <w:basedOn w:val="1"/>
    <w:autoRedefine/>
    <w:qFormat/>
    <w:uiPriority w:val="0"/>
    <w:pPr>
      <w:widowControl/>
      <w:spacing w:after="160" w:line="240" w:lineRule="exact"/>
      <w:jc w:val="left"/>
    </w:pPr>
    <w:rPr>
      <w:kern w:val="0"/>
      <w:sz w:val="24"/>
      <w:szCs w:val="20"/>
    </w:rPr>
  </w:style>
  <w:style w:type="paragraph" w:customStyle="1" w:styleId="172">
    <w:name w:val="Char Char Char Char Char Char Char"/>
    <w:basedOn w:val="1"/>
    <w:autoRedefine/>
    <w:qFormat/>
    <w:uiPriority w:val="0"/>
    <w:pPr>
      <w:snapToGrid w:val="0"/>
      <w:spacing w:line="360" w:lineRule="auto"/>
      <w:ind w:firstLine="200" w:firstLineChars="200"/>
    </w:pPr>
    <w:rPr>
      <w:rFonts w:eastAsia="仿宋_GB2312"/>
      <w:sz w:val="24"/>
    </w:rPr>
  </w:style>
  <w:style w:type="paragraph" w:customStyle="1" w:styleId="173">
    <w:name w:val="Char Char1 Char Char Char Char Char1 Char Char Char Char"/>
    <w:basedOn w:val="13"/>
    <w:autoRedefine/>
    <w:qFormat/>
    <w:uiPriority w:val="0"/>
    <w:rPr>
      <w:rFonts w:ascii="Tahoma" w:hAnsi="Tahoma"/>
    </w:rPr>
  </w:style>
  <w:style w:type="paragraph" w:customStyle="1" w:styleId="174">
    <w:name w:val="Style26"/>
    <w:basedOn w:val="1"/>
    <w:autoRedefine/>
    <w:unhideWhenUsed/>
    <w:qFormat/>
    <w:uiPriority w:val="0"/>
  </w:style>
  <w:style w:type="paragraph" w:customStyle="1" w:styleId="175">
    <w:name w:val="1"/>
    <w:basedOn w:val="1"/>
    <w:autoRedefine/>
    <w:qFormat/>
    <w:uiPriority w:val="0"/>
    <w:pPr>
      <w:spacing w:after="156" w:afterLines="50" w:line="360" w:lineRule="auto"/>
    </w:pPr>
    <w:rPr>
      <w:rFonts w:ascii="宋体" w:hAnsi="宋体"/>
      <w:b/>
      <w:sz w:val="30"/>
      <w:szCs w:val="21"/>
    </w:rPr>
  </w:style>
  <w:style w:type="paragraph" w:customStyle="1" w:styleId="176">
    <w:name w:val="xl31"/>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77">
    <w:name w:val="Style11"/>
    <w:basedOn w:val="1"/>
    <w:autoRedefine/>
    <w:unhideWhenUsed/>
    <w:qFormat/>
    <w:uiPriority w:val="0"/>
    <w:pPr>
      <w:spacing w:line="559" w:lineRule="exact"/>
      <w:ind w:firstLine="590"/>
    </w:pPr>
  </w:style>
  <w:style w:type="paragraph" w:customStyle="1" w:styleId="178">
    <w:name w:val="样式1"/>
    <w:basedOn w:val="1"/>
    <w:autoRedefine/>
    <w:qFormat/>
    <w:uiPriority w:val="0"/>
    <w:pPr>
      <w:tabs>
        <w:tab w:val="left" w:pos="360"/>
      </w:tabs>
      <w:adjustRightInd w:val="0"/>
      <w:ind w:left="360" w:hanging="360"/>
      <w:textAlignment w:val="baseline"/>
    </w:pPr>
    <w:rPr>
      <w:rFonts w:ascii="宋体" w:hAnsi="宋体"/>
      <w:kern w:val="0"/>
      <w:szCs w:val="21"/>
    </w:rPr>
  </w:style>
  <w:style w:type="paragraph" w:customStyle="1" w:styleId="179">
    <w:name w:val="Char Char Char1 Char"/>
    <w:basedOn w:val="1"/>
    <w:autoRedefine/>
    <w:qFormat/>
    <w:uiPriority w:val="0"/>
    <w:pPr>
      <w:tabs>
        <w:tab w:val="left" w:pos="360"/>
      </w:tabs>
      <w:snapToGrid w:val="0"/>
      <w:spacing w:line="360" w:lineRule="auto"/>
    </w:pPr>
    <w:rPr>
      <w:rFonts w:eastAsia="仿宋_GB2312" w:cs="宋体"/>
      <w:sz w:val="24"/>
    </w:rPr>
  </w:style>
  <w:style w:type="paragraph" w:customStyle="1" w:styleId="180">
    <w:name w:val="Char1 Char Char Char 字元 Char Char 字元 Char 字元 Char1 Char Char Char"/>
    <w:basedOn w:val="1"/>
    <w:autoRedefine/>
    <w:qFormat/>
    <w:uiPriority w:val="0"/>
    <w:rPr>
      <w:szCs w:val="20"/>
    </w:rPr>
  </w:style>
  <w:style w:type="paragraph" w:customStyle="1" w:styleId="181">
    <w:name w:val="Style48"/>
    <w:basedOn w:val="1"/>
    <w:autoRedefine/>
    <w:unhideWhenUsed/>
    <w:qFormat/>
    <w:uiPriority w:val="0"/>
    <w:pPr>
      <w:spacing w:line="542" w:lineRule="exact"/>
      <w:jc w:val="right"/>
    </w:pPr>
  </w:style>
  <w:style w:type="paragraph" w:customStyle="1" w:styleId="182">
    <w:name w:val="Style64"/>
    <w:basedOn w:val="1"/>
    <w:autoRedefine/>
    <w:unhideWhenUsed/>
    <w:qFormat/>
    <w:uiPriority w:val="0"/>
  </w:style>
  <w:style w:type="paragraph" w:customStyle="1" w:styleId="183">
    <w:name w:val="Style73"/>
    <w:basedOn w:val="1"/>
    <w:autoRedefine/>
    <w:unhideWhenUsed/>
    <w:qFormat/>
    <w:uiPriority w:val="0"/>
    <w:pPr>
      <w:spacing w:line="538" w:lineRule="exact"/>
      <w:ind w:firstLine="533"/>
    </w:pPr>
  </w:style>
  <w:style w:type="paragraph" w:customStyle="1" w:styleId="184">
    <w:name w:val="Style58"/>
    <w:basedOn w:val="1"/>
    <w:autoRedefine/>
    <w:unhideWhenUsed/>
    <w:qFormat/>
    <w:uiPriority w:val="0"/>
    <w:pPr>
      <w:spacing w:line="413" w:lineRule="exact"/>
    </w:pPr>
  </w:style>
  <w:style w:type="paragraph" w:customStyle="1" w:styleId="185">
    <w:name w:val="p18_1_2"/>
    <w:basedOn w:val="1"/>
    <w:autoRedefine/>
    <w:qFormat/>
    <w:uiPriority w:val="0"/>
    <w:pPr>
      <w:widowControl/>
    </w:pPr>
    <w:rPr>
      <w:kern w:val="0"/>
      <w:szCs w:val="21"/>
    </w:rPr>
  </w:style>
  <w:style w:type="paragraph" w:customStyle="1" w:styleId="186">
    <w:name w:val="样式 样式 样式 样式 标题 2 + 宋体 五号 非加粗 黑色 + 段前: 6 磅 段后: 0 磅 行距: 单倍行距 + 段前:..."/>
    <w:basedOn w:val="1"/>
    <w:autoRedefine/>
    <w:qFormat/>
    <w:uiPriority w:val="0"/>
    <w:pPr>
      <w:keepNext/>
      <w:keepLines/>
      <w:tabs>
        <w:tab w:val="left" w:pos="840"/>
      </w:tabs>
      <w:adjustRightInd w:val="0"/>
      <w:spacing w:before="240"/>
      <w:ind w:left="840" w:hanging="420"/>
      <w:jc w:val="left"/>
      <w:textAlignment w:val="baseline"/>
      <w:outlineLvl w:val="1"/>
    </w:pPr>
    <w:rPr>
      <w:rFonts w:ascii="宋体" w:hAnsi="宋体"/>
      <w:b/>
      <w:bCs/>
      <w:color w:val="000000"/>
      <w:kern w:val="0"/>
      <w:szCs w:val="20"/>
    </w:rPr>
  </w:style>
  <w:style w:type="paragraph" w:customStyle="1" w:styleId="187">
    <w:name w:val="Style70"/>
    <w:basedOn w:val="1"/>
    <w:autoRedefine/>
    <w:unhideWhenUsed/>
    <w:qFormat/>
    <w:uiPriority w:val="0"/>
    <w:pPr>
      <w:spacing w:line="549" w:lineRule="exact"/>
      <w:ind w:firstLine="686"/>
    </w:pPr>
  </w:style>
  <w:style w:type="paragraph" w:customStyle="1" w:styleId="188">
    <w:name w:val="表格内容"/>
    <w:basedOn w:val="18"/>
    <w:autoRedefine/>
    <w:qFormat/>
    <w:uiPriority w:val="0"/>
    <w:pPr>
      <w:suppressLineNumbers/>
      <w:suppressAutoHyphens/>
    </w:pPr>
    <w:rPr>
      <w:rFonts w:cs="Tahoma"/>
      <w:kern w:val="0"/>
      <w:sz w:val="24"/>
    </w:rPr>
  </w:style>
  <w:style w:type="paragraph" w:customStyle="1" w:styleId="189">
    <w:name w:val="Style56"/>
    <w:basedOn w:val="1"/>
    <w:autoRedefine/>
    <w:unhideWhenUsed/>
    <w:qFormat/>
    <w:uiPriority w:val="0"/>
  </w:style>
  <w:style w:type="paragraph" w:customStyle="1" w:styleId="190">
    <w:name w:val="Style21"/>
    <w:basedOn w:val="1"/>
    <w:autoRedefine/>
    <w:unhideWhenUsed/>
    <w:qFormat/>
    <w:uiPriority w:val="0"/>
    <w:pPr>
      <w:spacing w:line="566" w:lineRule="exact"/>
      <w:ind w:firstLine="682"/>
    </w:pPr>
  </w:style>
  <w:style w:type="paragraph" w:customStyle="1" w:styleId="191">
    <w:name w:val="附录标识"/>
    <w:basedOn w:val="192"/>
    <w:autoRedefine/>
    <w:qFormat/>
    <w:uiPriority w:val="0"/>
    <w:pPr>
      <w:tabs>
        <w:tab w:val="left" w:pos="360"/>
        <w:tab w:val="left" w:pos="720"/>
        <w:tab w:val="left" w:pos="6405"/>
      </w:tabs>
      <w:spacing w:after="200"/>
    </w:pPr>
    <w:rPr>
      <w:sz w:val="21"/>
    </w:rPr>
  </w:style>
  <w:style w:type="paragraph" w:customStyle="1" w:styleId="192">
    <w:name w:val="前言、引言标题"/>
    <w:next w:val="1"/>
    <w:autoRedefine/>
    <w:qFormat/>
    <w:uiPriority w:val="0"/>
    <w:pPr>
      <w:shd w:val="clear" w:color="FFFFFF" w:fill="FFFFFF"/>
      <w:tabs>
        <w:tab w:val="left" w:pos="360"/>
        <w:tab w:val="left" w:pos="720"/>
      </w:tabs>
      <w:spacing w:before="640" w:after="560"/>
      <w:ind w:left="720" w:hanging="720"/>
      <w:jc w:val="center"/>
      <w:outlineLvl w:val="0"/>
    </w:pPr>
    <w:rPr>
      <w:rFonts w:ascii="黑体" w:hAnsi="Times New Roman" w:eastAsia="黑体" w:cs="Times New Roman"/>
      <w:sz w:val="32"/>
      <w:lang w:val="en-US" w:eastAsia="zh-CN" w:bidi="ar-SA"/>
    </w:rPr>
  </w:style>
  <w:style w:type="paragraph" w:customStyle="1" w:styleId="193">
    <w:name w:val="reader-word-layer reader-word-s1-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94">
    <w:name w:val="Style53"/>
    <w:basedOn w:val="1"/>
    <w:autoRedefine/>
    <w:unhideWhenUsed/>
    <w:qFormat/>
    <w:uiPriority w:val="0"/>
    <w:pPr>
      <w:spacing w:line="533" w:lineRule="exact"/>
      <w:ind w:firstLine="581"/>
    </w:pPr>
  </w:style>
  <w:style w:type="paragraph" w:customStyle="1" w:styleId="195">
    <w:name w:val="Style52"/>
    <w:basedOn w:val="1"/>
    <w:autoRedefine/>
    <w:unhideWhenUsed/>
    <w:qFormat/>
    <w:uiPriority w:val="0"/>
    <w:pPr>
      <w:spacing w:line="682" w:lineRule="exact"/>
      <w:ind w:firstLine="557"/>
    </w:pPr>
  </w:style>
  <w:style w:type="paragraph" w:customStyle="1" w:styleId="196">
    <w:name w:val="Style81"/>
    <w:basedOn w:val="1"/>
    <w:autoRedefine/>
    <w:unhideWhenUsed/>
    <w:qFormat/>
    <w:uiPriority w:val="0"/>
    <w:pPr>
      <w:spacing w:line="547" w:lineRule="exact"/>
    </w:pPr>
  </w:style>
  <w:style w:type="paragraph" w:customStyle="1" w:styleId="197">
    <w:name w:val="Char Char Char"/>
    <w:basedOn w:val="1"/>
    <w:autoRedefine/>
    <w:qFormat/>
    <w:uiPriority w:val="0"/>
    <w:rPr>
      <w:rFonts w:ascii="宋体" w:hAnsi="宋体"/>
      <w:b/>
      <w:sz w:val="28"/>
      <w:szCs w:val="28"/>
    </w:rPr>
  </w:style>
  <w:style w:type="paragraph" w:customStyle="1" w:styleId="198">
    <w:name w:val="默认段落字体 Para Char Char Char Char Char Char Char Char Char1 Char Char Char Char"/>
    <w:basedOn w:val="1"/>
    <w:autoRedefine/>
    <w:qFormat/>
    <w:uiPriority w:val="0"/>
    <w:rPr>
      <w:rFonts w:ascii="Tahoma" w:hAnsi="Tahoma"/>
      <w:sz w:val="24"/>
      <w:szCs w:val="20"/>
    </w:rPr>
  </w:style>
  <w:style w:type="paragraph" w:customStyle="1" w:styleId="199">
    <w:name w:val="Style36"/>
    <w:basedOn w:val="1"/>
    <w:autoRedefine/>
    <w:unhideWhenUsed/>
    <w:qFormat/>
    <w:uiPriority w:val="0"/>
  </w:style>
  <w:style w:type="paragraph" w:customStyle="1" w:styleId="200">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201">
    <w:name w:val="Char Char1 Char Char Char Char Char Char Char Char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02">
    <w:name w:val="Style46"/>
    <w:basedOn w:val="1"/>
    <w:autoRedefine/>
    <w:unhideWhenUsed/>
    <w:qFormat/>
    <w:uiPriority w:val="0"/>
    <w:pPr>
      <w:spacing w:line="672" w:lineRule="exact"/>
    </w:pPr>
  </w:style>
  <w:style w:type="paragraph" w:customStyle="1" w:styleId="203">
    <w:name w:val="1 Char Char Char Char"/>
    <w:basedOn w:val="1"/>
    <w:autoRedefine/>
    <w:qFormat/>
    <w:uiPriority w:val="0"/>
  </w:style>
  <w:style w:type="paragraph" w:customStyle="1" w:styleId="204">
    <w:name w:val="默认段落字体 Para Char Char Char Char Char Char Char"/>
    <w:basedOn w:val="1"/>
    <w:autoRedefine/>
    <w:qFormat/>
    <w:uiPriority w:val="0"/>
    <w:pPr>
      <w:adjustRightInd w:val="0"/>
      <w:spacing w:line="360" w:lineRule="atLeast"/>
      <w:jc w:val="left"/>
      <w:textAlignment w:val="baseline"/>
    </w:pPr>
    <w:rPr>
      <w:kern w:val="0"/>
      <w:sz w:val="24"/>
      <w:szCs w:val="20"/>
    </w:rPr>
  </w:style>
  <w:style w:type="paragraph" w:customStyle="1" w:styleId="205">
    <w:name w:val="p15"/>
    <w:basedOn w:val="1"/>
    <w:autoRedefine/>
    <w:qFormat/>
    <w:uiPriority w:val="0"/>
    <w:pPr>
      <w:widowControl/>
      <w:spacing w:line="220" w:lineRule="atLeast"/>
      <w:jc w:val="center"/>
    </w:pPr>
    <w:rPr>
      <w:rFonts w:ascii="仿宋_GB2312" w:hAnsi="宋体" w:eastAsia="仿宋_GB2312" w:cs="宋体"/>
      <w:kern w:val="0"/>
      <w:szCs w:val="21"/>
    </w:rPr>
  </w:style>
  <w:style w:type="paragraph" w:customStyle="1" w:styleId="206">
    <w:name w:val="Style13"/>
    <w:basedOn w:val="1"/>
    <w:autoRedefine/>
    <w:unhideWhenUsed/>
    <w:qFormat/>
    <w:uiPriority w:val="0"/>
  </w:style>
  <w:style w:type="paragraph" w:customStyle="1" w:styleId="207">
    <w:name w:val="NO3"/>
    <w:basedOn w:val="1"/>
    <w:autoRedefine/>
    <w:qFormat/>
    <w:uiPriority w:val="0"/>
    <w:pPr>
      <w:tabs>
        <w:tab w:val="left" w:pos="907"/>
      </w:tabs>
      <w:spacing w:line="360" w:lineRule="auto"/>
    </w:pPr>
    <w:rPr>
      <w:rFonts w:ascii="宋体" w:hAnsi="宋体"/>
      <w:sz w:val="24"/>
    </w:rPr>
  </w:style>
  <w:style w:type="paragraph" w:customStyle="1" w:styleId="208">
    <w:name w:val="Style72"/>
    <w:basedOn w:val="1"/>
    <w:autoRedefine/>
    <w:unhideWhenUsed/>
    <w:qFormat/>
    <w:uiPriority w:val="0"/>
  </w:style>
  <w:style w:type="paragraph" w:customStyle="1" w:styleId="209">
    <w:name w:val="Style16"/>
    <w:basedOn w:val="1"/>
    <w:autoRedefine/>
    <w:unhideWhenUsed/>
    <w:qFormat/>
    <w:uiPriority w:val="0"/>
    <w:pPr>
      <w:jc w:val="right"/>
    </w:pPr>
  </w:style>
  <w:style w:type="paragraph" w:customStyle="1" w:styleId="210">
    <w:name w:val="Style24"/>
    <w:basedOn w:val="1"/>
    <w:autoRedefine/>
    <w:unhideWhenUsed/>
    <w:qFormat/>
    <w:uiPriority w:val="0"/>
  </w:style>
  <w:style w:type="paragraph" w:customStyle="1" w:styleId="211">
    <w:name w:val="表正文"/>
    <w:autoRedefine/>
    <w:qFormat/>
    <w:uiPriority w:val="0"/>
    <w:pPr>
      <w:widowControl w:val="0"/>
      <w:ind w:left="840" w:leftChars="350"/>
      <w:jc w:val="both"/>
      <w:outlineLvl w:val="0"/>
    </w:pPr>
    <w:rPr>
      <w:rFonts w:ascii="宋体" w:hAnsi="Times New Roman" w:eastAsia="宋体" w:cs="Times New Roman"/>
      <w:b/>
      <w:sz w:val="24"/>
      <w:lang w:val="en-US" w:eastAsia="zh-CN" w:bidi="ar-SA"/>
    </w:rPr>
  </w:style>
  <w:style w:type="paragraph" w:customStyle="1" w:styleId="212">
    <w:name w:val="标题2"/>
    <w:basedOn w:val="43"/>
    <w:autoRedefine/>
    <w:qFormat/>
    <w:uiPriority w:val="0"/>
    <w:pPr>
      <w:spacing w:after="240"/>
      <w:jc w:val="left"/>
    </w:pPr>
    <w:rPr>
      <w:sz w:val="30"/>
    </w:rPr>
  </w:style>
  <w:style w:type="paragraph" w:customStyle="1" w:styleId="213">
    <w:name w:val="正文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4">
    <w:name w:val="Style29"/>
    <w:basedOn w:val="1"/>
    <w:autoRedefine/>
    <w:unhideWhenUsed/>
    <w:qFormat/>
    <w:uiPriority w:val="0"/>
    <w:pPr>
      <w:spacing w:line="547" w:lineRule="exact"/>
      <w:ind w:firstLine="547"/>
    </w:pPr>
  </w:style>
  <w:style w:type="paragraph" w:customStyle="1" w:styleId="215">
    <w:name w:val="Char Char1 Char Char Char Char Char Char Char"/>
    <w:basedOn w:val="1"/>
    <w:autoRedefine/>
    <w:qFormat/>
    <w:uiPriority w:val="0"/>
    <w:pPr>
      <w:widowControl/>
      <w:spacing w:after="160" w:line="240" w:lineRule="exact"/>
      <w:jc w:val="left"/>
    </w:pPr>
  </w:style>
  <w:style w:type="paragraph" w:customStyle="1" w:styleId="216">
    <w:name w:val="列表段落1"/>
    <w:basedOn w:val="1"/>
    <w:autoRedefine/>
    <w:qFormat/>
    <w:uiPriority w:val="0"/>
    <w:pPr>
      <w:ind w:firstLine="420" w:firstLineChars="200"/>
    </w:pPr>
    <w:rPr>
      <w:rFonts w:ascii="Calibri" w:hAnsi="Calibri" w:cs="Calibri"/>
      <w:szCs w:val="21"/>
    </w:rPr>
  </w:style>
  <w:style w:type="paragraph" w:customStyle="1" w:styleId="217">
    <w:name w:val="Style61"/>
    <w:basedOn w:val="1"/>
    <w:autoRedefine/>
    <w:unhideWhenUsed/>
    <w:qFormat/>
    <w:uiPriority w:val="0"/>
  </w:style>
  <w:style w:type="paragraph" w:customStyle="1" w:styleId="218">
    <w:name w:val="Style42"/>
    <w:basedOn w:val="1"/>
    <w:autoRedefine/>
    <w:unhideWhenUsed/>
    <w:qFormat/>
    <w:uiPriority w:val="0"/>
    <w:pPr>
      <w:spacing w:line="542" w:lineRule="exact"/>
      <w:ind w:firstLine="547"/>
    </w:pPr>
  </w:style>
  <w:style w:type="paragraph" w:customStyle="1" w:styleId="219">
    <w:name w:val="Char1 Char Char Char Char Char Char Char Char Char"/>
    <w:basedOn w:val="1"/>
    <w:autoRedefine/>
    <w:qFormat/>
    <w:uiPriority w:val="0"/>
    <w:rPr>
      <w:szCs w:val="20"/>
    </w:rPr>
  </w:style>
  <w:style w:type="paragraph" w:customStyle="1" w:styleId="220">
    <w:name w:val="Style44"/>
    <w:basedOn w:val="1"/>
    <w:autoRedefine/>
    <w:unhideWhenUsed/>
    <w:qFormat/>
    <w:uiPriority w:val="0"/>
  </w:style>
  <w:style w:type="paragraph" w:customStyle="1" w:styleId="221">
    <w:name w:val="Style10"/>
    <w:basedOn w:val="1"/>
    <w:autoRedefine/>
    <w:unhideWhenUsed/>
    <w:qFormat/>
    <w:uiPriority w:val="0"/>
    <w:pPr>
      <w:spacing w:line="538" w:lineRule="exact"/>
    </w:pPr>
  </w:style>
  <w:style w:type="paragraph" w:customStyle="1" w:styleId="222">
    <w:name w:val="Style63"/>
    <w:basedOn w:val="1"/>
    <w:autoRedefine/>
    <w:unhideWhenUsed/>
    <w:qFormat/>
    <w:uiPriority w:val="0"/>
    <w:pPr>
      <w:spacing w:line="564" w:lineRule="exact"/>
      <w:ind w:firstLine="682"/>
    </w:pPr>
  </w:style>
  <w:style w:type="paragraph" w:customStyle="1" w:styleId="223">
    <w:name w:val="Style41"/>
    <w:basedOn w:val="1"/>
    <w:autoRedefine/>
    <w:unhideWhenUsed/>
    <w:qFormat/>
    <w:uiPriority w:val="0"/>
    <w:pPr>
      <w:spacing w:line="542" w:lineRule="exact"/>
      <w:ind w:firstLine="125"/>
    </w:pPr>
  </w:style>
  <w:style w:type="paragraph" w:customStyle="1" w:styleId="224">
    <w:name w:val="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25">
    <w:name w:val="Style27"/>
    <w:basedOn w:val="1"/>
    <w:autoRedefine/>
    <w:unhideWhenUsed/>
    <w:qFormat/>
    <w:uiPriority w:val="0"/>
  </w:style>
  <w:style w:type="paragraph" w:customStyle="1" w:styleId="226">
    <w:name w:val="Style45"/>
    <w:basedOn w:val="1"/>
    <w:autoRedefine/>
    <w:unhideWhenUsed/>
    <w:qFormat/>
    <w:uiPriority w:val="0"/>
  </w:style>
  <w:style w:type="paragraph" w:customStyle="1" w:styleId="227">
    <w:name w:val="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28">
    <w:name w:val="Style71"/>
    <w:basedOn w:val="1"/>
    <w:autoRedefine/>
    <w:unhideWhenUsed/>
    <w:qFormat/>
    <w:uiPriority w:val="0"/>
    <w:pPr>
      <w:spacing w:line="538" w:lineRule="exact"/>
      <w:ind w:firstLine="101"/>
    </w:pPr>
  </w:style>
  <w:style w:type="paragraph" w:customStyle="1" w:styleId="229">
    <w:name w:val="Style5"/>
    <w:basedOn w:val="1"/>
    <w:autoRedefine/>
    <w:unhideWhenUsed/>
    <w:qFormat/>
    <w:uiPriority w:val="0"/>
  </w:style>
  <w:style w:type="paragraph" w:customStyle="1" w:styleId="230">
    <w:name w:val="Style76"/>
    <w:basedOn w:val="1"/>
    <w:autoRedefine/>
    <w:unhideWhenUsed/>
    <w:qFormat/>
    <w:uiPriority w:val="0"/>
  </w:style>
  <w:style w:type="paragraph" w:customStyle="1" w:styleId="231">
    <w:name w:val="Style50"/>
    <w:basedOn w:val="1"/>
    <w:autoRedefine/>
    <w:unhideWhenUsed/>
    <w:qFormat/>
    <w:uiPriority w:val="0"/>
  </w:style>
  <w:style w:type="paragraph" w:customStyle="1" w:styleId="232">
    <w:name w:val="Char Char Char Char Char Char Char Char Char Char"/>
    <w:basedOn w:val="1"/>
    <w:autoRedefine/>
    <w:qFormat/>
    <w:uiPriority w:val="0"/>
    <w:rPr>
      <w:kern w:val="16"/>
    </w:rPr>
  </w:style>
  <w:style w:type="paragraph" w:styleId="233">
    <w:name w:val="List Paragraph"/>
    <w:basedOn w:val="1"/>
    <w:link w:val="234"/>
    <w:autoRedefine/>
    <w:qFormat/>
    <w:uiPriority w:val="34"/>
    <w:pPr>
      <w:ind w:firstLine="420" w:firstLineChars="200"/>
    </w:pPr>
    <w:rPr>
      <w:rFonts w:ascii="Calibri" w:hAnsi="Calibri"/>
      <w:szCs w:val="22"/>
    </w:rPr>
  </w:style>
  <w:style w:type="character" w:customStyle="1" w:styleId="234">
    <w:name w:val="列表段落 字符"/>
    <w:link w:val="233"/>
    <w:autoRedefine/>
    <w:qFormat/>
    <w:uiPriority w:val="34"/>
    <w:rPr>
      <w:rFonts w:ascii="Calibri" w:hAnsi="Calibri" w:eastAsia="宋体" w:cs="Times New Roman"/>
    </w:rPr>
  </w:style>
  <w:style w:type="paragraph" w:customStyle="1" w:styleId="235">
    <w:name w:val="Style54"/>
    <w:basedOn w:val="1"/>
    <w:autoRedefine/>
    <w:unhideWhenUsed/>
    <w:qFormat/>
    <w:uiPriority w:val="0"/>
  </w:style>
  <w:style w:type="paragraph" w:styleId="236">
    <w:name w:val="No Spacing"/>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7">
    <w:name w:val="文档正文"/>
    <w:basedOn w:val="1"/>
    <w:autoRedefine/>
    <w:qFormat/>
    <w:uiPriority w:val="0"/>
    <w:pPr>
      <w:suppressAutoHyphens/>
      <w:spacing w:line="312" w:lineRule="atLeast"/>
      <w:ind w:firstLine="567"/>
      <w:jc w:val="left"/>
      <w:textAlignment w:val="baseline"/>
    </w:pPr>
    <w:rPr>
      <w:rFonts w:ascii="长城仿宋" w:hAnsi="长城仿宋" w:eastAsia="长城仿宋" w:cs="Tahoma"/>
      <w:b/>
      <w:w w:val="80"/>
      <w:kern w:val="1"/>
      <w:sz w:val="28"/>
      <w:szCs w:val="20"/>
    </w:rPr>
  </w:style>
  <w:style w:type="paragraph" w:customStyle="1" w:styleId="238">
    <w:name w:val="Char1"/>
    <w:basedOn w:val="1"/>
    <w:autoRedefine/>
    <w:qFormat/>
    <w:uiPriority w:val="0"/>
    <w:rPr>
      <w:rFonts w:ascii="Tahoma" w:hAnsi="Tahoma" w:cs="仿宋_GB2312"/>
      <w:sz w:val="24"/>
      <w:szCs w:val="28"/>
    </w:rPr>
  </w:style>
  <w:style w:type="paragraph" w:customStyle="1" w:styleId="239">
    <w:name w:val="Style59"/>
    <w:basedOn w:val="1"/>
    <w:autoRedefine/>
    <w:unhideWhenUsed/>
    <w:qFormat/>
    <w:uiPriority w:val="0"/>
  </w:style>
  <w:style w:type="paragraph" w:customStyle="1" w:styleId="240">
    <w:name w:val="Style69"/>
    <w:basedOn w:val="1"/>
    <w:autoRedefine/>
    <w:unhideWhenUsed/>
    <w:qFormat/>
    <w:uiPriority w:val="0"/>
    <w:pPr>
      <w:spacing w:line="557" w:lineRule="exact"/>
      <w:ind w:firstLine="1666"/>
    </w:pPr>
  </w:style>
  <w:style w:type="paragraph" w:customStyle="1" w:styleId="241">
    <w:name w:val="Char Char1 Char Char Char"/>
    <w:basedOn w:val="1"/>
    <w:autoRedefine/>
    <w:qFormat/>
    <w:uiPriority w:val="0"/>
    <w:rPr>
      <w:kern w:val="0"/>
      <w:sz w:val="20"/>
      <w:szCs w:val="20"/>
    </w:rPr>
  </w:style>
  <w:style w:type="paragraph" w:customStyle="1" w:styleId="242">
    <w:name w:val="Style12"/>
    <w:basedOn w:val="1"/>
    <w:autoRedefine/>
    <w:unhideWhenUsed/>
    <w:qFormat/>
    <w:uiPriority w:val="0"/>
    <w:pPr>
      <w:spacing w:line="564" w:lineRule="exact"/>
      <w:ind w:hanging="115"/>
    </w:pPr>
  </w:style>
  <w:style w:type="paragraph" w:customStyle="1" w:styleId="243">
    <w:name w:val="标题3"/>
    <w:basedOn w:val="2"/>
    <w:autoRedefine/>
    <w:qFormat/>
    <w:uiPriority w:val="0"/>
    <w:pPr>
      <w:spacing w:before="156" w:beforeLines="50" w:after="156" w:afterLines="50" w:line="400" w:lineRule="exact"/>
      <w:jc w:val="both"/>
    </w:pPr>
    <w:rPr>
      <w:rFonts w:ascii="宋体" w:hAnsi="宋体"/>
      <w:kern w:val="32"/>
      <w:szCs w:val="32"/>
    </w:rPr>
  </w:style>
  <w:style w:type="paragraph" w:customStyle="1" w:styleId="244">
    <w:name w:val="Style67"/>
    <w:basedOn w:val="1"/>
    <w:autoRedefine/>
    <w:unhideWhenUsed/>
    <w:qFormat/>
    <w:uiPriority w:val="0"/>
    <w:pPr>
      <w:spacing w:line="566" w:lineRule="exact"/>
      <w:ind w:firstLine="552"/>
    </w:pPr>
  </w:style>
  <w:style w:type="paragraph" w:customStyle="1" w:styleId="245">
    <w:name w:val="xl25"/>
    <w:basedOn w:val="1"/>
    <w:autoRedefine/>
    <w:qFormat/>
    <w:uiPriority w:val="0"/>
    <w:pPr>
      <w:widowControl/>
      <w:pBdr>
        <w:left w:val="single" w:color="auto" w:sz="4" w:space="0"/>
        <w:bottom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46">
    <w:name w:val="Style28"/>
    <w:basedOn w:val="1"/>
    <w:autoRedefine/>
    <w:unhideWhenUsed/>
    <w:qFormat/>
    <w:uiPriority w:val="0"/>
    <w:pPr>
      <w:spacing w:line="552" w:lineRule="exact"/>
      <w:ind w:firstLine="547"/>
    </w:pPr>
  </w:style>
  <w:style w:type="paragraph" w:customStyle="1" w:styleId="247">
    <w:name w:val="Style8"/>
    <w:basedOn w:val="1"/>
    <w:autoRedefine/>
    <w:unhideWhenUsed/>
    <w:qFormat/>
    <w:uiPriority w:val="0"/>
    <w:pPr>
      <w:spacing w:line="566" w:lineRule="exact"/>
      <w:jc w:val="center"/>
    </w:pPr>
  </w:style>
  <w:style w:type="paragraph" w:customStyle="1" w:styleId="248">
    <w:name w:val="Style62"/>
    <w:basedOn w:val="1"/>
    <w:autoRedefine/>
    <w:unhideWhenUsed/>
    <w:qFormat/>
    <w:uiPriority w:val="0"/>
  </w:style>
  <w:style w:type="paragraph" w:customStyle="1" w:styleId="249">
    <w:name w:val="Style60"/>
    <w:basedOn w:val="1"/>
    <w:autoRedefine/>
    <w:unhideWhenUsed/>
    <w:qFormat/>
    <w:uiPriority w:val="0"/>
    <w:pPr>
      <w:spacing w:line="566" w:lineRule="exact"/>
    </w:pPr>
  </w:style>
  <w:style w:type="paragraph" w:customStyle="1" w:styleId="250">
    <w:name w:val="Style15"/>
    <w:basedOn w:val="1"/>
    <w:autoRedefine/>
    <w:unhideWhenUsed/>
    <w:qFormat/>
    <w:uiPriority w:val="0"/>
    <w:pPr>
      <w:spacing w:line="557" w:lineRule="exact"/>
      <w:ind w:firstLine="672"/>
    </w:pPr>
  </w:style>
  <w:style w:type="paragraph" w:customStyle="1" w:styleId="251">
    <w:name w:val="Style74"/>
    <w:basedOn w:val="1"/>
    <w:autoRedefine/>
    <w:unhideWhenUsed/>
    <w:qFormat/>
    <w:uiPriority w:val="0"/>
    <w:pPr>
      <w:spacing w:line="437" w:lineRule="exact"/>
    </w:pPr>
  </w:style>
  <w:style w:type="paragraph" w:customStyle="1" w:styleId="252">
    <w:name w:val="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53">
    <w:name w:val="Style9"/>
    <w:basedOn w:val="1"/>
    <w:autoRedefine/>
    <w:unhideWhenUsed/>
    <w:qFormat/>
    <w:uiPriority w:val="0"/>
  </w:style>
  <w:style w:type="paragraph" w:customStyle="1" w:styleId="254">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255">
    <w:name w:val="Style68"/>
    <w:basedOn w:val="1"/>
    <w:autoRedefine/>
    <w:unhideWhenUsed/>
    <w:qFormat/>
    <w:uiPriority w:val="0"/>
    <w:pPr>
      <w:spacing w:line="547" w:lineRule="exact"/>
    </w:pPr>
  </w:style>
  <w:style w:type="paragraph" w:customStyle="1" w:styleId="256">
    <w:name w:val="Style47"/>
    <w:basedOn w:val="1"/>
    <w:autoRedefine/>
    <w:unhideWhenUsed/>
    <w:qFormat/>
    <w:uiPriority w:val="0"/>
  </w:style>
  <w:style w:type="paragraph" w:customStyle="1" w:styleId="257">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258">
    <w:name w:val="Default"/>
    <w:autoRedefine/>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259">
    <w:name w:val="样式 标题 2 + 宋体 五号 行距: 单倍行距"/>
    <w:basedOn w:val="3"/>
    <w:autoRedefine/>
    <w:qFormat/>
    <w:uiPriority w:val="0"/>
    <w:pPr>
      <w:tabs>
        <w:tab w:val="left" w:pos="2175"/>
      </w:tabs>
      <w:adjustRightInd w:val="0"/>
      <w:spacing w:before="260" w:after="260" w:line="240" w:lineRule="auto"/>
      <w:ind w:left="2175" w:hanging="1275"/>
      <w:jc w:val="left"/>
      <w:textAlignment w:val="baseline"/>
    </w:pPr>
    <w:rPr>
      <w:rFonts w:ascii="宋体" w:hAnsi="宋体"/>
      <w:kern w:val="0"/>
      <w:sz w:val="21"/>
      <w:szCs w:val="20"/>
    </w:rPr>
  </w:style>
  <w:style w:type="paragraph" w:customStyle="1" w:styleId="260">
    <w:name w:val="_Style 39"/>
    <w:basedOn w:val="213"/>
    <w:autoRedefine/>
    <w:qFormat/>
    <w:uiPriority w:val="0"/>
  </w:style>
  <w:style w:type="paragraph" w:customStyle="1" w:styleId="261">
    <w:name w:val="Style23"/>
    <w:basedOn w:val="1"/>
    <w:autoRedefine/>
    <w:unhideWhenUsed/>
    <w:qFormat/>
    <w:uiPriority w:val="0"/>
  </w:style>
  <w:style w:type="paragraph" w:customStyle="1" w:styleId="262">
    <w:name w:val="默认段落字体 Para Char Char Char Char Char Char Char Char Char Char Char Char Char Char Char Char Char Char Char"/>
    <w:basedOn w:val="1"/>
    <w:autoRedefine/>
    <w:qFormat/>
    <w:uiPriority w:val="0"/>
  </w:style>
  <w:style w:type="paragraph" w:customStyle="1" w:styleId="263">
    <w:name w:val="p16"/>
    <w:basedOn w:val="1"/>
    <w:autoRedefine/>
    <w:qFormat/>
    <w:uiPriority w:val="0"/>
    <w:pPr>
      <w:widowControl/>
      <w:jc w:val="left"/>
    </w:pPr>
    <w:rPr>
      <w:kern w:val="0"/>
      <w:szCs w:val="21"/>
    </w:rPr>
  </w:style>
  <w:style w:type="paragraph" w:customStyle="1" w:styleId="264">
    <w:name w:val="正文_29_3_4"/>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265">
    <w:name w:val="Style78"/>
    <w:basedOn w:val="1"/>
    <w:autoRedefine/>
    <w:unhideWhenUsed/>
    <w:qFormat/>
    <w:uiPriority w:val="0"/>
  </w:style>
  <w:style w:type="paragraph" w:customStyle="1" w:styleId="266">
    <w:name w:val="样式 标题 2 + Times New Roman 四号 非加粗 段前: 5 磅 段后: 0 磅 行距: 固定值 20..."/>
    <w:basedOn w:val="3"/>
    <w:autoRedefine/>
    <w:qFormat/>
    <w:uiPriority w:val="0"/>
    <w:pPr>
      <w:spacing w:before="100" w:line="400" w:lineRule="exact"/>
    </w:pPr>
    <w:rPr>
      <w:rFonts w:ascii="Times New Roman" w:hAnsi="Times New Roman" w:eastAsia="黑体"/>
      <w:b w:val="0"/>
      <w:bCs w:val="0"/>
      <w:sz w:val="28"/>
      <w:szCs w:val="20"/>
    </w:rPr>
  </w:style>
  <w:style w:type="paragraph" w:customStyle="1" w:styleId="267">
    <w:name w:val="Char2"/>
    <w:basedOn w:val="1"/>
    <w:autoRedefine/>
    <w:qFormat/>
    <w:uiPriority w:val="0"/>
    <w:pPr>
      <w:tabs>
        <w:tab w:val="left" w:pos="360"/>
      </w:tabs>
      <w:ind w:left="360" w:hanging="360" w:hangingChars="200"/>
    </w:pPr>
    <w:rPr>
      <w:sz w:val="24"/>
    </w:rPr>
  </w:style>
  <w:style w:type="paragraph" w:customStyle="1" w:styleId="268">
    <w:name w:val="Style4"/>
    <w:basedOn w:val="1"/>
    <w:autoRedefine/>
    <w:unhideWhenUsed/>
    <w:qFormat/>
    <w:uiPriority w:val="0"/>
  </w:style>
  <w:style w:type="paragraph" w:customStyle="1" w:styleId="269">
    <w:name w:val="Style65"/>
    <w:basedOn w:val="1"/>
    <w:autoRedefine/>
    <w:unhideWhenUsed/>
    <w:qFormat/>
    <w:uiPriority w:val="0"/>
  </w:style>
  <w:style w:type="paragraph" w:customStyle="1" w:styleId="270">
    <w:name w:val="标题 1 +"/>
    <w:basedOn w:val="2"/>
    <w:next w:val="1"/>
    <w:autoRedefine/>
    <w:qFormat/>
    <w:uiPriority w:val="0"/>
    <w:pPr>
      <w:keepLines/>
      <w:spacing w:line="600" w:lineRule="auto"/>
    </w:pPr>
    <w:rPr>
      <w:rFonts w:eastAsia="黑体"/>
      <w:kern w:val="0"/>
      <w:sz w:val="32"/>
      <w:szCs w:val="32"/>
    </w:rPr>
  </w:style>
  <w:style w:type="paragraph" w:customStyle="1" w:styleId="271">
    <w:name w:val="Style77"/>
    <w:basedOn w:val="1"/>
    <w:autoRedefine/>
    <w:unhideWhenUsed/>
    <w:qFormat/>
    <w:uiPriority w:val="0"/>
  </w:style>
  <w:style w:type="paragraph" w:customStyle="1" w:styleId="272">
    <w:name w:val="Style34"/>
    <w:basedOn w:val="1"/>
    <w:autoRedefine/>
    <w:unhideWhenUsed/>
    <w:qFormat/>
    <w:uiPriority w:val="0"/>
    <w:pPr>
      <w:spacing w:line="375" w:lineRule="exact"/>
    </w:pPr>
  </w:style>
  <w:style w:type="paragraph" w:customStyle="1" w:styleId="273">
    <w:name w:val="Style80"/>
    <w:basedOn w:val="1"/>
    <w:autoRedefine/>
    <w:unhideWhenUsed/>
    <w:qFormat/>
    <w:uiPriority w:val="0"/>
  </w:style>
  <w:style w:type="paragraph" w:customStyle="1" w:styleId="274">
    <w:name w:val="Char Char Char Char Char Char Char1"/>
    <w:basedOn w:val="1"/>
    <w:autoRedefine/>
    <w:qFormat/>
    <w:uiPriority w:val="0"/>
    <w:pPr>
      <w:snapToGrid w:val="0"/>
      <w:spacing w:line="360" w:lineRule="auto"/>
      <w:ind w:firstLine="200" w:firstLineChars="200"/>
    </w:pPr>
    <w:rPr>
      <w:rFonts w:eastAsia="仿宋_GB2312"/>
      <w:sz w:val="24"/>
    </w:rPr>
  </w:style>
  <w:style w:type="paragraph" w:customStyle="1" w:styleId="275">
    <w:name w:val="表内文字"/>
    <w:basedOn w:val="1"/>
    <w:autoRedefine/>
    <w:qFormat/>
    <w:uiPriority w:val="0"/>
    <w:pPr>
      <w:tabs>
        <w:tab w:val="left" w:pos="1418"/>
      </w:tabs>
      <w:spacing w:line="360" w:lineRule="auto"/>
      <w:jc w:val="center"/>
    </w:pPr>
    <w:rPr>
      <w:rFonts w:ascii="仿宋_GB2312" w:eastAsia="仿宋_GB2312"/>
      <w:spacing w:val="-20"/>
      <w:kern w:val="0"/>
      <w:sz w:val="24"/>
    </w:rPr>
  </w:style>
  <w:style w:type="paragraph" w:customStyle="1" w:styleId="276">
    <w:name w:val="缺省文本"/>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77">
    <w:name w:val="Table Paragraph"/>
    <w:basedOn w:val="1"/>
    <w:autoRedefine/>
    <w:qFormat/>
    <w:uiPriority w:val="1"/>
    <w:rPr>
      <w:rFonts w:ascii="宋体" w:hAnsi="宋体" w:cs="宋体"/>
      <w:lang w:val="ja-JP" w:eastAsia="ja-JP" w:bidi="ja-JP"/>
    </w:rPr>
  </w:style>
  <w:style w:type="paragraph" w:customStyle="1" w:styleId="278">
    <w:name w:val="列出段落1"/>
    <w:basedOn w:val="1"/>
    <w:autoRedefine/>
    <w:qFormat/>
    <w:uiPriority w:val="34"/>
    <w:pPr>
      <w:ind w:firstLine="420" w:firstLineChars="200"/>
    </w:pPr>
  </w:style>
  <w:style w:type="paragraph" w:customStyle="1" w:styleId="279">
    <w:name w:val="1."/>
    <w:basedOn w:val="1"/>
    <w:autoRedefine/>
    <w:qFormat/>
    <w:uiPriority w:val="0"/>
    <w:pPr>
      <w:tabs>
        <w:tab w:val="left" w:pos="420"/>
      </w:tabs>
      <w:spacing w:line="360" w:lineRule="auto"/>
      <w:ind w:left="420" w:hanging="420"/>
    </w:pPr>
    <w:rPr>
      <w:rFonts w:ascii="Calibri" w:hAnsi="Calibri"/>
      <w:sz w:val="24"/>
    </w:rPr>
  </w:style>
  <w:style w:type="paragraph" w:customStyle="1" w:styleId="280">
    <w:name w:val="tc"/>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281">
    <w:name w:val="displayarti"/>
    <w:basedOn w:val="48"/>
    <w:autoRedefine/>
    <w:qFormat/>
    <w:uiPriority w:val="0"/>
  </w:style>
  <w:style w:type="table" w:customStyle="1" w:styleId="282">
    <w:name w:val="Table Normal"/>
    <w:basedOn w:val="46"/>
    <w:autoRedefine/>
    <w:qFormat/>
    <w:uiPriority w:val="0"/>
    <w:rPr>
      <w:rFonts w:eastAsia="Times New Roman"/>
    </w:rPr>
    <w:tblPr>
      <w:tblCellMar>
        <w:left w:w="0" w:type="dxa"/>
        <w:right w:w="0" w:type="dxa"/>
      </w:tblCellMar>
    </w:tblPr>
  </w:style>
  <w:style w:type="character" w:customStyle="1" w:styleId="283">
    <w:name w:val="正文缩进 Char1"/>
    <w:link w:val="284"/>
    <w:autoRedefine/>
    <w:qFormat/>
    <w:uiPriority w:val="0"/>
    <w:rPr>
      <w:rFonts w:ascii="宋体"/>
      <w:sz w:val="24"/>
    </w:rPr>
  </w:style>
  <w:style w:type="paragraph" w:customStyle="1" w:styleId="284">
    <w:name w:val="正文缩进1"/>
    <w:basedOn w:val="1"/>
    <w:link w:val="283"/>
    <w:autoRedefine/>
    <w:qFormat/>
    <w:uiPriority w:val="0"/>
    <w:pPr>
      <w:autoSpaceDE w:val="0"/>
      <w:autoSpaceDN w:val="0"/>
      <w:adjustRightInd w:val="0"/>
      <w:ind w:firstLine="420"/>
      <w:jc w:val="left"/>
    </w:pPr>
    <w:rPr>
      <w:rFonts w:ascii="宋体" w:hAnsiTheme="minorHAnsi" w:eastAsiaTheme="minorEastAsia" w:cstheme="minorBidi"/>
      <w:sz w:val="24"/>
      <w:szCs w:val="22"/>
    </w:rPr>
  </w:style>
  <w:style w:type="paragraph" w:customStyle="1" w:styleId="285">
    <w:name w:val="段"/>
    <w:next w:val="1"/>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86">
    <w:name w:val="font31"/>
    <w:basedOn w:val="48"/>
    <w:autoRedefine/>
    <w:qFormat/>
    <w:uiPriority w:val="0"/>
    <w:rPr>
      <w:rFonts w:hint="eastAsia" w:ascii="方正仿宋_GBK" w:hAnsi="方正仿宋_GBK" w:eastAsia="方正仿宋_GBK"/>
      <w:color w:val="000000"/>
      <w:sz w:val="24"/>
      <w:szCs w:val="24"/>
      <w:u w:val="none"/>
    </w:rPr>
  </w:style>
  <w:style w:type="character" w:customStyle="1" w:styleId="287">
    <w:name w:val="font41"/>
    <w:basedOn w:val="48"/>
    <w:autoRedefine/>
    <w:qFormat/>
    <w:uiPriority w:val="0"/>
    <w:rPr>
      <w:rFonts w:hint="eastAsia" w:ascii="方正仿宋_GBK" w:hAnsi="方正仿宋_GBK" w:eastAsia="方正仿宋_GBK"/>
      <w:color w:val="000000"/>
      <w:sz w:val="24"/>
      <w:szCs w:val="24"/>
      <w:u w:val="none"/>
    </w:rPr>
  </w:style>
  <w:style w:type="character" w:customStyle="1" w:styleId="288">
    <w:name w:val="font51"/>
    <w:basedOn w:val="48"/>
    <w:autoRedefine/>
    <w:qFormat/>
    <w:uiPriority w:val="0"/>
    <w:rPr>
      <w:rFonts w:hint="eastAsia" w:ascii="方正仿宋_GBK" w:hAnsi="方正仿宋_GBK" w:eastAsia="方正仿宋_GBK"/>
      <w:color w:val="000000"/>
      <w:sz w:val="22"/>
      <w:szCs w:val="22"/>
      <w:u w:val="none"/>
    </w:rPr>
  </w:style>
  <w:style w:type="character" w:customStyle="1" w:styleId="289">
    <w:name w:val="font71"/>
    <w:basedOn w:val="48"/>
    <w:autoRedefine/>
    <w:qFormat/>
    <w:uiPriority w:val="0"/>
    <w:rPr>
      <w:rFonts w:hint="default" w:ascii="Times New Roman" w:hAnsi="Times New Roman" w:cs="Times New Roman"/>
      <w:color w:val="000000"/>
      <w:sz w:val="24"/>
      <w:szCs w:val="24"/>
      <w:u w:val="none"/>
    </w:rPr>
  </w:style>
  <w:style w:type="character" w:customStyle="1" w:styleId="290">
    <w:name w:val="font171"/>
    <w:basedOn w:val="48"/>
    <w:autoRedefine/>
    <w:qFormat/>
    <w:uiPriority w:val="0"/>
    <w:rPr>
      <w:rFonts w:hint="eastAsia" w:ascii="宋体" w:hAnsi="宋体" w:eastAsia="宋体" w:cs="宋体"/>
      <w:b/>
      <w:bCs/>
      <w:color w:val="FF0000"/>
      <w:sz w:val="32"/>
      <w:szCs w:val="32"/>
      <w:u w:val="single"/>
    </w:rPr>
  </w:style>
  <w:style w:type="paragraph" w:customStyle="1" w:styleId="291">
    <w:name w:val="Table Text"/>
    <w:basedOn w:val="1"/>
    <w:autoRedefine/>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Cs w:val="21"/>
      <w:lang w:eastAsia="en-US"/>
    </w:rPr>
  </w:style>
  <w:style w:type="character" w:customStyle="1" w:styleId="292">
    <w:name w:val="font81"/>
    <w:basedOn w:val="48"/>
    <w:autoRedefine/>
    <w:qFormat/>
    <w:uiPriority w:val="0"/>
    <w:rPr>
      <w:rFonts w:ascii="微软雅黑" w:hAnsi="微软雅黑" w:eastAsia="微软雅黑" w:cs="微软雅黑"/>
      <w:color w:val="000000"/>
      <w:sz w:val="22"/>
      <w:szCs w:val="22"/>
      <w:u w:val="none"/>
    </w:rPr>
  </w:style>
  <w:style w:type="character" w:customStyle="1" w:styleId="293">
    <w:name w:val="font91"/>
    <w:basedOn w:val="48"/>
    <w:autoRedefine/>
    <w:qFormat/>
    <w:uiPriority w:val="0"/>
    <w:rPr>
      <w:rFonts w:hint="eastAsia" w:ascii="微软雅黑" w:hAnsi="微软雅黑" w:eastAsia="微软雅黑" w:cs="微软雅黑"/>
      <w:color w:val="000000"/>
      <w:sz w:val="18"/>
      <w:szCs w:val="18"/>
      <w:u w:val="none"/>
    </w:rPr>
  </w:style>
  <w:style w:type="character" w:customStyle="1" w:styleId="294">
    <w:name w:val="font101"/>
    <w:basedOn w:val="48"/>
    <w:autoRedefine/>
    <w:qFormat/>
    <w:uiPriority w:val="0"/>
    <w:rPr>
      <w:rFonts w:hint="eastAsia" w:ascii="宋体" w:hAnsi="宋体" w:eastAsia="宋体" w:cs="宋体"/>
      <w:color w:val="000000"/>
      <w:sz w:val="20"/>
      <w:szCs w:val="20"/>
      <w:u w:val="none"/>
    </w:rPr>
  </w:style>
  <w:style w:type="character" w:customStyle="1" w:styleId="295">
    <w:name w:val="font12"/>
    <w:basedOn w:val="48"/>
    <w:autoRedefine/>
    <w:qFormat/>
    <w:uiPriority w:val="0"/>
    <w:rPr>
      <w:rFonts w:hint="eastAsia" w:ascii="仿宋" w:hAnsi="仿宋" w:eastAsia="仿宋" w:cs="仿宋"/>
      <w:color w:val="000000"/>
      <w:sz w:val="20"/>
      <w:szCs w:val="20"/>
      <w:u w:val="none"/>
    </w:rPr>
  </w:style>
  <w:style w:type="character" w:customStyle="1" w:styleId="296">
    <w:name w:val="font111"/>
    <w:basedOn w:val="48"/>
    <w:autoRedefine/>
    <w:qFormat/>
    <w:uiPriority w:val="0"/>
    <w:rPr>
      <w:rFonts w:hint="eastAsia" w:ascii="宋体" w:hAnsi="宋体" w:eastAsia="宋体" w:cs="宋体"/>
      <w:color w:val="000000"/>
      <w:sz w:val="20"/>
      <w:szCs w:val="20"/>
      <w:u w:val="none"/>
    </w:rPr>
  </w:style>
  <w:style w:type="character" w:customStyle="1" w:styleId="297">
    <w:name w:val="font122"/>
    <w:basedOn w:val="48"/>
    <w:autoRedefine/>
    <w:qFormat/>
    <w:uiPriority w:val="0"/>
    <w:rPr>
      <w:rFonts w:hint="eastAsia" w:ascii="宋体" w:hAnsi="宋体" w:eastAsia="宋体" w:cs="宋体"/>
      <w:color w:val="000000"/>
      <w:sz w:val="20"/>
      <w:szCs w:val="20"/>
      <w:u w:val="none"/>
    </w:rPr>
  </w:style>
  <w:style w:type="character" w:customStyle="1" w:styleId="298">
    <w:name w:val="font131"/>
    <w:basedOn w:val="48"/>
    <w:autoRedefine/>
    <w:qFormat/>
    <w:uiPriority w:val="0"/>
    <w:rPr>
      <w:rFonts w:hint="eastAsia" w:ascii="宋体" w:hAnsi="宋体" w:eastAsia="宋体" w:cs="宋体"/>
      <w:color w:val="000000"/>
      <w:sz w:val="20"/>
      <w:szCs w:val="20"/>
      <w:u w:val="none"/>
    </w:rPr>
  </w:style>
  <w:style w:type="character" w:customStyle="1" w:styleId="299">
    <w:name w:val="font151"/>
    <w:basedOn w:val="48"/>
    <w:autoRedefine/>
    <w:qFormat/>
    <w:uiPriority w:val="0"/>
    <w:rPr>
      <w:rFonts w:hint="eastAsia" w:ascii="宋体" w:hAnsi="宋体" w:eastAsia="宋体" w:cs="宋体"/>
      <w:color w:val="000000"/>
      <w:sz w:val="24"/>
      <w:szCs w:val="24"/>
      <w:u w:val="none"/>
    </w:rPr>
  </w:style>
  <w:style w:type="character" w:customStyle="1" w:styleId="300">
    <w:name w:val="font161"/>
    <w:basedOn w:val="48"/>
    <w:autoRedefine/>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359</Pages>
  <Words>5402</Words>
  <Characters>6021</Characters>
  <Lines>846</Lines>
  <Paragraphs>238</Paragraphs>
  <TotalTime>6</TotalTime>
  <ScaleCrop>false</ScaleCrop>
  <LinksUpToDate>false</LinksUpToDate>
  <CharactersWithSpaces>6342</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2024-03-21T09:49:00Z</dcterms:created>
  <dc:creator>xie</dc:creator>
  <cp:lastModifiedBy>开标室</cp:lastModifiedBy>
  <cp:lastPrinted>2023-09-21T03:57:00Z</cp:lastPrinted>
  <dcterms:modified xsi:type="dcterms:W3CDTF">2025-07-10T03:58:33Z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72570564E52C437DA505783002239740_12</vt:lpwstr>
  </property>
  <property fmtid="{D5CDD505-2E9C-101B-9397-08002B2CF9AE}" pid="4" name="KSOTemplateDocerSaveRecord">
    <vt:lpwstr>eyJoZGlkIjoiNzJmZjJhNWFkY2NjYzAxYWZkMjFmNzNkN2FhZjZjNjAiLCJ1c2VySWQiOiIzNzczMjE0NzAifQ==</vt:lpwstr>
  </property>
</Properties>
</file>