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A9AA6">
      <w:pPr>
        <w:pStyle w:val="24"/>
        <w:adjustRightInd w:val="0"/>
        <w:snapToGrid w:val="0"/>
        <w:spacing w:line="360" w:lineRule="auto"/>
        <w:jc w:val="center"/>
        <w:rPr>
          <w:rFonts w:ascii="宋体" w:hAnsi="宋体"/>
          <w:b/>
          <w:color w:val="auto"/>
          <w:sz w:val="44"/>
          <w:szCs w:val="44"/>
          <w:highlight w:val="none"/>
        </w:rPr>
      </w:pPr>
      <w:bookmarkStart w:id="0" w:name="第二部分第六章"/>
    </w:p>
    <w:p w14:paraId="10390E86">
      <w:pPr>
        <w:pStyle w:val="24"/>
        <w:adjustRightInd w:val="0"/>
        <w:snapToGrid w:val="0"/>
        <w:spacing w:line="360" w:lineRule="auto"/>
        <w:jc w:val="center"/>
        <w:rPr>
          <w:rFonts w:hint="eastAsia" w:ascii="宋体" w:hAnsi="宋体" w:eastAsia="宋体"/>
          <w:b/>
          <w:bCs/>
          <w:color w:val="auto"/>
          <w:sz w:val="44"/>
          <w:szCs w:val="44"/>
          <w:highlight w:val="none"/>
          <w:lang w:eastAsia="zh-CN"/>
        </w:rPr>
      </w:pPr>
      <w:bookmarkStart w:id="1" w:name="_Hlk126255332"/>
      <w:r>
        <w:rPr>
          <w:rFonts w:hint="eastAsia" w:ascii="宋体" w:hAnsi="宋体"/>
          <w:b/>
          <w:bCs/>
          <w:color w:val="auto"/>
          <w:sz w:val="44"/>
          <w:szCs w:val="44"/>
          <w:highlight w:val="none"/>
          <w:lang w:eastAsia="zh-CN"/>
        </w:rPr>
        <w:t>新疆维吾尔自治区地质局乌鲁木齐地质大队钻探技术服务项目</w:t>
      </w:r>
    </w:p>
    <w:bookmarkEnd w:id="1"/>
    <w:p w14:paraId="3CF5BBF1">
      <w:pPr>
        <w:pStyle w:val="24"/>
        <w:adjustRightInd w:val="0"/>
        <w:snapToGrid w:val="0"/>
        <w:spacing w:line="360" w:lineRule="auto"/>
        <w:jc w:val="center"/>
        <w:rPr>
          <w:rFonts w:ascii="宋体" w:hAnsi="宋体"/>
          <w:color w:val="auto"/>
          <w:szCs w:val="24"/>
          <w:highlight w:val="none"/>
        </w:rPr>
      </w:pPr>
    </w:p>
    <w:p w14:paraId="55FE0EAC">
      <w:pPr>
        <w:pStyle w:val="24"/>
        <w:adjustRightInd w:val="0"/>
        <w:snapToGrid w:val="0"/>
        <w:spacing w:line="360" w:lineRule="auto"/>
        <w:jc w:val="center"/>
        <w:rPr>
          <w:rFonts w:ascii="宋体" w:hAnsi="宋体"/>
          <w:color w:val="auto"/>
          <w:szCs w:val="24"/>
          <w:highlight w:val="none"/>
        </w:rPr>
      </w:pPr>
    </w:p>
    <w:p w14:paraId="2C96F455">
      <w:pPr>
        <w:pStyle w:val="24"/>
        <w:adjustRightInd w:val="0"/>
        <w:snapToGrid w:val="0"/>
        <w:spacing w:line="360" w:lineRule="auto"/>
        <w:jc w:val="center"/>
        <w:rPr>
          <w:rFonts w:ascii="宋体" w:hAnsi="宋体"/>
          <w:color w:val="auto"/>
          <w:szCs w:val="24"/>
          <w:highlight w:val="none"/>
        </w:rPr>
      </w:pPr>
    </w:p>
    <w:p w14:paraId="754EE0F0">
      <w:pPr>
        <w:pStyle w:val="24"/>
        <w:adjustRightInd w:val="0"/>
        <w:snapToGrid w:val="0"/>
        <w:spacing w:line="360" w:lineRule="auto"/>
        <w:jc w:val="center"/>
        <w:rPr>
          <w:rFonts w:ascii="宋体" w:hAnsi="宋体"/>
          <w:color w:val="auto"/>
          <w:szCs w:val="24"/>
          <w:highlight w:val="none"/>
        </w:rPr>
      </w:pPr>
    </w:p>
    <w:p w14:paraId="3274C5EA">
      <w:pPr>
        <w:pStyle w:val="24"/>
        <w:adjustRightInd w:val="0"/>
        <w:snapToGrid w:val="0"/>
        <w:spacing w:line="360" w:lineRule="auto"/>
        <w:jc w:val="center"/>
        <w:rPr>
          <w:rFonts w:ascii="宋体" w:hAnsi="宋体"/>
          <w:color w:val="auto"/>
          <w:szCs w:val="24"/>
          <w:highlight w:val="none"/>
        </w:rPr>
      </w:pPr>
    </w:p>
    <w:p w14:paraId="3A9E7677">
      <w:pPr>
        <w:pStyle w:val="24"/>
        <w:adjustRightInd w:val="0"/>
        <w:snapToGrid w:val="0"/>
        <w:spacing w:line="360" w:lineRule="auto"/>
        <w:jc w:val="center"/>
        <w:rPr>
          <w:rFonts w:ascii="宋体" w:hAnsi="宋体"/>
          <w:color w:val="auto"/>
          <w:szCs w:val="24"/>
          <w:highlight w:val="none"/>
        </w:rPr>
      </w:pPr>
    </w:p>
    <w:p w14:paraId="0A412E82">
      <w:pPr>
        <w:pStyle w:val="24"/>
        <w:adjustRightInd w:val="0"/>
        <w:snapToGrid w:val="0"/>
        <w:spacing w:line="360" w:lineRule="auto"/>
        <w:jc w:val="center"/>
        <w:rPr>
          <w:rFonts w:ascii="宋体" w:hAnsi="宋体"/>
          <w:color w:val="auto"/>
          <w:szCs w:val="24"/>
          <w:highlight w:val="none"/>
        </w:rPr>
      </w:pPr>
    </w:p>
    <w:p w14:paraId="248612D7">
      <w:pPr>
        <w:pStyle w:val="24"/>
        <w:adjustRightInd w:val="0"/>
        <w:snapToGrid w:val="0"/>
        <w:spacing w:line="360" w:lineRule="auto"/>
        <w:jc w:val="center"/>
        <w:rPr>
          <w:rFonts w:ascii="宋体" w:hAnsi="宋体"/>
          <w:b/>
          <w:color w:val="auto"/>
          <w:szCs w:val="24"/>
          <w:highlight w:val="none"/>
        </w:rPr>
      </w:pPr>
    </w:p>
    <w:p w14:paraId="5886818B">
      <w:pPr>
        <w:pStyle w:val="24"/>
        <w:adjustRightInd w:val="0"/>
        <w:snapToGrid w:val="0"/>
        <w:spacing w:line="360" w:lineRule="auto"/>
        <w:jc w:val="center"/>
        <w:rPr>
          <w:rFonts w:ascii="宋体" w:hAnsi="宋体"/>
          <w:b/>
          <w:color w:val="auto"/>
          <w:sz w:val="62"/>
          <w:szCs w:val="84"/>
          <w:highlight w:val="none"/>
        </w:rPr>
      </w:pPr>
      <w:r>
        <w:rPr>
          <w:rFonts w:hint="eastAsia" w:ascii="宋体" w:hAnsi="宋体"/>
          <w:b/>
          <w:color w:val="auto"/>
          <w:sz w:val="52"/>
          <w:szCs w:val="56"/>
          <w:highlight w:val="none"/>
        </w:rPr>
        <w:t>公开招标文件</w:t>
      </w:r>
    </w:p>
    <w:p w14:paraId="3C4178E8">
      <w:pPr>
        <w:pStyle w:val="24"/>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6DA79034">
      <w:pPr>
        <w:pStyle w:val="24"/>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26A6A0C7">
      <w:pPr>
        <w:pStyle w:val="24"/>
        <w:adjustRightInd w:val="0"/>
        <w:snapToGrid w:val="0"/>
        <w:spacing w:line="360" w:lineRule="auto"/>
        <w:ind w:firstLine="948" w:firstLineChars="295"/>
        <w:rPr>
          <w:rFonts w:ascii="宋体" w:hAnsi="宋体"/>
          <w:b/>
          <w:color w:val="auto"/>
          <w:sz w:val="32"/>
          <w:szCs w:val="32"/>
          <w:highlight w:val="none"/>
        </w:rPr>
      </w:pPr>
    </w:p>
    <w:p w14:paraId="1F509F3F">
      <w:pPr>
        <w:pStyle w:val="24"/>
        <w:adjustRightInd w:val="0"/>
        <w:snapToGrid w:val="0"/>
        <w:spacing w:line="360" w:lineRule="auto"/>
        <w:rPr>
          <w:rFonts w:ascii="宋体" w:hAnsi="宋体"/>
          <w:b/>
          <w:color w:val="auto"/>
          <w:sz w:val="32"/>
          <w:szCs w:val="32"/>
          <w:highlight w:val="none"/>
        </w:rPr>
      </w:pPr>
    </w:p>
    <w:p w14:paraId="1AEC86C5">
      <w:pPr>
        <w:pStyle w:val="24"/>
        <w:adjustRightInd w:val="0"/>
        <w:snapToGrid w:val="0"/>
        <w:spacing w:line="360" w:lineRule="auto"/>
        <w:rPr>
          <w:rFonts w:ascii="宋体" w:hAnsi="宋体"/>
          <w:b/>
          <w:color w:val="auto"/>
          <w:sz w:val="32"/>
          <w:szCs w:val="32"/>
          <w:highlight w:val="none"/>
        </w:rPr>
      </w:pPr>
    </w:p>
    <w:p w14:paraId="61B1425C">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 购 人：</w:t>
      </w:r>
      <w:r>
        <w:rPr>
          <w:rFonts w:hint="eastAsia" w:ascii="宋体" w:hAnsi="宋体"/>
          <w:b/>
          <w:color w:val="auto"/>
          <w:sz w:val="28"/>
          <w:szCs w:val="28"/>
          <w:highlight w:val="none"/>
          <w:lang w:eastAsia="zh-CN"/>
        </w:rPr>
        <w:t>新疆维吾尔自治区地质局乌鲁木齐地质大队</w:t>
      </w:r>
    </w:p>
    <w:p w14:paraId="48BEA3E8">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 xml:space="preserve">代理机构: </w:t>
      </w:r>
      <w:r>
        <w:rPr>
          <w:rFonts w:hint="eastAsia" w:ascii="宋体" w:hAnsi="宋体"/>
          <w:b/>
          <w:color w:val="auto"/>
          <w:sz w:val="28"/>
          <w:szCs w:val="28"/>
          <w:highlight w:val="none"/>
          <w:lang w:eastAsia="zh-CN"/>
        </w:rPr>
        <w:t>中益招标有限公司</w:t>
      </w:r>
    </w:p>
    <w:p w14:paraId="31E18AB1">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采购内容：</w:t>
      </w:r>
      <w:r>
        <w:rPr>
          <w:rFonts w:hint="eastAsia" w:ascii="宋体" w:hAnsi="宋体"/>
          <w:b/>
          <w:color w:val="auto"/>
          <w:sz w:val="28"/>
          <w:szCs w:val="28"/>
          <w:highlight w:val="none"/>
          <w:lang w:eastAsia="zh-CN"/>
        </w:rPr>
        <w:t>钻探技术</w:t>
      </w:r>
    </w:p>
    <w:p w14:paraId="3F4C626D">
      <w:pPr>
        <w:spacing w:line="360" w:lineRule="auto"/>
        <w:ind w:firstLine="562" w:firstLineChars="200"/>
        <w:jc w:val="left"/>
        <w:rPr>
          <w:rFonts w:hint="eastAsia" w:ascii="宋体" w:hAnsi="宋体" w:eastAsia="宋体"/>
          <w:b/>
          <w:color w:val="auto"/>
          <w:sz w:val="32"/>
          <w:szCs w:val="40"/>
          <w:highlight w:val="none"/>
          <w:lang w:eastAsia="zh-CN"/>
        </w:rPr>
      </w:pPr>
      <w:r>
        <w:rPr>
          <w:rFonts w:hint="eastAsia" w:ascii="宋体" w:hAnsi="宋体"/>
          <w:b/>
          <w:color w:val="auto"/>
          <w:sz w:val="28"/>
          <w:szCs w:val="28"/>
          <w:highlight w:val="none"/>
        </w:rPr>
        <w:t>项目编号：</w:t>
      </w:r>
      <w:bookmarkStart w:id="2" w:name="_Hlk99472014"/>
      <w:r>
        <w:rPr>
          <w:rFonts w:hint="eastAsia" w:ascii="宋体" w:hAnsi="宋体"/>
          <w:b/>
          <w:color w:val="auto"/>
          <w:sz w:val="32"/>
          <w:szCs w:val="40"/>
          <w:highlight w:val="none"/>
          <w:lang w:eastAsia="zh-CN"/>
        </w:rPr>
        <w:t>ZYZB-2025-Z-055</w:t>
      </w:r>
    </w:p>
    <w:p w14:paraId="7F0D13CE">
      <w:pPr>
        <w:spacing w:line="360" w:lineRule="auto"/>
        <w:ind w:firstLine="643" w:firstLineChars="200"/>
        <w:jc w:val="left"/>
        <w:rPr>
          <w:rFonts w:ascii="宋体" w:hAnsi="宋体"/>
          <w:b/>
          <w:color w:val="auto"/>
          <w:sz w:val="28"/>
          <w:szCs w:val="28"/>
          <w:highlight w:val="none"/>
        </w:rPr>
      </w:pPr>
      <w:r>
        <w:rPr>
          <w:rFonts w:ascii="宋体" w:hAnsi="宋体"/>
          <w:b/>
          <w:color w:val="auto"/>
          <w:sz w:val="32"/>
          <w:szCs w:val="40"/>
          <w:highlight w:val="none"/>
        </w:rPr>
        <w:br w:type="page"/>
      </w:r>
      <w:bookmarkStart w:id="75" w:name="_GoBack"/>
      <w:bookmarkEnd w:id="75"/>
    </w:p>
    <w:bookmarkEnd w:id="2"/>
    <w:p w14:paraId="0E5810EC">
      <w:pPr>
        <w:pStyle w:val="24"/>
        <w:adjustRightInd w:val="0"/>
        <w:snapToGrid w:val="0"/>
        <w:spacing w:line="360" w:lineRule="auto"/>
        <w:jc w:val="center"/>
        <w:rPr>
          <w:rFonts w:ascii="宋体" w:hAnsi="宋体"/>
          <w:b/>
          <w:color w:val="auto"/>
          <w:spacing w:val="160"/>
          <w:sz w:val="36"/>
          <w:szCs w:val="36"/>
          <w:highlight w:val="none"/>
        </w:rPr>
      </w:pPr>
      <w:r>
        <w:rPr>
          <w:rFonts w:hint="eastAsia" w:ascii="宋体" w:hAnsi="宋体"/>
          <w:b/>
          <w:color w:val="auto"/>
          <w:spacing w:val="160"/>
          <w:sz w:val="36"/>
          <w:szCs w:val="36"/>
          <w:highlight w:val="none"/>
        </w:rPr>
        <w:t>目录</w:t>
      </w:r>
    </w:p>
    <w:p w14:paraId="56B108CB">
      <w:pPr>
        <w:pStyle w:val="31"/>
        <w:tabs>
          <w:tab w:val="right" w:leader="dot" w:pos="8302"/>
        </w:tabs>
        <w:rPr>
          <w:rFonts w:asciiTheme="minorHAnsi" w:hAnsiTheme="minorHAnsi" w:eastAsiaTheme="minorEastAsia" w:cstheme="minorBidi"/>
          <w:b w:val="0"/>
          <w:color w:val="auto"/>
          <w:sz w:val="21"/>
          <w:szCs w:val="22"/>
          <w:highlight w:val="none"/>
        </w:rPr>
      </w:pPr>
      <w:bookmarkStart w:id="3" w:name="_Toc419219410"/>
      <w:bookmarkStart w:id="4" w:name="_Toc419219645"/>
      <w:bookmarkStart w:id="5" w:name="_Toc420948005"/>
      <w:bookmarkStart w:id="6" w:name="_Toc419219491"/>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TOC \o "1-3" \h \z \u </w:instrText>
      </w:r>
      <w:r>
        <w:rPr>
          <w:rFonts w:ascii="宋体" w:hAnsi="宋体"/>
          <w:b w:val="0"/>
          <w:color w:val="auto"/>
          <w:sz w:val="21"/>
          <w:szCs w:val="21"/>
          <w:highlight w:val="none"/>
        </w:rPr>
        <w:fldChar w:fldCharType="separate"/>
      </w:r>
      <w:r>
        <w:rPr>
          <w:color w:val="auto"/>
          <w:highlight w:val="none"/>
        </w:rPr>
        <w:fldChar w:fldCharType="begin"/>
      </w:r>
      <w:r>
        <w:rPr>
          <w:color w:val="auto"/>
          <w:highlight w:val="none"/>
        </w:rPr>
        <w:instrText xml:space="preserve"> HYPERLINK \l "_Toc161933882" </w:instrText>
      </w:r>
      <w:r>
        <w:rPr>
          <w:color w:val="auto"/>
          <w:highlight w:val="none"/>
        </w:rPr>
        <w:fldChar w:fldCharType="separate"/>
      </w:r>
      <w:r>
        <w:rPr>
          <w:rStyle w:val="56"/>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_Toc161933882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E7028D8">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"_Toc161933884" </w:instrText>
      </w:r>
      <w:r>
        <w:rPr>
          <w:color w:val="auto"/>
          <w:highlight w:val="none"/>
        </w:rPr>
        <w:fldChar w:fldCharType="separate"/>
      </w:r>
      <w:r>
        <w:rPr>
          <w:rStyle w:val="56"/>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_Toc161933884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21E90D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"_Toc161933885" </w:instrText>
      </w:r>
      <w:r>
        <w:rPr>
          <w:color w:val="auto"/>
          <w:highlight w:val="none"/>
        </w:rPr>
        <w:fldChar w:fldCharType="separate"/>
      </w:r>
      <w:r>
        <w:rPr>
          <w:rStyle w:val="56"/>
          <w:color w:val="auto"/>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_Toc161933885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E81917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"_Toc161933886" </w:instrText>
      </w:r>
      <w:r>
        <w:rPr>
          <w:color w:val="auto"/>
          <w:highlight w:val="none"/>
        </w:rPr>
        <w:fldChar w:fldCharType="separate"/>
      </w:r>
      <w:r>
        <w:rPr>
          <w:rStyle w:val="56"/>
          <w:color w:val="auto"/>
          <w:highlight w:val="none"/>
        </w:rPr>
        <w:t>投标须知正文</w:t>
      </w:r>
      <w:r>
        <w:rPr>
          <w:color w:val="auto"/>
          <w:highlight w:val="none"/>
        </w:rPr>
        <w:tab/>
      </w:r>
      <w:r>
        <w:rPr>
          <w:color w:val="auto"/>
          <w:highlight w:val="none"/>
        </w:rPr>
        <w:fldChar w:fldCharType="begin"/>
      </w:r>
      <w:r>
        <w:rPr>
          <w:color w:val="auto"/>
          <w:highlight w:val="none"/>
        </w:rPr>
        <w:instrText xml:space="preserve"> PAGEREF _Toc161933886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455C529">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"_Toc161933887" </w:instrText>
      </w:r>
      <w:r>
        <w:rPr>
          <w:color w:val="auto"/>
          <w:highlight w:val="none"/>
        </w:rPr>
        <w:fldChar w:fldCharType="separate"/>
      </w:r>
      <w:r>
        <w:rPr>
          <w:rStyle w:val="56"/>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_Toc161933887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0479F8E">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"_Toc161933888" </w:instrText>
      </w:r>
      <w:r>
        <w:rPr>
          <w:color w:val="auto"/>
          <w:highlight w:val="none"/>
        </w:rPr>
        <w:fldChar w:fldCharType="separate"/>
      </w:r>
      <w:r>
        <w:rPr>
          <w:rStyle w:val="56"/>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_Toc161933888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A579BC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"_Toc161933889" </w:instrText>
      </w:r>
      <w:r>
        <w:rPr>
          <w:color w:val="auto"/>
          <w:highlight w:val="none"/>
        </w:rPr>
        <w:fldChar w:fldCharType="separate"/>
      </w:r>
      <w:r>
        <w:rPr>
          <w:rStyle w:val="56"/>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_Toc161933889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FE6CF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"_Toc161933890" </w:instrText>
      </w:r>
      <w:r>
        <w:rPr>
          <w:color w:val="auto"/>
          <w:highlight w:val="none"/>
        </w:rPr>
        <w:fldChar w:fldCharType="separate"/>
      </w:r>
      <w:r>
        <w:rPr>
          <w:rStyle w:val="56"/>
          <w:color w:val="auto"/>
          <w:highlight w:val="none"/>
        </w:rPr>
        <w:t>五、投标文件的评审</w:t>
      </w:r>
      <w:r>
        <w:rPr>
          <w:color w:val="auto"/>
          <w:highlight w:val="none"/>
        </w:rPr>
        <w:tab/>
      </w:r>
      <w:r>
        <w:rPr>
          <w:color w:val="auto"/>
          <w:highlight w:val="none"/>
        </w:rPr>
        <w:fldChar w:fldCharType="begin"/>
      </w:r>
      <w:r>
        <w:rPr>
          <w:color w:val="auto"/>
          <w:highlight w:val="none"/>
        </w:rPr>
        <w:instrText xml:space="preserve"> PAGEREF _Toc161933890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F7A086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"_Toc161933891" </w:instrText>
      </w:r>
      <w:r>
        <w:rPr>
          <w:color w:val="auto"/>
          <w:highlight w:val="none"/>
        </w:rPr>
        <w:fldChar w:fldCharType="separate"/>
      </w:r>
      <w:r>
        <w:rPr>
          <w:rStyle w:val="56"/>
          <w:color w:val="auto"/>
          <w:highlight w:val="none"/>
        </w:rPr>
        <w:t>六、中标结果信息公布与授予合同</w:t>
      </w:r>
      <w:r>
        <w:rPr>
          <w:color w:val="auto"/>
          <w:highlight w:val="none"/>
        </w:rPr>
        <w:tab/>
      </w:r>
      <w:r>
        <w:rPr>
          <w:color w:val="auto"/>
          <w:highlight w:val="none"/>
        </w:rPr>
        <w:fldChar w:fldCharType="begin"/>
      </w:r>
      <w:r>
        <w:rPr>
          <w:color w:val="auto"/>
          <w:highlight w:val="none"/>
        </w:rPr>
        <w:instrText xml:space="preserve"> PAGEREF _Toc161933891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9AE0D5B">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"_Toc161933892" </w:instrText>
      </w:r>
      <w:r>
        <w:rPr>
          <w:color w:val="auto"/>
          <w:highlight w:val="none"/>
        </w:rPr>
        <w:fldChar w:fldCharType="separate"/>
      </w:r>
      <w:r>
        <w:rPr>
          <w:rStyle w:val="56"/>
          <w:color w:val="auto"/>
          <w:highlight w:val="none"/>
        </w:rPr>
        <w:t>七、其他规定</w:t>
      </w:r>
      <w:r>
        <w:rPr>
          <w:color w:val="auto"/>
          <w:highlight w:val="none"/>
        </w:rPr>
        <w:tab/>
      </w:r>
      <w:r>
        <w:rPr>
          <w:color w:val="auto"/>
          <w:highlight w:val="none"/>
        </w:rPr>
        <w:fldChar w:fldCharType="begin"/>
      </w:r>
      <w:r>
        <w:rPr>
          <w:color w:val="auto"/>
          <w:highlight w:val="none"/>
        </w:rPr>
        <w:instrText xml:space="preserve"> PAGEREF _Toc161933892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9A7F7DE">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"_Toc161933893" </w:instrText>
      </w:r>
      <w:r>
        <w:rPr>
          <w:color w:val="auto"/>
          <w:highlight w:val="none"/>
        </w:rPr>
        <w:fldChar w:fldCharType="separate"/>
      </w:r>
      <w:r>
        <w:rPr>
          <w:rStyle w:val="56"/>
          <w:color w:val="auto"/>
          <w:highlight w:val="none"/>
        </w:rPr>
        <w:t>第三章  合同协议书</w:t>
      </w:r>
      <w:r>
        <w:rPr>
          <w:color w:val="auto"/>
          <w:highlight w:val="none"/>
        </w:rPr>
        <w:tab/>
      </w:r>
      <w:r>
        <w:rPr>
          <w:color w:val="auto"/>
          <w:highlight w:val="none"/>
        </w:rPr>
        <w:fldChar w:fldCharType="begin"/>
      </w:r>
      <w:r>
        <w:rPr>
          <w:color w:val="auto"/>
          <w:highlight w:val="none"/>
        </w:rPr>
        <w:instrText xml:space="preserve"> PAGEREF _Toc161933893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593989A">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"_Toc161933894" </w:instrText>
      </w:r>
      <w:r>
        <w:rPr>
          <w:color w:val="auto"/>
          <w:highlight w:val="none"/>
        </w:rPr>
        <w:fldChar w:fldCharType="separate"/>
      </w:r>
      <w:r>
        <w:rPr>
          <w:rStyle w:val="56"/>
          <w:color w:val="auto"/>
          <w:highlight w:val="none"/>
        </w:rPr>
        <w:t>第四章  采购需求</w:t>
      </w:r>
      <w:r>
        <w:rPr>
          <w:color w:val="auto"/>
          <w:highlight w:val="none"/>
        </w:rPr>
        <w:tab/>
      </w:r>
      <w:r>
        <w:rPr>
          <w:color w:val="auto"/>
          <w:highlight w:val="none"/>
        </w:rPr>
        <w:fldChar w:fldCharType="begin"/>
      </w:r>
      <w:r>
        <w:rPr>
          <w:color w:val="auto"/>
          <w:highlight w:val="none"/>
        </w:rPr>
        <w:instrText xml:space="preserve"> PAGEREF _Toc161933894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A365A29">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"_Toc161933895" </w:instrText>
      </w:r>
      <w:r>
        <w:rPr>
          <w:color w:val="auto"/>
          <w:highlight w:val="none"/>
        </w:rPr>
        <w:fldChar w:fldCharType="separate"/>
      </w:r>
      <w:r>
        <w:rPr>
          <w:rStyle w:val="56"/>
          <w:rFonts w:ascii="宋体" w:hAnsi="宋体"/>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_Toc161933895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8ADFC47">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"_Toc161933896" </w:instrText>
      </w:r>
      <w:r>
        <w:rPr>
          <w:color w:val="auto"/>
          <w:highlight w:val="none"/>
        </w:rPr>
        <w:fldChar w:fldCharType="separate"/>
      </w:r>
      <w:r>
        <w:rPr>
          <w:rStyle w:val="56"/>
          <w:b/>
          <w:color w:val="auto"/>
          <w:highlight w:val="none"/>
        </w:rPr>
        <w:t>一、资格性自查表</w:t>
      </w:r>
      <w:r>
        <w:rPr>
          <w:color w:val="auto"/>
          <w:highlight w:val="none"/>
        </w:rPr>
        <w:tab/>
      </w:r>
      <w:r>
        <w:rPr>
          <w:color w:val="auto"/>
          <w:highlight w:val="none"/>
        </w:rPr>
        <w:fldChar w:fldCharType="begin"/>
      </w:r>
      <w:r>
        <w:rPr>
          <w:color w:val="auto"/>
          <w:highlight w:val="none"/>
        </w:rPr>
        <w:instrText xml:space="preserve"> PAGEREF _Toc161933896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AADD7A4">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"_Toc161933897" </w:instrText>
      </w:r>
      <w:r>
        <w:rPr>
          <w:color w:val="auto"/>
          <w:highlight w:val="none"/>
        </w:rPr>
        <w:fldChar w:fldCharType="separate"/>
      </w:r>
      <w:r>
        <w:rPr>
          <w:rStyle w:val="56"/>
          <w:color w:val="auto"/>
          <w:highlight w:val="none"/>
        </w:rPr>
        <w:t>二、投标函</w:t>
      </w:r>
      <w:r>
        <w:rPr>
          <w:color w:val="auto"/>
          <w:highlight w:val="none"/>
        </w:rPr>
        <w:tab/>
      </w:r>
      <w:r>
        <w:rPr>
          <w:color w:val="auto"/>
          <w:highlight w:val="none"/>
        </w:rPr>
        <w:fldChar w:fldCharType="begin"/>
      </w:r>
      <w:r>
        <w:rPr>
          <w:color w:val="auto"/>
          <w:highlight w:val="none"/>
        </w:rPr>
        <w:instrText xml:space="preserve"> PAGEREF _Toc161933897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6B3257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"_Toc161933898" </w:instrText>
      </w:r>
      <w:r>
        <w:rPr>
          <w:color w:val="auto"/>
          <w:highlight w:val="none"/>
        </w:rPr>
        <w:fldChar w:fldCharType="separate"/>
      </w:r>
      <w:r>
        <w:rPr>
          <w:rStyle w:val="56"/>
          <w:color w:val="auto"/>
          <w:highlight w:val="none"/>
        </w:rPr>
        <w:t>三、投标保证金</w:t>
      </w:r>
      <w:r>
        <w:rPr>
          <w:color w:val="auto"/>
          <w:highlight w:val="none"/>
        </w:rPr>
        <w:tab/>
      </w:r>
      <w:r>
        <w:rPr>
          <w:color w:val="auto"/>
          <w:highlight w:val="none"/>
        </w:rPr>
        <w:fldChar w:fldCharType="begin"/>
      </w:r>
      <w:r>
        <w:rPr>
          <w:color w:val="auto"/>
          <w:highlight w:val="none"/>
        </w:rPr>
        <w:instrText xml:space="preserve"> PAGEREF _Toc161933898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757B7A1">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"_Toc161933899" </w:instrText>
      </w:r>
      <w:r>
        <w:rPr>
          <w:color w:val="auto"/>
          <w:highlight w:val="none"/>
        </w:rPr>
        <w:fldChar w:fldCharType="separate"/>
      </w:r>
      <w:r>
        <w:rPr>
          <w:rStyle w:val="56"/>
          <w:color w:val="auto"/>
          <w:highlight w:val="none"/>
        </w:rPr>
        <w:t>四、报价一览表及报价明细表</w:t>
      </w:r>
      <w:r>
        <w:rPr>
          <w:color w:val="auto"/>
          <w:highlight w:val="none"/>
        </w:rPr>
        <w:tab/>
      </w:r>
      <w:r>
        <w:rPr>
          <w:color w:val="auto"/>
          <w:highlight w:val="none"/>
        </w:rPr>
        <w:fldChar w:fldCharType="begin"/>
      </w:r>
      <w:r>
        <w:rPr>
          <w:color w:val="auto"/>
          <w:highlight w:val="none"/>
        </w:rPr>
        <w:instrText xml:space="preserve"> PAGEREF _Toc161933899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CB2594A">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"_Toc161933900" </w:instrText>
      </w:r>
      <w:r>
        <w:rPr>
          <w:color w:val="auto"/>
          <w:highlight w:val="none"/>
        </w:rPr>
        <w:fldChar w:fldCharType="separate"/>
      </w:r>
      <w:r>
        <w:rPr>
          <w:rStyle w:val="56"/>
          <w:color w:val="auto"/>
          <w:highlight w:val="none"/>
        </w:rPr>
        <w:t>五、投标人的资格证明材料</w:t>
      </w:r>
      <w:r>
        <w:rPr>
          <w:color w:val="auto"/>
          <w:highlight w:val="none"/>
        </w:rPr>
        <w:tab/>
      </w:r>
      <w:r>
        <w:rPr>
          <w:color w:val="auto"/>
          <w:highlight w:val="none"/>
        </w:rPr>
        <w:fldChar w:fldCharType="begin"/>
      </w:r>
      <w:r>
        <w:rPr>
          <w:color w:val="auto"/>
          <w:highlight w:val="none"/>
        </w:rPr>
        <w:instrText xml:space="preserve"> PAGEREF _Toc161933900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77BDE49">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"_Toc161933901" </w:instrText>
      </w:r>
      <w:r>
        <w:rPr>
          <w:color w:val="auto"/>
          <w:highlight w:val="none"/>
        </w:rPr>
        <w:fldChar w:fldCharType="separate"/>
      </w:r>
      <w:r>
        <w:rPr>
          <w:rStyle w:val="56"/>
          <w:color w:val="auto"/>
          <w:highlight w:val="none"/>
        </w:rPr>
        <w:t>六、项目方案</w:t>
      </w:r>
      <w:r>
        <w:rPr>
          <w:color w:val="auto"/>
          <w:highlight w:val="none"/>
        </w:rPr>
        <w:tab/>
      </w:r>
      <w:r>
        <w:rPr>
          <w:color w:val="auto"/>
          <w:highlight w:val="none"/>
        </w:rPr>
        <w:fldChar w:fldCharType="begin"/>
      </w:r>
      <w:r>
        <w:rPr>
          <w:color w:val="auto"/>
          <w:highlight w:val="none"/>
        </w:rPr>
        <w:instrText xml:space="preserve"> PAGEREF _Toc161933901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00987B8C">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"_Toc161933902" </w:instrText>
      </w:r>
      <w:r>
        <w:rPr>
          <w:color w:val="auto"/>
          <w:highlight w:val="none"/>
        </w:rPr>
        <w:fldChar w:fldCharType="separate"/>
      </w:r>
      <w:r>
        <w:rPr>
          <w:rStyle w:val="56"/>
          <w:color w:val="auto"/>
          <w:highlight w:val="none"/>
        </w:rPr>
        <w:t>七、响应/偏离表</w:t>
      </w:r>
      <w:r>
        <w:rPr>
          <w:color w:val="auto"/>
          <w:highlight w:val="none"/>
        </w:rPr>
        <w:tab/>
      </w:r>
      <w:r>
        <w:rPr>
          <w:color w:val="auto"/>
          <w:highlight w:val="none"/>
        </w:rPr>
        <w:fldChar w:fldCharType="begin"/>
      </w:r>
      <w:r>
        <w:rPr>
          <w:color w:val="auto"/>
          <w:highlight w:val="none"/>
        </w:rPr>
        <w:instrText xml:space="preserve"> PAGEREF _Toc161933902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CECF3CD">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"_Toc161933903" </w:instrText>
      </w:r>
      <w:r>
        <w:rPr>
          <w:color w:val="auto"/>
          <w:highlight w:val="none"/>
        </w:rPr>
        <w:fldChar w:fldCharType="separate"/>
      </w:r>
      <w:r>
        <w:rPr>
          <w:rStyle w:val="56"/>
          <w:color w:val="auto"/>
          <w:highlight w:val="none"/>
        </w:rPr>
        <w:t>八、投标人认为需要提供的其它资料</w:t>
      </w:r>
      <w:r>
        <w:rPr>
          <w:color w:val="auto"/>
          <w:highlight w:val="none"/>
        </w:rPr>
        <w:tab/>
      </w:r>
      <w:r>
        <w:rPr>
          <w:color w:val="auto"/>
          <w:highlight w:val="none"/>
        </w:rPr>
        <w:fldChar w:fldCharType="begin"/>
      </w:r>
      <w:r>
        <w:rPr>
          <w:color w:val="auto"/>
          <w:highlight w:val="none"/>
        </w:rPr>
        <w:instrText xml:space="preserve"> PAGEREF _Toc161933903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597F3D9B">
      <w:pPr>
        <w:spacing w:line="360" w:lineRule="auto"/>
        <w:jc w:val="center"/>
        <w:rPr>
          <w:rFonts w:ascii="宋体" w:hAnsi="宋体"/>
          <w:color w:val="auto"/>
          <w:szCs w:val="21"/>
          <w:highlight w:val="none"/>
        </w:rPr>
      </w:pPr>
      <w:r>
        <w:rPr>
          <w:rFonts w:ascii="宋体" w:hAnsi="宋体"/>
          <w:color w:val="auto"/>
          <w:szCs w:val="21"/>
          <w:highlight w:val="none"/>
        </w:rPr>
        <w:fldChar w:fldCharType="end"/>
      </w:r>
      <w:bookmarkStart w:id="7" w:name="_Toc433113174"/>
    </w:p>
    <w:p w14:paraId="6783C37F">
      <w:pPr>
        <w:pStyle w:val="2"/>
        <w:rPr>
          <w:color w:val="auto"/>
          <w:highlight w:val="none"/>
        </w:rPr>
        <w:sectPr>
          <w:headerReference r:id="rId4" w:type="first"/>
          <w:headerReference r:id="rId3" w:type="default"/>
          <w:pgSz w:w="11906" w:h="16838"/>
          <w:pgMar w:top="1440" w:right="1797" w:bottom="1440" w:left="1797" w:header="851" w:footer="992" w:gutter="0"/>
          <w:cols w:space="720" w:num="1"/>
          <w:docGrid w:linePitch="312" w:charSpace="0"/>
        </w:sectPr>
      </w:pPr>
    </w:p>
    <w:p w14:paraId="4E9F981D">
      <w:pPr>
        <w:pStyle w:val="2"/>
        <w:rPr>
          <w:color w:val="auto"/>
          <w:highlight w:val="none"/>
        </w:rPr>
      </w:pPr>
    </w:p>
    <w:p w14:paraId="040E0F78">
      <w:pPr>
        <w:pStyle w:val="2"/>
        <w:rPr>
          <w:color w:val="auto"/>
          <w:highlight w:val="none"/>
        </w:rPr>
      </w:pPr>
      <w:r>
        <w:rPr>
          <w:color w:val="auto"/>
          <w:highlight w:val="none"/>
        </w:rPr>
        <w:br w:type="page"/>
      </w:r>
    </w:p>
    <w:p w14:paraId="090F398F">
      <w:pPr>
        <w:pStyle w:val="3"/>
        <w:rPr>
          <w:color w:val="auto"/>
          <w:highlight w:val="none"/>
        </w:rPr>
        <w:sectPr>
          <w:footerReference r:id="rId5" w:type="default"/>
          <w:type w:val="continuous"/>
          <w:pgSz w:w="11906" w:h="16838"/>
          <w:pgMar w:top="1440" w:right="1797" w:bottom="1440" w:left="1797" w:header="851" w:footer="992" w:gutter="0"/>
          <w:pgNumType w:start="1"/>
          <w:cols w:space="720" w:num="1"/>
          <w:docGrid w:linePitch="312" w:charSpace="0"/>
        </w:sectPr>
      </w:pPr>
    </w:p>
    <w:p w14:paraId="01C79FCA">
      <w:pPr>
        <w:pStyle w:val="3"/>
        <w:rPr>
          <w:color w:val="auto"/>
          <w:sz w:val="24"/>
          <w:szCs w:val="24"/>
          <w:highlight w:val="none"/>
        </w:rPr>
      </w:pPr>
      <w:bookmarkStart w:id="8" w:name="_Toc161933882"/>
      <w:r>
        <w:rPr>
          <w:rFonts w:hint="eastAsia"/>
          <w:color w:val="auto"/>
          <w:highlight w:val="none"/>
        </w:rPr>
        <w:t>第一</w:t>
      </w:r>
      <w:r>
        <w:rPr>
          <w:color w:val="auto"/>
          <w:highlight w:val="none"/>
        </w:rPr>
        <w:t xml:space="preserve">章  </w:t>
      </w:r>
      <w:r>
        <w:rPr>
          <w:rFonts w:hint="eastAsia"/>
          <w:color w:val="auto"/>
          <w:highlight w:val="none"/>
        </w:rPr>
        <w:t>公开招标公告</w:t>
      </w:r>
      <w:bookmarkEnd w:id="3"/>
      <w:bookmarkEnd w:id="4"/>
      <w:bookmarkEnd w:id="5"/>
      <w:bookmarkEnd w:id="6"/>
      <w:bookmarkEnd w:id="7"/>
      <w:bookmarkEnd w:id="8"/>
      <w:bookmarkStart w:id="9" w:name="_Toc433113175"/>
      <w:bookmarkStart w:id="10" w:name="_Toc420948006"/>
    </w:p>
    <w:p w14:paraId="661344D8">
      <w:pPr>
        <w:pStyle w:val="4"/>
        <w:shd w:val="clear" w:color="auto" w:fill="FFFFFF"/>
        <w:spacing w:before="450" w:after="300" w:line="540" w:lineRule="atLeast"/>
        <w:jc w:val="center"/>
        <w:textAlignment w:val="baseline"/>
        <w:rPr>
          <w:rFonts w:hint="eastAsia" w:ascii="inherit" w:hAnsi="inherit" w:eastAsia="微软雅黑"/>
          <w:color w:val="auto"/>
          <w:kern w:val="0"/>
          <w:sz w:val="39"/>
          <w:szCs w:val="39"/>
          <w:highlight w:val="none"/>
        </w:rPr>
      </w:pPr>
      <w:bookmarkStart w:id="11" w:name="_Toc161933883"/>
      <w:r>
        <w:rPr>
          <w:rFonts w:hint="eastAsia" w:ascii="inherit" w:hAnsi="inherit" w:eastAsia="微软雅黑"/>
          <w:color w:val="auto"/>
          <w:sz w:val="39"/>
          <w:szCs w:val="39"/>
          <w:highlight w:val="none"/>
          <w:lang w:eastAsia="zh-CN"/>
        </w:rPr>
        <w:t>新疆维吾尔自治区地质局乌鲁木齐地质大队钻探技术服务项目</w:t>
      </w:r>
      <w:r>
        <w:rPr>
          <w:rFonts w:ascii="inherit" w:hAnsi="inherit" w:eastAsia="微软雅黑"/>
          <w:color w:val="auto"/>
          <w:sz w:val="39"/>
          <w:szCs w:val="39"/>
          <w:highlight w:val="none"/>
        </w:rPr>
        <w:t>公开招标公告</w:t>
      </w:r>
      <w:bookmarkEnd w:id="11"/>
    </w:p>
    <w:p w14:paraId="42627572">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E39EF4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新疆维吾尔自治区地质局乌鲁木齐地质大队钻探技术服务项目</w:t>
      </w:r>
      <w:r>
        <w:rPr>
          <w:rFonts w:hint="eastAsia" w:ascii="仿宋" w:hAnsi="仿宋" w:eastAsia="仿宋" w:cs="仿宋"/>
          <w:color w:val="auto"/>
          <w:sz w:val="24"/>
          <w:szCs w:val="24"/>
          <w:highlight w:val="none"/>
        </w:rPr>
        <w:t>的潜在投标人应在政采云平台http://www.zcygov.cn获取招标文件，并于</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t xml:space="preserve"> 11:00（北京时间）前递交投标文件。</w:t>
      </w:r>
    </w:p>
    <w:p w14:paraId="4E119AF3">
      <w:pPr>
        <w:pStyle w:val="4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一、项目基本情况</w:t>
      </w:r>
    </w:p>
    <w:p w14:paraId="5A83523D">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ZYZB-2025-Z-055</w:t>
      </w:r>
    </w:p>
    <w:p w14:paraId="2AA05E04">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新疆维吾尔自治区地质局乌鲁木齐地质大队钻探技术服务项目</w:t>
      </w:r>
    </w:p>
    <w:p w14:paraId="1DB8144F">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403C33CB">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9199900</w:t>
      </w:r>
      <w:r>
        <w:rPr>
          <w:rFonts w:hint="eastAsia" w:ascii="仿宋" w:hAnsi="仿宋" w:eastAsia="仿宋" w:cs="仿宋"/>
          <w:color w:val="auto"/>
          <w:sz w:val="24"/>
          <w:szCs w:val="24"/>
          <w:highlight w:val="none"/>
        </w:rPr>
        <w:t>元（人民币）</w:t>
      </w:r>
    </w:p>
    <w:p w14:paraId="3ABD5740">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6F6EC649">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ascii="微软雅黑" w:hAnsi="微软雅黑" w:eastAsia="微软雅黑" w:cs="微软雅黑"/>
          <w:i w:val="0"/>
          <w:iCs w:val="0"/>
          <w:caps w:val="0"/>
          <w:color w:val="000000"/>
          <w:spacing w:val="0"/>
          <w:sz w:val="21"/>
          <w:szCs w:val="21"/>
          <w:highlight w:val="none"/>
        </w:rPr>
        <w:t>新</w:t>
      </w:r>
      <w:r>
        <w:rPr>
          <w:rFonts w:hint="eastAsia" w:ascii="仿宋" w:hAnsi="仿宋" w:eastAsia="仿宋" w:cs="仿宋"/>
          <w:color w:val="auto"/>
          <w:sz w:val="24"/>
          <w:szCs w:val="24"/>
          <w:highlight w:val="none"/>
          <w:lang w:val="en-US" w:eastAsia="zh-CN"/>
        </w:rPr>
        <w:t>疆乌鲁木齐市永丰南油气资源潜力评价钻探技术服务。</w:t>
      </w:r>
    </w:p>
    <w:p w14:paraId="4DE19AA4">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数量：不限</w:t>
      </w:r>
    </w:p>
    <w:p w14:paraId="5631B00F">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9199900</w:t>
      </w:r>
      <w:r>
        <w:rPr>
          <w:rFonts w:hint="eastAsia" w:ascii="仿宋" w:hAnsi="仿宋" w:eastAsia="仿宋" w:cs="仿宋"/>
          <w:color w:val="auto"/>
          <w:sz w:val="24"/>
          <w:szCs w:val="24"/>
          <w:highlight w:val="none"/>
        </w:rPr>
        <w:t>元（人民币）</w:t>
      </w:r>
    </w:p>
    <w:p w14:paraId="3D301039">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单位： 项 </w:t>
      </w:r>
    </w:p>
    <w:p w14:paraId="02AD6B4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钻探技术服务</w:t>
      </w:r>
    </w:p>
    <w:p w14:paraId="44C9360F">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F50C9A3">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合同履约期限：合同签订后</w:t>
      </w:r>
      <w:r>
        <w:rPr>
          <w:rFonts w:hint="eastAsia" w:ascii="仿宋" w:hAnsi="仿宋" w:eastAsia="仿宋" w:cs="仿宋"/>
          <w:color w:val="auto"/>
          <w:sz w:val="24"/>
          <w:szCs w:val="24"/>
          <w:highlight w:val="none"/>
          <w:lang w:val="en-US" w:eastAsia="zh-CN"/>
        </w:rPr>
        <w:t>120</w:t>
      </w:r>
      <w:r>
        <w:rPr>
          <w:rFonts w:hint="eastAsia" w:ascii="仿宋" w:hAnsi="仿宋" w:eastAsia="仿宋" w:cs="仿宋"/>
          <w:color w:val="auto"/>
          <w:sz w:val="24"/>
          <w:szCs w:val="24"/>
          <w:highlight w:val="none"/>
        </w:rPr>
        <w:t>天内完成。</w:t>
      </w:r>
    </w:p>
    <w:p w14:paraId="05036BB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 不接受)联合体投标。</w:t>
      </w:r>
    </w:p>
    <w:p w14:paraId="3AAAB273">
      <w:pPr>
        <w:pStyle w:val="4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二、申请人的资格要求：</w:t>
      </w:r>
    </w:p>
    <w:p w14:paraId="46E4FD63">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41A1477">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p>
    <w:p w14:paraId="251F5B35">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：具有有效的安全生产许可证</w:t>
      </w:r>
    </w:p>
    <w:p w14:paraId="6BD5A32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三、获取招标文件</w:t>
      </w:r>
    </w:p>
    <w:p w14:paraId="1B7E9A30">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时间：</w:t>
      </w:r>
      <w:r>
        <w:rPr>
          <w:rStyle w:val="50"/>
          <w:rFonts w:hint="eastAsia" w:ascii="仿宋" w:hAnsi="仿宋" w:eastAsia="仿宋" w:cs="仿宋"/>
          <w:b w:val="0"/>
          <w:bCs w:val="0"/>
          <w:color w:val="auto"/>
          <w:sz w:val="24"/>
          <w:szCs w:val="24"/>
          <w:highlight w:val="none"/>
        </w:rPr>
        <w:t>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val="en-US" w:eastAsia="zh-CN"/>
        </w:rPr>
        <w:t>06</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27</w:t>
      </w:r>
      <w:r>
        <w:rPr>
          <w:rStyle w:val="50"/>
          <w:rFonts w:hint="eastAsia" w:ascii="仿宋" w:hAnsi="仿宋" w:eastAsia="仿宋" w:cs="仿宋"/>
          <w:b w:val="0"/>
          <w:bCs w:val="0"/>
          <w:color w:val="auto"/>
          <w:sz w:val="24"/>
          <w:szCs w:val="24"/>
          <w:highlight w:val="none"/>
        </w:rPr>
        <w:t>日至202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年0</w:t>
      </w:r>
      <w:r>
        <w:rPr>
          <w:rStyle w:val="50"/>
          <w:rFonts w:hint="eastAsia" w:ascii="仿宋" w:hAnsi="仿宋" w:eastAsia="仿宋" w:cs="仿宋"/>
          <w:b w:val="0"/>
          <w:bCs w:val="0"/>
          <w:color w:val="auto"/>
          <w:sz w:val="24"/>
          <w:szCs w:val="24"/>
          <w:highlight w:val="none"/>
          <w:lang w:val="en-US" w:eastAsia="zh-CN"/>
        </w:rPr>
        <w:t>7</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18</w:t>
      </w:r>
      <w:r>
        <w:rPr>
          <w:rStyle w:val="50"/>
          <w:rFonts w:hint="eastAsia" w:ascii="仿宋" w:hAnsi="仿宋" w:eastAsia="仿宋" w:cs="仿宋"/>
          <w:b w:val="0"/>
          <w:bCs w:val="0"/>
          <w:color w:val="auto"/>
          <w:sz w:val="24"/>
          <w:szCs w:val="24"/>
          <w:highlight w:val="none"/>
        </w:rPr>
        <w:t>日，每天上午00:00至12:00，下午12:00至23:59</w:t>
      </w:r>
      <w:r>
        <w:rPr>
          <w:rStyle w:val="50"/>
          <w:rFonts w:hint="eastAsia" w:ascii="仿宋" w:hAnsi="仿宋" w:eastAsia="仿宋" w:cs="仿宋"/>
          <w:b w:val="0"/>
          <w:bCs w:val="0"/>
          <w:color w:val="auto"/>
          <w:sz w:val="24"/>
          <w:szCs w:val="24"/>
          <w:highlight w:val="none"/>
        </w:rPr>
        <w:t>（北京时间，法定节假日除外）</w:t>
      </w:r>
    </w:p>
    <w:p w14:paraId="7DDE87B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地点：政采云平台http://www.zcygov.cn</w:t>
      </w:r>
    </w:p>
    <w:p w14:paraId="7A394E8A">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方式：免费获取，投标人登陆政采云账户（网址：https://www.zcygov.cn/）,在线申请获取招标文件（登录政府采购云平台→采购项目→获取采购文件→申请，审核通过后可下载招标文件，如有操作性问题，可与政采云在线客服进行咨询，咨询电话95763）</w:t>
      </w:r>
    </w:p>
    <w:p w14:paraId="56DE6F3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售价（元）：0</w:t>
      </w:r>
    </w:p>
    <w:p w14:paraId="76035326">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四、提交投标文件截止时间、开标时间和地点</w:t>
      </w:r>
    </w:p>
    <w:p w14:paraId="4218EDA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提交投标文件截止时间：</w:t>
      </w:r>
      <w:r>
        <w:rPr>
          <w:rStyle w:val="50"/>
          <w:rFonts w:hint="eastAsia" w:ascii="仿宋" w:hAnsi="仿宋" w:eastAsia="仿宋" w:cs="仿宋"/>
          <w:b w:val="0"/>
          <w:bCs w:val="0"/>
          <w:color w:val="auto"/>
          <w:sz w:val="24"/>
          <w:szCs w:val="24"/>
          <w:highlight w:val="none"/>
        </w:rPr>
        <w:t>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年0</w:t>
      </w:r>
      <w:r>
        <w:rPr>
          <w:rStyle w:val="50"/>
          <w:rFonts w:hint="eastAsia" w:ascii="仿宋" w:hAnsi="仿宋" w:eastAsia="仿宋" w:cs="仿宋"/>
          <w:b w:val="0"/>
          <w:bCs w:val="0"/>
          <w:color w:val="auto"/>
          <w:sz w:val="24"/>
          <w:szCs w:val="24"/>
          <w:highlight w:val="none"/>
          <w:lang w:val="en-US" w:eastAsia="zh-CN"/>
        </w:rPr>
        <w:t>7</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18</w:t>
      </w:r>
      <w:r>
        <w:rPr>
          <w:rStyle w:val="50"/>
          <w:rFonts w:hint="eastAsia" w:ascii="仿宋" w:hAnsi="仿宋" w:eastAsia="仿宋" w:cs="仿宋"/>
          <w:b w:val="0"/>
          <w:bCs w:val="0"/>
          <w:color w:val="auto"/>
          <w:sz w:val="24"/>
          <w:szCs w:val="24"/>
          <w:highlight w:val="none"/>
        </w:rPr>
        <w:t xml:space="preserve">日 </w:t>
      </w:r>
      <w:r>
        <w:rPr>
          <w:rStyle w:val="50"/>
          <w:rFonts w:hint="eastAsia" w:ascii="仿宋" w:hAnsi="仿宋" w:eastAsia="仿宋" w:cs="仿宋"/>
          <w:b w:val="0"/>
          <w:bCs w:val="0"/>
          <w:color w:val="auto"/>
          <w:sz w:val="24"/>
          <w:szCs w:val="24"/>
          <w:highlight w:val="none"/>
        </w:rPr>
        <w:t>11:00（北京时间）</w:t>
      </w:r>
    </w:p>
    <w:p w14:paraId="084A130C">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投标地点：将投标文件上传至政采云平台https://www.zcygov.cn/对应位置（逾期未上传的或不符合规定的投标文件将被拒绝接收）</w:t>
      </w:r>
    </w:p>
    <w:p w14:paraId="6898D5A3">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开标时间：</w:t>
      </w:r>
      <w:r>
        <w:rPr>
          <w:rStyle w:val="50"/>
          <w:rFonts w:hint="eastAsia" w:ascii="仿宋" w:hAnsi="仿宋" w:eastAsia="仿宋" w:cs="仿宋"/>
          <w:b w:val="0"/>
          <w:bCs w:val="0"/>
          <w:color w:val="auto"/>
          <w:sz w:val="24"/>
          <w:szCs w:val="24"/>
          <w:highlight w:val="none"/>
        </w:rPr>
        <w:t>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年0</w:t>
      </w:r>
      <w:r>
        <w:rPr>
          <w:rStyle w:val="50"/>
          <w:rFonts w:hint="eastAsia" w:ascii="仿宋" w:hAnsi="仿宋" w:eastAsia="仿宋" w:cs="仿宋"/>
          <w:b w:val="0"/>
          <w:bCs w:val="0"/>
          <w:color w:val="auto"/>
          <w:sz w:val="24"/>
          <w:szCs w:val="24"/>
          <w:highlight w:val="none"/>
          <w:lang w:val="en-US" w:eastAsia="zh-CN"/>
        </w:rPr>
        <w:t>7</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18</w:t>
      </w:r>
      <w:r>
        <w:rPr>
          <w:rStyle w:val="50"/>
          <w:rFonts w:hint="eastAsia" w:ascii="仿宋" w:hAnsi="仿宋" w:eastAsia="仿宋" w:cs="仿宋"/>
          <w:b w:val="0"/>
          <w:bCs w:val="0"/>
          <w:color w:val="auto"/>
          <w:sz w:val="24"/>
          <w:szCs w:val="24"/>
          <w:highlight w:val="none"/>
        </w:rPr>
        <w:t>日</w:t>
      </w:r>
      <w:r>
        <w:rPr>
          <w:rStyle w:val="50"/>
          <w:rFonts w:hint="eastAsia" w:ascii="仿宋" w:hAnsi="仿宋" w:eastAsia="仿宋" w:cs="仿宋"/>
          <w:b w:val="0"/>
          <w:bCs w:val="0"/>
          <w:color w:val="auto"/>
          <w:sz w:val="24"/>
          <w:szCs w:val="24"/>
          <w:highlight w:val="none"/>
        </w:rPr>
        <w:t xml:space="preserve"> 11:00（北京时间）</w:t>
      </w:r>
    </w:p>
    <w:p w14:paraId="7D95C13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开标地点：投标人登录政采云平台https://www.zcygov.cn/，进入“项目采购开标评标-右边选择对应项目点击“进入项目”进入开标大厅。</w:t>
      </w:r>
    </w:p>
    <w:p w14:paraId="083754F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五、公告期限</w:t>
      </w:r>
    </w:p>
    <w:p w14:paraId="26BE2480">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自本公告发布之日起5个工作日。</w:t>
      </w:r>
    </w:p>
    <w:p w14:paraId="491957F4">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六、其他补充事宜</w:t>
      </w:r>
    </w:p>
    <w:p w14:paraId="5022E042">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无</w:t>
      </w:r>
    </w:p>
    <w:p w14:paraId="673DF053">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七、对本次招标提出询问，请按以下方式联系。</w:t>
      </w:r>
    </w:p>
    <w:p w14:paraId="7E48C2A7">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1.采购人信息</w:t>
      </w:r>
    </w:p>
    <w:p w14:paraId="4ED412AB">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名 称：</w:t>
      </w:r>
      <w:r>
        <w:rPr>
          <w:rStyle w:val="50"/>
          <w:rFonts w:hint="eastAsia" w:ascii="仿宋" w:hAnsi="仿宋" w:eastAsia="仿宋" w:cs="仿宋"/>
          <w:b w:val="0"/>
          <w:bCs w:val="0"/>
          <w:color w:val="auto"/>
          <w:sz w:val="24"/>
          <w:szCs w:val="24"/>
          <w:highlight w:val="none"/>
          <w:lang w:eastAsia="zh-CN"/>
        </w:rPr>
        <w:t>新疆维吾尔自治区地质局乌鲁木齐地质大队</w:t>
      </w:r>
    </w:p>
    <w:p w14:paraId="263D331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地址：</w:t>
      </w:r>
      <w:r>
        <w:rPr>
          <w:rStyle w:val="50"/>
          <w:rFonts w:hint="eastAsia" w:ascii="仿宋" w:hAnsi="仿宋" w:eastAsia="仿宋" w:cs="仿宋"/>
          <w:b w:val="0"/>
          <w:bCs w:val="0"/>
          <w:color w:val="auto"/>
          <w:sz w:val="24"/>
          <w:szCs w:val="24"/>
          <w:highlight w:val="none"/>
          <w:lang w:eastAsia="zh-CN"/>
        </w:rPr>
        <w:t>乌鲁木齐市沙依巴克区西环中路497号</w:t>
      </w:r>
    </w:p>
    <w:p w14:paraId="150CABB8">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default" w:ascii="仿宋" w:hAnsi="仿宋" w:eastAsia="仿宋" w:cs="仿宋"/>
          <w:b w:val="0"/>
          <w:bCs w:val="0"/>
          <w:color w:val="auto"/>
          <w:sz w:val="24"/>
          <w:szCs w:val="24"/>
          <w:highlight w:val="none"/>
          <w:u w:val="single"/>
          <w:lang w:val="en-US" w:eastAsia="zh-CN"/>
        </w:rPr>
      </w:pPr>
      <w:r>
        <w:rPr>
          <w:rStyle w:val="50"/>
          <w:rFonts w:hint="eastAsia" w:ascii="仿宋" w:hAnsi="仿宋" w:eastAsia="仿宋" w:cs="仿宋"/>
          <w:b w:val="0"/>
          <w:bCs w:val="0"/>
          <w:color w:val="auto"/>
          <w:sz w:val="24"/>
          <w:szCs w:val="24"/>
          <w:highlight w:val="none"/>
        </w:rPr>
        <w:t>联系方式：</w:t>
      </w:r>
      <w:r>
        <w:rPr>
          <w:rStyle w:val="50"/>
          <w:rFonts w:hint="eastAsia" w:ascii="仿宋" w:hAnsi="仿宋" w:eastAsia="仿宋" w:cs="仿宋"/>
          <w:b w:val="0"/>
          <w:bCs w:val="0"/>
          <w:color w:val="auto"/>
          <w:sz w:val="24"/>
          <w:szCs w:val="24"/>
          <w:highlight w:val="none"/>
          <w:lang w:eastAsia="zh-CN"/>
        </w:rPr>
        <w:t xml:space="preserve">梁斌 </w:t>
      </w:r>
      <w:r>
        <w:rPr>
          <w:rStyle w:val="50"/>
          <w:rFonts w:hint="eastAsia" w:ascii="仿宋" w:hAnsi="仿宋" w:eastAsia="仿宋" w:cs="仿宋"/>
          <w:b w:val="0"/>
          <w:bCs w:val="0"/>
          <w:color w:val="auto"/>
          <w:sz w:val="24"/>
          <w:szCs w:val="24"/>
          <w:highlight w:val="none"/>
          <w:lang w:val="en-US" w:eastAsia="zh-CN"/>
        </w:rPr>
        <w:t>18690823878</w:t>
      </w:r>
    </w:p>
    <w:p w14:paraId="3359EDE4">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2.采购代理机构信息</w:t>
      </w:r>
    </w:p>
    <w:p w14:paraId="759E1025">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名 称：中益招标有限公司</w:t>
      </w:r>
    </w:p>
    <w:p w14:paraId="2250731B">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　址：乌鲁木齐高新区（新市区）北京南路416号盈科国际中心30楼3001室</w:t>
      </w:r>
    </w:p>
    <w:p w14:paraId="5178B936">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联系方式：</w:t>
      </w:r>
      <w:r>
        <w:rPr>
          <w:rStyle w:val="50"/>
          <w:rFonts w:hint="eastAsia" w:ascii="仿宋" w:hAnsi="仿宋" w:eastAsia="仿宋" w:cs="仿宋"/>
          <w:b w:val="0"/>
          <w:bCs w:val="0"/>
          <w:color w:val="auto"/>
          <w:sz w:val="24"/>
          <w:szCs w:val="24"/>
          <w:highlight w:val="none"/>
          <w:lang w:val="en-US" w:eastAsia="zh-CN"/>
        </w:rPr>
        <w:t xml:space="preserve">罗雄雄 </w:t>
      </w:r>
      <w:r>
        <w:rPr>
          <w:rStyle w:val="50"/>
          <w:rFonts w:hint="eastAsia" w:ascii="仿宋" w:hAnsi="仿宋" w:eastAsia="仿宋" w:cs="仿宋"/>
          <w:b w:val="0"/>
          <w:bCs w:val="0"/>
          <w:color w:val="auto"/>
          <w:sz w:val="24"/>
          <w:szCs w:val="24"/>
          <w:highlight w:val="none"/>
        </w:rPr>
        <w:t>谢楠 0991-3651985</w:t>
      </w:r>
    </w:p>
    <w:p w14:paraId="6F65323A">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3.项目联系方式</w:t>
      </w:r>
    </w:p>
    <w:p w14:paraId="42FB1D7C">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项目联系人：</w:t>
      </w:r>
      <w:r>
        <w:rPr>
          <w:rStyle w:val="50"/>
          <w:rFonts w:hint="eastAsia" w:ascii="仿宋" w:hAnsi="仿宋" w:eastAsia="仿宋" w:cs="仿宋"/>
          <w:b w:val="0"/>
          <w:bCs w:val="0"/>
          <w:color w:val="auto"/>
          <w:sz w:val="24"/>
          <w:szCs w:val="24"/>
          <w:highlight w:val="none"/>
          <w:lang w:val="en-US" w:eastAsia="zh-CN"/>
        </w:rPr>
        <w:t xml:space="preserve">罗雄雄 </w:t>
      </w:r>
      <w:r>
        <w:rPr>
          <w:rStyle w:val="50"/>
          <w:rFonts w:hint="eastAsia" w:ascii="仿宋" w:hAnsi="仿宋" w:eastAsia="仿宋" w:cs="仿宋"/>
          <w:b w:val="0"/>
          <w:bCs w:val="0"/>
          <w:color w:val="auto"/>
          <w:sz w:val="24"/>
          <w:szCs w:val="24"/>
          <w:highlight w:val="none"/>
        </w:rPr>
        <w:t>谢楠</w:t>
      </w:r>
    </w:p>
    <w:p w14:paraId="7CEB49AE">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Style w:val="50"/>
          <w:rFonts w:hint="eastAsia" w:ascii="仿宋" w:hAnsi="仿宋" w:eastAsia="仿宋" w:cs="仿宋"/>
          <w:b w:val="0"/>
          <w:bCs w:val="0"/>
          <w:color w:val="auto"/>
          <w:sz w:val="24"/>
          <w:szCs w:val="24"/>
          <w:highlight w:val="none"/>
        </w:rPr>
        <w:t>电　话：</w:t>
      </w:r>
      <w:r>
        <w:rPr>
          <w:rStyle w:val="50"/>
          <w:rFonts w:hint="eastAsia" w:ascii="仿宋" w:hAnsi="仿宋" w:eastAsia="仿宋" w:cs="仿宋"/>
          <w:b w:val="0"/>
          <w:bCs w:val="0"/>
          <w:color w:val="auto"/>
          <w:sz w:val="24"/>
          <w:szCs w:val="24"/>
          <w:highlight w:val="none"/>
          <w:lang w:val="en-US" w:eastAsia="zh-CN"/>
        </w:rPr>
        <w:t>18999960560 18599192565</w:t>
      </w:r>
    </w:p>
    <w:p w14:paraId="5E7B33F6">
      <w:pPr>
        <w:spacing w:line="360" w:lineRule="auto"/>
        <w:rPr>
          <w:rFonts w:ascii="宋体" w:hAnsi="宋体"/>
          <w:color w:val="auto"/>
          <w:szCs w:val="21"/>
          <w:highlight w:val="none"/>
        </w:rPr>
      </w:pPr>
      <w:r>
        <w:rPr>
          <w:rFonts w:hint="eastAsia" w:ascii="宋体" w:hAnsi="宋体" w:cs="宋体"/>
          <w:color w:val="auto"/>
          <w:highlight w:val="none"/>
        </w:rPr>
        <w:br w:type="page"/>
      </w:r>
      <w:r>
        <w:rPr>
          <w:rFonts w:hint="eastAsia" w:ascii="宋体" w:hAnsi="宋体"/>
          <w:color w:val="auto"/>
          <w:highlight w:val="none"/>
        </w:rPr>
        <w:t xml:space="preserve">                         </w:t>
      </w:r>
      <w:r>
        <w:rPr>
          <w:rStyle w:val="63"/>
          <w:rFonts w:hint="eastAsia"/>
          <w:color w:val="auto"/>
          <w:highlight w:val="none"/>
        </w:rPr>
        <w:t xml:space="preserve"> </w:t>
      </w:r>
      <w:bookmarkStart w:id="12" w:name="_Toc161933884"/>
      <w:r>
        <w:rPr>
          <w:rStyle w:val="63"/>
          <w:rFonts w:hint="eastAsia"/>
          <w:color w:val="auto"/>
          <w:highlight w:val="none"/>
        </w:rPr>
        <w:t>第二章  投标须知</w:t>
      </w:r>
      <w:bookmarkEnd w:id="9"/>
      <w:bookmarkEnd w:id="10"/>
      <w:bookmarkEnd w:id="12"/>
    </w:p>
    <w:p w14:paraId="2D4AA2D2">
      <w:pPr>
        <w:pStyle w:val="4"/>
        <w:jc w:val="center"/>
        <w:rPr>
          <w:rFonts w:ascii="宋体" w:hAnsi="宋体"/>
          <w:color w:val="auto"/>
          <w:highlight w:val="none"/>
        </w:rPr>
      </w:pPr>
      <w:bookmarkStart w:id="13" w:name="_Toc161933885"/>
      <w:r>
        <w:rPr>
          <w:rFonts w:hint="eastAsia" w:ascii="宋体" w:hAnsi="宋体"/>
          <w:color w:val="auto"/>
          <w:highlight w:val="none"/>
        </w:rPr>
        <w:t>投标须知前附表</w:t>
      </w:r>
      <w:bookmarkEnd w:id="13"/>
    </w:p>
    <w:tbl>
      <w:tblPr>
        <w:tblStyle w:val="4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701"/>
        <w:gridCol w:w="4864"/>
      </w:tblGrid>
      <w:tr w14:paraId="42CE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224" w:type="dxa"/>
            <w:vAlign w:val="center"/>
          </w:tcPr>
          <w:p w14:paraId="15503E2E">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701" w:type="dxa"/>
            <w:vAlign w:val="center"/>
          </w:tcPr>
          <w:p w14:paraId="1A96EDD9">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4864" w:type="dxa"/>
            <w:vAlign w:val="center"/>
          </w:tcPr>
          <w:p w14:paraId="219C5311">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编列内容规定</w:t>
            </w:r>
          </w:p>
        </w:tc>
      </w:tr>
      <w:tr w14:paraId="3BA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2A4C7ACA">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一、说明</w:t>
            </w:r>
          </w:p>
        </w:tc>
      </w:tr>
      <w:tr w14:paraId="2E98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D390F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第二章第1.1款</w:t>
            </w:r>
          </w:p>
        </w:tc>
        <w:tc>
          <w:tcPr>
            <w:tcW w:w="1701" w:type="dxa"/>
            <w:vAlign w:val="center"/>
          </w:tcPr>
          <w:p w14:paraId="31C7D26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项目名称</w:t>
            </w:r>
          </w:p>
        </w:tc>
        <w:tc>
          <w:tcPr>
            <w:tcW w:w="4864" w:type="dxa"/>
            <w:vAlign w:val="center"/>
          </w:tcPr>
          <w:p w14:paraId="41E12B33">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新疆维吾尔自治区地质局乌鲁木齐地质大队钻探技术服务项目</w:t>
            </w:r>
          </w:p>
        </w:tc>
      </w:tr>
      <w:tr w14:paraId="52A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24" w:type="dxa"/>
            <w:vAlign w:val="center"/>
          </w:tcPr>
          <w:p w14:paraId="54D391E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第二章第1.2款</w:t>
            </w:r>
          </w:p>
        </w:tc>
        <w:tc>
          <w:tcPr>
            <w:tcW w:w="1701" w:type="dxa"/>
            <w:vAlign w:val="center"/>
          </w:tcPr>
          <w:p w14:paraId="0E9EF88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采购内容</w:t>
            </w:r>
          </w:p>
        </w:tc>
        <w:tc>
          <w:tcPr>
            <w:tcW w:w="4864" w:type="dxa"/>
            <w:vAlign w:val="center"/>
          </w:tcPr>
          <w:p w14:paraId="344790EE">
            <w:pPr>
              <w:spacing w:line="400" w:lineRule="exact"/>
              <w:jc w:val="left"/>
              <w:rPr>
                <w:rFonts w:ascii="宋体" w:hAnsi="宋体"/>
                <w:color w:val="auto"/>
                <w:szCs w:val="21"/>
                <w:highlight w:val="none"/>
              </w:rPr>
            </w:pPr>
            <w:r>
              <w:rPr>
                <w:rFonts w:hint="eastAsia" w:ascii="宋体" w:hAnsi="宋体"/>
                <w:color w:val="auto"/>
                <w:szCs w:val="21"/>
                <w:highlight w:val="none"/>
                <w:lang w:eastAsia="zh-CN"/>
              </w:rPr>
              <w:t>钻探技术</w:t>
            </w:r>
          </w:p>
        </w:tc>
      </w:tr>
      <w:tr w14:paraId="324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0C29D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第二章第1.3款</w:t>
            </w:r>
          </w:p>
        </w:tc>
        <w:tc>
          <w:tcPr>
            <w:tcW w:w="1701" w:type="dxa"/>
            <w:vAlign w:val="center"/>
          </w:tcPr>
          <w:p w14:paraId="6249E6F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采购方式</w:t>
            </w:r>
          </w:p>
        </w:tc>
        <w:tc>
          <w:tcPr>
            <w:tcW w:w="4864" w:type="dxa"/>
            <w:vAlign w:val="center"/>
          </w:tcPr>
          <w:p w14:paraId="3CB9E787">
            <w:pPr>
              <w:spacing w:line="400" w:lineRule="exact"/>
              <w:jc w:val="left"/>
              <w:rPr>
                <w:rFonts w:ascii="宋体" w:hAnsi="宋体"/>
                <w:color w:val="auto"/>
                <w:szCs w:val="21"/>
                <w:highlight w:val="none"/>
              </w:rPr>
            </w:pPr>
            <w:r>
              <w:rPr>
                <w:rFonts w:hint="eastAsia" w:ascii="宋体" w:hAnsi="宋体"/>
                <w:color w:val="auto"/>
                <w:szCs w:val="21"/>
                <w:highlight w:val="none"/>
              </w:rPr>
              <w:t>公开招标</w:t>
            </w:r>
          </w:p>
        </w:tc>
      </w:tr>
      <w:tr w14:paraId="1247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48E61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第二章第1.4款</w:t>
            </w:r>
          </w:p>
        </w:tc>
        <w:tc>
          <w:tcPr>
            <w:tcW w:w="1701" w:type="dxa"/>
            <w:vAlign w:val="center"/>
          </w:tcPr>
          <w:p w14:paraId="4D22903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项目地点</w:t>
            </w:r>
          </w:p>
        </w:tc>
        <w:tc>
          <w:tcPr>
            <w:tcW w:w="4864" w:type="dxa"/>
            <w:vAlign w:val="center"/>
          </w:tcPr>
          <w:p w14:paraId="13B6F6D3">
            <w:pPr>
              <w:spacing w:line="400" w:lineRule="exact"/>
              <w:jc w:val="left"/>
              <w:rPr>
                <w:rFonts w:ascii="宋体" w:hAnsi="宋体"/>
                <w:color w:val="auto"/>
                <w:szCs w:val="21"/>
                <w:highlight w:val="none"/>
              </w:rPr>
            </w:pPr>
            <w:r>
              <w:rPr>
                <w:rFonts w:hint="eastAsia" w:ascii="宋体" w:hAnsi="宋体" w:cs="宋体"/>
                <w:color w:val="auto"/>
                <w:kern w:val="0"/>
                <w:szCs w:val="21"/>
                <w:highlight w:val="none"/>
              </w:rPr>
              <w:t>采购人指定地点</w:t>
            </w:r>
          </w:p>
        </w:tc>
      </w:tr>
      <w:tr w14:paraId="44C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7A1CC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1701" w:type="dxa"/>
            <w:vAlign w:val="center"/>
          </w:tcPr>
          <w:p w14:paraId="3E4C27B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864" w:type="dxa"/>
            <w:vAlign w:val="center"/>
          </w:tcPr>
          <w:p w14:paraId="1C2AC6D9">
            <w:pPr>
              <w:spacing w:line="400" w:lineRule="exact"/>
              <w:jc w:val="left"/>
              <w:rPr>
                <w:rFonts w:hint="default"/>
                <w:color w:val="auto"/>
                <w:highlight w:val="none"/>
                <w:lang w:val="en-US" w:eastAsia="zh-CN"/>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120</w:t>
            </w:r>
            <w:r>
              <w:rPr>
                <w:rFonts w:hint="eastAsia" w:ascii="仿宋" w:hAnsi="仿宋" w:eastAsia="仿宋" w:cs="仿宋"/>
                <w:color w:val="auto"/>
                <w:sz w:val="24"/>
                <w:szCs w:val="24"/>
                <w:highlight w:val="none"/>
              </w:rPr>
              <w:t>天内完成。</w:t>
            </w:r>
          </w:p>
        </w:tc>
      </w:tr>
      <w:tr w14:paraId="60CE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71AB3D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第二章第2.1款</w:t>
            </w:r>
          </w:p>
        </w:tc>
        <w:tc>
          <w:tcPr>
            <w:tcW w:w="1701" w:type="dxa"/>
            <w:vAlign w:val="center"/>
          </w:tcPr>
          <w:p w14:paraId="0BEDE9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采购人</w:t>
            </w:r>
          </w:p>
        </w:tc>
        <w:tc>
          <w:tcPr>
            <w:tcW w:w="4864" w:type="dxa"/>
            <w:vAlign w:val="center"/>
          </w:tcPr>
          <w:p w14:paraId="5AE80703">
            <w:pPr>
              <w:pStyle w:val="2"/>
              <w:jc w:val="left"/>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名 称：</w:t>
            </w:r>
            <w:r>
              <w:rPr>
                <w:rFonts w:hint="eastAsia" w:ascii="宋体" w:hAnsi="宋体" w:eastAsia="宋体" w:cs="宋体"/>
                <w:b w:val="0"/>
                <w:bCs/>
                <w:color w:val="auto"/>
                <w:highlight w:val="none"/>
                <w:lang w:eastAsia="zh-CN"/>
              </w:rPr>
              <w:t>新疆维吾尔自治区地质局乌鲁木齐地质大队</w:t>
            </w:r>
          </w:p>
          <w:p w14:paraId="1947DACD">
            <w:pPr>
              <w:pStyle w:val="2"/>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地址：</w:t>
            </w:r>
            <w:r>
              <w:rPr>
                <w:rFonts w:hint="eastAsia" w:ascii="宋体" w:hAnsi="宋体" w:eastAsia="宋体" w:cs="宋体"/>
                <w:b w:val="0"/>
                <w:bCs/>
                <w:color w:val="auto"/>
                <w:highlight w:val="none"/>
                <w:lang w:eastAsia="zh-CN"/>
              </w:rPr>
              <w:t>乌鲁木齐市沙依巴克区西环中路497号</w:t>
            </w:r>
          </w:p>
          <w:p w14:paraId="43362B27">
            <w:pPr>
              <w:pStyle w:val="2"/>
              <w:jc w:val="left"/>
              <w:rPr>
                <w:rFonts w:hint="eastAsia" w:ascii="宋体" w:hAnsi="宋体" w:eastAsia="宋体" w:cs="宋体"/>
                <w:color w:val="auto"/>
                <w:highlight w:val="none"/>
              </w:rPr>
            </w:pPr>
            <w:r>
              <w:rPr>
                <w:rFonts w:hint="eastAsia" w:ascii="宋体" w:hAnsi="宋体" w:eastAsia="宋体" w:cs="宋体"/>
                <w:b w:val="0"/>
                <w:bCs/>
                <w:color w:val="auto"/>
                <w:highlight w:val="none"/>
              </w:rPr>
              <w:t>联系方式：</w:t>
            </w:r>
            <w:r>
              <w:rPr>
                <w:rFonts w:hint="eastAsia" w:ascii="宋体" w:hAnsi="宋体" w:eastAsia="宋体" w:cs="宋体"/>
                <w:b w:val="0"/>
                <w:bCs/>
                <w:color w:val="auto"/>
                <w:highlight w:val="none"/>
                <w:lang w:eastAsia="zh-CN"/>
              </w:rPr>
              <w:t xml:space="preserve">梁斌 </w:t>
            </w:r>
            <w:r>
              <w:rPr>
                <w:rFonts w:hint="eastAsia" w:ascii="宋体" w:hAnsi="宋体" w:eastAsia="宋体" w:cs="宋体"/>
                <w:b w:val="0"/>
                <w:bCs/>
                <w:color w:val="auto"/>
                <w:highlight w:val="none"/>
                <w:lang w:val="en-US" w:eastAsia="zh-CN"/>
              </w:rPr>
              <w:t>18690823878</w:t>
            </w:r>
          </w:p>
        </w:tc>
      </w:tr>
      <w:tr w14:paraId="78F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0830DE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第二章第2.2款</w:t>
            </w:r>
          </w:p>
        </w:tc>
        <w:tc>
          <w:tcPr>
            <w:tcW w:w="1701" w:type="dxa"/>
            <w:vAlign w:val="center"/>
          </w:tcPr>
          <w:p w14:paraId="10A1A65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采购代理机构</w:t>
            </w:r>
          </w:p>
        </w:tc>
        <w:tc>
          <w:tcPr>
            <w:tcW w:w="4864" w:type="dxa"/>
            <w:vAlign w:val="center"/>
          </w:tcPr>
          <w:p w14:paraId="0905D395">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中益招标有限公司</w:t>
            </w:r>
          </w:p>
          <w:p w14:paraId="3010A7C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地址：新市区北京南路416号盈科国际中心30楼3001室</w:t>
            </w:r>
          </w:p>
          <w:p w14:paraId="2B8989F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项目联系人：谢楠</w:t>
            </w:r>
            <w:r>
              <w:rPr>
                <w:rFonts w:hint="eastAsia" w:ascii="宋体" w:hAnsi="宋体" w:eastAsia="宋体" w:cs="宋体"/>
                <w:color w:val="auto"/>
                <w:szCs w:val="21"/>
                <w:highlight w:val="none"/>
                <w:lang w:val="en-US" w:eastAsia="zh-CN"/>
              </w:rPr>
              <w:t xml:space="preserve">  罗雄雄 </w:t>
            </w:r>
          </w:p>
          <w:p w14:paraId="75680B5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 xml:space="preserve">18599192565  18999960560 </w:t>
            </w:r>
          </w:p>
        </w:tc>
      </w:tr>
      <w:tr w14:paraId="37A5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11400A0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第二章第3.1款</w:t>
            </w:r>
          </w:p>
        </w:tc>
        <w:tc>
          <w:tcPr>
            <w:tcW w:w="1701" w:type="dxa"/>
            <w:vAlign w:val="center"/>
          </w:tcPr>
          <w:p w14:paraId="24C1B23D">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投标人</w:t>
            </w:r>
            <w:r>
              <w:rPr>
                <w:rFonts w:hint="eastAsia" w:ascii="宋体" w:hAnsi="宋体"/>
                <w:color w:val="auto"/>
                <w:szCs w:val="21"/>
                <w:highlight w:val="none"/>
              </w:rPr>
              <w:t>资格条件</w:t>
            </w:r>
          </w:p>
        </w:tc>
        <w:tc>
          <w:tcPr>
            <w:tcW w:w="4864" w:type="dxa"/>
            <w:vAlign w:val="center"/>
          </w:tcPr>
          <w:p w14:paraId="3F4C7DB3">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3BEBF72">
            <w:pPr>
              <w:adjustRightInd w:val="0"/>
              <w:snapToGrid w:val="0"/>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val="en-US" w:eastAsia="zh-CN"/>
              </w:rPr>
              <w:t>无</w:t>
            </w:r>
          </w:p>
          <w:p w14:paraId="0EE7BF6C">
            <w:pPr>
              <w:spacing w:line="400" w:lineRule="atLeast"/>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具有有效的安全生产许可证</w:t>
            </w:r>
          </w:p>
        </w:tc>
      </w:tr>
      <w:tr w14:paraId="1D0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0F1799A2">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第二章第3.2款（4）</w:t>
            </w:r>
          </w:p>
        </w:tc>
        <w:tc>
          <w:tcPr>
            <w:tcW w:w="1701" w:type="dxa"/>
            <w:vAlign w:val="center"/>
          </w:tcPr>
          <w:p w14:paraId="06568DEE">
            <w:pPr>
              <w:adjustRightInd w:val="0"/>
              <w:snapToGrid w:val="0"/>
              <w:spacing w:line="280" w:lineRule="exact"/>
              <w:rPr>
                <w:rFonts w:ascii="宋体" w:hAnsi="宋体"/>
                <w:bCs/>
                <w:color w:val="auto"/>
                <w:szCs w:val="21"/>
                <w:highlight w:val="none"/>
              </w:rPr>
            </w:pPr>
            <w:r>
              <w:rPr>
                <w:rFonts w:hint="eastAsia" w:ascii="宋体" w:hAnsi="宋体"/>
                <w:bCs/>
                <w:color w:val="auto"/>
                <w:szCs w:val="21"/>
                <w:highlight w:val="none"/>
              </w:rPr>
              <w:t>信用查询时间</w:t>
            </w:r>
          </w:p>
        </w:tc>
        <w:tc>
          <w:tcPr>
            <w:tcW w:w="4864" w:type="dxa"/>
            <w:vAlign w:val="center"/>
          </w:tcPr>
          <w:p w14:paraId="6702BC9E">
            <w:pPr>
              <w:adjustRightInd w:val="0"/>
              <w:snapToGrid w:val="0"/>
              <w:spacing w:line="280" w:lineRule="exact"/>
              <w:jc w:val="left"/>
              <w:rPr>
                <w:rFonts w:ascii="宋体" w:hAnsi="宋体"/>
                <w:color w:val="auto"/>
                <w:szCs w:val="21"/>
                <w:highlight w:val="none"/>
              </w:rPr>
            </w:pPr>
            <w:r>
              <w:rPr>
                <w:rFonts w:hint="eastAsia" w:ascii="宋体" w:hAnsi="宋体"/>
                <w:color w:val="auto"/>
                <w:szCs w:val="21"/>
                <w:highlight w:val="none"/>
              </w:rPr>
              <w:t xml:space="preserve"> 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ascii="宋体" w:hAnsi="宋体"/>
                <w:color w:val="auto"/>
                <w:szCs w:val="21"/>
                <w:highlight w:val="none"/>
              </w:rPr>
              <w:t>0</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日-202</w:t>
            </w:r>
            <w:r>
              <w:rPr>
                <w:rFonts w:hint="eastAsia" w:ascii="宋体" w:hAnsi="宋体"/>
                <w:color w:val="auto"/>
                <w:szCs w:val="21"/>
                <w:highlight w:val="none"/>
                <w:lang w:val="en-US" w:eastAsia="zh-CN"/>
              </w:rPr>
              <w:t>5</w:t>
            </w:r>
            <w:r>
              <w:rPr>
                <w:rFonts w:hint="eastAsia" w:ascii="宋体" w:hAnsi="宋体"/>
                <w:color w:val="auto"/>
                <w:szCs w:val="21"/>
                <w:highlight w:val="none"/>
              </w:rPr>
              <w:t>年0</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18</w:t>
            </w:r>
            <w:r>
              <w:rPr>
                <w:rFonts w:hint="eastAsia" w:ascii="宋体" w:hAnsi="宋体"/>
                <w:color w:val="auto"/>
                <w:szCs w:val="21"/>
                <w:highlight w:val="none"/>
              </w:rPr>
              <w:t>日查询</w:t>
            </w:r>
          </w:p>
        </w:tc>
      </w:tr>
      <w:tr w14:paraId="6F99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E576DE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第二章第6.1款</w:t>
            </w:r>
          </w:p>
        </w:tc>
        <w:tc>
          <w:tcPr>
            <w:tcW w:w="1701" w:type="dxa"/>
            <w:vAlign w:val="center"/>
          </w:tcPr>
          <w:p w14:paraId="66F30DA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联合体形式</w:t>
            </w:r>
          </w:p>
        </w:tc>
        <w:tc>
          <w:tcPr>
            <w:tcW w:w="4864" w:type="dxa"/>
            <w:vAlign w:val="center"/>
          </w:tcPr>
          <w:p w14:paraId="79BB468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76C1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B9CD33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第二章第6.2（3）款</w:t>
            </w:r>
          </w:p>
        </w:tc>
        <w:tc>
          <w:tcPr>
            <w:tcW w:w="1701" w:type="dxa"/>
            <w:vAlign w:val="center"/>
          </w:tcPr>
          <w:p w14:paraId="3BCB2AF2">
            <w:pPr>
              <w:spacing w:line="400" w:lineRule="exact"/>
              <w:rPr>
                <w:rFonts w:ascii="宋体" w:hAnsi="宋体"/>
                <w:color w:val="auto"/>
                <w:szCs w:val="21"/>
                <w:highlight w:val="none"/>
              </w:rPr>
            </w:pPr>
            <w:r>
              <w:rPr>
                <w:rFonts w:hint="eastAsia" w:ascii="宋体" w:hAnsi="宋体"/>
                <w:color w:val="auto"/>
                <w:szCs w:val="21"/>
                <w:highlight w:val="none"/>
              </w:rPr>
              <w:t>对联合体各方的要求</w:t>
            </w:r>
          </w:p>
        </w:tc>
        <w:tc>
          <w:tcPr>
            <w:tcW w:w="4864" w:type="dxa"/>
            <w:vAlign w:val="center"/>
          </w:tcPr>
          <w:p w14:paraId="589082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284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040D45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第二章第7.1款</w:t>
            </w:r>
          </w:p>
        </w:tc>
        <w:tc>
          <w:tcPr>
            <w:tcW w:w="1701" w:type="dxa"/>
            <w:vAlign w:val="center"/>
          </w:tcPr>
          <w:p w14:paraId="5F5C829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现场考察</w:t>
            </w:r>
          </w:p>
        </w:tc>
        <w:tc>
          <w:tcPr>
            <w:tcW w:w="4864" w:type="dxa"/>
            <w:vAlign w:val="center"/>
          </w:tcPr>
          <w:p w14:paraId="7A1CC5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不组织，若需要勘察自行与甲方联系。</w:t>
            </w:r>
          </w:p>
        </w:tc>
      </w:tr>
      <w:tr w14:paraId="5F68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5FAEDF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第二章第8.1款</w:t>
            </w:r>
          </w:p>
        </w:tc>
        <w:tc>
          <w:tcPr>
            <w:tcW w:w="1701" w:type="dxa"/>
            <w:vAlign w:val="center"/>
          </w:tcPr>
          <w:p w14:paraId="44B11D43">
            <w:pPr>
              <w:spacing w:line="400" w:lineRule="exact"/>
              <w:rPr>
                <w:rFonts w:ascii="宋体" w:hAnsi="宋体"/>
                <w:color w:val="auto"/>
                <w:szCs w:val="21"/>
                <w:highlight w:val="none"/>
              </w:rPr>
            </w:pPr>
            <w:r>
              <w:rPr>
                <w:rFonts w:hint="eastAsia" w:ascii="宋体" w:hAnsi="宋体"/>
                <w:color w:val="auto"/>
                <w:szCs w:val="21"/>
                <w:highlight w:val="none"/>
              </w:rPr>
              <w:t>分包</w:t>
            </w:r>
          </w:p>
        </w:tc>
        <w:tc>
          <w:tcPr>
            <w:tcW w:w="4864" w:type="dxa"/>
            <w:vAlign w:val="center"/>
          </w:tcPr>
          <w:p w14:paraId="1E0119A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3EB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restart"/>
            <w:vAlign w:val="center"/>
          </w:tcPr>
          <w:p w14:paraId="66F84D5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第二章第9.1款</w:t>
            </w:r>
          </w:p>
        </w:tc>
        <w:tc>
          <w:tcPr>
            <w:tcW w:w="1701" w:type="dxa"/>
            <w:vAlign w:val="center"/>
          </w:tcPr>
          <w:p w14:paraId="3A7517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政府采购</w:t>
            </w: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tc>
        <w:tc>
          <w:tcPr>
            <w:tcW w:w="4864" w:type="dxa"/>
            <w:vAlign w:val="center"/>
          </w:tcPr>
          <w:p w14:paraId="252E59CB">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68EA9CD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（一）中小企业（含中型、小型、微型企业）应当同时符合以下条件：</w:t>
            </w:r>
          </w:p>
          <w:p w14:paraId="6D8B7FE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①符合中小企业划分标准（按《关于印发中小企业划型标准规定的通知》（工信部联企业〔2011〕300号）执行）；</w:t>
            </w:r>
          </w:p>
          <w:p w14:paraId="068BF54F">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②提供本企业制造的货物、承担的项目或者服务，或者提供其他中小企业制造的货物。本项所称货物不包括使用大型企业注册商标的货物；</w:t>
            </w:r>
          </w:p>
          <w:p w14:paraId="3D71233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③小型、微型企业提供中型企业制造的货物的，视同为中型企业。</w:t>
            </w:r>
          </w:p>
          <w:p w14:paraId="4B0BF423">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监狱企业、残疾人福利性企业视同为小微企业。</w:t>
            </w:r>
          </w:p>
          <w:p w14:paraId="7ED800F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20A78DE7">
            <w:pPr>
              <w:adjustRightInd w:val="0"/>
              <w:snapToGrid w:val="0"/>
              <w:spacing w:line="400" w:lineRule="exact"/>
              <w:rPr>
                <w:rFonts w:hint="eastAsia" w:ascii="宋体" w:hAnsi="宋体" w:cs="宋体"/>
                <w:bCs/>
                <w:sz w:val="21"/>
                <w:szCs w:val="21"/>
                <w:highlight w:val="none"/>
              </w:rPr>
            </w:pPr>
            <w:r>
              <w:rPr>
                <w:rFonts w:hint="eastAsia" w:ascii="宋体" w:hAnsi="宋体" w:cs="宋体"/>
                <w:bCs/>
                <w:sz w:val="21"/>
                <w:szCs w:val="21"/>
                <w:highlight w:val="none"/>
              </w:rPr>
              <w:t>（三）小型和微型企业适用价格扣除办法时应提供的相关资料：《中小企业声明函》。</w:t>
            </w:r>
          </w:p>
          <w:p w14:paraId="53F42B32">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eastAsia="宋体" w:cs="宋体"/>
                <w:bCs/>
                <w:sz w:val="21"/>
                <w:szCs w:val="21"/>
                <w:highlight w:val="none"/>
                <w:lang w:eastAsia="zh-CN"/>
              </w:rPr>
              <w:t>本项目所属行业：其他未列明行业</w:t>
            </w:r>
          </w:p>
        </w:tc>
      </w:tr>
      <w:tr w14:paraId="7DF5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24" w:type="dxa"/>
            <w:vMerge w:val="continue"/>
            <w:vAlign w:val="center"/>
          </w:tcPr>
          <w:p w14:paraId="4FA9C200">
            <w:pPr>
              <w:adjustRightInd w:val="0"/>
              <w:snapToGrid w:val="0"/>
              <w:spacing w:line="400" w:lineRule="exact"/>
              <w:jc w:val="center"/>
              <w:rPr>
                <w:rFonts w:ascii="宋体" w:hAnsi="宋体"/>
                <w:color w:val="auto"/>
                <w:szCs w:val="21"/>
                <w:highlight w:val="none"/>
              </w:rPr>
            </w:pPr>
          </w:p>
        </w:tc>
        <w:tc>
          <w:tcPr>
            <w:tcW w:w="1701" w:type="dxa"/>
            <w:vAlign w:val="center"/>
          </w:tcPr>
          <w:p w14:paraId="163CF6A8">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政府采购支持中小企业融资</w:t>
            </w:r>
          </w:p>
        </w:tc>
        <w:tc>
          <w:tcPr>
            <w:tcW w:w="4864" w:type="dxa"/>
            <w:vMerge w:val="restart"/>
            <w:vAlign w:val="center"/>
          </w:tcPr>
          <w:p w14:paraId="54D28574">
            <w:pPr>
              <w:adjustRightInd w:val="0"/>
              <w:snapToGrid w:val="0"/>
              <w:spacing w:line="400" w:lineRule="exact"/>
              <w:rPr>
                <w:rFonts w:hint="eastAsia" w:ascii="宋体" w:hAnsi="宋体" w:eastAsia="宋体"/>
                <w:color w:val="auto"/>
                <w:szCs w:val="21"/>
                <w:highlight w:val="none"/>
                <w:lang w:eastAsia="zh-CN"/>
              </w:rPr>
            </w:pPr>
            <w:r>
              <w:rPr>
                <w:rFonts w:ascii="宋体" w:hAnsi="宋体"/>
                <w:szCs w:val="21"/>
                <w:highlight w:val="none"/>
              </w:rPr>
              <w:t>中小企业在融资、</w:t>
            </w:r>
            <w:r>
              <w:rPr>
                <w:rFonts w:hint="eastAsia" w:ascii="宋体" w:hAnsi="宋体"/>
                <w:szCs w:val="21"/>
                <w:highlight w:val="none"/>
              </w:rPr>
              <w:t>保证金</w:t>
            </w:r>
            <w:r>
              <w:rPr>
                <w:rFonts w:ascii="宋体" w:hAnsi="宋体"/>
                <w:szCs w:val="21"/>
                <w:highlight w:val="none"/>
              </w:rPr>
              <w:t>、履约保证等方面有需求的，可查询当地政府采购管理部门相关政策，通过专业化的担保途径解决。</w:t>
            </w:r>
          </w:p>
        </w:tc>
      </w:tr>
      <w:tr w14:paraId="1128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continue"/>
            <w:vAlign w:val="center"/>
          </w:tcPr>
          <w:p w14:paraId="60CB2BD1">
            <w:pPr>
              <w:adjustRightInd w:val="0"/>
              <w:snapToGrid w:val="0"/>
              <w:spacing w:line="400" w:lineRule="exact"/>
              <w:jc w:val="center"/>
              <w:rPr>
                <w:rFonts w:ascii="宋体" w:hAnsi="宋体"/>
                <w:color w:val="auto"/>
                <w:szCs w:val="21"/>
                <w:highlight w:val="none"/>
              </w:rPr>
            </w:pPr>
          </w:p>
        </w:tc>
        <w:tc>
          <w:tcPr>
            <w:tcW w:w="1701" w:type="dxa"/>
            <w:vAlign w:val="center"/>
          </w:tcPr>
          <w:p w14:paraId="0940C63E">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政府采购信用担保</w:t>
            </w:r>
          </w:p>
        </w:tc>
        <w:tc>
          <w:tcPr>
            <w:tcW w:w="4864" w:type="dxa"/>
            <w:vMerge w:val="continue"/>
            <w:vAlign w:val="center"/>
          </w:tcPr>
          <w:p w14:paraId="1E718EBF">
            <w:pPr>
              <w:adjustRightInd w:val="0"/>
              <w:snapToGrid w:val="0"/>
              <w:spacing w:line="400" w:lineRule="exact"/>
              <w:rPr>
                <w:rFonts w:ascii="宋体" w:hAnsi="宋体"/>
                <w:color w:val="auto"/>
                <w:szCs w:val="21"/>
                <w:highlight w:val="none"/>
              </w:rPr>
            </w:pPr>
          </w:p>
        </w:tc>
      </w:tr>
      <w:tr w14:paraId="23A3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5" w:type="dxa"/>
            <w:gridSpan w:val="2"/>
            <w:vAlign w:val="center"/>
          </w:tcPr>
          <w:p w14:paraId="471AE54C">
            <w:pPr>
              <w:adjustRightInd w:val="0"/>
              <w:snapToGrid w:val="0"/>
              <w:spacing w:line="400" w:lineRule="exact"/>
              <w:jc w:val="center"/>
              <w:rPr>
                <w:rFonts w:ascii="宋体" w:hAnsi="宋体"/>
                <w:bCs/>
                <w:color w:val="auto"/>
                <w:kern w:val="0"/>
                <w:szCs w:val="21"/>
                <w:highlight w:val="none"/>
              </w:rPr>
            </w:pPr>
            <w:r>
              <w:rPr>
                <w:rFonts w:hint="eastAsia" w:ascii="宋体" w:hAnsi="宋体"/>
                <w:bCs/>
                <w:color w:val="auto"/>
                <w:kern w:val="0"/>
                <w:szCs w:val="21"/>
                <w:highlight w:val="none"/>
              </w:rPr>
              <w:t>付款方式</w:t>
            </w:r>
          </w:p>
        </w:tc>
        <w:tc>
          <w:tcPr>
            <w:tcW w:w="4864" w:type="dxa"/>
            <w:vAlign w:val="center"/>
          </w:tcPr>
          <w:p w14:paraId="0550162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根据合同支付</w:t>
            </w:r>
          </w:p>
        </w:tc>
      </w:tr>
      <w:tr w14:paraId="21B9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494FBF">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二、公开招标文件</w:t>
            </w:r>
          </w:p>
        </w:tc>
      </w:tr>
      <w:tr w14:paraId="2C09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16E2F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第二章第10.3款</w:t>
            </w:r>
          </w:p>
        </w:tc>
        <w:tc>
          <w:tcPr>
            <w:tcW w:w="1701" w:type="dxa"/>
            <w:vAlign w:val="center"/>
          </w:tcPr>
          <w:p w14:paraId="79D1E05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采购文件的可能实质性变动内容</w:t>
            </w:r>
          </w:p>
        </w:tc>
        <w:tc>
          <w:tcPr>
            <w:tcW w:w="4864" w:type="dxa"/>
            <w:vAlign w:val="center"/>
          </w:tcPr>
          <w:p w14:paraId="2332D39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技术、服务要求以及合同草案条款</w:t>
            </w:r>
          </w:p>
        </w:tc>
      </w:tr>
      <w:tr w14:paraId="49ED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24615AF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第二章第11.1款</w:t>
            </w:r>
          </w:p>
        </w:tc>
        <w:tc>
          <w:tcPr>
            <w:tcW w:w="1701" w:type="dxa"/>
            <w:vAlign w:val="center"/>
          </w:tcPr>
          <w:p w14:paraId="7247664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提交投标文件截止时间</w:t>
            </w:r>
          </w:p>
        </w:tc>
        <w:tc>
          <w:tcPr>
            <w:tcW w:w="4864" w:type="dxa"/>
            <w:vAlign w:val="center"/>
          </w:tcPr>
          <w:p w14:paraId="3C7FDB0B">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ascii="宋体" w:hAnsi="宋体"/>
                <w:color w:val="auto"/>
                <w:szCs w:val="21"/>
                <w:highlight w:val="none"/>
              </w:rPr>
              <w:t>0</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18</w:t>
            </w:r>
            <w:r>
              <w:rPr>
                <w:rFonts w:hint="eastAsia" w:ascii="宋体" w:hAnsi="宋体"/>
                <w:color w:val="auto"/>
                <w:szCs w:val="21"/>
                <w:highlight w:val="none"/>
              </w:rPr>
              <w:t>日</w:t>
            </w:r>
            <w:r>
              <w:rPr>
                <w:rFonts w:hint="eastAsia" w:ascii="宋体" w:hAnsi="宋体"/>
                <w:color w:val="auto"/>
                <w:szCs w:val="21"/>
                <w:highlight w:val="none"/>
              </w:rPr>
              <w:t xml:space="preserve"> 1</w:t>
            </w:r>
            <w:r>
              <w:rPr>
                <w:rFonts w:ascii="宋体" w:hAnsi="宋体"/>
                <w:color w:val="auto"/>
                <w:szCs w:val="21"/>
                <w:highlight w:val="none"/>
              </w:rPr>
              <w:t>1</w:t>
            </w:r>
            <w:r>
              <w:rPr>
                <w:rFonts w:hint="eastAsia" w:ascii="宋体" w:hAnsi="宋体"/>
                <w:color w:val="auto"/>
                <w:szCs w:val="21"/>
                <w:highlight w:val="none"/>
              </w:rPr>
              <w:t>:00整</w:t>
            </w:r>
          </w:p>
        </w:tc>
      </w:tr>
      <w:tr w14:paraId="1C29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9" w:type="dxa"/>
            <w:gridSpan w:val="3"/>
            <w:vAlign w:val="center"/>
          </w:tcPr>
          <w:p w14:paraId="68FCC458">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三、投标文件的编写</w:t>
            </w:r>
          </w:p>
        </w:tc>
      </w:tr>
      <w:tr w14:paraId="4D8E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24" w:type="dxa"/>
            <w:vAlign w:val="center"/>
          </w:tcPr>
          <w:p w14:paraId="10D13BB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第二章第15.5款</w:t>
            </w:r>
          </w:p>
        </w:tc>
        <w:tc>
          <w:tcPr>
            <w:tcW w:w="1701" w:type="dxa"/>
            <w:vAlign w:val="center"/>
          </w:tcPr>
          <w:p w14:paraId="1B9B81B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预算资金</w:t>
            </w:r>
          </w:p>
        </w:tc>
        <w:tc>
          <w:tcPr>
            <w:tcW w:w="4864" w:type="dxa"/>
            <w:vAlign w:val="center"/>
          </w:tcPr>
          <w:p w14:paraId="0880F200">
            <w:pPr>
              <w:adjustRightInd w:val="0"/>
              <w:snapToGrid w:val="0"/>
              <w:spacing w:line="340" w:lineRule="exact"/>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总预算：</w:t>
            </w:r>
            <w:r>
              <w:rPr>
                <w:rFonts w:hint="eastAsia" w:ascii="宋体" w:hAnsi="宋体" w:cs="Times New Roman"/>
                <w:bCs/>
                <w:color w:val="auto"/>
                <w:szCs w:val="21"/>
                <w:highlight w:val="none"/>
                <w:lang w:val="en-US" w:eastAsia="zh-CN"/>
              </w:rPr>
              <w:t>9199900</w:t>
            </w:r>
            <w:r>
              <w:rPr>
                <w:rFonts w:hint="eastAsia" w:ascii="宋体" w:hAnsi="宋体" w:eastAsia="宋体" w:cs="Times New Roman"/>
                <w:bCs/>
                <w:color w:val="auto"/>
                <w:szCs w:val="21"/>
                <w:highlight w:val="none"/>
                <w:lang w:val="en-US" w:eastAsia="zh-CN"/>
              </w:rPr>
              <w:t>.00元</w:t>
            </w:r>
          </w:p>
        </w:tc>
      </w:tr>
      <w:tr w14:paraId="3A5F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Align w:val="center"/>
          </w:tcPr>
          <w:p w14:paraId="4B3198C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第二章第16.1.4款</w:t>
            </w:r>
          </w:p>
        </w:tc>
        <w:tc>
          <w:tcPr>
            <w:tcW w:w="1701" w:type="dxa"/>
            <w:vAlign w:val="center"/>
          </w:tcPr>
          <w:p w14:paraId="4F850C2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业绩</w:t>
            </w:r>
          </w:p>
        </w:tc>
        <w:tc>
          <w:tcPr>
            <w:tcW w:w="4864" w:type="dxa"/>
            <w:vAlign w:val="center"/>
          </w:tcPr>
          <w:p w14:paraId="6266A8F7">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提供202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月以来独立承担类似项目的相关业绩，需提供中标（成交）通知书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合同。</w:t>
            </w:r>
          </w:p>
          <w:p w14:paraId="0322C5A8">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注：业绩证明材料为：合同协议书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成交通知书等相关证明。合同需提供包含合同首页、标的内容及金额所在页、合同签字盖章页等关键页即可，需加盖公章。</w:t>
            </w:r>
          </w:p>
          <w:p w14:paraId="6D87DF66">
            <w:pPr>
              <w:adjustRightInd w:val="0"/>
              <w:snapToGrid w:val="0"/>
              <w:spacing w:line="400" w:lineRule="exact"/>
              <w:jc w:val="left"/>
              <w:rPr>
                <w:rFonts w:ascii="宋体" w:hAnsi="宋体"/>
                <w:color w:val="auto"/>
                <w:szCs w:val="21"/>
                <w:highlight w:val="none"/>
              </w:rPr>
            </w:pPr>
            <w:r>
              <w:rPr>
                <w:rFonts w:hint="eastAsia" w:ascii="宋体" w:hAnsi="宋体"/>
                <w:bCs/>
                <w:color w:val="auto"/>
                <w:szCs w:val="21"/>
                <w:highlight w:val="none"/>
              </w:rPr>
              <w:t>未提供业绩证明材料(或证明材料不齐全的或内容模糊不清的)，其业绩不予认定。</w:t>
            </w:r>
          </w:p>
        </w:tc>
      </w:tr>
      <w:tr w14:paraId="7BF5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Merge w:val="restart"/>
            <w:vAlign w:val="center"/>
          </w:tcPr>
          <w:p w14:paraId="2DA5F4A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第二章第17.1款</w:t>
            </w:r>
          </w:p>
        </w:tc>
        <w:tc>
          <w:tcPr>
            <w:tcW w:w="1701" w:type="dxa"/>
            <w:vMerge w:val="restart"/>
            <w:vAlign w:val="center"/>
          </w:tcPr>
          <w:p w14:paraId="1137B237">
            <w:pPr>
              <w:adjustRightInd w:val="0"/>
              <w:snapToGrid w:val="0"/>
              <w:spacing w:line="400" w:lineRule="exact"/>
              <w:ind w:left="-533" w:leftChars="-254" w:firstLine="533" w:firstLineChars="254"/>
              <w:rPr>
                <w:rFonts w:ascii="宋体" w:hAnsi="宋体"/>
                <w:color w:val="auto"/>
                <w:szCs w:val="21"/>
                <w:highlight w:val="none"/>
              </w:rPr>
            </w:pPr>
            <w:r>
              <w:rPr>
                <w:rFonts w:hint="eastAsia" w:ascii="宋体" w:hAnsi="宋体"/>
                <w:color w:val="auto"/>
                <w:szCs w:val="21"/>
                <w:highlight w:val="none"/>
              </w:rPr>
              <w:t>投标保证金</w:t>
            </w:r>
          </w:p>
        </w:tc>
        <w:tc>
          <w:tcPr>
            <w:tcW w:w="4864" w:type="dxa"/>
            <w:vAlign w:val="center"/>
          </w:tcPr>
          <w:p w14:paraId="52F1822A">
            <w:pPr>
              <w:numPr>
                <w:ilvl w:val="0"/>
                <w:numId w:val="1"/>
              </w:numPr>
              <w:adjustRightInd w:val="0"/>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金额：</w:t>
            </w:r>
          </w:p>
          <w:p w14:paraId="20542302">
            <w:pPr>
              <w:numPr>
                <w:ilvl w:val="0"/>
                <w:numId w:val="0"/>
              </w:numPr>
              <w:adjustRightInd w:val="0"/>
              <w:snapToGrid w:val="0"/>
              <w:spacing w:line="400" w:lineRule="exact"/>
              <w:rPr>
                <w:rFonts w:hint="default" w:eastAsia="宋体"/>
                <w:color w:val="auto"/>
                <w:highlight w:val="none"/>
                <w:lang w:val="en-US" w:eastAsia="zh-CN"/>
              </w:rPr>
            </w:pPr>
            <w:r>
              <w:rPr>
                <w:rFonts w:hint="eastAsia"/>
                <w:color w:val="auto"/>
                <w:highlight w:val="none"/>
                <w:lang w:val="en-US" w:eastAsia="zh-CN"/>
              </w:rPr>
              <w:t>100000.00元</w:t>
            </w:r>
          </w:p>
        </w:tc>
      </w:tr>
      <w:tr w14:paraId="45BB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224" w:type="dxa"/>
            <w:vMerge w:val="continue"/>
            <w:vAlign w:val="center"/>
          </w:tcPr>
          <w:p w14:paraId="5D4F2670">
            <w:pPr>
              <w:adjustRightInd w:val="0"/>
              <w:snapToGrid w:val="0"/>
              <w:spacing w:line="400" w:lineRule="exact"/>
              <w:jc w:val="center"/>
              <w:rPr>
                <w:rFonts w:ascii="宋体" w:hAnsi="宋体"/>
                <w:color w:val="auto"/>
                <w:szCs w:val="21"/>
                <w:highlight w:val="none"/>
              </w:rPr>
            </w:pPr>
          </w:p>
        </w:tc>
        <w:tc>
          <w:tcPr>
            <w:tcW w:w="1701" w:type="dxa"/>
            <w:vMerge w:val="continue"/>
            <w:vAlign w:val="center"/>
          </w:tcPr>
          <w:p w14:paraId="57686E0A">
            <w:pPr>
              <w:adjustRightInd w:val="0"/>
              <w:snapToGrid w:val="0"/>
              <w:spacing w:line="400" w:lineRule="exact"/>
              <w:ind w:left="-533" w:leftChars="-254" w:firstLine="533" w:firstLineChars="254"/>
              <w:rPr>
                <w:rFonts w:ascii="宋体" w:hAnsi="宋体"/>
                <w:color w:val="auto"/>
                <w:szCs w:val="21"/>
                <w:highlight w:val="none"/>
              </w:rPr>
            </w:pPr>
          </w:p>
        </w:tc>
        <w:tc>
          <w:tcPr>
            <w:tcW w:w="4864" w:type="dxa"/>
            <w:vAlign w:val="center"/>
          </w:tcPr>
          <w:p w14:paraId="01416B3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2、形式：支票、汇票、保函、单位账户网银转账等非现金形式；</w:t>
            </w:r>
          </w:p>
          <w:p w14:paraId="12D39A1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3、递交时间：在投标截止时间前递交（以到账时间为准）；</w:t>
            </w:r>
          </w:p>
          <w:p w14:paraId="26E042D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4、投标人递交的投标保证金到帐后，至代理机构处领取投标保证金收据（如需）：</w:t>
            </w:r>
          </w:p>
          <w:p w14:paraId="24F15F4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5、账户信息：</w:t>
            </w:r>
          </w:p>
          <w:p w14:paraId="6ED50253">
            <w:pPr>
              <w:adjustRightInd w:val="0"/>
              <w:snapToGrid w:val="0"/>
              <w:spacing w:line="400" w:lineRule="exact"/>
              <w:rPr>
                <w:rFonts w:hint="default" w:ascii="宋体" w:hAnsi="宋体" w:eastAsia="宋体"/>
                <w:bCs/>
                <w:color w:val="auto"/>
                <w:szCs w:val="21"/>
                <w:highlight w:val="none"/>
                <w:lang w:val="en-US" w:eastAsia="zh-CN"/>
              </w:rPr>
            </w:pPr>
            <w:r>
              <w:rPr>
                <w:rFonts w:hint="eastAsia" w:ascii="宋体" w:hAnsi="宋体"/>
                <w:bCs/>
                <w:color w:val="auto"/>
                <w:szCs w:val="21"/>
                <w:highlight w:val="none"/>
              </w:rPr>
              <w:t>单位名称：</w:t>
            </w:r>
            <w:r>
              <w:rPr>
                <w:rFonts w:hint="eastAsia" w:ascii="宋体" w:hAnsi="宋体"/>
                <w:bCs/>
                <w:color w:val="auto"/>
                <w:szCs w:val="21"/>
                <w:highlight w:val="none"/>
                <w:lang w:eastAsia="zh-CN"/>
              </w:rPr>
              <w:t>中益招标有限公司</w:t>
            </w:r>
            <w:r>
              <w:rPr>
                <w:rFonts w:hint="eastAsia" w:ascii="宋体" w:hAnsi="宋体"/>
                <w:bCs/>
                <w:color w:val="auto"/>
                <w:szCs w:val="21"/>
                <w:highlight w:val="none"/>
                <w:lang w:val="en-US" w:eastAsia="zh-CN"/>
              </w:rPr>
              <w:t>新疆分公司</w:t>
            </w:r>
          </w:p>
          <w:p w14:paraId="2DDFEEA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开户行：招商银行股份有限公司乌鲁木齐南湖东路支行</w:t>
            </w:r>
          </w:p>
          <w:p w14:paraId="1C7D1825">
            <w:pPr>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帐 号：991905768210301</w:t>
            </w:r>
          </w:p>
          <w:p w14:paraId="6AB28FCF">
            <w:pPr>
              <w:adjustRightInd w:val="0"/>
              <w:snapToGrid w:val="0"/>
              <w:spacing w:line="360" w:lineRule="auto"/>
              <w:jc w:val="left"/>
              <w:rPr>
                <w:rFonts w:ascii="宋体" w:hAnsi="宋体"/>
                <w:b/>
                <w:bCs/>
                <w:color w:val="auto"/>
                <w:kern w:val="0"/>
                <w:sz w:val="21"/>
                <w:szCs w:val="21"/>
                <w:highlight w:val="none"/>
              </w:rPr>
            </w:pPr>
            <w:r>
              <w:rPr>
                <w:rFonts w:hint="eastAsia" w:ascii="宋体" w:hAnsi="宋体"/>
                <w:b/>
                <w:bCs/>
                <w:color w:val="auto"/>
                <w:kern w:val="0"/>
                <w:sz w:val="21"/>
                <w:szCs w:val="21"/>
                <w:highlight w:val="none"/>
              </w:rPr>
              <w:t>注：</w:t>
            </w:r>
          </w:p>
          <w:p w14:paraId="7123F034">
            <w:pPr>
              <w:adjustRightInd w:val="0"/>
              <w:snapToGrid w:val="0"/>
              <w:spacing w:line="360" w:lineRule="auto"/>
              <w:jc w:val="left"/>
              <w:rPr>
                <w:rFonts w:ascii="宋体" w:hAnsi="宋体" w:cs="宋体"/>
                <w:bCs/>
                <w:color w:val="auto"/>
                <w:szCs w:val="21"/>
                <w:highlight w:val="none"/>
              </w:rPr>
            </w:pPr>
            <w:r>
              <w:rPr>
                <w:rFonts w:hint="eastAsia" w:ascii="宋体" w:hAnsi="宋体"/>
                <w:b/>
                <w:bCs/>
                <w:color w:val="auto"/>
                <w:kern w:val="0"/>
                <w:sz w:val="21"/>
                <w:szCs w:val="21"/>
                <w:highlight w:val="none"/>
              </w:rPr>
              <w:t>用网银转账提交保证金，应当从其基本账户转入招标代理机构银行账户；未按招标要求缴纳投标保证金的，视为非实质性响应。请各投标人在缴纳保证金时注明项目名称</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标项号</w:t>
            </w:r>
            <w:r>
              <w:rPr>
                <w:rFonts w:hint="eastAsia" w:ascii="宋体" w:hAnsi="宋体"/>
                <w:b/>
                <w:bCs/>
                <w:color w:val="auto"/>
                <w:kern w:val="0"/>
                <w:sz w:val="21"/>
                <w:szCs w:val="21"/>
                <w:highlight w:val="none"/>
              </w:rPr>
              <w:t>（若字数超标，可自行简写项目名称）及项目编号，如未注明，造成保证金无法查明的，责任由投标人承担。</w:t>
            </w:r>
          </w:p>
        </w:tc>
      </w:tr>
      <w:tr w14:paraId="7CFA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A634E4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第二章第18.1款</w:t>
            </w:r>
          </w:p>
        </w:tc>
        <w:tc>
          <w:tcPr>
            <w:tcW w:w="1701" w:type="dxa"/>
            <w:vAlign w:val="center"/>
          </w:tcPr>
          <w:p w14:paraId="32535C52">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投标文件有效期</w:t>
            </w:r>
          </w:p>
        </w:tc>
        <w:tc>
          <w:tcPr>
            <w:tcW w:w="4864" w:type="dxa"/>
            <w:vAlign w:val="center"/>
          </w:tcPr>
          <w:p w14:paraId="66C1A805">
            <w:pPr>
              <w:adjustRightInd w:val="0"/>
              <w:snapToGrid w:val="0"/>
              <w:spacing w:line="400" w:lineRule="exact"/>
              <w:rPr>
                <w:rFonts w:ascii="宋体" w:hAnsi="宋体"/>
                <w:bCs/>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日（日历日）</w:t>
            </w:r>
          </w:p>
        </w:tc>
      </w:tr>
      <w:tr w14:paraId="779C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050E203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第二章第19.1款</w:t>
            </w:r>
          </w:p>
        </w:tc>
        <w:tc>
          <w:tcPr>
            <w:tcW w:w="1701" w:type="dxa"/>
            <w:vAlign w:val="center"/>
          </w:tcPr>
          <w:p w14:paraId="22F29DB7">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投标文件</w:t>
            </w:r>
            <w:r>
              <w:rPr>
                <w:rFonts w:hint="eastAsia" w:ascii="宋体" w:hAnsi="宋体"/>
                <w:color w:val="auto"/>
                <w:szCs w:val="21"/>
                <w:highlight w:val="none"/>
              </w:rPr>
              <w:t>份数</w:t>
            </w:r>
          </w:p>
        </w:tc>
        <w:tc>
          <w:tcPr>
            <w:tcW w:w="4864" w:type="dxa"/>
            <w:vAlign w:val="center"/>
          </w:tcPr>
          <w:p w14:paraId="16D0B5EA">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经加密的电子版文件一份</w:t>
            </w:r>
          </w:p>
        </w:tc>
      </w:tr>
      <w:tr w14:paraId="6382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E59DD9">
            <w:pPr>
              <w:adjustRightInd w:val="0"/>
              <w:snapToGrid w:val="0"/>
              <w:spacing w:line="400" w:lineRule="exact"/>
              <w:rPr>
                <w:rFonts w:ascii="宋体" w:hAnsi="宋体"/>
                <w:b/>
                <w:bCs/>
                <w:color w:val="auto"/>
                <w:szCs w:val="21"/>
                <w:highlight w:val="none"/>
              </w:rPr>
            </w:pPr>
            <w:r>
              <w:rPr>
                <w:rFonts w:hint="eastAsia" w:ascii="宋体" w:hAnsi="宋体"/>
                <w:b/>
                <w:color w:val="auto"/>
                <w:szCs w:val="21"/>
                <w:highlight w:val="none"/>
              </w:rPr>
              <w:t>四、投标文件的递交</w:t>
            </w:r>
          </w:p>
        </w:tc>
      </w:tr>
      <w:tr w14:paraId="6B5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224" w:type="dxa"/>
            <w:vAlign w:val="center"/>
          </w:tcPr>
          <w:p w14:paraId="39BB115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第二章第20.2款</w:t>
            </w:r>
          </w:p>
        </w:tc>
        <w:tc>
          <w:tcPr>
            <w:tcW w:w="1701" w:type="dxa"/>
            <w:vAlign w:val="center"/>
          </w:tcPr>
          <w:p w14:paraId="5DB61D9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封套上应载明的信息</w:t>
            </w:r>
          </w:p>
        </w:tc>
        <w:tc>
          <w:tcPr>
            <w:tcW w:w="4864" w:type="dxa"/>
            <w:vAlign w:val="center"/>
          </w:tcPr>
          <w:p w14:paraId="2940645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收件人名称： </w:t>
            </w:r>
          </w:p>
          <w:p w14:paraId="7936985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项目编号：                                         </w:t>
            </w:r>
          </w:p>
          <w:p w14:paraId="7824D61A">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36077FB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投标人名称：                 </w:t>
            </w:r>
          </w:p>
          <w:p w14:paraId="48FBD89D">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投标人地址：                 </w:t>
            </w:r>
          </w:p>
          <w:p w14:paraId="27A8039F">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 系 人：                   </w:t>
            </w:r>
          </w:p>
          <w:p w14:paraId="4752197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联系电话：                   </w:t>
            </w:r>
          </w:p>
          <w:p w14:paraId="4917F795">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传    真：                   </w:t>
            </w:r>
          </w:p>
          <w:p w14:paraId="7E1649E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在规定的开标时间 年 月 日 </w:t>
            </w:r>
            <w:r>
              <w:rPr>
                <w:rFonts w:ascii="宋体" w:hAnsi="宋体"/>
                <w:color w:val="auto"/>
                <w:szCs w:val="21"/>
                <w:highlight w:val="none"/>
              </w:rPr>
              <w:t xml:space="preserve"> </w:t>
            </w:r>
            <w:r>
              <w:rPr>
                <w:rFonts w:hint="eastAsia" w:ascii="宋体" w:hAnsi="宋体"/>
                <w:color w:val="auto"/>
                <w:szCs w:val="21"/>
                <w:highlight w:val="none"/>
              </w:rPr>
              <w:t>： 前不得启封</w:t>
            </w:r>
          </w:p>
        </w:tc>
      </w:tr>
      <w:tr w14:paraId="67F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6851A0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第二章第22.1款</w:t>
            </w:r>
          </w:p>
        </w:tc>
        <w:tc>
          <w:tcPr>
            <w:tcW w:w="1701" w:type="dxa"/>
            <w:vAlign w:val="center"/>
          </w:tcPr>
          <w:p w14:paraId="458079B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投标文件的递交地点</w:t>
            </w:r>
          </w:p>
        </w:tc>
        <w:tc>
          <w:tcPr>
            <w:tcW w:w="4864" w:type="dxa"/>
            <w:vAlign w:val="center"/>
          </w:tcPr>
          <w:p w14:paraId="38B7385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政采云平台</w:t>
            </w:r>
          </w:p>
        </w:tc>
      </w:tr>
      <w:tr w14:paraId="2758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4AFAD214">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五、投标文件的评审</w:t>
            </w:r>
          </w:p>
        </w:tc>
      </w:tr>
      <w:tr w14:paraId="038A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370DE6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第二章第29.1款</w:t>
            </w:r>
          </w:p>
        </w:tc>
        <w:tc>
          <w:tcPr>
            <w:tcW w:w="1701" w:type="dxa"/>
            <w:vAlign w:val="center"/>
          </w:tcPr>
          <w:p w14:paraId="32BF1B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评审办法</w:t>
            </w:r>
          </w:p>
        </w:tc>
        <w:tc>
          <w:tcPr>
            <w:tcW w:w="4864" w:type="dxa"/>
            <w:vAlign w:val="center"/>
          </w:tcPr>
          <w:p w14:paraId="7FECD30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综合评分法</w:t>
            </w:r>
          </w:p>
        </w:tc>
      </w:tr>
      <w:tr w14:paraId="457F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0CD63F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第二章第30.1款</w:t>
            </w:r>
          </w:p>
        </w:tc>
        <w:tc>
          <w:tcPr>
            <w:tcW w:w="1701" w:type="dxa"/>
            <w:vAlign w:val="center"/>
          </w:tcPr>
          <w:p w14:paraId="101F231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推荐的中标候选人数量</w:t>
            </w:r>
          </w:p>
        </w:tc>
        <w:tc>
          <w:tcPr>
            <w:tcW w:w="4864" w:type="dxa"/>
            <w:vAlign w:val="center"/>
          </w:tcPr>
          <w:p w14:paraId="282F201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3</w:t>
            </w:r>
          </w:p>
        </w:tc>
      </w:tr>
      <w:tr w14:paraId="12A0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9" w:type="dxa"/>
            <w:gridSpan w:val="3"/>
            <w:vAlign w:val="center"/>
          </w:tcPr>
          <w:p w14:paraId="129A2D47">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六、中标结果信息公布与授予合同</w:t>
            </w:r>
          </w:p>
        </w:tc>
      </w:tr>
      <w:tr w14:paraId="374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D33537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第二章第35.1款</w:t>
            </w:r>
          </w:p>
        </w:tc>
        <w:tc>
          <w:tcPr>
            <w:tcW w:w="1701" w:type="dxa"/>
            <w:vAlign w:val="center"/>
          </w:tcPr>
          <w:p w14:paraId="39625EB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财政部门指定发布媒体</w:t>
            </w:r>
          </w:p>
        </w:tc>
        <w:tc>
          <w:tcPr>
            <w:tcW w:w="4864" w:type="dxa"/>
            <w:vAlign w:val="center"/>
          </w:tcPr>
          <w:p w14:paraId="366DA250">
            <w:pPr>
              <w:adjustRightInd w:val="0"/>
              <w:snapToGrid w:val="0"/>
              <w:spacing w:line="400" w:lineRule="exact"/>
              <w:jc w:val="left"/>
              <w:rPr>
                <w:rFonts w:ascii="宋体" w:hAnsi="宋体" w:cs="宋体"/>
                <w:b/>
                <w:bCs/>
                <w:color w:val="auto"/>
                <w:kern w:val="0"/>
                <w:szCs w:val="21"/>
                <w:highlight w:val="none"/>
              </w:rPr>
            </w:pPr>
            <w:r>
              <w:rPr>
                <w:rFonts w:hint="eastAsia" w:ascii="宋体" w:hAnsi="宋体"/>
                <w:color w:val="auto"/>
                <w:szCs w:val="21"/>
                <w:highlight w:val="none"/>
              </w:rPr>
              <w:t>新疆政府采购网</w:t>
            </w:r>
          </w:p>
        </w:tc>
      </w:tr>
      <w:tr w14:paraId="2E39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224" w:type="dxa"/>
            <w:vAlign w:val="center"/>
          </w:tcPr>
          <w:p w14:paraId="1B54D0F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第二章第37.3款</w:t>
            </w:r>
          </w:p>
        </w:tc>
        <w:tc>
          <w:tcPr>
            <w:tcW w:w="1701" w:type="dxa"/>
            <w:vAlign w:val="center"/>
          </w:tcPr>
          <w:p w14:paraId="0947800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履约担保</w:t>
            </w:r>
          </w:p>
        </w:tc>
        <w:tc>
          <w:tcPr>
            <w:tcW w:w="4864" w:type="dxa"/>
            <w:vAlign w:val="center"/>
          </w:tcPr>
          <w:p w14:paraId="4116D2D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自行协商</w:t>
            </w:r>
          </w:p>
        </w:tc>
      </w:tr>
      <w:tr w14:paraId="6435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DE4E700">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七、其他规定</w:t>
            </w:r>
          </w:p>
        </w:tc>
      </w:tr>
      <w:tr w14:paraId="631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6E9DC50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第二章第39.1款</w:t>
            </w:r>
          </w:p>
        </w:tc>
        <w:tc>
          <w:tcPr>
            <w:tcW w:w="1701" w:type="dxa"/>
            <w:vAlign w:val="center"/>
          </w:tcPr>
          <w:p w14:paraId="0CAB0D7F">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代理服务费</w:t>
            </w:r>
          </w:p>
        </w:tc>
        <w:tc>
          <w:tcPr>
            <w:tcW w:w="4864" w:type="dxa"/>
            <w:vAlign w:val="center"/>
          </w:tcPr>
          <w:p w14:paraId="57F650D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中标投标人在收到中标通知书后，须向</w:t>
            </w:r>
            <w:r>
              <w:rPr>
                <w:rFonts w:hint="eastAsia" w:ascii="宋体" w:hAnsi="宋体"/>
                <w:color w:val="auto"/>
                <w:szCs w:val="21"/>
                <w:highlight w:val="none"/>
                <w:lang w:eastAsia="zh-CN"/>
              </w:rPr>
              <w:t>中益招标有限公司</w:t>
            </w:r>
            <w:r>
              <w:rPr>
                <w:rFonts w:hint="eastAsia" w:ascii="宋体" w:hAnsi="宋体"/>
                <w:color w:val="auto"/>
                <w:szCs w:val="21"/>
                <w:highlight w:val="none"/>
              </w:rPr>
              <w:t>支付代理服务费，参考国家发展计划委员会“计价格（2002）1980号”文件、“发改办价格[2003]857号”文及发改办价格〔2011〕534号文</w:t>
            </w:r>
            <w:r>
              <w:rPr>
                <w:rFonts w:hint="eastAsia" w:ascii="宋体" w:hAnsi="宋体"/>
                <w:color w:val="auto"/>
                <w:szCs w:val="21"/>
                <w:highlight w:val="none"/>
                <w:lang w:val="en-US" w:eastAsia="zh-CN"/>
              </w:rPr>
              <w:t>100万以下：下浮20%；100万-500万：下浮45%；500万-1000万：下浮55%</w:t>
            </w:r>
            <w:r>
              <w:rPr>
                <w:rFonts w:hint="eastAsia" w:ascii="宋体" w:hAnsi="宋体"/>
                <w:color w:val="auto"/>
                <w:szCs w:val="21"/>
                <w:highlight w:val="none"/>
              </w:rPr>
              <w:t>收取。</w:t>
            </w:r>
          </w:p>
        </w:tc>
      </w:tr>
      <w:tr w14:paraId="4D9E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9E87CAE">
            <w:pPr>
              <w:adjustRightInd w:val="0"/>
              <w:snapToGrid w:val="0"/>
              <w:spacing w:line="400" w:lineRule="exact"/>
              <w:rPr>
                <w:rFonts w:ascii="宋体" w:hAnsi="宋体"/>
                <w:color w:val="auto"/>
                <w:szCs w:val="21"/>
                <w:highlight w:val="none"/>
              </w:rPr>
            </w:pPr>
            <w:r>
              <w:rPr>
                <w:rFonts w:hint="eastAsia" w:ascii="宋体" w:hAnsi="宋体" w:cs="宋体"/>
                <w:b/>
                <w:color w:val="auto"/>
                <w:kern w:val="0"/>
                <w:szCs w:val="21"/>
                <w:highlight w:val="none"/>
              </w:rPr>
              <w:t>本采购文件规定的各项技术规格中出现的商标、名称或供应者等均不做特别指定的要求，仅作为对技术规格的描述要求，按“或相当于”理解，投标人在投标时不得低于此要求。</w:t>
            </w:r>
          </w:p>
        </w:tc>
      </w:tr>
    </w:tbl>
    <w:p w14:paraId="7FEDFDC1">
      <w:pPr>
        <w:pStyle w:val="4"/>
        <w:jc w:val="center"/>
        <w:rPr>
          <w:rFonts w:ascii="宋体" w:hAnsi="宋体"/>
          <w:color w:val="auto"/>
          <w:highlight w:val="none"/>
        </w:rPr>
      </w:pPr>
      <w:bookmarkStart w:id="14" w:name="_Toc420948007"/>
      <w:r>
        <w:rPr>
          <w:rFonts w:ascii="宋体" w:hAnsi="宋体"/>
          <w:color w:val="auto"/>
          <w:highlight w:val="none"/>
        </w:rPr>
        <w:br w:type="page"/>
      </w:r>
      <w:bookmarkStart w:id="15" w:name="_Toc161933886"/>
      <w:r>
        <w:rPr>
          <w:rFonts w:hint="eastAsia" w:ascii="宋体" w:hAnsi="宋体"/>
          <w:color w:val="auto"/>
          <w:highlight w:val="none"/>
        </w:rPr>
        <w:t>投标须知正文</w:t>
      </w:r>
      <w:bookmarkEnd w:id="14"/>
      <w:bookmarkEnd w:id="15"/>
    </w:p>
    <w:p w14:paraId="79019B10">
      <w:pPr>
        <w:pStyle w:val="4"/>
        <w:rPr>
          <w:rFonts w:ascii="宋体" w:hAnsi="宋体"/>
          <w:color w:val="auto"/>
          <w:sz w:val="21"/>
          <w:szCs w:val="21"/>
          <w:highlight w:val="none"/>
        </w:rPr>
      </w:pPr>
      <w:bookmarkStart w:id="16" w:name="_Toc161933887"/>
      <w:bookmarkStart w:id="17" w:name="_Toc420948008"/>
      <w:r>
        <w:rPr>
          <w:rFonts w:hint="eastAsia" w:ascii="宋体" w:hAnsi="宋体"/>
          <w:color w:val="auto"/>
          <w:sz w:val="21"/>
          <w:szCs w:val="21"/>
          <w:highlight w:val="none"/>
        </w:rPr>
        <w:t>一、总则</w:t>
      </w:r>
      <w:bookmarkEnd w:id="16"/>
    </w:p>
    <w:p w14:paraId="78E7A97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 项目概况</w:t>
      </w:r>
    </w:p>
    <w:p w14:paraId="39B41A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1.1项目名称：详见投标须知前附表；</w:t>
      </w:r>
    </w:p>
    <w:p w14:paraId="5C92F0E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1.2采购内容：详见投标须知前附表；</w:t>
      </w:r>
    </w:p>
    <w:p w14:paraId="46FB9F4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1.3采购方式：详见投标须知前附表；</w:t>
      </w:r>
    </w:p>
    <w:p w14:paraId="4BA5704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1.4项目地点：详见投标须知前附表；</w:t>
      </w:r>
    </w:p>
    <w:p w14:paraId="21241C9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1.5服务期限：详见投标须知前附表。</w:t>
      </w:r>
      <w:bookmarkEnd w:id="17"/>
    </w:p>
    <w:p w14:paraId="121894D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 定义</w:t>
      </w:r>
    </w:p>
    <w:p w14:paraId="3EED84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“采购人”是指依法进行政府采购的国家机关、事业单位、团体组织。本次政府采购的采购人名称、地址、电话、联系人见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5FE0CCA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 “采购代理机构”是指接受采购人委托，代理采购项目的采购代理机构。</w:t>
      </w:r>
    </w:p>
    <w:p w14:paraId="28EAC71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 “投标人”是指响应采购文件要求、参加公开招标采购的法人、其他组织或者自然人。</w:t>
      </w:r>
    </w:p>
    <w:p w14:paraId="40E075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 “服务”是指除货物和工程以外的其他政府采购对象。</w:t>
      </w:r>
    </w:p>
    <w:p w14:paraId="1520A97F">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2.5偏离</w:t>
      </w:r>
    </w:p>
    <w:p w14:paraId="7D8B3D5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2.5.1本条所称偏离为投标文件对采购文件的偏离，即不满足、或不响应采购文件的要求。偏离分为对采购文件的实质性要求条款偏离和对采购文件的一般商务和技术条款偏离。</w:t>
      </w:r>
    </w:p>
    <w:p w14:paraId="6B79C9E2">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除法律、法规和规章规定外，采购文件中用“拒绝”、“不接受”、“无效”、“不得”等文字规定或标注“★”符号的条款为实质性要求条款（即重要条款）。未用上述文字规定或符号标注的条款为非实质性要求条款(即一般条款)。</w:t>
      </w:r>
    </w:p>
    <w:p w14:paraId="4DAACF60">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2.6特别说明</w:t>
      </w:r>
    </w:p>
    <w:p w14:paraId="2096708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2.6.1除采购文件内有特殊说明外，本次投标响应投标人所使用的资格、信誉、荣誉、业绩与企业认证等必须为投标单位法人所拥有。</w:t>
      </w:r>
    </w:p>
    <w:p w14:paraId="127720E7">
      <w:pPr>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2.6.2</w:t>
      </w:r>
      <w:r>
        <w:rPr>
          <w:rFonts w:hint="eastAsia" w:ascii="宋体" w:hAnsi="宋体"/>
          <w:color w:val="auto"/>
          <w:szCs w:val="21"/>
          <w:highlight w:val="none"/>
        </w:rPr>
        <w:t>投标人</w:t>
      </w:r>
      <w:r>
        <w:rPr>
          <w:rFonts w:hint="eastAsia" w:ascii="宋体" w:hAnsi="宋体" w:cs="宋体"/>
          <w:color w:val="auto"/>
          <w:kern w:val="0"/>
          <w:szCs w:val="21"/>
          <w:highlight w:val="none"/>
        </w:rPr>
        <w:t>应仔细阅读采购文件的所有内容，按照采购文件的要求编制、提交投标文件，并对所提供的全部资料的真实性承担法律责任。</w:t>
      </w:r>
    </w:p>
    <w:p w14:paraId="66410EB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2.6.3投标人在投标活动中提供任何虚假材料, 其投标文件无效并承担相应法律责任。</w:t>
      </w:r>
    </w:p>
    <w:p w14:paraId="239607C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3.投标人的资格要求</w:t>
      </w:r>
    </w:p>
    <w:p w14:paraId="4407275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 投标人应当符合</w:t>
      </w:r>
      <w:r>
        <w:rPr>
          <w:rFonts w:hint="eastAsia" w:ascii="宋体" w:hAnsi="宋体"/>
          <w:b/>
          <w:color w:val="auto"/>
          <w:szCs w:val="21"/>
          <w:highlight w:val="none"/>
        </w:rPr>
        <w:t>投标须知前附表</w:t>
      </w:r>
      <w:r>
        <w:rPr>
          <w:rFonts w:hint="eastAsia" w:ascii="宋体" w:hAnsi="宋体"/>
          <w:color w:val="auto"/>
          <w:szCs w:val="21"/>
          <w:highlight w:val="none"/>
        </w:rPr>
        <w:t>中规定投标人资格条件。</w:t>
      </w:r>
    </w:p>
    <w:p w14:paraId="3AB04D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投标人不得存在下列情形之一：</w:t>
      </w:r>
    </w:p>
    <w:p w14:paraId="24C1A36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（l）与采购人、代理机构存在</w:t>
      </w:r>
      <w:r>
        <w:rPr>
          <w:rFonts w:hint="eastAsia" w:ascii="宋体" w:hAnsi="宋体"/>
          <w:bCs/>
          <w:color w:val="auto"/>
          <w:szCs w:val="21"/>
          <w:highlight w:val="none"/>
        </w:rPr>
        <w:t>利害关系</w:t>
      </w:r>
      <w:r>
        <w:rPr>
          <w:rFonts w:hint="eastAsia" w:ascii="宋体" w:hAnsi="宋体"/>
          <w:color w:val="auto"/>
          <w:szCs w:val="21"/>
          <w:highlight w:val="none"/>
        </w:rPr>
        <w:t>。</w:t>
      </w:r>
    </w:p>
    <w:p w14:paraId="09CD21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（2）单位负责人为同一人或者存在直接控股、管理关系的不同投标人，不得参加同一合同项下的政府采购活动。</w:t>
      </w:r>
    </w:p>
    <w:p w14:paraId="2357D58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（3）除单一来源采购项目外，为采购项目提供整体设计、规范编制或者项目管理、监理、检测等服务的投标人，不得再参加该采购项目的其他采购活动。</w:t>
      </w:r>
    </w:p>
    <w:p w14:paraId="45D0C75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被列入失信被执行人、重大税收违法案件当事人名单、政府采购严重违法失信行为记录名单（处罚决定规定的时间和地域范围内）。采购人或采购代理机构将按投标人须知前附表中规定的时间查询投标人的信用记录。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人将被认定为投标</w:t>
      </w:r>
      <w:r>
        <w:rPr>
          <w:rFonts w:hint="eastAsia" w:ascii="宋体" w:hAnsi="宋体"/>
          <w:b/>
          <w:color w:val="auto"/>
          <w:szCs w:val="21"/>
          <w:highlight w:val="none"/>
        </w:rPr>
        <w:t>无效</w:t>
      </w:r>
      <w:r>
        <w:rPr>
          <w:rFonts w:hint="eastAsia" w:ascii="宋体" w:hAnsi="宋体"/>
          <w:color w:val="auto"/>
          <w:szCs w:val="21"/>
          <w:highlight w:val="none"/>
        </w:rPr>
        <w:t>。以联合体形式参加投标的，联合体任何成员存在以上不良信用记录的，联合体投标人将被认定为投标</w:t>
      </w:r>
      <w:r>
        <w:rPr>
          <w:rFonts w:hint="eastAsia" w:ascii="宋体" w:hAnsi="宋体"/>
          <w:b/>
          <w:color w:val="auto"/>
          <w:szCs w:val="21"/>
          <w:highlight w:val="none"/>
        </w:rPr>
        <w:t>无效</w:t>
      </w:r>
      <w:r>
        <w:rPr>
          <w:rFonts w:hint="eastAsia" w:ascii="宋体" w:hAnsi="宋体"/>
          <w:color w:val="auto"/>
          <w:szCs w:val="21"/>
          <w:highlight w:val="none"/>
        </w:rPr>
        <w:t>。</w:t>
      </w:r>
    </w:p>
    <w:p w14:paraId="24D4102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w:t>
      </w:r>
      <w:r>
        <w:rPr>
          <w:rFonts w:ascii="宋体" w:hAnsi="宋体"/>
          <w:color w:val="auto"/>
          <w:szCs w:val="21"/>
          <w:highlight w:val="none"/>
        </w:rPr>
        <w:t>或采购代理机构</w:t>
      </w:r>
      <w:r>
        <w:rPr>
          <w:rFonts w:hint="eastAsia" w:ascii="宋体" w:hAnsi="宋体"/>
          <w:color w:val="auto"/>
          <w:szCs w:val="21"/>
          <w:highlight w:val="none"/>
        </w:rPr>
        <w:t>经办人将查询网页打印、签字并存档备查。投标人不良信用记录以采购人</w:t>
      </w:r>
      <w:r>
        <w:rPr>
          <w:rFonts w:ascii="宋体" w:hAnsi="宋体"/>
          <w:color w:val="auto"/>
          <w:szCs w:val="21"/>
          <w:highlight w:val="none"/>
        </w:rPr>
        <w:t>或采购代理机构</w:t>
      </w:r>
      <w:r>
        <w:rPr>
          <w:rFonts w:hint="eastAsia" w:ascii="宋体" w:hAnsi="宋体"/>
          <w:color w:val="auto"/>
          <w:szCs w:val="21"/>
          <w:highlight w:val="none"/>
        </w:rPr>
        <w:t>查询结果为准。投标人自行提供的与网站信息不一致的其他证明材料亦不作为资格审查依据。在本采购文件</w:t>
      </w:r>
      <w:r>
        <w:rPr>
          <w:rFonts w:ascii="宋体" w:hAnsi="宋体"/>
          <w:color w:val="auto"/>
          <w:szCs w:val="21"/>
          <w:highlight w:val="none"/>
        </w:rPr>
        <w:t>规定</w:t>
      </w:r>
      <w:r>
        <w:rPr>
          <w:rFonts w:hint="eastAsia" w:ascii="宋体" w:hAnsi="宋体"/>
          <w:color w:val="auto"/>
          <w:szCs w:val="21"/>
          <w:highlight w:val="none"/>
        </w:rPr>
        <w:t>的查询时间之外，网站信息发生的任何变更均不作为资格审查依据。</w:t>
      </w:r>
    </w:p>
    <w:p w14:paraId="0FA227B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 投标人具有履行合同所必需的设备和专业技术能力，在人员、设备、资金等方面具有相应能力；投标人在项目地具有技术支持和后续服务等能力。</w:t>
      </w:r>
    </w:p>
    <w:p w14:paraId="1005BD8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 xml:space="preserve">4. 费用和知识产权 </w:t>
      </w:r>
    </w:p>
    <w:p w14:paraId="2145C3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4.1投标人应承担其参加本采购活动自身所发生的费用。采购文件所提供的资料，是采购人现有的能被投标人利用的资料，采购人对投标人做出的任何推论、理解和结论均不负责任。</w:t>
      </w:r>
    </w:p>
    <w:p w14:paraId="00B1438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投标人应保证，在中华人民共和国境内使用成果、服务或其任何一部分时，不会产生因第三方提出侵犯其专利权或其它知识产权而引起的法律和经济纠纷。如投标人不拥有相应的知识产权，则在报价中须包括合法获取该知识产权的相关费用。</w:t>
      </w:r>
    </w:p>
    <w:p w14:paraId="4B92A659">
      <w:pPr>
        <w:pStyle w:val="24"/>
        <w:adjustRightInd w:val="0"/>
        <w:snapToGrid w:val="0"/>
        <w:spacing w:line="360" w:lineRule="auto"/>
        <w:rPr>
          <w:rFonts w:ascii="宋体" w:hAnsi="宋体"/>
          <w:b/>
          <w:bCs/>
          <w:color w:val="auto"/>
          <w:sz w:val="21"/>
          <w:szCs w:val="21"/>
          <w:highlight w:val="none"/>
        </w:rPr>
      </w:pPr>
      <w:r>
        <w:rPr>
          <w:rFonts w:hint="eastAsia" w:ascii="宋体" w:hAnsi="宋体"/>
          <w:b/>
          <w:color w:val="auto"/>
          <w:sz w:val="21"/>
          <w:szCs w:val="21"/>
          <w:highlight w:val="none"/>
        </w:rPr>
        <w:t>5．</w:t>
      </w:r>
      <w:r>
        <w:rPr>
          <w:rFonts w:hint="eastAsia" w:ascii="宋体" w:hAnsi="宋体"/>
          <w:b/>
          <w:bCs/>
          <w:color w:val="auto"/>
          <w:sz w:val="21"/>
          <w:szCs w:val="21"/>
          <w:highlight w:val="none"/>
        </w:rPr>
        <w:t>授权委托</w:t>
      </w:r>
    </w:p>
    <w:p w14:paraId="52058883">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5.1投标人代表为投标人法定代表人的，应持有法定代表人身份证明。投标人代表不是投标人法定代表人的，应持有法定代表人授权书。</w:t>
      </w:r>
    </w:p>
    <w:p w14:paraId="3224CFA1">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6．联合体形式</w:t>
      </w:r>
      <w:r>
        <w:rPr>
          <w:rFonts w:hint="eastAsia" w:ascii="宋体" w:hAnsi="宋体"/>
          <w:color w:val="auto"/>
          <w:sz w:val="21"/>
          <w:szCs w:val="21"/>
          <w:highlight w:val="none"/>
        </w:rPr>
        <w:t xml:space="preserve"> </w:t>
      </w:r>
    </w:p>
    <w:p w14:paraId="112F5203">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6.1除</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中另有规定，本次投标不接受为联合体形式的投标人。</w:t>
      </w:r>
    </w:p>
    <w:p w14:paraId="1BC19A9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6.2投标人为联合体形式的，除应符合本章第3条规定外，还应遵守以下规定：</w:t>
      </w:r>
    </w:p>
    <w:p w14:paraId="6C43CE38">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（l）联合体各方必须签订联合体协议书，明确联合体牵头人和各方的义务、工作、合同工作量比例；</w:t>
      </w:r>
    </w:p>
    <w:p w14:paraId="13448AD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（2）联合体各方均应当符合本章第3.1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规定的投标人基本资格条件；</w:t>
      </w:r>
    </w:p>
    <w:p w14:paraId="284E8D1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（3）除</w:t>
      </w:r>
      <w:r>
        <w:rPr>
          <w:rFonts w:hint="eastAsia" w:ascii="宋体" w:hAnsi="宋体"/>
          <w:b/>
          <w:color w:val="auto"/>
          <w:szCs w:val="21"/>
          <w:highlight w:val="none"/>
        </w:rPr>
        <w:t>投标须知前附表</w:t>
      </w:r>
      <w:r>
        <w:rPr>
          <w:rFonts w:hint="eastAsia" w:ascii="宋体" w:hAnsi="宋体"/>
          <w:color w:val="auto"/>
          <w:szCs w:val="21"/>
          <w:highlight w:val="none"/>
        </w:rPr>
        <w:t>中另有规定，联合体各方中至少有一方应当符合本章第3.1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规定的投标人特定资格条件；</w:t>
      </w:r>
    </w:p>
    <w:p w14:paraId="698EAB34">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olor w:val="auto"/>
          <w:szCs w:val="21"/>
          <w:highlight w:val="none"/>
        </w:rPr>
        <w:t>（4）</w:t>
      </w:r>
      <w:r>
        <w:rPr>
          <w:rFonts w:hint="eastAsia" w:ascii="宋体" w:hAnsi="宋体" w:cs="宋体"/>
          <w:color w:val="auto"/>
          <w:kern w:val="0"/>
          <w:szCs w:val="21"/>
          <w:highlight w:val="none"/>
          <w:lang w:val="zh-CN"/>
        </w:rPr>
        <w:t>联合体各方不得再单独或与其他投标人组成新的联合体参加同一项目的采购活动。</w:t>
      </w:r>
    </w:p>
    <w:p w14:paraId="20E1A80D">
      <w:pPr>
        <w:adjustRightInd w:val="0"/>
        <w:snapToGrid w:val="0"/>
        <w:spacing w:line="360" w:lineRule="auto"/>
        <w:rPr>
          <w:rFonts w:ascii="宋体" w:hAnsi="宋体"/>
          <w:bCs/>
          <w:color w:val="auto"/>
          <w:szCs w:val="21"/>
          <w:highlight w:val="none"/>
        </w:rPr>
      </w:pPr>
      <w:r>
        <w:rPr>
          <w:rFonts w:hint="eastAsia" w:ascii="宋体" w:hAnsi="宋体"/>
          <w:b/>
          <w:color w:val="auto"/>
          <w:szCs w:val="21"/>
          <w:highlight w:val="none"/>
        </w:rPr>
        <w:t>7.现场勘察</w:t>
      </w:r>
    </w:p>
    <w:p w14:paraId="3A41D7AC">
      <w:pPr>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7.1投标人应按投标须知前附表中</w:t>
      </w:r>
      <w:r>
        <w:rPr>
          <w:rFonts w:hint="eastAsia" w:ascii="宋体" w:hAnsi="宋体"/>
          <w:color w:val="auto"/>
          <w:szCs w:val="21"/>
          <w:highlight w:val="none"/>
        </w:rPr>
        <w:t>规定对采购项目现场和周围环境的现场考察。</w:t>
      </w:r>
    </w:p>
    <w:p w14:paraId="44006C7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7.2考察现场的费用由投标人自己承担，考察期间所发生的人身伤害及财产损失由投标人自己负责。</w:t>
      </w:r>
    </w:p>
    <w:p w14:paraId="190E0CDB">
      <w:pPr>
        <w:adjustRightInd w:val="0"/>
        <w:snapToGrid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7.3采购人不对投标人据此而做出的推论、理解和结论负责。一旦中标，投标人不得以任何借口，而提出额外补偿，或延长合同期限的要求。</w:t>
      </w:r>
    </w:p>
    <w:p w14:paraId="3C846F06">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8. 分包</w:t>
      </w:r>
    </w:p>
    <w:p w14:paraId="7546590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不允许</w:t>
      </w:r>
    </w:p>
    <w:p w14:paraId="76F137F1">
      <w:pPr>
        <w:adjustRightInd w:val="0"/>
        <w:snapToGrid w:val="0"/>
        <w:spacing w:line="360" w:lineRule="auto"/>
        <w:jc w:val="left"/>
        <w:rPr>
          <w:rFonts w:ascii="宋体" w:hAnsi="宋体"/>
          <w:b/>
          <w:color w:val="auto"/>
          <w:szCs w:val="21"/>
          <w:highlight w:val="none"/>
        </w:rPr>
      </w:pPr>
      <w:r>
        <w:rPr>
          <w:rFonts w:hint="eastAsia" w:ascii="宋体" w:hAnsi="宋体"/>
          <w:b/>
          <w:bCs/>
          <w:color w:val="auto"/>
          <w:szCs w:val="21"/>
          <w:highlight w:val="none"/>
        </w:rPr>
        <w:t>9.</w:t>
      </w:r>
      <w:r>
        <w:rPr>
          <w:rFonts w:hint="eastAsia" w:ascii="宋体" w:hAnsi="宋体"/>
          <w:b/>
          <w:color w:val="auto"/>
          <w:szCs w:val="21"/>
          <w:highlight w:val="none"/>
        </w:rPr>
        <w:t xml:space="preserve"> 政府采购政策支持</w:t>
      </w:r>
    </w:p>
    <w:p w14:paraId="2E59581A">
      <w:pPr>
        <w:pStyle w:val="24"/>
        <w:adjustRightInd w:val="0"/>
        <w:snapToGrid w:val="0"/>
        <w:spacing w:line="360" w:lineRule="auto"/>
        <w:ind w:firstLine="420" w:firstLineChars="200"/>
        <w:rPr>
          <w:rFonts w:ascii="宋体" w:hAnsi="宋体"/>
          <w:color w:val="auto"/>
          <w:sz w:val="21"/>
          <w:szCs w:val="21"/>
          <w:highlight w:val="none"/>
        </w:rPr>
      </w:pPr>
      <w:bookmarkStart w:id="18" w:name="_Toc420948009"/>
      <w:r>
        <w:rPr>
          <w:rFonts w:hint="eastAsia" w:ascii="宋体" w:hAnsi="宋体"/>
          <w:color w:val="auto"/>
          <w:sz w:val="21"/>
          <w:szCs w:val="21"/>
          <w:highlight w:val="none"/>
        </w:rPr>
        <w:t>9.1投标人符合支持中小企业发展优惠政策的，报价可以优惠扣除。本项目价格扣除比例见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6713850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9.2为推进政府采购诚信体系建设，投标人在签署相关承诺，提供相关信息前，应认真阅读财政部门相关政策规定。</w:t>
      </w:r>
    </w:p>
    <w:p w14:paraId="13A2471C">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9.3 中小企业在融资、投标保证、履约保证等方面有需求的，可查询当地政府采购管理部门相关政策，通过专业化的担保途径解决。</w:t>
      </w:r>
    </w:p>
    <w:p w14:paraId="06981AC9">
      <w:pPr>
        <w:pStyle w:val="4"/>
        <w:rPr>
          <w:rFonts w:ascii="宋体" w:hAnsi="宋体"/>
          <w:color w:val="auto"/>
          <w:sz w:val="21"/>
          <w:szCs w:val="21"/>
          <w:highlight w:val="none"/>
        </w:rPr>
      </w:pPr>
      <w:bookmarkStart w:id="19" w:name="_Toc161933888"/>
      <w:r>
        <w:rPr>
          <w:rFonts w:hint="eastAsia" w:ascii="宋体" w:hAnsi="宋体"/>
          <w:color w:val="auto"/>
          <w:sz w:val="21"/>
          <w:szCs w:val="21"/>
          <w:highlight w:val="none"/>
        </w:rPr>
        <w:t>二、</w:t>
      </w:r>
      <w:bookmarkEnd w:id="18"/>
      <w:r>
        <w:rPr>
          <w:rFonts w:hint="eastAsia" w:ascii="宋体" w:hAnsi="宋体"/>
          <w:color w:val="auto"/>
          <w:sz w:val="21"/>
          <w:szCs w:val="21"/>
          <w:highlight w:val="none"/>
        </w:rPr>
        <w:t>采购文件</w:t>
      </w:r>
      <w:bookmarkEnd w:id="19"/>
    </w:p>
    <w:p w14:paraId="458D7680">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10．采购文件的组成</w:t>
      </w:r>
    </w:p>
    <w:p w14:paraId="08D27451">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10.1 采购文件由下列文件组成：</w:t>
      </w:r>
    </w:p>
    <w:p w14:paraId="22529EC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第一章 公开招标公告</w:t>
      </w:r>
    </w:p>
    <w:p w14:paraId="13D27C2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第二章 投标须知</w:t>
      </w:r>
    </w:p>
    <w:p w14:paraId="1CD3666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第三章 合同协议书</w:t>
      </w:r>
    </w:p>
    <w:p w14:paraId="3493F0C4">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第四章 采购需求</w:t>
      </w:r>
    </w:p>
    <w:p w14:paraId="0F3BE06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第五章 投标文件格式</w:t>
      </w:r>
    </w:p>
    <w:p w14:paraId="41F11DE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10.2</w:t>
      </w:r>
      <w:r>
        <w:rPr>
          <w:rFonts w:hint="eastAsia" w:ascii="宋体" w:hAnsi="宋体"/>
          <w:bCs/>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bCs/>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截止时间前对</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澄清或者修改内容，为</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的组成部分。</w:t>
      </w:r>
    </w:p>
    <w:p w14:paraId="235F174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 评审小组根据与投标人投标情况可能实质性变动的内容，包括采购需求中的技术、服务要求以及合同条款，在</w:t>
      </w:r>
      <w:r>
        <w:rPr>
          <w:rFonts w:hint="eastAsia" w:ascii="宋体" w:hAnsi="宋体"/>
          <w:b/>
          <w:color w:val="auto"/>
          <w:szCs w:val="21"/>
          <w:highlight w:val="none"/>
        </w:rPr>
        <w:t>投标须知前附表</w:t>
      </w:r>
      <w:r>
        <w:rPr>
          <w:rFonts w:hint="eastAsia" w:ascii="宋体" w:hAnsi="宋体"/>
          <w:color w:val="auto"/>
          <w:szCs w:val="21"/>
          <w:highlight w:val="none"/>
        </w:rPr>
        <w:t>中明确。</w:t>
      </w:r>
    </w:p>
    <w:p w14:paraId="4B1262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10.4投标人应仔细阅读采购文件的全部内容，按照采购文件要求编制投标文件。任何对采购文件的忽略或误解不能作为投标文件存在缺陷或瑕疵的理由，其风险由投标人承担。</w:t>
      </w:r>
    </w:p>
    <w:p w14:paraId="2E5228F3">
      <w:pPr>
        <w:pStyle w:val="24"/>
        <w:adjustRightInd w:val="0"/>
        <w:snapToGrid w:val="0"/>
        <w:spacing w:line="360" w:lineRule="auto"/>
        <w:rPr>
          <w:rFonts w:ascii="宋体" w:hAnsi="宋体"/>
          <w:color w:val="auto"/>
          <w:sz w:val="21"/>
          <w:szCs w:val="21"/>
          <w:highlight w:val="none"/>
        </w:rPr>
      </w:pPr>
      <w:r>
        <w:rPr>
          <w:rFonts w:hint="eastAsia" w:ascii="宋体" w:hAnsi="宋体"/>
          <w:b/>
          <w:color w:val="auto"/>
          <w:sz w:val="21"/>
          <w:szCs w:val="21"/>
          <w:highlight w:val="none"/>
        </w:rPr>
        <w:t>11.</w:t>
      </w:r>
      <w:r>
        <w:rPr>
          <w:rFonts w:hint="eastAsia" w:ascii="宋体" w:hAnsi="宋体" w:cs="宋体"/>
          <w:b/>
          <w:color w:val="auto"/>
          <w:kern w:val="0"/>
          <w:sz w:val="21"/>
          <w:szCs w:val="21"/>
          <w:highlight w:val="none"/>
        </w:rPr>
        <w:t>提交投标文件</w:t>
      </w:r>
      <w:r>
        <w:rPr>
          <w:rFonts w:hint="eastAsia" w:ascii="宋体" w:hAnsi="宋体"/>
          <w:b/>
          <w:color w:val="auto"/>
          <w:sz w:val="21"/>
          <w:szCs w:val="21"/>
          <w:highlight w:val="none"/>
        </w:rPr>
        <w:t>的</w:t>
      </w:r>
      <w:r>
        <w:rPr>
          <w:rFonts w:hint="eastAsia" w:ascii="宋体" w:hAnsi="宋体" w:cs="宋体"/>
          <w:b/>
          <w:color w:val="auto"/>
          <w:kern w:val="0"/>
          <w:sz w:val="21"/>
          <w:szCs w:val="21"/>
          <w:highlight w:val="none"/>
        </w:rPr>
        <w:t>截止</w:t>
      </w:r>
      <w:r>
        <w:rPr>
          <w:rFonts w:hint="eastAsia" w:ascii="宋体" w:hAnsi="宋体"/>
          <w:b/>
          <w:color w:val="auto"/>
          <w:sz w:val="21"/>
          <w:szCs w:val="21"/>
          <w:highlight w:val="none"/>
        </w:rPr>
        <w:t>时间</w:t>
      </w:r>
    </w:p>
    <w:p w14:paraId="48CA15AE">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11.1</w:t>
      </w:r>
      <w:r>
        <w:rPr>
          <w:rFonts w:hint="eastAsia" w:ascii="宋体" w:hAnsi="宋体" w:cs="宋体"/>
          <w:color w:val="auto"/>
          <w:kern w:val="0"/>
          <w:sz w:val="21"/>
          <w:szCs w:val="21"/>
          <w:highlight w:val="none"/>
        </w:rPr>
        <w:t>投标人提交投标文件截止</w:t>
      </w:r>
      <w:r>
        <w:rPr>
          <w:rFonts w:hint="eastAsia" w:ascii="宋体" w:hAnsi="宋体"/>
          <w:color w:val="auto"/>
          <w:sz w:val="21"/>
          <w:szCs w:val="21"/>
          <w:highlight w:val="none"/>
        </w:rPr>
        <w:t>时间见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7310DA6D">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12.</w:t>
      </w:r>
      <w:r>
        <w:rPr>
          <w:rFonts w:hint="eastAsia" w:ascii="宋体" w:hAnsi="宋体"/>
          <w:color w:val="auto"/>
          <w:szCs w:val="21"/>
          <w:highlight w:val="none"/>
        </w:rPr>
        <w:t xml:space="preserve"> </w:t>
      </w:r>
      <w:r>
        <w:rPr>
          <w:rFonts w:hint="eastAsia" w:ascii="宋体" w:hAnsi="宋体"/>
          <w:b/>
          <w:bCs/>
          <w:color w:val="auto"/>
          <w:szCs w:val="21"/>
          <w:highlight w:val="none"/>
        </w:rPr>
        <w:t>采购文件的澄清</w:t>
      </w:r>
      <w:r>
        <w:rPr>
          <w:rFonts w:hint="eastAsia" w:ascii="宋体" w:hAnsi="宋体"/>
          <w:b/>
          <w:color w:val="auto"/>
          <w:kern w:val="0"/>
          <w:szCs w:val="21"/>
          <w:highlight w:val="none"/>
          <w:lang w:val="zh-CN"/>
        </w:rPr>
        <w:t>或者</w:t>
      </w:r>
      <w:r>
        <w:rPr>
          <w:rFonts w:hint="eastAsia" w:ascii="宋体" w:hAnsi="宋体"/>
          <w:b/>
          <w:bCs/>
          <w:color w:val="auto"/>
          <w:szCs w:val="21"/>
          <w:highlight w:val="none"/>
        </w:rPr>
        <w:t>修改</w:t>
      </w:r>
    </w:p>
    <w:p w14:paraId="59F9D974">
      <w:pPr>
        <w:adjustRightInd w:val="0"/>
        <w:snapToGrid w:val="0"/>
        <w:spacing w:line="360" w:lineRule="auto"/>
        <w:ind w:right="-105" w:rightChars="-50" w:firstLine="420" w:firstLineChars="200"/>
        <w:rPr>
          <w:rFonts w:ascii="宋体" w:hAnsi="宋体" w:cs="宋体"/>
          <w:color w:val="auto"/>
          <w:kern w:val="0"/>
          <w:szCs w:val="21"/>
          <w:highlight w:val="none"/>
        </w:rPr>
      </w:pPr>
      <w:bookmarkStart w:id="20" w:name="_Toc420948010"/>
      <w:r>
        <w:rPr>
          <w:rFonts w:hint="eastAsia" w:ascii="宋体" w:hAnsi="宋体"/>
          <w:color w:val="auto"/>
          <w:szCs w:val="21"/>
          <w:highlight w:val="none"/>
        </w:rPr>
        <w:t>12.1在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 xml:space="preserve">提交首次投标文件截止之日前，采购人、采购代理机构或者评审小组可以对已发出的采购文件进行必要的澄清或者修改。 </w:t>
      </w:r>
    </w:p>
    <w:p w14:paraId="6C440B77">
      <w:pPr>
        <w:adjustRightInd w:val="0"/>
        <w:snapToGrid w:val="0"/>
        <w:spacing w:line="360" w:lineRule="auto"/>
        <w:ind w:right="-105" w:rightChars="-50" w:firstLine="420" w:firstLineChars="200"/>
        <w:rPr>
          <w:rFonts w:ascii="宋体" w:hAnsi="宋体" w:cs="宋体"/>
          <w:color w:val="auto"/>
          <w:kern w:val="0"/>
          <w:szCs w:val="21"/>
          <w:highlight w:val="none"/>
        </w:rPr>
      </w:pPr>
      <w:r>
        <w:rPr>
          <w:rFonts w:hint="eastAsia" w:ascii="宋体" w:hAnsi="宋体"/>
          <w:color w:val="auto"/>
          <w:szCs w:val="21"/>
          <w:highlight w:val="none"/>
        </w:rPr>
        <w:t>12.2</w:t>
      </w:r>
      <w:r>
        <w:rPr>
          <w:rFonts w:hint="eastAsia" w:ascii="宋体" w:hAnsi="宋体" w:cs="宋体"/>
          <w:color w:val="auto"/>
          <w:kern w:val="0"/>
          <w:szCs w:val="21"/>
          <w:highlight w:val="none"/>
        </w:rPr>
        <w:t>澄清或者修改的内容可能影响投标文件编制的，采购人、采购代理机构或者评审小组应当在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提交首次投标文件截止之日5日前，以书面形式通知所有接收采购文件的</w:t>
      </w:r>
      <w:r>
        <w:rPr>
          <w:rFonts w:hint="eastAsia" w:ascii="宋体" w:hAnsi="宋体"/>
          <w:color w:val="auto"/>
          <w:szCs w:val="21"/>
          <w:highlight w:val="none"/>
        </w:rPr>
        <w:t>投标人</w:t>
      </w:r>
      <w:r>
        <w:rPr>
          <w:rFonts w:hint="eastAsia" w:ascii="宋体" w:hAnsi="宋体" w:cs="宋体"/>
          <w:color w:val="auto"/>
          <w:kern w:val="0"/>
          <w:szCs w:val="21"/>
          <w:highlight w:val="none"/>
        </w:rPr>
        <w:t>，不足5日的，顺延</w:t>
      </w:r>
      <w:r>
        <w:rPr>
          <w:rFonts w:hint="eastAsia" w:ascii="宋体" w:hAnsi="宋体"/>
          <w:color w:val="auto"/>
          <w:szCs w:val="21"/>
          <w:highlight w:val="none"/>
        </w:rPr>
        <w:t>投标人</w:t>
      </w:r>
      <w:r>
        <w:rPr>
          <w:rFonts w:hint="eastAsia" w:ascii="宋体" w:hAnsi="宋体" w:cs="宋体"/>
          <w:color w:val="auto"/>
          <w:kern w:val="0"/>
          <w:szCs w:val="21"/>
          <w:highlight w:val="none"/>
        </w:rPr>
        <w:t>提交首次投标文件截止时间。</w:t>
      </w:r>
      <w:r>
        <w:rPr>
          <w:rFonts w:hint="eastAsia" w:ascii="宋体" w:hAnsi="宋体"/>
          <w:color w:val="auto"/>
          <w:szCs w:val="21"/>
          <w:highlight w:val="none"/>
        </w:rPr>
        <w:t>澄清或者修改文件作为采购文件的组成部分对投标人具有约束力。</w:t>
      </w:r>
    </w:p>
    <w:p w14:paraId="3858DAF5">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12.3</w:t>
      </w:r>
      <w:r>
        <w:rPr>
          <w:rFonts w:hint="eastAsia" w:ascii="宋体" w:hAnsi="宋体" w:cs="宋体"/>
          <w:color w:val="auto"/>
          <w:kern w:val="0"/>
          <w:sz w:val="21"/>
          <w:szCs w:val="21"/>
          <w:highlight w:val="none"/>
        </w:rPr>
        <w:t>投标人认为采购文件存在歧视性条款的，应在收到采购文件之日或者采购文件公告期限届满之日起7个工作日内以书面形式向本代理机构提出。</w:t>
      </w:r>
    </w:p>
    <w:p w14:paraId="3B9EB648">
      <w:pPr>
        <w:pStyle w:val="4"/>
        <w:rPr>
          <w:rFonts w:ascii="宋体" w:hAnsi="宋体"/>
          <w:color w:val="auto"/>
          <w:sz w:val="21"/>
          <w:szCs w:val="21"/>
          <w:highlight w:val="none"/>
        </w:rPr>
      </w:pPr>
      <w:bookmarkStart w:id="21" w:name="_Toc161933889"/>
      <w:r>
        <w:rPr>
          <w:rFonts w:hint="eastAsia" w:ascii="宋体" w:hAnsi="宋体"/>
          <w:color w:val="auto"/>
          <w:sz w:val="21"/>
          <w:szCs w:val="21"/>
          <w:highlight w:val="none"/>
        </w:rPr>
        <w:t>三、</w:t>
      </w:r>
      <w:bookmarkEnd w:id="20"/>
      <w:r>
        <w:rPr>
          <w:rFonts w:hint="eastAsia" w:ascii="宋体" w:hAnsi="宋体"/>
          <w:color w:val="auto"/>
          <w:sz w:val="21"/>
          <w:szCs w:val="21"/>
          <w:highlight w:val="none"/>
        </w:rPr>
        <w:t>投标文件</w:t>
      </w:r>
      <w:bookmarkEnd w:id="21"/>
    </w:p>
    <w:p w14:paraId="6979B32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13.一般要求</w:t>
      </w:r>
    </w:p>
    <w:p w14:paraId="143A3A6C">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13.1 投标人应仔细阅读</w:t>
      </w:r>
      <w:r>
        <w:rPr>
          <w:rFonts w:hint="eastAsia" w:ascii="宋体" w:hAnsi="宋体"/>
          <w:color w:val="auto"/>
          <w:szCs w:val="21"/>
          <w:highlight w:val="none"/>
        </w:rPr>
        <w:t>采购文件</w:t>
      </w:r>
      <w:r>
        <w:rPr>
          <w:rFonts w:hint="eastAsia" w:ascii="宋体" w:hAnsi="宋体"/>
          <w:bCs/>
          <w:color w:val="auto"/>
          <w:szCs w:val="21"/>
          <w:highlight w:val="none"/>
        </w:rPr>
        <w:t>的所有内容，按</w:t>
      </w:r>
      <w:r>
        <w:rPr>
          <w:rFonts w:hint="eastAsia" w:ascii="宋体" w:hAnsi="宋体"/>
          <w:color w:val="auto"/>
          <w:szCs w:val="21"/>
          <w:highlight w:val="none"/>
        </w:rPr>
        <w:t>采购文件</w:t>
      </w:r>
      <w:r>
        <w:rPr>
          <w:rFonts w:hint="eastAsia" w:ascii="宋体" w:hAnsi="宋体"/>
          <w:bCs/>
          <w:color w:val="auto"/>
          <w:szCs w:val="21"/>
          <w:highlight w:val="none"/>
        </w:rPr>
        <w:t>的要求编制</w:t>
      </w:r>
      <w:r>
        <w:rPr>
          <w:rFonts w:hint="eastAsia" w:ascii="宋体" w:hAnsi="宋体"/>
          <w:color w:val="auto"/>
          <w:szCs w:val="21"/>
          <w:highlight w:val="none"/>
        </w:rPr>
        <w:t>投标文件</w:t>
      </w:r>
      <w:r>
        <w:rPr>
          <w:rFonts w:hint="eastAsia" w:ascii="宋体" w:hAnsi="宋体"/>
          <w:bCs/>
          <w:color w:val="auto"/>
          <w:szCs w:val="21"/>
          <w:highlight w:val="none"/>
        </w:rPr>
        <w:t>，并保证所提供的全部资料的真实性，以使其</w:t>
      </w:r>
      <w:r>
        <w:rPr>
          <w:rFonts w:hint="eastAsia" w:ascii="宋体" w:hAnsi="宋体"/>
          <w:color w:val="auto"/>
          <w:szCs w:val="21"/>
          <w:highlight w:val="none"/>
        </w:rPr>
        <w:t>投标文件</w:t>
      </w:r>
      <w:r>
        <w:rPr>
          <w:rFonts w:hint="eastAsia" w:ascii="宋体" w:hAnsi="宋体"/>
          <w:bCs/>
          <w:color w:val="auto"/>
          <w:szCs w:val="21"/>
          <w:highlight w:val="none"/>
        </w:rPr>
        <w:t>对</w:t>
      </w:r>
      <w:r>
        <w:rPr>
          <w:rFonts w:hint="eastAsia" w:ascii="宋体" w:hAnsi="宋体"/>
          <w:color w:val="auto"/>
          <w:szCs w:val="21"/>
          <w:highlight w:val="none"/>
        </w:rPr>
        <w:t>采购文件</w:t>
      </w:r>
      <w:r>
        <w:rPr>
          <w:rFonts w:hint="eastAsia" w:ascii="宋体" w:hAnsi="宋体"/>
          <w:bCs/>
          <w:color w:val="auto"/>
          <w:szCs w:val="21"/>
          <w:highlight w:val="none"/>
        </w:rPr>
        <w:t>做出实质性的响应。</w:t>
      </w:r>
    </w:p>
    <w:p w14:paraId="01CBAA8B">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13.2 </w:t>
      </w:r>
      <w:r>
        <w:rPr>
          <w:rFonts w:hint="eastAsia" w:ascii="宋体" w:hAnsi="宋体"/>
          <w:color w:val="auto"/>
          <w:szCs w:val="21"/>
          <w:highlight w:val="none"/>
        </w:rPr>
        <w:t>投标人提交的投标文件及投标人与采购人或代理机构就有关投标的所有来往函电均使用中文。投标人可以提交其它语言的资料，但应附中文注释，在有差异时以中文为准。</w:t>
      </w:r>
    </w:p>
    <w:p w14:paraId="5841C75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bCs/>
          <w:color w:val="auto"/>
          <w:sz w:val="21"/>
          <w:szCs w:val="21"/>
          <w:highlight w:val="none"/>
        </w:rPr>
        <w:t xml:space="preserve">13.3 </w:t>
      </w:r>
      <w:r>
        <w:rPr>
          <w:rFonts w:hint="eastAsia" w:ascii="宋体" w:hAnsi="宋体"/>
          <w:color w:val="auto"/>
          <w:sz w:val="21"/>
          <w:szCs w:val="21"/>
          <w:highlight w:val="none"/>
        </w:rPr>
        <w:t>计量单位应使用我国法定计量单位，未列明时应默认为我国法定计量单位。</w:t>
      </w:r>
    </w:p>
    <w:p w14:paraId="4AE8FC5C">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13.4 投标文件应采用书面形式，传真、电子邮件形式的投标文件概不接受。</w:t>
      </w:r>
    </w:p>
    <w:p w14:paraId="12BB19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 投标人应按采购文件中提供的投标文件格式填写。</w:t>
      </w:r>
    </w:p>
    <w:p w14:paraId="447A543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14.</w:t>
      </w:r>
      <w:r>
        <w:rPr>
          <w:rFonts w:hint="eastAsia" w:ascii="宋体" w:hAnsi="宋体"/>
          <w:b/>
          <w:color w:val="auto"/>
          <w:szCs w:val="21"/>
          <w:highlight w:val="none"/>
        </w:rPr>
        <w:t>投标文件</w:t>
      </w:r>
      <w:r>
        <w:rPr>
          <w:rFonts w:hint="eastAsia" w:ascii="宋体" w:hAnsi="宋体"/>
          <w:b/>
          <w:bCs/>
          <w:color w:val="auto"/>
          <w:szCs w:val="21"/>
          <w:highlight w:val="none"/>
        </w:rPr>
        <w:t>的组成</w:t>
      </w:r>
    </w:p>
    <w:p w14:paraId="69C1EAA6">
      <w:pPr>
        <w:adjustRightInd w:val="0"/>
        <w:snapToGrid w:val="0"/>
        <w:spacing w:line="360" w:lineRule="auto"/>
        <w:ind w:firstLine="420" w:firstLineChars="200"/>
        <w:jc w:val="left"/>
        <w:rPr>
          <w:rFonts w:ascii="宋体" w:hAnsi="宋体"/>
          <w:color w:val="auto"/>
          <w:szCs w:val="21"/>
          <w:highlight w:val="none"/>
        </w:rPr>
      </w:pPr>
      <w:bookmarkStart w:id="22" w:name="_Toc432242303"/>
      <w:bookmarkStart w:id="23" w:name="_Toc432242402"/>
      <w:bookmarkStart w:id="24" w:name="_Toc427862404"/>
      <w:bookmarkStart w:id="25" w:name="_Toc432175034"/>
      <w:bookmarkStart w:id="26" w:name="_Toc432175154"/>
      <w:bookmarkStart w:id="27" w:name="_Toc420948011"/>
      <w:bookmarkStart w:id="28" w:name="_Toc432175092"/>
      <w:bookmarkStart w:id="29" w:name="_Toc428285922"/>
      <w:r>
        <w:rPr>
          <w:rFonts w:hint="eastAsia" w:ascii="宋体" w:hAnsi="宋体"/>
          <w:color w:val="auto"/>
          <w:szCs w:val="21"/>
          <w:highlight w:val="none"/>
        </w:rPr>
        <w:t>14.1 投标文件包括下列内容：</w:t>
      </w:r>
      <w:bookmarkEnd w:id="22"/>
      <w:bookmarkEnd w:id="23"/>
      <w:bookmarkEnd w:id="24"/>
      <w:bookmarkEnd w:id="25"/>
      <w:bookmarkEnd w:id="26"/>
      <w:bookmarkEnd w:id="27"/>
      <w:bookmarkEnd w:id="28"/>
      <w:bookmarkEnd w:id="29"/>
      <w:r>
        <w:rPr>
          <w:rFonts w:hint="eastAsia" w:ascii="宋体" w:hAnsi="宋体"/>
          <w:color w:val="auto"/>
          <w:szCs w:val="21"/>
          <w:highlight w:val="none"/>
        </w:rPr>
        <w:t xml:space="preserve"> </w:t>
      </w:r>
    </w:p>
    <w:p w14:paraId="502A2CA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（1）资格性自查表</w:t>
      </w:r>
    </w:p>
    <w:p w14:paraId="233A2CEA">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（2）投标函、投标声明</w:t>
      </w:r>
    </w:p>
    <w:p w14:paraId="001D74B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（3）投标保证金</w:t>
      </w:r>
    </w:p>
    <w:p w14:paraId="6CC8E1C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（4）报价一览表、报价明细表及报价说明</w:t>
      </w:r>
    </w:p>
    <w:p w14:paraId="6EB93C59">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（5）投标人的资格审查材料</w:t>
      </w:r>
    </w:p>
    <w:p w14:paraId="7738D224">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（6）项目方案</w:t>
      </w:r>
      <w:r>
        <w:rPr>
          <w:rFonts w:hint="eastAsia" w:ascii="宋体" w:hAnsi="宋体"/>
          <w:bCs/>
          <w:color w:val="auto"/>
          <w:szCs w:val="21"/>
          <w:highlight w:val="none"/>
        </w:rPr>
        <w:tab/>
      </w:r>
    </w:p>
    <w:p w14:paraId="060D2D81">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（7）响应/偏离表</w:t>
      </w:r>
      <w:r>
        <w:rPr>
          <w:rFonts w:hint="eastAsia" w:ascii="宋体" w:hAnsi="宋体"/>
          <w:bCs/>
          <w:color w:val="auto"/>
          <w:szCs w:val="21"/>
          <w:highlight w:val="none"/>
        </w:rPr>
        <w:tab/>
      </w:r>
    </w:p>
    <w:p w14:paraId="001757CD">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（8）投标人认为需要提供的其它资料</w:t>
      </w:r>
      <w:r>
        <w:rPr>
          <w:rFonts w:hint="eastAsia" w:ascii="宋体" w:hAnsi="宋体"/>
          <w:bCs/>
          <w:color w:val="auto"/>
          <w:szCs w:val="21"/>
          <w:highlight w:val="none"/>
        </w:rPr>
        <w:tab/>
      </w:r>
    </w:p>
    <w:p w14:paraId="49B104F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14.2根据《政府采购法》第四十二条的规定，投标人无论中标与否，其投标文件不予退还。</w:t>
      </w:r>
    </w:p>
    <w:p w14:paraId="46617E42">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15.报价</w:t>
      </w:r>
    </w:p>
    <w:p w14:paraId="5507E06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15.1投标人应当根据采购文件要求和采购内容，以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p>
    <w:p w14:paraId="78CF9943">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15.2投标报价是履行合同的最终价格，应包括为完成本项目采购范围内所有服务费的总和，投标人应结合市场状况、工作成本进行自主报价，投标报价应包括为履行本项目所必须所须发生的全部费用和投标人应承担的一切税费，包括完成满足实体检测、节能检测要求的一切费用(含税金)，包括但不限于仪器设备费、检测费、技术工作费、报告文本费、规费及税金等一切费用（包含为达到检测条件所需的其他费用）。各综合单价不因检测数量变化、位置、市场价格波动、政策变化及所有不可预见等因素改变而增减。投标人漏报的单价或每项单价报价中漏报、少报的费用，视为此项费用已包含在已标价分项报价的单价和合价中，中标后不予调整。</w:t>
      </w:r>
    </w:p>
    <w:p w14:paraId="5CEEC64D">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15.3投标人应按第四章“采购需求”要求及第五章“投标文件格式”格式填写。投标人在</w:t>
      </w:r>
      <w:r>
        <w:rPr>
          <w:rFonts w:hint="eastAsia" w:ascii="宋体" w:hAnsi="宋体"/>
          <w:bCs/>
          <w:color w:val="auto"/>
          <w:highlight w:val="none"/>
        </w:rPr>
        <w:t>本章第11.1</w:t>
      </w:r>
      <w:r>
        <w:rPr>
          <w:rFonts w:hint="eastAsia" w:ascii="宋体" w:hAnsi="宋体" w:cs="宋体"/>
          <w:color w:val="auto"/>
          <w:highlight w:val="none"/>
          <w:lang w:val="zh-CN"/>
        </w:rPr>
        <w:t>款</w:t>
      </w:r>
      <w:r>
        <w:rPr>
          <w:rFonts w:hint="eastAsia" w:ascii="宋体" w:hAnsi="宋体"/>
          <w:bCs/>
          <w:color w:val="auto"/>
          <w:highlight w:val="none"/>
        </w:rPr>
        <w:t>规定的</w:t>
      </w:r>
      <w:r>
        <w:rPr>
          <w:rFonts w:hint="eastAsia" w:ascii="宋体" w:hAnsi="宋体" w:cs="宋体"/>
          <w:color w:val="auto"/>
          <w:highlight w:val="none"/>
        </w:rPr>
        <w:t>提交</w:t>
      </w:r>
      <w:r>
        <w:rPr>
          <w:rFonts w:hint="eastAsia" w:ascii="宋体" w:hAnsi="宋体"/>
          <w:color w:val="auto"/>
          <w:highlight w:val="none"/>
        </w:rPr>
        <w:t>投标文件</w:t>
      </w:r>
      <w:r>
        <w:rPr>
          <w:rFonts w:hint="eastAsia" w:ascii="宋体" w:hAnsi="宋体" w:cs="宋体"/>
          <w:color w:val="auto"/>
          <w:highlight w:val="none"/>
        </w:rPr>
        <w:t>截止之日前</w:t>
      </w:r>
      <w:r>
        <w:rPr>
          <w:rFonts w:hint="eastAsia" w:ascii="宋体" w:hAnsi="宋体"/>
          <w:color w:val="auto"/>
          <w:highlight w:val="none"/>
        </w:rPr>
        <w:t>修改报价，应同时修改其按第五章要求填写的相应表格中的报价。此修改须符合本章第21.1款的有关要求。</w:t>
      </w:r>
    </w:p>
    <w:p w14:paraId="34FD26D0">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15.4投标文件中标明的价格在合同执行过程中是固定不变的，不得以任何理由予以变更。以可变动价格提交的报价将被认为是非实质响应而被拒绝。</w:t>
      </w:r>
    </w:p>
    <w:p w14:paraId="2F28845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15.5</w:t>
      </w:r>
      <w:r>
        <w:rPr>
          <w:rFonts w:hint="eastAsia" w:ascii="宋体" w:hAnsi="宋体" w:cs="宋体"/>
          <w:color w:val="auto"/>
          <w:kern w:val="0"/>
          <w:sz w:val="21"/>
          <w:szCs w:val="21"/>
          <w:highlight w:val="none"/>
          <w:lang w:val="zh-CN"/>
        </w:rPr>
        <w:t>投标人</w:t>
      </w:r>
      <w:r>
        <w:rPr>
          <w:rFonts w:hint="eastAsia" w:ascii="宋体" w:hAnsi="宋体"/>
          <w:color w:val="auto"/>
          <w:sz w:val="21"/>
          <w:szCs w:val="21"/>
          <w:highlight w:val="none"/>
        </w:rPr>
        <w:t>的报价不得超过采购项目预算，采购项目预算见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3AC5792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15.6采购人不保证将合同授予最低报价的投标人。</w:t>
      </w:r>
    </w:p>
    <w:p w14:paraId="0800A130">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16.符合采购文件规定的证明文件</w:t>
      </w:r>
    </w:p>
    <w:p w14:paraId="2411055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16.1投标人</w:t>
      </w:r>
      <w:r>
        <w:rPr>
          <w:rFonts w:hint="eastAsia" w:ascii="宋体" w:hAnsi="宋体"/>
          <w:color w:val="auto"/>
          <w:szCs w:val="21"/>
          <w:highlight w:val="none"/>
        </w:rPr>
        <w:t>符合采购文件规定的资格证明文件</w:t>
      </w:r>
    </w:p>
    <w:p w14:paraId="7122F6F8">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16.1.1</w:t>
      </w:r>
      <w:r>
        <w:rPr>
          <w:rFonts w:hint="eastAsia" w:ascii="宋体" w:hAnsi="宋体"/>
          <w:color w:val="auto"/>
          <w:szCs w:val="21"/>
          <w:highlight w:val="none"/>
        </w:rPr>
        <w:t>投标人应提供资格证明材料，以证实其各项条件能满足本章第3.1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6CC4F47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w:t>
      </w:r>
      <w:r>
        <w:rPr>
          <w:rFonts w:hint="eastAsia" w:ascii="宋体" w:hAnsi="宋体" w:cs="宋体"/>
          <w:color w:val="auto"/>
          <w:kern w:val="0"/>
          <w:szCs w:val="21"/>
          <w:highlight w:val="none"/>
          <w:lang w:val="zh-CN"/>
        </w:rPr>
        <w:t>投标人</w:t>
      </w:r>
      <w:r>
        <w:rPr>
          <w:rFonts w:hint="eastAsia" w:ascii="宋体" w:hAnsi="宋体"/>
          <w:color w:val="auto"/>
          <w:szCs w:val="21"/>
          <w:highlight w:val="none"/>
        </w:rPr>
        <w:t>为联合体形式的，则应提交联合体各方资格文件、联合体协议，否则将视为非实质而被拒绝。</w:t>
      </w:r>
    </w:p>
    <w:p w14:paraId="55BC4FC3">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16.1.3</w:t>
      </w:r>
      <w:r>
        <w:rPr>
          <w:rFonts w:hint="eastAsia" w:ascii="宋体" w:hAnsi="宋体"/>
          <w:color w:val="auto"/>
          <w:szCs w:val="21"/>
          <w:highlight w:val="none"/>
        </w:rPr>
        <w:t>至</w:t>
      </w:r>
      <w:r>
        <w:rPr>
          <w:rFonts w:hint="eastAsia" w:ascii="宋体" w:hAnsi="宋体" w:cs="宋体"/>
          <w:color w:val="auto"/>
          <w:kern w:val="0"/>
          <w:szCs w:val="21"/>
          <w:highlight w:val="none"/>
        </w:rPr>
        <w:t>提交首次投标文件</w:t>
      </w:r>
      <w:r>
        <w:rPr>
          <w:rFonts w:hint="eastAsia" w:ascii="宋体" w:hAnsi="宋体"/>
          <w:color w:val="auto"/>
          <w:szCs w:val="21"/>
          <w:highlight w:val="none"/>
        </w:rPr>
        <w:t>止，投标人资格条件发生重大变化，影响或者可能影响资格条件的，投标人应更新或者补充提供的资格证明材料，以证实其各项条件仍能继续满足本章第3.1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28F86719">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16.1.4投标人应当提交符合采购文件规定的业绩证明文件,该证明文件作为投标文件的一部分，业绩证明文件要求详见</w:t>
      </w:r>
      <w:r>
        <w:rPr>
          <w:rFonts w:hint="eastAsia" w:ascii="宋体" w:hAnsi="宋体"/>
          <w:b/>
          <w:color w:val="auto"/>
          <w:szCs w:val="21"/>
          <w:highlight w:val="none"/>
        </w:rPr>
        <w:t>投标须知前附表</w:t>
      </w:r>
      <w:r>
        <w:rPr>
          <w:rFonts w:hint="eastAsia" w:ascii="宋体" w:hAnsi="宋体" w:cs="宋体"/>
          <w:color w:val="auto"/>
          <w:kern w:val="0"/>
          <w:szCs w:val="21"/>
          <w:highlight w:val="none"/>
        </w:rPr>
        <w:t>。</w:t>
      </w:r>
    </w:p>
    <w:p w14:paraId="5C740F03">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16.2投标人对本采购文件中加注星号（“</w:t>
      </w:r>
      <w:r>
        <w:rPr>
          <w:rFonts w:hint="eastAsia" w:ascii="宋体" w:hAnsi="宋体" w:cs="宋体"/>
          <w:b/>
          <w:color w:val="auto"/>
          <w:kern w:val="0"/>
          <w:szCs w:val="21"/>
          <w:highlight w:val="none"/>
        </w:rPr>
        <w:t>★</w:t>
      </w:r>
      <w:r>
        <w:rPr>
          <w:rFonts w:hint="eastAsia" w:ascii="宋体" w:hAnsi="宋体" w:cs="宋体"/>
          <w:color w:val="auto"/>
          <w:kern w:val="0"/>
          <w:szCs w:val="21"/>
          <w:highlight w:val="none"/>
        </w:rPr>
        <w:t>”）的重要技术条款或技术参数应当在投标文件中进行重点全面描述及承诺，并提供相应技术支持资料。技术支持资料以货物制造商公开发布的印刷资料或经国家机关认可的检测机构出具的检测报告为准。</w:t>
      </w:r>
    </w:p>
    <w:p w14:paraId="2F00153B">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17. 投标保证金</w:t>
      </w:r>
    </w:p>
    <w:p w14:paraId="002E9037">
      <w:pPr>
        <w:pStyle w:val="24"/>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17.1</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规定提交投标保证金的，应按</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规定的形式、金额，在本章第11.1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w:t>
      </w:r>
      <w:r>
        <w:rPr>
          <w:rFonts w:hint="eastAsia" w:ascii="宋体" w:hAnsi="宋体"/>
          <w:color w:val="auto"/>
          <w:sz w:val="21"/>
          <w:szCs w:val="21"/>
          <w:highlight w:val="none"/>
        </w:rPr>
        <w:t>前，</w:t>
      </w:r>
      <w:r>
        <w:rPr>
          <w:rFonts w:hint="eastAsia" w:ascii="宋体" w:hAnsi="宋体"/>
          <w:bCs/>
          <w:color w:val="auto"/>
          <w:sz w:val="21"/>
          <w:szCs w:val="21"/>
          <w:highlight w:val="none"/>
        </w:rPr>
        <w:t>提交投标保证金</w:t>
      </w:r>
      <w:r>
        <w:rPr>
          <w:rFonts w:hint="eastAsia" w:ascii="宋体" w:hAnsi="宋体"/>
          <w:color w:val="auto"/>
          <w:sz w:val="21"/>
          <w:szCs w:val="21"/>
          <w:highlight w:val="none"/>
        </w:rPr>
        <w:t>。</w:t>
      </w:r>
      <w:r>
        <w:rPr>
          <w:rFonts w:hint="eastAsia" w:ascii="宋体" w:hAnsi="宋体"/>
          <w:bCs/>
          <w:color w:val="auto"/>
          <w:sz w:val="21"/>
          <w:szCs w:val="21"/>
          <w:highlight w:val="none"/>
        </w:rPr>
        <w:t>投标保证金有效期应当与</w:t>
      </w:r>
      <w:r>
        <w:rPr>
          <w:rFonts w:hint="eastAsia" w:ascii="宋体" w:hAnsi="宋体"/>
          <w:color w:val="auto"/>
          <w:sz w:val="21"/>
          <w:szCs w:val="21"/>
          <w:highlight w:val="none"/>
        </w:rPr>
        <w:t>本章第18.1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规定的投标文件</w:t>
      </w:r>
      <w:r>
        <w:rPr>
          <w:rFonts w:hint="eastAsia" w:ascii="宋体" w:hAnsi="宋体"/>
          <w:bCs/>
          <w:color w:val="auto"/>
          <w:sz w:val="21"/>
          <w:szCs w:val="21"/>
          <w:highlight w:val="none"/>
        </w:rPr>
        <w:t>有效期一致。</w:t>
      </w:r>
    </w:p>
    <w:p w14:paraId="012FF01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17.2</w:t>
      </w:r>
      <w:r>
        <w:rPr>
          <w:rFonts w:hint="eastAsia" w:ascii="宋体" w:hAnsi="宋体" w:cs="宋体"/>
          <w:color w:val="auto"/>
          <w:kern w:val="0"/>
          <w:szCs w:val="21"/>
          <w:highlight w:val="none"/>
          <w:lang w:val="zh-CN"/>
        </w:rPr>
        <w:t>投标人为联合体的，可以由联合体中的一方或者共同交纳投标保证金，其交纳的投标保证金，对联合体各方均具有约束力。</w:t>
      </w:r>
    </w:p>
    <w:p w14:paraId="108BA25D">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17.3 未按采购文件规定提交投标保证金的，</w:t>
      </w:r>
      <w:r>
        <w:rPr>
          <w:rFonts w:hint="eastAsia" w:ascii="宋体" w:hAnsi="宋体"/>
          <w:bCs/>
          <w:color w:val="auto"/>
          <w:sz w:val="21"/>
          <w:szCs w:val="21"/>
          <w:highlight w:val="none"/>
        </w:rPr>
        <w:t>其</w:t>
      </w:r>
      <w:r>
        <w:rPr>
          <w:rFonts w:hint="eastAsia" w:ascii="宋体" w:hAnsi="宋体"/>
          <w:color w:val="auto"/>
          <w:sz w:val="21"/>
          <w:szCs w:val="21"/>
          <w:highlight w:val="none"/>
        </w:rPr>
        <w:t>投标文件</w:t>
      </w:r>
      <w:r>
        <w:rPr>
          <w:rFonts w:hint="eastAsia" w:ascii="宋体" w:hAnsi="宋体"/>
          <w:bCs/>
          <w:color w:val="auto"/>
          <w:sz w:val="21"/>
          <w:szCs w:val="21"/>
          <w:highlight w:val="none"/>
        </w:rPr>
        <w:t>无效</w:t>
      </w:r>
      <w:r>
        <w:rPr>
          <w:rFonts w:hint="eastAsia" w:ascii="宋体" w:hAnsi="宋体"/>
          <w:color w:val="auto"/>
          <w:sz w:val="21"/>
          <w:szCs w:val="21"/>
          <w:highlight w:val="none"/>
        </w:rPr>
        <w:t>。</w:t>
      </w:r>
    </w:p>
    <w:p w14:paraId="3EAD313A">
      <w:pPr>
        <w:pStyle w:val="24"/>
        <w:tabs>
          <w:tab w:val="left" w:pos="6300"/>
        </w:tabs>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17.4代理机构在中标通知书发出后5个工作日内退还未中标投标人的投标保证金；在采购合同签定后5个工作日内退还中标投标人的投标保证金，但因投标人自身原因导致无法及时退还的除外。</w:t>
      </w:r>
    </w:p>
    <w:p w14:paraId="289F7075">
      <w:pPr>
        <w:pStyle w:val="24"/>
        <w:adjustRightInd w:val="0"/>
        <w:snapToGrid w:val="0"/>
        <w:spacing w:line="360" w:lineRule="auto"/>
        <w:ind w:firstLine="420" w:firstLineChars="200"/>
        <w:rPr>
          <w:rFonts w:ascii="宋体" w:hAnsi="宋体"/>
          <w:color w:val="auto"/>
          <w:kern w:val="0"/>
          <w:sz w:val="21"/>
          <w:szCs w:val="21"/>
          <w:highlight w:val="none"/>
        </w:rPr>
      </w:pPr>
      <w:r>
        <w:rPr>
          <w:rFonts w:hint="eastAsia" w:ascii="宋体" w:hAnsi="宋体"/>
          <w:color w:val="auto"/>
          <w:sz w:val="21"/>
          <w:szCs w:val="21"/>
          <w:highlight w:val="none"/>
        </w:rPr>
        <w:t xml:space="preserve">17.5 </w:t>
      </w:r>
      <w:r>
        <w:rPr>
          <w:rFonts w:hint="eastAsia" w:ascii="宋体" w:hAnsi="宋体"/>
          <w:color w:val="auto"/>
          <w:kern w:val="0"/>
          <w:sz w:val="21"/>
          <w:szCs w:val="21"/>
          <w:highlight w:val="none"/>
        </w:rPr>
        <w:t>有下列情形之一的，投标保证金不予退还：</w:t>
      </w:r>
    </w:p>
    <w:p w14:paraId="6E39E8BA">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（1）投标人在提交投标文件截止时间后撤回投标文件的；</w:t>
      </w:r>
    </w:p>
    <w:p w14:paraId="28B420EB">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（2）投标人在投标文件中提供虚假材料的；</w:t>
      </w:r>
    </w:p>
    <w:p w14:paraId="36F5E4D3">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（3）除因不可抗力或采购文件认可的情形以外，中标投标人不与采购人签订合同的；</w:t>
      </w:r>
    </w:p>
    <w:p w14:paraId="25935C91">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（4）投标人与采购人、其他投标人或者采购代理机构恶意串通的；</w:t>
      </w:r>
    </w:p>
    <w:p w14:paraId="4986C43C">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（5）采购文件规定的其他情形。</w:t>
      </w:r>
    </w:p>
    <w:p w14:paraId="64EE233D">
      <w:pPr>
        <w:pStyle w:val="24"/>
        <w:adjustRightInd w:val="0"/>
        <w:snapToGrid w:val="0"/>
        <w:spacing w:line="360" w:lineRule="auto"/>
        <w:ind w:left="-2" w:leftChars="-1"/>
        <w:rPr>
          <w:rFonts w:ascii="宋体" w:hAnsi="宋体"/>
          <w:b/>
          <w:bCs/>
          <w:color w:val="auto"/>
          <w:sz w:val="21"/>
          <w:szCs w:val="21"/>
          <w:highlight w:val="none"/>
        </w:rPr>
      </w:pPr>
      <w:r>
        <w:rPr>
          <w:rFonts w:hint="eastAsia" w:ascii="宋体" w:hAnsi="宋体"/>
          <w:b/>
          <w:bCs/>
          <w:color w:val="auto"/>
          <w:sz w:val="21"/>
          <w:szCs w:val="21"/>
          <w:highlight w:val="none"/>
        </w:rPr>
        <w:t>18.</w:t>
      </w:r>
      <w:r>
        <w:rPr>
          <w:rFonts w:hint="eastAsia" w:ascii="宋体" w:hAnsi="宋体"/>
          <w:color w:val="auto"/>
          <w:sz w:val="21"/>
          <w:szCs w:val="21"/>
          <w:highlight w:val="none"/>
        </w:rPr>
        <w:t xml:space="preserve"> </w:t>
      </w:r>
      <w:r>
        <w:rPr>
          <w:rFonts w:hint="eastAsia" w:ascii="宋体" w:hAnsi="宋体"/>
          <w:b/>
          <w:color w:val="auto"/>
          <w:sz w:val="21"/>
          <w:szCs w:val="21"/>
          <w:highlight w:val="none"/>
        </w:rPr>
        <w:t>投标文件有效期</w:t>
      </w:r>
    </w:p>
    <w:p w14:paraId="01C46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18.1投标文件有效期见</w:t>
      </w:r>
      <w:r>
        <w:rPr>
          <w:rFonts w:hint="eastAsia" w:ascii="宋体" w:hAnsi="宋体"/>
          <w:b/>
          <w:color w:val="auto"/>
          <w:szCs w:val="21"/>
          <w:highlight w:val="none"/>
        </w:rPr>
        <w:t>投标须知前附表</w:t>
      </w:r>
      <w:r>
        <w:rPr>
          <w:rFonts w:hint="eastAsia" w:ascii="宋体" w:hAnsi="宋体"/>
          <w:color w:val="auto"/>
          <w:szCs w:val="21"/>
          <w:highlight w:val="none"/>
        </w:rPr>
        <w:t>，在此期间投标文件对投标人具有法律约束力，</w:t>
      </w:r>
      <w:r>
        <w:rPr>
          <w:rFonts w:hint="eastAsia" w:ascii="宋体" w:hAnsi="宋体" w:cs="Arial"/>
          <w:color w:val="auto"/>
          <w:szCs w:val="21"/>
          <w:highlight w:val="none"/>
        </w:rPr>
        <w:t>从</w:t>
      </w:r>
      <w:r>
        <w:rPr>
          <w:rFonts w:hint="eastAsia" w:ascii="宋体" w:hAnsi="宋体"/>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之日</w:t>
      </w:r>
      <w:r>
        <w:rPr>
          <w:rFonts w:hint="eastAsia" w:ascii="宋体" w:hAnsi="宋体" w:cs="Arial"/>
          <w:color w:val="auto"/>
          <w:szCs w:val="21"/>
          <w:highlight w:val="none"/>
        </w:rPr>
        <w:t>起计算。</w:t>
      </w:r>
      <w:r>
        <w:rPr>
          <w:rFonts w:hint="eastAsia" w:ascii="宋体" w:hAnsi="宋体"/>
          <w:color w:val="auto"/>
          <w:szCs w:val="21"/>
          <w:highlight w:val="none"/>
        </w:rPr>
        <w:t>投标文件有效期不足的将被视为无效文件。</w:t>
      </w:r>
    </w:p>
    <w:p w14:paraId="374397A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19.</w:t>
      </w:r>
      <w:r>
        <w:rPr>
          <w:rFonts w:hint="eastAsia" w:ascii="宋体" w:hAnsi="宋体"/>
          <w:color w:val="auto"/>
          <w:szCs w:val="21"/>
          <w:highlight w:val="none"/>
        </w:rPr>
        <w:t xml:space="preserve"> </w:t>
      </w:r>
      <w:r>
        <w:rPr>
          <w:rFonts w:hint="eastAsia" w:ascii="宋体" w:hAnsi="宋体"/>
          <w:b/>
          <w:bCs/>
          <w:color w:val="auto"/>
          <w:szCs w:val="21"/>
          <w:highlight w:val="none"/>
        </w:rPr>
        <w:t>投标文件的签署及规定</w:t>
      </w:r>
    </w:p>
    <w:p w14:paraId="0CC2163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19.1响应文件须上传政采云平台https://www.zcygov.cn/。</w:t>
      </w:r>
    </w:p>
    <w:p w14:paraId="3AB60D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响应文件应按磋商文件要求签章处盖单位电子章和由法定代表人或其委托代理人签字；否则，将导致响应文件无效。</w:t>
      </w:r>
    </w:p>
    <w:p w14:paraId="140BA3A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19.3 在磋商过程中，投标人按磋商文件规定和磋商小组要求提交的最后报价(或者重新提交的响应文件和最后报价)，投标人须登录政采云平台https://www.zcygov.cn/在线进行最终报价。否则，将导致最终报价无效。</w:t>
      </w:r>
    </w:p>
    <w:p w14:paraId="71C603D7">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四、响应文件的递交</w:t>
      </w:r>
    </w:p>
    <w:p w14:paraId="60A75389">
      <w:pPr>
        <w:adjustRightInd w:val="0"/>
        <w:snapToGrid w:val="0"/>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20. 响应文件的密封和标记</w:t>
      </w:r>
    </w:p>
    <w:p w14:paraId="4DC3A15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20.1响应文件“电子版”应通过政采云投标文件制作工具进行加密，在解密时间内（自开标时间起30分钟内），投标人登录政采云平台https://www.zcygov.cn/在线进行解密。</w:t>
      </w:r>
    </w:p>
    <w:p w14:paraId="55BBD82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20.2响应文件如果未按上述规定加密和解密，将导致代理机构无法接收响应文件。</w:t>
      </w:r>
    </w:p>
    <w:p w14:paraId="63E5D50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21.</w:t>
      </w:r>
      <w:r>
        <w:rPr>
          <w:rFonts w:hint="eastAsia" w:ascii="宋体" w:hAnsi="宋体"/>
          <w:color w:val="auto"/>
          <w:szCs w:val="21"/>
          <w:highlight w:val="none"/>
        </w:rPr>
        <w:t xml:space="preserve"> </w:t>
      </w:r>
      <w:r>
        <w:rPr>
          <w:rFonts w:hint="eastAsia" w:ascii="宋体" w:hAnsi="宋体"/>
          <w:b/>
          <w:bCs/>
          <w:color w:val="auto"/>
          <w:szCs w:val="21"/>
          <w:highlight w:val="none"/>
        </w:rPr>
        <w:t>投标文件的</w:t>
      </w:r>
      <w:r>
        <w:rPr>
          <w:rFonts w:hint="eastAsia" w:ascii="宋体" w:hAnsi="宋体" w:cs="宋体"/>
          <w:b/>
          <w:color w:val="auto"/>
          <w:kern w:val="0"/>
          <w:szCs w:val="21"/>
          <w:highlight w:val="none"/>
          <w:lang w:val="zh-CN"/>
        </w:rPr>
        <w:t>补充、修改或者撤回</w:t>
      </w:r>
    </w:p>
    <w:p w14:paraId="04D8B45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21.1</w:t>
      </w:r>
      <w:r>
        <w:rPr>
          <w:rFonts w:hint="eastAsia" w:ascii="宋体" w:hAnsi="宋体" w:cs="宋体"/>
          <w:color w:val="auto"/>
          <w:kern w:val="0"/>
          <w:sz w:val="21"/>
          <w:szCs w:val="21"/>
          <w:highlight w:val="none"/>
        </w:rPr>
        <w:t>投标人在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截止时间前，可以对所提交的</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进行补充、修改或者撤回，并书面通知采购人、代理机构。</w:t>
      </w:r>
      <w:r>
        <w:rPr>
          <w:rFonts w:hint="eastAsia" w:ascii="宋体" w:hAnsi="宋体"/>
          <w:color w:val="auto"/>
          <w:sz w:val="21"/>
          <w:szCs w:val="21"/>
          <w:highlight w:val="none"/>
        </w:rPr>
        <w:t>该通知应有投标人法定代表人或其委托代理人签字。</w:t>
      </w:r>
    </w:p>
    <w:p w14:paraId="15EBEB2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21.2</w:t>
      </w:r>
      <w:r>
        <w:rPr>
          <w:rFonts w:hint="eastAsia" w:ascii="宋体" w:hAnsi="宋体" w:cs="宋体"/>
          <w:color w:val="auto"/>
          <w:kern w:val="0"/>
          <w:sz w:val="21"/>
          <w:szCs w:val="21"/>
          <w:highlight w:val="none"/>
          <w:lang w:val="zh-CN"/>
        </w:rPr>
        <w:t>补充、修改的内容与投标文件不一致时，以补充、修改的内容为准。</w:t>
      </w:r>
    </w:p>
    <w:p w14:paraId="04DBD81F">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22.</w:t>
      </w:r>
      <w:r>
        <w:rPr>
          <w:rFonts w:hint="eastAsia" w:ascii="宋体" w:hAnsi="宋体"/>
          <w:color w:val="auto"/>
          <w:szCs w:val="21"/>
          <w:highlight w:val="none"/>
        </w:rPr>
        <w:t xml:space="preserve"> </w:t>
      </w:r>
      <w:r>
        <w:rPr>
          <w:rFonts w:hint="eastAsia" w:ascii="宋体" w:hAnsi="宋体"/>
          <w:b/>
          <w:bCs/>
          <w:color w:val="auto"/>
          <w:szCs w:val="21"/>
          <w:highlight w:val="none"/>
        </w:rPr>
        <w:t>投标文件的递交与接收</w:t>
      </w:r>
    </w:p>
    <w:p w14:paraId="5D3751E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投标人应在本章第11.1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前，将投标文件送</w:t>
      </w:r>
      <w:r>
        <w:rPr>
          <w:rFonts w:hint="eastAsia" w:ascii="宋体" w:hAnsi="宋体" w:cs="Arial"/>
          <w:color w:val="auto"/>
          <w:szCs w:val="21"/>
          <w:highlight w:val="none"/>
        </w:rPr>
        <w:t>达</w:t>
      </w:r>
      <w:r>
        <w:rPr>
          <w:rFonts w:hint="eastAsia" w:ascii="宋体" w:hAnsi="宋体"/>
          <w:b/>
          <w:color w:val="auto"/>
          <w:szCs w:val="21"/>
          <w:highlight w:val="none"/>
        </w:rPr>
        <w:t>投标须知前附表</w:t>
      </w:r>
      <w:r>
        <w:rPr>
          <w:rFonts w:hint="eastAsia" w:ascii="宋体" w:hAnsi="宋体"/>
          <w:color w:val="auto"/>
          <w:szCs w:val="21"/>
          <w:highlight w:val="none"/>
        </w:rPr>
        <w:t>中指定的地点。</w:t>
      </w:r>
      <w:r>
        <w:rPr>
          <w:rFonts w:hint="eastAsia" w:ascii="宋体" w:hAnsi="宋体" w:cs="宋体"/>
          <w:color w:val="auto"/>
          <w:kern w:val="0"/>
          <w:szCs w:val="21"/>
          <w:highlight w:val="none"/>
        </w:rPr>
        <w:t>在截止时间后送达的</w:t>
      </w:r>
      <w:r>
        <w:rPr>
          <w:rFonts w:hint="eastAsia" w:ascii="宋体" w:hAnsi="宋体"/>
          <w:color w:val="auto"/>
          <w:szCs w:val="21"/>
          <w:highlight w:val="none"/>
        </w:rPr>
        <w:t>投标文件</w:t>
      </w:r>
      <w:r>
        <w:rPr>
          <w:rFonts w:hint="eastAsia" w:ascii="宋体" w:hAnsi="宋体" w:cs="宋体"/>
          <w:color w:val="auto"/>
          <w:kern w:val="0"/>
          <w:szCs w:val="21"/>
          <w:highlight w:val="none"/>
        </w:rPr>
        <w:t>，采购人、代理机构或者评审小组将拒收。</w:t>
      </w:r>
    </w:p>
    <w:p w14:paraId="6C2E2E2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22.2</w:t>
      </w:r>
      <w:r>
        <w:rPr>
          <w:rFonts w:hint="eastAsia" w:ascii="宋体" w:hAnsi="宋体" w:cs="宋体"/>
          <w:color w:val="auto"/>
          <w:kern w:val="0"/>
          <w:sz w:val="21"/>
          <w:szCs w:val="21"/>
          <w:highlight w:val="none"/>
        </w:rPr>
        <w:t>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截止时间后，</w:t>
      </w:r>
      <w:r>
        <w:rPr>
          <w:rFonts w:hint="eastAsia" w:ascii="宋体" w:hAnsi="宋体"/>
          <w:color w:val="auto"/>
          <w:sz w:val="21"/>
          <w:szCs w:val="21"/>
          <w:highlight w:val="none"/>
        </w:rPr>
        <w:t>由</w:t>
      </w:r>
      <w:r>
        <w:rPr>
          <w:rFonts w:hint="eastAsia" w:ascii="宋体" w:hAnsi="宋体"/>
          <w:bCs/>
          <w:color w:val="auto"/>
          <w:sz w:val="21"/>
          <w:szCs w:val="21"/>
          <w:highlight w:val="none"/>
        </w:rPr>
        <w:t>投标人代表</w:t>
      </w:r>
      <w:r>
        <w:rPr>
          <w:rFonts w:hint="eastAsia" w:ascii="宋体" w:hAnsi="宋体"/>
          <w:color w:val="auto"/>
          <w:sz w:val="21"/>
          <w:szCs w:val="21"/>
          <w:highlight w:val="none"/>
        </w:rPr>
        <w:t>当场查验投标文件的密封状况，采购人或</w:t>
      </w:r>
      <w:r>
        <w:rPr>
          <w:rFonts w:hint="eastAsia" w:ascii="宋体" w:hAnsi="宋体"/>
          <w:bCs/>
          <w:color w:val="auto"/>
          <w:sz w:val="21"/>
          <w:szCs w:val="21"/>
          <w:highlight w:val="none"/>
        </w:rPr>
        <w:t>代理机构</w:t>
      </w:r>
      <w:r>
        <w:rPr>
          <w:rFonts w:hint="eastAsia" w:ascii="宋体" w:hAnsi="宋体"/>
          <w:color w:val="auto"/>
          <w:sz w:val="21"/>
          <w:szCs w:val="21"/>
          <w:highlight w:val="none"/>
        </w:rPr>
        <w:t>当场拆封投标文件。</w:t>
      </w:r>
    </w:p>
    <w:p w14:paraId="42F680BD">
      <w:pPr>
        <w:pStyle w:val="4"/>
        <w:rPr>
          <w:rFonts w:ascii="宋体" w:hAnsi="宋体"/>
          <w:color w:val="auto"/>
          <w:sz w:val="21"/>
          <w:szCs w:val="21"/>
          <w:highlight w:val="none"/>
        </w:rPr>
      </w:pPr>
      <w:bookmarkStart w:id="30" w:name="_Toc420948013"/>
      <w:bookmarkStart w:id="31" w:name="_Toc161933890"/>
      <w:r>
        <w:rPr>
          <w:rFonts w:hint="eastAsia" w:ascii="宋体" w:hAnsi="宋体"/>
          <w:color w:val="auto"/>
          <w:sz w:val="21"/>
          <w:szCs w:val="21"/>
          <w:highlight w:val="none"/>
        </w:rPr>
        <w:t>五、投标文件的评审</w:t>
      </w:r>
      <w:bookmarkEnd w:id="30"/>
      <w:bookmarkEnd w:id="31"/>
    </w:p>
    <w:p w14:paraId="6BBCF82F">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23.</w:t>
      </w:r>
      <w:r>
        <w:rPr>
          <w:rFonts w:hint="eastAsia" w:ascii="宋体" w:hAnsi="宋体"/>
          <w:color w:val="auto"/>
          <w:szCs w:val="21"/>
          <w:highlight w:val="none"/>
        </w:rPr>
        <w:t xml:space="preserve"> </w:t>
      </w:r>
      <w:r>
        <w:rPr>
          <w:rFonts w:hint="eastAsia" w:ascii="宋体" w:hAnsi="宋体"/>
          <w:b/>
          <w:bCs/>
          <w:color w:val="auto"/>
          <w:szCs w:val="21"/>
          <w:highlight w:val="none"/>
        </w:rPr>
        <w:t>开标程序</w:t>
      </w:r>
    </w:p>
    <w:p w14:paraId="1EFE8FA4">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cs="宋体"/>
          <w:color w:val="auto"/>
          <w:kern w:val="0"/>
          <w:szCs w:val="21"/>
          <w:highlight w:val="none"/>
        </w:rPr>
        <w:t>23.1开标程序：初步审查（资格性审查、符合性审查），澄清、磋商、综合评分、推荐候选投标人</w:t>
      </w:r>
      <w:r>
        <w:rPr>
          <w:rFonts w:hint="eastAsia" w:ascii="宋体" w:hAnsi="宋体"/>
          <w:bCs/>
          <w:color w:val="auto"/>
          <w:szCs w:val="21"/>
          <w:highlight w:val="none"/>
        </w:rPr>
        <w:t>。</w:t>
      </w:r>
    </w:p>
    <w:p w14:paraId="47F1C545">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23.2评审小组成员应当按照客观、公正、审慎的原则，根据采购文件规定的评审程序、评审方法和评审标准进行独立评审。</w:t>
      </w:r>
    </w:p>
    <w:p w14:paraId="781A1F2E">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w:t>
      </w:r>
      <w:r>
        <w:rPr>
          <w:rFonts w:hint="eastAsia" w:ascii="宋体" w:hAnsi="宋体" w:cs="宋体"/>
          <w:color w:val="auto"/>
          <w:kern w:val="0"/>
          <w:szCs w:val="21"/>
          <w:highlight w:val="none"/>
        </w:rPr>
        <w:t>评审按</w:t>
      </w:r>
      <w:r>
        <w:rPr>
          <w:rFonts w:hint="eastAsia" w:ascii="宋体" w:hAnsi="宋体"/>
          <w:color w:val="auto"/>
          <w:szCs w:val="21"/>
          <w:highlight w:val="none"/>
        </w:rPr>
        <w:t>本章第28.1</w:t>
      </w:r>
      <w:r>
        <w:rPr>
          <w:rFonts w:hint="eastAsia" w:ascii="宋体" w:hAnsi="宋体" w:cs="宋体"/>
          <w:color w:val="auto"/>
          <w:kern w:val="0"/>
          <w:szCs w:val="21"/>
          <w:highlight w:val="none"/>
          <w:lang w:val="zh-CN"/>
        </w:rPr>
        <w:t>款或者</w:t>
      </w:r>
      <w:r>
        <w:rPr>
          <w:rFonts w:hint="eastAsia" w:ascii="宋体" w:hAnsi="宋体"/>
          <w:color w:val="auto"/>
          <w:szCs w:val="21"/>
          <w:highlight w:val="none"/>
        </w:rPr>
        <w:t>第28.2</w:t>
      </w:r>
      <w:r>
        <w:rPr>
          <w:rFonts w:hint="eastAsia" w:ascii="宋体" w:hAnsi="宋体" w:cs="宋体"/>
          <w:color w:val="auto"/>
          <w:kern w:val="0"/>
          <w:szCs w:val="21"/>
          <w:highlight w:val="none"/>
          <w:lang w:val="zh-CN"/>
        </w:rPr>
        <w:t>款</w:t>
      </w:r>
      <w:r>
        <w:rPr>
          <w:rFonts w:hint="eastAsia" w:ascii="宋体" w:hAnsi="宋体"/>
          <w:color w:val="auto"/>
          <w:szCs w:val="21"/>
          <w:highlight w:val="none"/>
        </w:rPr>
        <w:t>情形</w:t>
      </w:r>
      <w:r>
        <w:rPr>
          <w:rFonts w:hint="eastAsia" w:ascii="宋体" w:hAnsi="宋体"/>
          <w:bCs/>
          <w:color w:val="auto"/>
          <w:szCs w:val="21"/>
          <w:highlight w:val="none"/>
        </w:rPr>
        <w:t>进行。</w:t>
      </w:r>
    </w:p>
    <w:p w14:paraId="3C64357A">
      <w:pPr>
        <w:tabs>
          <w:tab w:val="left" w:pos="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24.初步审查</w:t>
      </w:r>
    </w:p>
    <w:p w14:paraId="74DC426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24.1评审小组对参加投标的单位提交的</w:t>
      </w:r>
      <w:r>
        <w:rPr>
          <w:rFonts w:hint="eastAsia" w:ascii="宋体" w:hAnsi="宋体" w:cs="宋体"/>
          <w:color w:val="auto"/>
          <w:kern w:val="0"/>
          <w:szCs w:val="21"/>
          <w:highlight w:val="none"/>
        </w:rPr>
        <w:t>首次投标文件进行初步审查。</w:t>
      </w:r>
      <w:r>
        <w:rPr>
          <w:rFonts w:hint="eastAsia" w:ascii="宋体" w:hAnsi="宋体"/>
          <w:bCs/>
          <w:color w:val="auto"/>
          <w:szCs w:val="21"/>
          <w:highlight w:val="none"/>
        </w:rPr>
        <w:t>投标文件不符合资格性审查及符合性审查条件的，</w:t>
      </w:r>
      <w:r>
        <w:rPr>
          <w:rFonts w:hint="eastAsia" w:ascii="宋体" w:hAnsi="宋体" w:cs="宋体"/>
          <w:color w:val="auto"/>
          <w:kern w:val="0"/>
          <w:szCs w:val="21"/>
          <w:highlight w:val="none"/>
          <w:lang w:val="zh-CN"/>
        </w:rPr>
        <w:t>其投标文件无效，</w:t>
      </w:r>
      <w:r>
        <w:rPr>
          <w:rFonts w:hint="eastAsia" w:ascii="宋体" w:hAnsi="宋体" w:cs="宋体"/>
          <w:color w:val="auto"/>
          <w:kern w:val="0"/>
          <w:szCs w:val="21"/>
          <w:highlight w:val="none"/>
        </w:rPr>
        <w:t>评审小组应当告知有关</w:t>
      </w:r>
      <w:r>
        <w:rPr>
          <w:rFonts w:hint="eastAsia" w:ascii="宋体" w:hAnsi="宋体"/>
          <w:color w:val="auto"/>
          <w:szCs w:val="21"/>
          <w:highlight w:val="none"/>
        </w:rPr>
        <w:t>磋商单位</w:t>
      </w:r>
      <w:r>
        <w:rPr>
          <w:rFonts w:hint="eastAsia" w:ascii="宋体" w:hAnsi="宋体" w:cs="宋体"/>
          <w:color w:val="auto"/>
          <w:kern w:val="0"/>
          <w:szCs w:val="21"/>
          <w:highlight w:val="none"/>
        </w:rPr>
        <w:t>。</w:t>
      </w:r>
    </w:p>
    <w:p w14:paraId="770FBBBD">
      <w:pPr>
        <w:widowControl/>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25.资格审查</w:t>
      </w:r>
    </w:p>
    <w:p w14:paraId="4C25E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rPr>
        <w:t>25.1</w:t>
      </w:r>
      <w:r>
        <w:rPr>
          <w:rFonts w:hint="eastAsia" w:ascii="宋体" w:hAnsi="宋体"/>
          <w:color w:val="auto"/>
          <w:szCs w:val="21"/>
          <w:highlight w:val="none"/>
        </w:rPr>
        <w:t>资格性检查。依据法律法规和采购文件的规定，对投标文件中的资格证明进行审查，以确定投标人是否具备投标资格。</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490"/>
        <w:gridCol w:w="4352"/>
      </w:tblGrid>
      <w:tr w14:paraId="1D4A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02" w:type="pct"/>
            <w:vAlign w:val="center"/>
          </w:tcPr>
          <w:p w14:paraId="6939F9E9">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046" w:type="pct"/>
            <w:vAlign w:val="center"/>
          </w:tcPr>
          <w:p w14:paraId="5635AD50">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检查因素</w:t>
            </w:r>
          </w:p>
        </w:tc>
        <w:tc>
          <w:tcPr>
            <w:tcW w:w="2551" w:type="pct"/>
            <w:vAlign w:val="center"/>
          </w:tcPr>
          <w:p w14:paraId="695942EE">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检查内容</w:t>
            </w:r>
          </w:p>
        </w:tc>
      </w:tr>
      <w:tr w14:paraId="2114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02" w:type="pct"/>
            <w:vAlign w:val="center"/>
          </w:tcPr>
          <w:p w14:paraId="040D7EEB">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一</w:t>
            </w:r>
          </w:p>
        </w:tc>
        <w:tc>
          <w:tcPr>
            <w:tcW w:w="2046" w:type="pct"/>
            <w:vAlign w:val="center"/>
          </w:tcPr>
          <w:p w14:paraId="3F936DF3">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符合《中华人民共和国政府采购法》第二十二条规定</w:t>
            </w:r>
          </w:p>
          <w:p w14:paraId="6F73DB0B">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（1）具有独立承担民事责任的能力</w:t>
            </w:r>
          </w:p>
          <w:p w14:paraId="4DBFCF4D">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（2）具有良好的商业信誉和健全的财务会计制度</w:t>
            </w:r>
          </w:p>
          <w:p w14:paraId="7E94C497">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4D2838AB">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3D885F94">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tc>
        <w:tc>
          <w:tcPr>
            <w:tcW w:w="2551" w:type="pct"/>
            <w:vAlign w:val="center"/>
          </w:tcPr>
          <w:p w14:paraId="38D58E18">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（一）有效的营业执照或其他有独立承担民事责任能力的证明文件。</w:t>
            </w:r>
          </w:p>
          <w:p w14:paraId="7C0410E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（二）提供2023年</w:t>
            </w:r>
            <w:r>
              <w:rPr>
                <w:rFonts w:hint="eastAsia" w:ascii="宋体" w:hAnsi="宋体"/>
                <w:color w:val="auto"/>
                <w:sz w:val="24"/>
                <w:highlight w:val="none"/>
                <w:lang w:val="en-US" w:eastAsia="zh-CN"/>
              </w:rPr>
              <w:t>或2024年</w:t>
            </w:r>
            <w:r>
              <w:rPr>
                <w:rFonts w:hint="eastAsia" w:ascii="宋体" w:hAnsi="宋体"/>
                <w:color w:val="auto"/>
                <w:sz w:val="24"/>
                <w:highlight w:val="none"/>
              </w:rPr>
              <w:t>经第三方财务审计的审计报告，</w:t>
            </w:r>
            <w:r>
              <w:rPr>
                <w:rFonts w:hint="eastAsia" w:ascii="宋体" w:hAnsi="宋体"/>
                <w:color w:val="auto"/>
                <w:sz w:val="24"/>
                <w:highlight w:val="none"/>
                <w:lang w:eastAsia="zh-CN"/>
              </w:rPr>
              <w:t>（</w:t>
            </w:r>
            <w:r>
              <w:rPr>
                <w:rFonts w:hint="eastAsia" w:ascii="宋体" w:hAnsi="宋体"/>
                <w:color w:val="auto"/>
                <w:sz w:val="24"/>
                <w:highlight w:val="none"/>
              </w:rPr>
              <w:t>审计报告须包括现金流量表、</w:t>
            </w:r>
            <w:r>
              <w:rPr>
                <w:rFonts w:hint="eastAsia" w:ascii="宋体" w:hAnsi="宋体"/>
                <w:color w:val="auto"/>
                <w:sz w:val="24"/>
                <w:highlight w:val="none"/>
                <w:lang w:val="en-US" w:eastAsia="zh-CN"/>
              </w:rPr>
              <w:t>资</w:t>
            </w:r>
            <w:r>
              <w:rPr>
                <w:rFonts w:hint="eastAsia" w:ascii="宋体" w:hAnsi="宋体"/>
                <w:color w:val="auto"/>
                <w:sz w:val="24"/>
                <w:highlight w:val="none"/>
              </w:rPr>
              <w:t>产负债表、利润及利润分配表</w:t>
            </w:r>
            <w:r>
              <w:rPr>
                <w:rFonts w:hint="eastAsia" w:ascii="宋体" w:hAnsi="宋体"/>
                <w:color w:val="auto"/>
                <w:sz w:val="24"/>
                <w:highlight w:val="none"/>
                <w:lang w:val="en-US" w:eastAsia="zh-CN"/>
              </w:rPr>
              <w:t>及财务报告附注</w:t>
            </w:r>
            <w:r>
              <w:rPr>
                <w:rFonts w:hint="eastAsia" w:ascii="宋体" w:hAnsi="宋体"/>
                <w:color w:val="auto"/>
                <w:sz w:val="24"/>
                <w:highlight w:val="none"/>
              </w:rPr>
              <w:t>）</w:t>
            </w:r>
            <w:r>
              <w:rPr>
                <w:rFonts w:hint="eastAsia" w:ascii="宋体" w:hAnsi="宋体"/>
                <w:color w:val="auto"/>
                <w:sz w:val="24"/>
                <w:highlight w:val="none"/>
                <w:lang w:eastAsia="zh-CN"/>
              </w:rPr>
              <w:t>或近一年</w:t>
            </w:r>
            <w:r>
              <w:rPr>
                <w:rFonts w:hint="eastAsia" w:ascii="宋体" w:hAnsi="宋体"/>
                <w:color w:val="auto"/>
                <w:sz w:val="24"/>
                <w:highlight w:val="none"/>
              </w:rPr>
              <w:t>其基本开户银行出具的资信证明。</w:t>
            </w:r>
          </w:p>
          <w:p w14:paraId="0D16869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年成立的公司应提供成立之日至今其基本开户银行出具的资信证明。</w:t>
            </w:r>
          </w:p>
          <w:p w14:paraId="3B03F24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（三）履行合同所必须的设备和专业技术能力的证明材料或声明。</w:t>
            </w:r>
          </w:p>
          <w:p w14:paraId="303040C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（四）社会保障资金：</w:t>
            </w:r>
          </w:p>
          <w:p w14:paraId="42ACDC1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color w:val="auto"/>
                <w:sz w:val="24"/>
                <w:highlight w:val="none"/>
                <w:lang w:val="en-US" w:eastAsia="zh-CN"/>
              </w:rPr>
            </w:pPr>
            <w:r>
              <w:rPr>
                <w:rFonts w:hint="eastAsia" w:ascii="宋体" w:hAnsi="宋体"/>
                <w:color w:val="auto"/>
                <w:sz w:val="24"/>
                <w:highlight w:val="none"/>
              </w:rPr>
              <w:t>（1）提供</w:t>
            </w:r>
            <w:r>
              <w:rPr>
                <w:rFonts w:hint="eastAsia" w:ascii="宋体" w:hAnsi="宋体"/>
                <w:color w:val="auto"/>
                <w:sz w:val="24"/>
                <w:highlight w:val="none"/>
                <w:lang w:eastAsia="zh-CN"/>
              </w:rPr>
              <w:t>开标日</w:t>
            </w:r>
            <w:r>
              <w:rPr>
                <w:rFonts w:hint="eastAsia" w:ascii="宋体" w:hAnsi="宋体"/>
                <w:color w:val="auto"/>
                <w:sz w:val="24"/>
                <w:highlight w:val="none"/>
              </w:rPr>
              <w:t>近六个月</w:t>
            </w:r>
            <w:r>
              <w:rPr>
                <w:rFonts w:hint="eastAsia" w:ascii="宋体" w:hAnsi="宋体"/>
                <w:color w:val="auto"/>
                <w:sz w:val="24"/>
                <w:highlight w:val="none"/>
                <w:lang w:eastAsia="zh-CN"/>
              </w:rPr>
              <w:t>任意一个月</w:t>
            </w:r>
            <w:r>
              <w:rPr>
                <w:rFonts w:hint="eastAsia" w:ascii="宋体" w:hAnsi="宋体"/>
                <w:color w:val="auto"/>
                <w:sz w:val="24"/>
                <w:highlight w:val="none"/>
              </w:rPr>
              <w:t>单位社保缴纳</w:t>
            </w:r>
            <w:r>
              <w:rPr>
                <w:rFonts w:hint="eastAsia" w:ascii="宋体" w:hAnsi="宋体"/>
                <w:color w:val="auto"/>
                <w:sz w:val="24"/>
                <w:highlight w:val="none"/>
                <w:lang w:val="en-US" w:eastAsia="zh-CN"/>
              </w:rPr>
              <w:t>证明</w:t>
            </w:r>
            <w:r>
              <w:rPr>
                <w:rFonts w:hint="eastAsia" w:ascii="宋体" w:hAnsi="宋体"/>
                <w:color w:val="auto"/>
                <w:sz w:val="24"/>
                <w:highlight w:val="none"/>
                <w:lang w:eastAsia="zh-CN"/>
              </w:rPr>
              <w:t>。</w:t>
            </w:r>
            <w:r>
              <w:rPr>
                <w:rFonts w:hint="eastAsia" w:ascii="宋体" w:hAnsi="宋体"/>
                <w:color w:val="auto"/>
                <w:sz w:val="24"/>
                <w:highlight w:val="none"/>
              </w:rPr>
              <w:t>如依法免税或不需要缴纳社会保障资金的,应提供相应文件证明。</w:t>
            </w:r>
            <w:r>
              <w:rPr>
                <w:rFonts w:hint="eastAsia" w:ascii="宋体" w:hAnsi="宋体"/>
                <w:color w:val="auto"/>
                <w:sz w:val="24"/>
                <w:highlight w:val="none"/>
                <w:lang w:val="en-US" w:eastAsia="zh-CN"/>
              </w:rPr>
              <w:t>新成立不足六个月的公司按实际时间提供。</w:t>
            </w:r>
          </w:p>
          <w:p w14:paraId="1925E88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缴纳税收：</w:t>
            </w:r>
          </w:p>
          <w:p w14:paraId="5827E81A">
            <w:pPr>
              <w:keepNext w:val="0"/>
              <w:keepLines w:val="0"/>
              <w:widowControl/>
              <w:suppressLineNumbers w:val="0"/>
              <w:jc w:val="left"/>
              <w:rPr>
                <w:rFonts w:hint="eastAsia" w:ascii="宋体" w:hAnsi="宋体"/>
                <w:color w:val="auto"/>
                <w:sz w:val="24"/>
                <w:highlight w:val="none"/>
              </w:rPr>
            </w:pPr>
            <w:r>
              <w:rPr>
                <w:rFonts w:hint="eastAsia" w:ascii="宋体" w:hAnsi="宋体"/>
                <w:color w:val="auto"/>
                <w:sz w:val="24"/>
                <w:highlight w:val="none"/>
              </w:rPr>
              <w:t>提供</w:t>
            </w:r>
            <w:r>
              <w:rPr>
                <w:rFonts w:hint="eastAsia" w:ascii="宋体" w:hAnsi="宋体"/>
                <w:color w:val="auto"/>
                <w:sz w:val="24"/>
                <w:highlight w:val="none"/>
                <w:lang w:eastAsia="zh-CN"/>
              </w:rPr>
              <w:t>开标日近</w:t>
            </w:r>
            <w:r>
              <w:rPr>
                <w:rFonts w:hint="eastAsia" w:ascii="宋体" w:hAnsi="宋体" w:eastAsia="宋体" w:cs="宋体"/>
                <w:color w:val="auto"/>
                <w:kern w:val="0"/>
                <w:sz w:val="24"/>
                <w:szCs w:val="24"/>
                <w:highlight w:val="none"/>
                <w:lang w:val="en-US" w:eastAsia="zh-CN" w:bidi="ar"/>
              </w:rPr>
              <w:t>六个月内任意一个月投标人税务缴纳有效票据凭证或其他有效证明材料；依法免税的，应提供依法免税的相关证明文件。</w:t>
            </w:r>
            <w:r>
              <w:rPr>
                <w:rFonts w:hint="eastAsia" w:ascii="宋体" w:hAnsi="宋体"/>
                <w:color w:val="auto"/>
                <w:sz w:val="24"/>
                <w:highlight w:val="none"/>
                <w:lang w:val="en-US" w:eastAsia="zh-CN"/>
              </w:rPr>
              <w:t>成立不足六个月的公司按实际时间提供。</w:t>
            </w:r>
          </w:p>
          <w:p w14:paraId="1EF39A85">
            <w:pPr>
              <w:pStyle w:val="2"/>
              <w:keepNext w:val="0"/>
              <w:keepLines w:val="0"/>
              <w:pageBreakBefore w:val="0"/>
              <w:widowControl w:val="0"/>
              <w:kinsoku/>
              <w:wordWrap/>
              <w:overflowPunct/>
              <w:topLinePunct w:val="0"/>
              <w:autoSpaceDE/>
              <w:autoSpaceDN/>
              <w:bidi w:val="0"/>
              <w:adjustRightInd/>
              <w:snapToGrid/>
              <w:spacing w:line="240" w:lineRule="auto"/>
              <w:jc w:val="both"/>
              <w:rPr>
                <w:color w:val="auto"/>
                <w:highlight w:val="none"/>
              </w:rPr>
            </w:pPr>
            <w:r>
              <w:rPr>
                <w:rFonts w:hint="eastAsia" w:ascii="宋体" w:hAnsi="宋体" w:eastAsia="宋体" w:cs="Times New Roman"/>
                <w:b w:val="0"/>
                <w:color w:val="auto"/>
                <w:kern w:val="2"/>
                <w:sz w:val="24"/>
                <w:szCs w:val="24"/>
                <w:highlight w:val="none"/>
                <w:lang w:val="en-US" w:eastAsia="zh-CN" w:bidi="ar-SA"/>
              </w:rPr>
              <w:t>（五）参加政府采购活动前三年内，在经营活动中没有重大违法记录</w:t>
            </w:r>
            <w:r>
              <w:rPr>
                <w:rFonts w:hint="eastAsia" w:ascii="宋体" w:hAnsi="宋体" w:cs="Times New Roman"/>
                <w:b w:val="0"/>
                <w:color w:val="auto"/>
                <w:kern w:val="2"/>
                <w:sz w:val="24"/>
                <w:szCs w:val="24"/>
                <w:highlight w:val="none"/>
                <w:lang w:val="en-US" w:eastAsia="zh-CN" w:bidi="ar-SA"/>
              </w:rPr>
              <w:t>（提供承诺函）</w:t>
            </w:r>
          </w:p>
        </w:tc>
      </w:tr>
      <w:tr w14:paraId="009F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02" w:type="pct"/>
            <w:vAlign w:val="center"/>
          </w:tcPr>
          <w:p w14:paraId="0EFA8AC8">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二</w:t>
            </w:r>
          </w:p>
        </w:tc>
        <w:tc>
          <w:tcPr>
            <w:tcW w:w="2046" w:type="pct"/>
            <w:vAlign w:val="center"/>
          </w:tcPr>
          <w:p w14:paraId="6F3120F0">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信誉情况</w:t>
            </w:r>
          </w:p>
        </w:tc>
        <w:tc>
          <w:tcPr>
            <w:tcW w:w="2551" w:type="pct"/>
            <w:vAlign w:val="center"/>
          </w:tcPr>
          <w:p w14:paraId="164CBCA1">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“信用中国”网站上未被列入（www.creditchina.gov.cn）失信被执行人、政府采购严重违法失信行为记录名单、重大税收违法失信主体网页查询截图；</w:t>
            </w:r>
          </w:p>
          <w:p w14:paraId="7B4D4D7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lang w:eastAsia="zh-CN"/>
              </w:rPr>
            </w:pPr>
            <w:r>
              <w:rPr>
                <w:rFonts w:hint="eastAsia" w:ascii="宋体" w:hAnsi="宋体"/>
                <w:color w:val="auto"/>
                <w:sz w:val="24"/>
                <w:highlight w:val="none"/>
              </w:rPr>
              <w:t>“中国政府采购网（www.ccgp.gov.cn）”上未被列入</w:t>
            </w:r>
            <w:r>
              <w:rPr>
                <w:color w:val="auto"/>
                <w:highlight w:val="none"/>
              </w:rPr>
              <w:fldChar w:fldCharType="begin"/>
            </w:r>
            <w:r>
              <w:rPr>
                <w:color w:val="auto"/>
                <w:highlight w:val="none"/>
              </w:rPr>
              <w:instrText xml:space="preserve"> HYPERLINK "http://www.ccgp.gov.cn/search/cr/" \o "政府采购严重违法失信行为记录名单" </w:instrText>
            </w:r>
            <w:r>
              <w:rPr>
                <w:color w:val="auto"/>
                <w:highlight w:val="none"/>
              </w:rPr>
              <w:fldChar w:fldCharType="separate"/>
            </w:r>
            <w:r>
              <w:rPr>
                <w:rFonts w:hint="eastAsia" w:ascii="宋体" w:hAnsi="宋体"/>
                <w:color w:val="auto"/>
                <w:sz w:val="24"/>
                <w:highlight w:val="none"/>
              </w:rPr>
              <w:t>政府采购严重违法失信行为记录名单</w:t>
            </w:r>
            <w:r>
              <w:rPr>
                <w:rFonts w:hint="eastAsia" w:ascii="宋体" w:hAnsi="宋体"/>
                <w:color w:val="auto"/>
                <w:sz w:val="24"/>
                <w:highlight w:val="none"/>
              </w:rPr>
              <w:fldChar w:fldCharType="end"/>
            </w:r>
            <w:r>
              <w:rPr>
                <w:rFonts w:hint="eastAsia" w:ascii="宋体" w:hAnsi="宋体"/>
                <w:color w:val="auto"/>
                <w:sz w:val="24"/>
                <w:highlight w:val="none"/>
              </w:rPr>
              <w:t>的网页查询截图</w:t>
            </w:r>
            <w:r>
              <w:rPr>
                <w:rFonts w:hint="eastAsia" w:ascii="宋体" w:hAnsi="宋体"/>
                <w:color w:val="auto"/>
                <w:sz w:val="24"/>
                <w:highlight w:val="none"/>
                <w:lang w:eastAsia="zh-CN"/>
              </w:rPr>
              <w:t>。</w:t>
            </w:r>
          </w:p>
          <w:p w14:paraId="7E6186A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lang w:eastAsia="zh-CN"/>
              </w:rPr>
            </w:pPr>
            <w:r>
              <w:rPr>
                <w:rFonts w:hint="eastAsia" w:ascii="宋体" w:hAnsi="宋体"/>
                <w:color w:val="auto"/>
                <w:sz w:val="24"/>
                <w:highlight w:val="none"/>
                <w:lang w:eastAsia="zh-CN"/>
              </w:rPr>
              <w:t>注：供应商可不提供，以代理机构、采购人现场查询为准。</w:t>
            </w:r>
          </w:p>
        </w:tc>
      </w:tr>
      <w:tr w14:paraId="5704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02" w:type="pct"/>
            <w:vAlign w:val="center"/>
          </w:tcPr>
          <w:p w14:paraId="36FD4A88">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三</w:t>
            </w:r>
          </w:p>
        </w:tc>
        <w:tc>
          <w:tcPr>
            <w:tcW w:w="2046" w:type="pct"/>
            <w:vAlign w:val="center"/>
          </w:tcPr>
          <w:p w14:paraId="70E75A34">
            <w:pPr>
              <w:keepNext w:val="0"/>
              <w:keepLines w:val="0"/>
              <w:pageBreakBefore w:val="0"/>
              <w:widowControl w:val="0"/>
              <w:kinsoku/>
              <w:wordWrap/>
              <w:overflowPunct/>
              <w:topLinePunct w:val="0"/>
              <w:autoSpaceDE/>
              <w:autoSpaceDN/>
              <w:bidi w:val="0"/>
              <w:adjustRightInd/>
              <w:snapToGrid/>
              <w:spacing w:line="24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特定资格要求</w:t>
            </w:r>
          </w:p>
        </w:tc>
        <w:tc>
          <w:tcPr>
            <w:tcW w:w="2551" w:type="pct"/>
            <w:vAlign w:val="center"/>
          </w:tcPr>
          <w:p w14:paraId="4F89C212">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具有有效的安全生产许可证</w:t>
            </w:r>
          </w:p>
        </w:tc>
      </w:tr>
    </w:tbl>
    <w:p w14:paraId="6C2392C0">
      <w:pPr>
        <w:pStyle w:val="2"/>
        <w:rPr>
          <w:color w:val="auto"/>
          <w:highlight w:val="none"/>
        </w:rPr>
      </w:pPr>
    </w:p>
    <w:p w14:paraId="77516796">
      <w:pPr>
        <w:pStyle w:val="24"/>
        <w:adjustRightInd w:val="0"/>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26.符合性审查</w:t>
      </w:r>
    </w:p>
    <w:p w14:paraId="7FB20E67">
      <w:pPr>
        <w:pStyle w:val="24"/>
        <w:adjustRightInd w:val="0"/>
        <w:snapToGrid w:val="0"/>
        <w:spacing w:line="360" w:lineRule="auto"/>
        <w:ind w:firstLine="420" w:firstLineChars="200"/>
        <w:rPr>
          <w:rFonts w:ascii="宋体" w:hAnsi="宋体" w:cs="Arial"/>
          <w:color w:val="auto"/>
          <w:kern w:val="0"/>
          <w:sz w:val="21"/>
          <w:szCs w:val="21"/>
          <w:highlight w:val="none"/>
          <w:u w:val="single"/>
        </w:rPr>
      </w:pPr>
      <w:r>
        <w:rPr>
          <w:rFonts w:hint="eastAsia" w:ascii="宋体" w:hAnsi="宋体" w:cs="宋体"/>
          <w:color w:val="auto"/>
          <w:kern w:val="0"/>
          <w:sz w:val="21"/>
          <w:szCs w:val="21"/>
          <w:highlight w:val="none"/>
        </w:rPr>
        <w:t>26.1</w:t>
      </w:r>
      <w:r>
        <w:rPr>
          <w:rFonts w:hint="eastAsia" w:ascii="宋体" w:hAnsi="宋体"/>
          <w:color w:val="auto"/>
          <w:sz w:val="21"/>
          <w:szCs w:val="21"/>
          <w:highlight w:val="none"/>
        </w:rPr>
        <w:t xml:space="preserve">依据采购文件的规定，从投标文件的有效性、完整性和对采购文件的响应程度进行审查，以确定是否对采购文件的实质性要求作出响应 </w:t>
      </w:r>
      <w:r>
        <w:rPr>
          <w:rFonts w:hint="eastAsia" w:ascii="宋体" w:hAnsi="宋体" w:cs="宋体"/>
          <w:color w:val="auto"/>
          <w:kern w:val="0"/>
          <w:sz w:val="21"/>
          <w:szCs w:val="21"/>
          <w:highlight w:val="none"/>
        </w:rPr>
        <w:t>(包括首次</w:t>
      </w:r>
      <w:r>
        <w:rPr>
          <w:rFonts w:hint="eastAsia" w:ascii="宋体" w:hAnsi="宋体"/>
          <w:color w:val="auto"/>
          <w:sz w:val="21"/>
          <w:szCs w:val="21"/>
          <w:highlight w:val="none"/>
        </w:rPr>
        <w:t>提交的</w:t>
      </w:r>
      <w:r>
        <w:rPr>
          <w:rFonts w:hint="eastAsia" w:ascii="宋体" w:hAnsi="宋体" w:cs="宋体"/>
          <w:color w:val="auto"/>
          <w:kern w:val="0"/>
          <w:sz w:val="21"/>
          <w:szCs w:val="21"/>
          <w:highlight w:val="none"/>
        </w:rPr>
        <w:t>投标文件、重新提交的投标文件)。</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7581"/>
      </w:tblGrid>
      <w:tr w14:paraId="1C5E7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555" w:type="pct"/>
            <w:tcBorders>
              <w:top w:val="single" w:color="auto" w:sz="4" w:space="0"/>
              <w:bottom w:val="single" w:color="auto" w:sz="4" w:space="0"/>
              <w:right w:val="single" w:color="auto" w:sz="4" w:space="0"/>
            </w:tcBorders>
            <w:vAlign w:val="center"/>
          </w:tcPr>
          <w:p w14:paraId="24D9B6A8">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4445" w:type="pct"/>
            <w:tcBorders>
              <w:top w:val="single" w:color="auto" w:sz="4" w:space="0"/>
              <w:left w:val="single" w:color="auto" w:sz="4" w:space="0"/>
              <w:bottom w:val="single" w:color="auto" w:sz="4" w:space="0"/>
              <w:right w:val="single" w:color="auto" w:sz="4" w:space="0"/>
            </w:tcBorders>
            <w:vAlign w:val="center"/>
          </w:tcPr>
          <w:p w14:paraId="0822FD8F">
            <w:pPr>
              <w:spacing w:line="360" w:lineRule="exact"/>
              <w:jc w:val="center"/>
              <w:rPr>
                <w:rFonts w:ascii="宋体" w:hAnsi="宋体"/>
                <w:b/>
                <w:color w:val="auto"/>
                <w:szCs w:val="21"/>
                <w:highlight w:val="none"/>
              </w:rPr>
            </w:pPr>
            <w:r>
              <w:rPr>
                <w:rFonts w:ascii="宋体" w:hAnsi="宋体"/>
                <w:b/>
                <w:color w:val="auto"/>
                <w:szCs w:val="21"/>
                <w:highlight w:val="none"/>
              </w:rPr>
              <w:t>评审因素</w:t>
            </w:r>
          </w:p>
        </w:tc>
      </w:tr>
      <w:tr w14:paraId="38E2B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restart"/>
            <w:tcBorders>
              <w:top w:val="single" w:color="auto" w:sz="4" w:space="0"/>
              <w:right w:val="single" w:color="auto" w:sz="4" w:space="0"/>
            </w:tcBorders>
            <w:vAlign w:val="center"/>
          </w:tcPr>
          <w:p w14:paraId="28B13481">
            <w:pPr>
              <w:spacing w:line="360" w:lineRule="exact"/>
              <w:jc w:val="center"/>
              <w:rPr>
                <w:rFonts w:ascii="宋体" w:hAnsi="宋体"/>
                <w:color w:val="auto"/>
                <w:szCs w:val="21"/>
                <w:highlight w:val="none"/>
              </w:rPr>
            </w:pPr>
            <w:r>
              <w:rPr>
                <w:rFonts w:hint="eastAsia" w:ascii="宋体" w:hAnsi="宋体"/>
                <w:color w:val="auto"/>
                <w:szCs w:val="21"/>
                <w:highlight w:val="none"/>
              </w:rPr>
              <w:t>符合性检查</w:t>
            </w:r>
          </w:p>
        </w:tc>
        <w:tc>
          <w:tcPr>
            <w:tcW w:w="4445" w:type="pct"/>
            <w:tcBorders>
              <w:top w:val="single" w:color="auto" w:sz="4" w:space="0"/>
              <w:left w:val="single" w:color="auto" w:sz="4" w:space="0"/>
              <w:bottom w:val="single" w:color="auto" w:sz="4" w:space="0"/>
              <w:right w:val="single" w:color="auto" w:sz="4" w:space="0"/>
            </w:tcBorders>
            <w:vAlign w:val="center"/>
          </w:tcPr>
          <w:p w14:paraId="1791D120">
            <w:pPr>
              <w:spacing w:line="36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投标文件按照采购文件规定的内容、格式填写，字迹清晰可辨</w:t>
            </w:r>
          </w:p>
        </w:tc>
      </w:tr>
      <w:tr w14:paraId="3F88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A50570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tcPr>
          <w:p w14:paraId="16E51E7F">
            <w:pPr>
              <w:spacing w:line="3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投标文件提供法定代表人授权委托书或提供法定代表人身份证明</w:t>
            </w:r>
          </w:p>
        </w:tc>
      </w:tr>
      <w:tr w14:paraId="2A09E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17F669B">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40BC10BE">
            <w:pPr>
              <w:spacing w:line="36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投标文件上法定代表人或其授权代理人的签字、投标人的单位章齐全符合采购文件规定</w:t>
            </w:r>
          </w:p>
        </w:tc>
      </w:tr>
      <w:tr w14:paraId="03E7B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62B7984">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2AAE0A7C">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按规定交纳投标保证金</w:t>
            </w:r>
            <w:r>
              <w:rPr>
                <w:rFonts w:hint="eastAsia" w:ascii="宋体" w:hAnsi="宋体"/>
                <w:color w:val="auto"/>
                <w:szCs w:val="21"/>
                <w:highlight w:val="none"/>
                <w:lang w:val="en-US" w:eastAsia="zh-CN"/>
              </w:rPr>
              <w:t>或投标保证金保函</w:t>
            </w:r>
          </w:p>
        </w:tc>
      </w:tr>
      <w:tr w14:paraId="2D021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C5EBBA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4BAE939">
            <w:pPr>
              <w:spacing w:line="360" w:lineRule="exac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投标文件承诺响应有效期满足采购文件要求</w:t>
            </w:r>
          </w:p>
        </w:tc>
      </w:tr>
      <w:tr w14:paraId="0FB2E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7F9FF63">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09928CC">
            <w:pPr>
              <w:spacing w:line="360" w:lineRule="exac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报价具有唯一性，未超过采购项目预算</w:t>
            </w:r>
          </w:p>
        </w:tc>
      </w:tr>
      <w:tr w14:paraId="53EA0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271F9CCF">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1B5F5B46">
            <w:pPr>
              <w:spacing w:line="360" w:lineRule="exac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投标文件未附有采购人不能接受的条件或不符合采购文件的其他要求</w:t>
            </w:r>
          </w:p>
        </w:tc>
      </w:tr>
      <w:tr w14:paraId="3B26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tcBorders>
              <w:top w:val="single" w:color="auto" w:sz="4" w:space="0"/>
              <w:bottom w:val="single" w:color="auto" w:sz="4" w:space="0"/>
              <w:right w:val="single" w:color="auto" w:sz="4" w:space="0"/>
            </w:tcBorders>
            <w:vAlign w:val="center"/>
          </w:tcPr>
          <w:p w14:paraId="3A561A6F">
            <w:pPr>
              <w:spacing w:line="360" w:lineRule="exact"/>
              <w:jc w:val="center"/>
              <w:rPr>
                <w:rFonts w:ascii="宋体" w:hAnsi="宋体"/>
                <w:b/>
                <w:color w:val="auto"/>
                <w:szCs w:val="21"/>
                <w:highlight w:val="none"/>
              </w:rPr>
            </w:pPr>
            <w:r>
              <w:rPr>
                <w:rFonts w:hint="eastAsia" w:ascii="宋体" w:hAnsi="宋体"/>
                <w:b/>
                <w:color w:val="auto"/>
                <w:szCs w:val="21"/>
                <w:highlight w:val="none"/>
              </w:rPr>
              <w:t>结论</w:t>
            </w:r>
          </w:p>
        </w:tc>
        <w:tc>
          <w:tcPr>
            <w:tcW w:w="4445" w:type="pct"/>
            <w:tcBorders>
              <w:top w:val="single" w:color="auto" w:sz="4" w:space="0"/>
              <w:left w:val="single" w:color="auto" w:sz="4" w:space="0"/>
              <w:bottom w:val="single" w:color="auto" w:sz="4" w:space="0"/>
              <w:right w:val="single" w:color="auto" w:sz="4" w:space="0"/>
            </w:tcBorders>
            <w:vAlign w:val="center"/>
          </w:tcPr>
          <w:p w14:paraId="6B8D24EA">
            <w:pPr>
              <w:spacing w:line="360" w:lineRule="exact"/>
              <w:rPr>
                <w:rFonts w:ascii="宋体" w:hAnsi="宋体"/>
                <w:color w:val="auto"/>
                <w:szCs w:val="21"/>
                <w:highlight w:val="none"/>
              </w:rPr>
            </w:pPr>
            <w:r>
              <w:rPr>
                <w:rFonts w:hint="eastAsia" w:ascii="宋体" w:hAnsi="宋体"/>
                <w:color w:val="auto"/>
                <w:szCs w:val="21"/>
                <w:highlight w:val="none"/>
              </w:rPr>
              <w:t>是否通过审查，进入下一阶段</w:t>
            </w:r>
          </w:p>
        </w:tc>
      </w:tr>
      <w:tr w14:paraId="11307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00" w:type="pct"/>
            <w:gridSpan w:val="2"/>
            <w:tcBorders>
              <w:top w:val="single" w:color="auto" w:sz="4" w:space="0"/>
              <w:right w:val="single" w:color="auto" w:sz="4" w:space="0"/>
            </w:tcBorders>
            <w:vAlign w:val="center"/>
          </w:tcPr>
          <w:p w14:paraId="3A20C53B">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1）“是否通过并进入下一阶段评审”一栏应写“通过”或“不通过”。</w:t>
            </w:r>
          </w:p>
          <w:p w14:paraId="79E1E586">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2）出现一个“×”的结论为“不通过”。表中全部为“√”，同意进入下一阶段评审。</w:t>
            </w:r>
          </w:p>
          <w:p w14:paraId="7CE61141">
            <w:pPr>
              <w:spacing w:line="360" w:lineRule="exact"/>
              <w:rPr>
                <w:rFonts w:ascii="宋体" w:hAnsi="宋体"/>
                <w:color w:val="auto"/>
                <w:szCs w:val="21"/>
                <w:highlight w:val="none"/>
              </w:rPr>
            </w:pPr>
            <w:r>
              <w:rPr>
                <w:rFonts w:hint="eastAsia" w:ascii="宋体" w:hAnsi="宋体"/>
                <w:b/>
                <w:color w:val="auto"/>
                <w:szCs w:val="21"/>
                <w:highlight w:val="none"/>
              </w:rPr>
              <w:t>3）若专家意见不一致时，则按少数服从多数的原则，由专家投票决定该投标人是否通过审查，进入下一阶段评审。</w:t>
            </w:r>
          </w:p>
        </w:tc>
      </w:tr>
    </w:tbl>
    <w:p w14:paraId="2E69A31C">
      <w:pPr>
        <w:tabs>
          <w:tab w:val="left" w:pos="0"/>
          <w:tab w:val="left" w:pos="7560"/>
          <w:tab w:val="left" w:pos="7740"/>
          <w:tab w:val="left" w:pos="7920"/>
        </w:tabs>
        <w:adjustRightInd w:val="0"/>
        <w:snapToGrid w:val="0"/>
        <w:spacing w:line="360" w:lineRule="auto"/>
        <w:ind w:right="23" w:rightChars="11"/>
        <w:rPr>
          <w:rFonts w:ascii="宋体" w:hAnsi="宋体" w:cs="宋体"/>
          <w:b/>
          <w:color w:val="auto"/>
          <w:kern w:val="0"/>
          <w:szCs w:val="21"/>
          <w:highlight w:val="none"/>
        </w:rPr>
      </w:pPr>
      <w:r>
        <w:rPr>
          <w:rFonts w:hint="eastAsia" w:ascii="宋体" w:hAnsi="宋体" w:cs="宋体"/>
          <w:b/>
          <w:color w:val="auto"/>
          <w:kern w:val="0"/>
          <w:szCs w:val="21"/>
          <w:highlight w:val="none"/>
        </w:rPr>
        <w:t>27.澄清</w:t>
      </w:r>
    </w:p>
    <w:p w14:paraId="506E935B">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27.1 评审小组在对投标文件(包括首次投标文件、重新提交的投标文件)的有效性、完整性和对采购文件的响应程度进行审查时，可以要求</w:t>
      </w:r>
      <w:r>
        <w:rPr>
          <w:rFonts w:hint="eastAsia" w:ascii="宋体" w:hAnsi="宋体"/>
          <w:color w:val="auto"/>
          <w:szCs w:val="21"/>
          <w:highlight w:val="none"/>
        </w:rPr>
        <w:t>投标人</w:t>
      </w:r>
      <w:r>
        <w:rPr>
          <w:rFonts w:hint="eastAsia" w:ascii="宋体" w:hAnsi="宋体" w:cs="宋体"/>
          <w:color w:val="auto"/>
          <w:kern w:val="0"/>
          <w:szCs w:val="21"/>
          <w:highlight w:val="none"/>
        </w:rPr>
        <w:t>对投标文件中含义不明确、同类问题表述不一致或者有明显文字和计算错误的内容等作出必要的澄清、说明或者更正。该要求应当以书面形式作出。投标人的澄清、说明或者更正不得超出投标文件的范围或者改变投标文件的实质性内容。</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的澄清、说明或者更正应当采用书面形式，由其法定代表人或其委托代理人签字，</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的澄清、说明或者更正不得超出投标文件的范围或者改变投标文件的实质性内容。</w:t>
      </w:r>
    </w:p>
    <w:p w14:paraId="0590B233">
      <w:pPr>
        <w:widowControl/>
        <w:adjustRightInd w:val="0"/>
        <w:snapToGrid w:val="0"/>
        <w:spacing w:line="360" w:lineRule="auto"/>
        <w:ind w:firstLine="420"/>
        <w:jc w:val="left"/>
        <w:rPr>
          <w:rFonts w:ascii="宋体" w:hAnsi="宋体" w:cs="宋体"/>
          <w:b/>
          <w:color w:val="auto"/>
          <w:kern w:val="0"/>
          <w:szCs w:val="21"/>
          <w:highlight w:val="none"/>
        </w:rPr>
      </w:pPr>
      <w:r>
        <w:rPr>
          <w:rFonts w:hint="eastAsia" w:ascii="宋体" w:hAnsi="宋体" w:cs="宋体"/>
          <w:color w:val="auto"/>
          <w:kern w:val="0"/>
          <w:szCs w:val="21"/>
          <w:highlight w:val="none"/>
        </w:rPr>
        <w:t>27.2 报价计算错误修正的原则：报价</w:t>
      </w:r>
      <w:r>
        <w:rPr>
          <w:rFonts w:hint="eastAsia" w:ascii="宋体" w:hAnsi="宋体" w:cs="Arial"/>
          <w:color w:val="auto"/>
          <w:kern w:val="0"/>
          <w:szCs w:val="21"/>
          <w:highlight w:val="none"/>
        </w:rPr>
        <w:t>的大写金额和小写金额不一致的，以大写金额为准；</w:t>
      </w:r>
      <w:r>
        <w:rPr>
          <w:rFonts w:hint="eastAsia" w:ascii="宋体" w:hAnsi="宋体"/>
          <w:color w:val="auto"/>
          <w:szCs w:val="21"/>
          <w:highlight w:val="none"/>
        </w:rPr>
        <w:t>总价金额与按单价汇总金额不一致的，以单价金额计算结果为准；单价金额小数点有明显错位的，应以总价为准，并修改单价。若投标人拒绝接受上述修正，在评审时将其视为无效响应</w:t>
      </w:r>
      <w:r>
        <w:rPr>
          <w:rFonts w:hint="eastAsia" w:ascii="宋体" w:hAnsi="宋体" w:cs="Arial"/>
          <w:color w:val="auto"/>
          <w:kern w:val="0"/>
          <w:szCs w:val="21"/>
          <w:highlight w:val="none"/>
        </w:rPr>
        <w:t>。</w:t>
      </w:r>
    </w:p>
    <w:p w14:paraId="3CBD1F41">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28.综合评分</w:t>
      </w:r>
    </w:p>
    <w:p w14:paraId="58B0082A">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28.1经确定</w:t>
      </w:r>
      <w:r>
        <w:rPr>
          <w:rFonts w:hint="eastAsia" w:ascii="宋体" w:hAnsi="宋体" w:cs="宋体"/>
          <w:bCs/>
          <w:color w:val="auto"/>
          <w:kern w:val="0"/>
          <w:szCs w:val="21"/>
          <w:highlight w:val="none"/>
        </w:rPr>
        <w:t>最终采购需求和提交最后报价的投标人后，由评审小组采用综合评分法对提交最后报价的投标人的投标文件和最后报价进行综合评分。</w:t>
      </w:r>
    </w:p>
    <w:p w14:paraId="3645DF08">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综合评分法，是指投标文件满足采购文件全部实质性要求且按评审因素的量化指标评审得分最高的投标人为中标候选投标人的评审方法。</w:t>
      </w:r>
    </w:p>
    <w:p w14:paraId="7D26032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28.2评审时，评审小组各成员应当独立对每个有效响应的文件进行评价、打分，然后汇总每个投标人每项评分因素的得分。</w:t>
      </w:r>
    </w:p>
    <w:p w14:paraId="3E523FE5">
      <w:pPr>
        <w:adjustRightInd w:val="0"/>
        <w:snapToGrid w:val="0"/>
        <w:spacing w:line="360" w:lineRule="auto"/>
        <w:ind w:firstLine="422" w:firstLineChars="200"/>
        <w:rPr>
          <w:rFonts w:ascii="宋体" w:hAnsi="宋体" w:cs="宋体"/>
          <w:color w:val="auto"/>
          <w:kern w:val="0"/>
          <w:szCs w:val="21"/>
          <w:highlight w:val="none"/>
        </w:rPr>
      </w:pPr>
      <w:r>
        <w:rPr>
          <w:rFonts w:hint="eastAsia" w:ascii="宋体" w:hAnsi="宋体"/>
          <w:b/>
          <w:color w:val="auto"/>
          <w:kern w:val="0"/>
          <w:szCs w:val="21"/>
          <w:highlight w:val="none"/>
        </w:rPr>
        <w:t>投标人最终得分=最终价格评分A（含E中小企业价格折扣</w:t>
      </w:r>
      <w:r>
        <w:rPr>
          <w:rFonts w:ascii="宋体" w:hAnsi="宋体"/>
          <w:b/>
          <w:color w:val="auto"/>
          <w:kern w:val="0"/>
          <w:szCs w:val="21"/>
          <w:highlight w:val="none"/>
        </w:rPr>
        <w:t>）</w:t>
      </w:r>
      <w:r>
        <w:rPr>
          <w:rFonts w:hint="eastAsia" w:ascii="宋体" w:hAnsi="宋体"/>
          <w:b/>
          <w:color w:val="auto"/>
          <w:kern w:val="0"/>
          <w:szCs w:val="21"/>
          <w:highlight w:val="none"/>
        </w:rPr>
        <w:t>+B+C+D</w:t>
      </w:r>
      <w:r>
        <w:rPr>
          <w:rFonts w:hint="eastAsia" w:ascii="宋体" w:hAnsi="宋体"/>
          <w:color w:val="auto"/>
          <w:kern w:val="0"/>
          <w:szCs w:val="21"/>
          <w:highlight w:val="none"/>
        </w:rPr>
        <w:t>。</w:t>
      </w:r>
    </w:p>
    <w:p w14:paraId="3FE1D37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28.3评分办法：综合评分法</w:t>
      </w:r>
    </w:p>
    <w:p w14:paraId="4D94842A">
      <w:pPr>
        <w:adjustRightInd w:val="0"/>
        <w:snapToGrid w:val="0"/>
        <w:spacing w:line="360" w:lineRule="auto"/>
        <w:ind w:firstLine="420" w:firstLineChars="200"/>
        <w:rPr>
          <w:rFonts w:hint="eastAsia" w:ascii="宋体" w:hAnsi="宋体" w:cs="宋体"/>
          <w:color w:val="auto"/>
          <w:kern w:val="0"/>
          <w:szCs w:val="21"/>
          <w:highlight w:val="none"/>
          <w:lang w:val="en-US" w:eastAsia="zh-CN"/>
        </w:rPr>
      </w:pPr>
    </w:p>
    <w:tbl>
      <w:tblPr>
        <w:tblStyle w:val="47"/>
        <w:tblW w:w="9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918"/>
        <w:gridCol w:w="934"/>
      </w:tblGrid>
      <w:tr w14:paraId="57FA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3" w:type="dxa"/>
            <w:tcBorders>
              <w:top w:val="single" w:color="auto" w:sz="4" w:space="0"/>
              <w:left w:val="single" w:color="auto" w:sz="4" w:space="0"/>
              <w:bottom w:val="single" w:color="auto" w:sz="4" w:space="0"/>
              <w:right w:val="single" w:color="auto" w:sz="4" w:space="0"/>
            </w:tcBorders>
            <w:vAlign w:val="center"/>
          </w:tcPr>
          <w:p w14:paraId="6F625F9E">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6918" w:type="dxa"/>
            <w:tcBorders>
              <w:top w:val="single" w:color="auto" w:sz="4" w:space="0"/>
              <w:left w:val="single" w:color="auto" w:sz="4" w:space="0"/>
              <w:bottom w:val="single" w:color="auto" w:sz="4" w:space="0"/>
              <w:right w:val="single" w:color="auto" w:sz="4" w:space="0"/>
            </w:tcBorders>
            <w:vAlign w:val="center"/>
          </w:tcPr>
          <w:p w14:paraId="02583299">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934" w:type="dxa"/>
            <w:tcBorders>
              <w:top w:val="single" w:color="auto" w:sz="4" w:space="0"/>
              <w:left w:val="single" w:color="auto" w:sz="4" w:space="0"/>
              <w:bottom w:val="single" w:color="auto" w:sz="4" w:space="0"/>
              <w:right w:val="single" w:color="auto" w:sz="4" w:space="0"/>
            </w:tcBorders>
            <w:vAlign w:val="center"/>
          </w:tcPr>
          <w:p w14:paraId="1229F0D3">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61B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1F4D8B9">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A：价格评分10分</w:t>
            </w:r>
          </w:p>
        </w:tc>
      </w:tr>
      <w:tr w14:paraId="759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3" w:type="dxa"/>
            <w:tcBorders>
              <w:top w:val="single" w:color="auto" w:sz="4" w:space="0"/>
              <w:left w:val="single" w:color="auto" w:sz="4" w:space="0"/>
              <w:bottom w:val="single" w:color="auto" w:sz="4" w:space="0"/>
              <w:right w:val="single" w:color="auto" w:sz="4" w:space="0"/>
            </w:tcBorders>
            <w:vAlign w:val="center"/>
          </w:tcPr>
          <w:p w14:paraId="6CD8F497">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6918" w:type="dxa"/>
            <w:tcBorders>
              <w:top w:val="single" w:color="auto" w:sz="4" w:space="0"/>
              <w:left w:val="single" w:color="auto" w:sz="4" w:space="0"/>
              <w:bottom w:val="single" w:color="auto" w:sz="4" w:space="0"/>
              <w:right w:val="single" w:color="auto" w:sz="4" w:space="0"/>
            </w:tcBorders>
            <w:vAlign w:val="center"/>
          </w:tcPr>
          <w:p w14:paraId="61D8F3B3">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基准值的确定：评标基准价=有效投标报价的最低值，</w:t>
            </w:r>
          </w:p>
          <w:p w14:paraId="6E4F24B7">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投标报价得分=（评标基准价/投标报价）×10%×100。有效投标报价为通过初步审查的投标人报价。有效投标报价等于基准值的得满分。</w:t>
            </w:r>
          </w:p>
        </w:tc>
        <w:tc>
          <w:tcPr>
            <w:tcW w:w="934" w:type="dxa"/>
            <w:tcBorders>
              <w:top w:val="single" w:color="auto" w:sz="4" w:space="0"/>
              <w:left w:val="single" w:color="auto" w:sz="4" w:space="0"/>
              <w:bottom w:val="single" w:color="auto" w:sz="4" w:space="0"/>
              <w:right w:val="single" w:color="auto" w:sz="4" w:space="0"/>
            </w:tcBorders>
            <w:vAlign w:val="center"/>
          </w:tcPr>
          <w:p w14:paraId="51396969">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r>
      <w:tr w14:paraId="1D65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3A7ED8B8">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B：技术部分评分</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0分</w:t>
            </w:r>
          </w:p>
        </w:tc>
      </w:tr>
      <w:tr w14:paraId="7B24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tcBorders>
              <w:top w:val="single" w:color="auto" w:sz="4" w:space="0"/>
              <w:left w:val="single" w:color="auto" w:sz="4" w:space="0"/>
              <w:right w:val="single" w:color="auto" w:sz="4" w:space="0"/>
            </w:tcBorders>
            <w:vAlign w:val="center"/>
          </w:tcPr>
          <w:p w14:paraId="33AAB55D">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实施方案</w:t>
            </w:r>
          </w:p>
        </w:tc>
        <w:tc>
          <w:tcPr>
            <w:tcW w:w="6918" w:type="dxa"/>
            <w:tcBorders>
              <w:top w:val="single" w:color="auto" w:sz="4" w:space="0"/>
              <w:left w:val="single" w:color="auto" w:sz="4" w:space="0"/>
              <w:bottom w:val="single" w:color="auto" w:sz="4" w:space="0"/>
              <w:right w:val="single" w:color="auto" w:sz="4" w:space="0"/>
            </w:tcBorders>
            <w:vAlign w:val="center"/>
          </w:tcPr>
          <w:p w14:paraId="75D8C89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提供详细的项目实施方案包括：</w:t>
            </w:r>
            <w:r>
              <w:rPr>
                <w:rFonts w:hint="eastAsia" w:ascii="宋体" w:hAnsi="宋体" w:eastAsia="宋体" w:cs="宋体"/>
                <w:color w:val="auto"/>
                <w:kern w:val="0"/>
                <w:sz w:val="21"/>
                <w:szCs w:val="21"/>
                <w:highlight w:val="none"/>
                <w:lang w:val="en-US" w:eastAsia="zh-CN"/>
              </w:rPr>
              <w:t>①</w:t>
            </w:r>
            <w:r>
              <w:rPr>
                <w:rFonts w:hint="eastAsia" w:ascii="宋体" w:hAnsi="宋体" w:eastAsia="宋体" w:cs="宋体"/>
                <w:color w:val="auto"/>
                <w:kern w:val="0"/>
                <w:sz w:val="21"/>
                <w:szCs w:val="21"/>
                <w:highlight w:val="none"/>
                <w:lang w:eastAsia="zh-CN"/>
              </w:rPr>
              <w:t>项目前期资料收集及物资准备</w:t>
            </w:r>
            <w:r>
              <w:rPr>
                <w:rFonts w:hint="eastAsia" w:ascii="宋体" w:hAnsi="宋体" w:eastAsia="宋体" w:cs="宋体"/>
                <w:color w:val="auto"/>
                <w:kern w:val="0"/>
                <w:sz w:val="21"/>
                <w:szCs w:val="21"/>
                <w:highlight w:val="none"/>
                <w:lang w:val="en-US" w:eastAsia="zh-CN"/>
              </w:rPr>
              <w:t>②钻探施工实施方案；③项目重点难点分析及解决方案；④生态绿色勘查‌;⑤组织架构及专业分工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⑥</w:t>
            </w:r>
            <w:r>
              <w:rPr>
                <w:rFonts w:hint="eastAsia" w:ascii="宋体" w:hAnsi="宋体" w:eastAsia="宋体" w:cs="宋体"/>
                <w:color w:val="auto"/>
                <w:kern w:val="0"/>
                <w:sz w:val="21"/>
                <w:szCs w:val="21"/>
                <w:highlight w:val="none"/>
                <w:lang w:eastAsia="zh-CN"/>
              </w:rPr>
              <w:t>安全管理措施。</w:t>
            </w:r>
          </w:p>
          <w:p w14:paraId="64B4B9C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 xml:space="preserve">提供相关方案的得 </w:t>
            </w: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eastAsia="zh-CN"/>
              </w:rPr>
              <w:t>分，以此为基础，</w:t>
            </w:r>
            <w:r>
              <w:rPr>
                <w:rFonts w:hint="eastAsia" w:ascii="宋体" w:hAnsi="宋体" w:eastAsia="宋体" w:cs="宋体"/>
                <w:color w:val="auto"/>
                <w:kern w:val="0"/>
                <w:sz w:val="21"/>
                <w:szCs w:val="21"/>
                <w:highlight w:val="none"/>
                <w:lang w:val="en-US" w:eastAsia="zh-CN"/>
              </w:rPr>
              <w:t>所提供的</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lang w:val="en-US" w:eastAsia="zh-CN"/>
              </w:rPr>
              <w:t>中</w:t>
            </w:r>
            <w:r>
              <w:rPr>
                <w:rFonts w:hint="eastAsia" w:ascii="宋体" w:hAnsi="宋体" w:eastAsia="宋体" w:cs="宋体"/>
                <w:color w:val="auto"/>
                <w:kern w:val="0"/>
                <w:sz w:val="21"/>
                <w:szCs w:val="21"/>
                <w:highlight w:val="none"/>
                <w:lang w:eastAsia="zh-CN"/>
              </w:rPr>
              <w:t>每有一项</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进行了深化、量化、拓展</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提出经评审专家认可的合理化建议的加 1 分，加至</w:t>
            </w:r>
            <w:r>
              <w:rPr>
                <w:rFonts w:hint="eastAsia" w:ascii="宋体" w:hAnsi="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为止；每缺失一条扣</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分；每有一处描述不清或逻辑混乱有欠缺的扣</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11A64994">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24</w:t>
            </w:r>
          </w:p>
        </w:tc>
      </w:tr>
      <w:tr w14:paraId="4DF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0CCA0AD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进度计划保障措施</w:t>
            </w:r>
          </w:p>
        </w:tc>
        <w:tc>
          <w:tcPr>
            <w:tcW w:w="6918" w:type="dxa"/>
            <w:tcBorders>
              <w:top w:val="single" w:color="auto" w:sz="4" w:space="0"/>
              <w:left w:val="single" w:color="auto" w:sz="4" w:space="0"/>
              <w:bottom w:val="single" w:color="auto" w:sz="4" w:space="0"/>
              <w:right w:val="single" w:color="auto" w:sz="4" w:space="0"/>
            </w:tcBorders>
            <w:vAlign w:val="center"/>
          </w:tcPr>
          <w:p w14:paraId="1A00BCA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提供详细进度计划保障措施</w:t>
            </w:r>
            <w:r>
              <w:rPr>
                <w:rFonts w:hint="eastAsia" w:ascii="宋体" w:hAnsi="宋体" w:eastAsia="宋体" w:cs="宋体"/>
                <w:color w:val="auto"/>
                <w:kern w:val="0"/>
                <w:sz w:val="21"/>
                <w:szCs w:val="21"/>
                <w:highlight w:val="none"/>
                <w:lang w:val="en-US" w:eastAsia="zh-CN"/>
              </w:rPr>
              <w:t>包括:①</w:t>
            </w:r>
            <w:r>
              <w:rPr>
                <w:rFonts w:hint="eastAsia" w:ascii="宋体" w:hAnsi="宋体" w:eastAsia="宋体" w:cs="宋体"/>
                <w:color w:val="auto"/>
                <w:kern w:val="0"/>
                <w:sz w:val="21"/>
                <w:szCs w:val="21"/>
                <w:highlight w:val="none"/>
                <w:lang w:eastAsia="zh-CN"/>
              </w:rPr>
              <w:t>项目实施的</w:t>
            </w:r>
            <w:r>
              <w:rPr>
                <w:rFonts w:hint="eastAsia" w:ascii="宋体" w:hAnsi="宋体" w:eastAsia="宋体" w:cs="宋体"/>
                <w:color w:val="auto"/>
                <w:kern w:val="0"/>
                <w:sz w:val="21"/>
                <w:szCs w:val="21"/>
                <w:highlight w:val="none"/>
                <w:lang w:val="zh-CN" w:eastAsia="zh-CN"/>
              </w:rPr>
              <w:t>任务划分；</w:t>
            </w: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lang w:val="zh-CN" w:eastAsia="zh-CN"/>
              </w:rPr>
              <w:t>关键时间节点把握；</w:t>
            </w:r>
            <w:r>
              <w:rPr>
                <w:rFonts w:hint="eastAsia" w:ascii="宋体" w:hAnsi="宋体" w:eastAsia="宋体" w:cs="宋体"/>
                <w:color w:val="auto"/>
                <w:kern w:val="0"/>
                <w:sz w:val="21"/>
                <w:szCs w:val="21"/>
                <w:highlight w:val="none"/>
                <w:lang w:val="en-US" w:eastAsia="zh-CN"/>
              </w:rPr>
              <w:t>③</w:t>
            </w:r>
            <w:r>
              <w:rPr>
                <w:rFonts w:hint="eastAsia" w:ascii="宋体" w:hAnsi="宋体" w:eastAsia="宋体" w:cs="宋体"/>
                <w:color w:val="auto"/>
                <w:kern w:val="0"/>
                <w:sz w:val="21"/>
                <w:szCs w:val="21"/>
                <w:highlight w:val="none"/>
                <w:lang w:eastAsia="zh-CN"/>
              </w:rPr>
              <w:t>提供进度计划保障措施。</w:t>
            </w:r>
          </w:p>
          <w:p w14:paraId="2918393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 xml:space="preserve">提供相关方案的得 </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分，以此为基础，</w:t>
            </w:r>
            <w:r>
              <w:rPr>
                <w:rFonts w:hint="eastAsia" w:ascii="宋体" w:hAnsi="宋体" w:eastAsia="宋体" w:cs="宋体"/>
                <w:color w:val="auto"/>
                <w:kern w:val="0"/>
                <w:sz w:val="21"/>
                <w:szCs w:val="21"/>
                <w:highlight w:val="none"/>
                <w:lang w:val="en-US" w:eastAsia="zh-CN"/>
              </w:rPr>
              <w:t>所提供的</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lang w:val="en-US" w:eastAsia="zh-CN"/>
              </w:rPr>
              <w:t>中</w:t>
            </w:r>
            <w:r>
              <w:rPr>
                <w:rFonts w:hint="eastAsia" w:ascii="宋体" w:hAnsi="宋体" w:eastAsia="宋体" w:cs="宋体"/>
                <w:color w:val="auto"/>
                <w:kern w:val="0"/>
                <w:sz w:val="21"/>
                <w:szCs w:val="21"/>
                <w:highlight w:val="none"/>
                <w:lang w:eastAsia="zh-CN"/>
              </w:rPr>
              <w:t>每有一项</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进行了深化、量化、拓展</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提出经评审专家认可的合理化建议的加 1 分，加至</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为止；每缺失一条扣</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分；每有一处描述不清或逻辑混乱有欠缺的扣</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012D6485">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r>
      <w:tr w14:paraId="64DB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1B25D8F1">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服务质量控制措施</w:t>
            </w:r>
          </w:p>
        </w:tc>
        <w:tc>
          <w:tcPr>
            <w:tcW w:w="6918" w:type="dxa"/>
            <w:tcBorders>
              <w:top w:val="single" w:color="auto" w:sz="4" w:space="0"/>
              <w:left w:val="single" w:color="auto" w:sz="4" w:space="0"/>
              <w:bottom w:val="single" w:color="auto" w:sz="4" w:space="0"/>
              <w:right w:val="single" w:color="auto" w:sz="4" w:space="0"/>
            </w:tcBorders>
            <w:vAlign w:val="center"/>
          </w:tcPr>
          <w:p w14:paraId="21DDBF2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服务质量控制措施包括但不限于：①质量管理组织机构；②</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eastAsia="zh-CN"/>
              </w:rPr>
              <w:t>人员职责分工；③</w:t>
            </w:r>
            <w:r>
              <w:rPr>
                <w:rFonts w:hint="eastAsia" w:ascii="宋体" w:hAnsi="宋体" w:eastAsia="宋体" w:cs="宋体"/>
                <w:color w:val="auto"/>
                <w:kern w:val="0"/>
                <w:sz w:val="21"/>
                <w:szCs w:val="21"/>
                <w:highlight w:val="none"/>
                <w:lang w:val="en-US" w:eastAsia="zh-CN"/>
              </w:rPr>
              <w:t>钻孔</w:t>
            </w:r>
            <w:r>
              <w:rPr>
                <w:rFonts w:hint="eastAsia" w:ascii="宋体" w:hAnsi="宋体" w:eastAsia="宋体" w:cs="宋体"/>
                <w:color w:val="auto"/>
                <w:kern w:val="0"/>
                <w:sz w:val="21"/>
                <w:szCs w:val="21"/>
                <w:highlight w:val="none"/>
                <w:lang w:eastAsia="zh-CN"/>
              </w:rPr>
              <w:t>质量保证措施；④</w:t>
            </w:r>
            <w:r>
              <w:rPr>
                <w:rFonts w:hint="eastAsia" w:ascii="宋体" w:hAnsi="宋体" w:eastAsia="宋体" w:cs="宋体"/>
                <w:color w:val="auto"/>
                <w:kern w:val="0"/>
                <w:sz w:val="21"/>
                <w:szCs w:val="21"/>
                <w:highlight w:val="none"/>
                <w:lang w:val="en-US" w:eastAsia="zh-CN"/>
              </w:rPr>
              <w:t>环境保护措施（包括但不限于防治大气污染措施、防治施工噪声污染措施、环境保护措施、能源和资源消耗的控制措施、防扰民措施等）</w:t>
            </w:r>
            <w:r>
              <w:rPr>
                <w:rFonts w:hint="eastAsia" w:ascii="宋体" w:hAnsi="宋体" w:eastAsia="宋体" w:cs="宋体"/>
                <w:color w:val="auto"/>
                <w:kern w:val="0"/>
                <w:sz w:val="21"/>
                <w:szCs w:val="21"/>
                <w:highlight w:val="none"/>
                <w:lang w:eastAsia="zh-CN"/>
              </w:rPr>
              <w:t xml:space="preserve">。提供相关方案的得 </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 xml:space="preserve"> 分，以此为基础，</w:t>
            </w:r>
            <w:r>
              <w:rPr>
                <w:rFonts w:hint="eastAsia" w:ascii="宋体" w:hAnsi="宋体" w:eastAsia="宋体" w:cs="宋体"/>
                <w:color w:val="auto"/>
                <w:kern w:val="0"/>
                <w:sz w:val="21"/>
                <w:szCs w:val="21"/>
                <w:highlight w:val="none"/>
                <w:lang w:val="en-US" w:eastAsia="zh-CN"/>
              </w:rPr>
              <w:t>所提供的</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lang w:val="en-US" w:eastAsia="zh-CN"/>
              </w:rPr>
              <w:t>中</w:t>
            </w:r>
            <w:r>
              <w:rPr>
                <w:rFonts w:hint="eastAsia" w:ascii="宋体" w:hAnsi="宋体" w:eastAsia="宋体" w:cs="宋体"/>
                <w:color w:val="auto"/>
                <w:kern w:val="0"/>
                <w:sz w:val="21"/>
                <w:szCs w:val="21"/>
                <w:highlight w:val="none"/>
                <w:lang w:eastAsia="zh-CN"/>
              </w:rPr>
              <w:t>每有一项</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进行了深化、量化、拓展</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提出经评审专家认可的合理化建议的加 1 分，加至</w:t>
            </w:r>
            <w:r>
              <w:rPr>
                <w:rFonts w:hint="eastAsia" w:ascii="宋体" w:hAnsi="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为止；每缺失一条扣</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分；每有一处描述不清或逻辑混乱有欠缺的扣</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78B76EDB">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w:t>
            </w:r>
          </w:p>
        </w:tc>
      </w:tr>
      <w:tr w14:paraId="3787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6EBD510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应急预案</w:t>
            </w:r>
          </w:p>
        </w:tc>
        <w:tc>
          <w:tcPr>
            <w:tcW w:w="6918" w:type="dxa"/>
            <w:tcBorders>
              <w:top w:val="single" w:color="auto" w:sz="4" w:space="0"/>
              <w:left w:val="single" w:color="auto" w:sz="4" w:space="0"/>
              <w:bottom w:val="single" w:color="auto" w:sz="4" w:space="0"/>
              <w:right w:val="single" w:color="auto" w:sz="4" w:space="0"/>
            </w:tcBorders>
            <w:vAlign w:val="center"/>
          </w:tcPr>
          <w:p w14:paraId="32A2A68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应急预案</w:t>
            </w:r>
            <w:r>
              <w:rPr>
                <w:rFonts w:hint="eastAsia" w:ascii="宋体" w:hAnsi="宋体" w:eastAsia="宋体" w:cs="宋体"/>
                <w:color w:val="auto"/>
                <w:kern w:val="0"/>
                <w:sz w:val="21"/>
                <w:szCs w:val="21"/>
                <w:highlight w:val="none"/>
                <w:lang w:eastAsia="zh-CN"/>
              </w:rPr>
              <w:t>包括但不限于</w:t>
            </w:r>
            <w:r>
              <w:rPr>
                <w:rFonts w:hint="eastAsia" w:ascii="宋体" w:hAnsi="宋体" w:eastAsia="宋体" w:cs="宋体"/>
                <w:color w:val="auto"/>
                <w:kern w:val="0"/>
                <w:sz w:val="21"/>
                <w:szCs w:val="21"/>
                <w:highlight w:val="none"/>
                <w:lang w:val="en-US" w:eastAsia="zh-CN"/>
              </w:rPr>
              <w:t>以下</w:t>
            </w:r>
            <w:r>
              <w:rPr>
                <w:rFonts w:hint="eastAsia" w:ascii="宋体" w:hAnsi="宋体" w:eastAsia="宋体" w:cs="宋体"/>
                <w:color w:val="auto"/>
                <w:kern w:val="0"/>
                <w:sz w:val="21"/>
                <w:szCs w:val="21"/>
                <w:highlight w:val="none"/>
                <w:lang w:eastAsia="zh-CN"/>
              </w:rPr>
              <w:t>：①应急组织机构及职责；②重点事故分类及响应措施；③野外紧急事件防范预案及处理；④应急保障措施。</w:t>
            </w:r>
          </w:p>
          <w:p w14:paraId="06789AD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提供相关方案的得 </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 xml:space="preserve"> 分，以此为基础，</w:t>
            </w:r>
            <w:r>
              <w:rPr>
                <w:rFonts w:hint="eastAsia" w:ascii="宋体" w:hAnsi="宋体" w:eastAsia="宋体" w:cs="宋体"/>
                <w:color w:val="auto"/>
                <w:kern w:val="0"/>
                <w:sz w:val="21"/>
                <w:szCs w:val="21"/>
                <w:highlight w:val="none"/>
                <w:lang w:val="en-US" w:eastAsia="zh-CN"/>
              </w:rPr>
              <w:t>所提供的</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lang w:val="en-US" w:eastAsia="zh-CN"/>
              </w:rPr>
              <w:t>中</w:t>
            </w:r>
            <w:r>
              <w:rPr>
                <w:rFonts w:hint="eastAsia" w:ascii="宋体" w:hAnsi="宋体" w:eastAsia="宋体" w:cs="宋体"/>
                <w:color w:val="auto"/>
                <w:kern w:val="0"/>
                <w:sz w:val="21"/>
                <w:szCs w:val="21"/>
                <w:highlight w:val="none"/>
                <w:lang w:eastAsia="zh-CN"/>
              </w:rPr>
              <w:t>每有一项</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eastAsia="zh-CN"/>
              </w:rPr>
              <w:t>进行了深化、量化、拓展</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提出经评审专家认可的合理化建议的加 1 分，加至</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为止；每缺失一条扣</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分；每有一处描述不清或逻辑混乱有欠缺的扣</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4C460B2C">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r>
      <w:tr w14:paraId="4374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050FE12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C：商务部分评分</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r>
      <w:tr w14:paraId="2354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top w:val="single" w:color="auto" w:sz="4" w:space="0"/>
              <w:left w:val="single" w:color="auto" w:sz="4" w:space="0"/>
              <w:bottom w:val="single" w:color="auto" w:sz="4" w:space="0"/>
              <w:right w:val="single" w:color="auto" w:sz="4" w:space="0"/>
            </w:tcBorders>
            <w:vAlign w:val="center"/>
          </w:tcPr>
          <w:p w14:paraId="300203F8">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工作业绩</w:t>
            </w:r>
          </w:p>
        </w:tc>
        <w:tc>
          <w:tcPr>
            <w:tcW w:w="6918" w:type="dxa"/>
            <w:tcBorders>
              <w:top w:val="single" w:color="auto" w:sz="4" w:space="0"/>
              <w:left w:val="single" w:color="auto" w:sz="4" w:space="0"/>
              <w:bottom w:val="single" w:color="auto" w:sz="4" w:space="0"/>
              <w:right w:val="single" w:color="auto" w:sz="4" w:space="0"/>
            </w:tcBorders>
            <w:vAlign w:val="center"/>
          </w:tcPr>
          <w:p w14:paraId="4D283451">
            <w:pPr>
              <w:pStyle w:val="13"/>
              <w:keepNext w:val="0"/>
              <w:keepLines w:val="0"/>
              <w:pageBreakBefore w:val="0"/>
              <w:kinsoku/>
              <w:wordWrap/>
              <w:overflowPunct/>
              <w:topLinePunct w:val="0"/>
              <w:autoSpaceDE/>
              <w:autoSpaceDN/>
              <w:bidi w:val="0"/>
              <w:adjustRightInd/>
              <w:snapToGri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提供2022年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月以来独立承担类似项目经验情况，拥有类似的相关业绩（需提供中标（成交）通知书或合同），每个业绩计</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09E60E6">
            <w:pPr>
              <w:pStyle w:val="13"/>
              <w:keepNext w:val="0"/>
              <w:keepLines w:val="0"/>
              <w:pageBreakBefore w:val="0"/>
              <w:kinsoku/>
              <w:wordWrap/>
              <w:overflowPunct/>
              <w:topLinePunct w:val="0"/>
              <w:autoSpaceDE/>
              <w:autoSpaceDN/>
              <w:bidi w:val="0"/>
              <w:adjustRightInd/>
              <w:snapToGri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以上业绩中每有1项成果优秀加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分，良好</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FD360F7">
            <w:pPr>
              <w:pStyle w:val="13"/>
              <w:keepNext w:val="0"/>
              <w:keepLines w:val="0"/>
              <w:pageBreakBefore w:val="0"/>
              <w:kinsoku/>
              <w:wordWrap/>
              <w:overflowPunct/>
              <w:topLinePunct w:val="0"/>
              <w:autoSpaceDE/>
              <w:autoSpaceDN/>
              <w:bidi w:val="0"/>
              <w:adjustRightInd/>
              <w:snapToGri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注：业绩证明材料为：合同或中标（成交）通知书等相关证明。合同需包含合同首页、标的内容及金额所在页、合同签字盖章页等关键页即可，需加盖公章。</w:t>
            </w:r>
          </w:p>
          <w:p w14:paraId="62342B0D">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未提供业绩证明材料(或证明材料不齐全的或内容模糊不清的)，其业绩不予认定。</w:t>
            </w:r>
          </w:p>
        </w:tc>
        <w:tc>
          <w:tcPr>
            <w:tcW w:w="934" w:type="dxa"/>
            <w:tcBorders>
              <w:top w:val="single" w:color="auto" w:sz="4" w:space="0"/>
              <w:left w:val="single" w:color="auto" w:sz="4" w:space="0"/>
              <w:bottom w:val="single" w:color="auto" w:sz="4" w:space="0"/>
              <w:right w:val="single" w:color="auto" w:sz="4" w:space="0"/>
            </w:tcBorders>
            <w:vAlign w:val="center"/>
          </w:tcPr>
          <w:p w14:paraId="5866E343">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2E67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03" w:type="dxa"/>
            <w:vMerge w:val="restart"/>
            <w:tcBorders>
              <w:top w:val="single" w:color="auto" w:sz="4" w:space="0"/>
              <w:left w:val="single" w:color="auto" w:sz="4" w:space="0"/>
              <w:right w:val="single" w:color="auto" w:sz="4" w:space="0"/>
            </w:tcBorders>
            <w:vAlign w:val="center"/>
          </w:tcPr>
          <w:p w14:paraId="4C6EA27C">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人员团队</w:t>
            </w:r>
          </w:p>
        </w:tc>
        <w:tc>
          <w:tcPr>
            <w:tcW w:w="6918" w:type="dxa"/>
            <w:tcBorders>
              <w:top w:val="single" w:color="auto" w:sz="4" w:space="0"/>
              <w:left w:val="single" w:color="auto" w:sz="4" w:space="0"/>
              <w:bottom w:val="single" w:color="auto" w:sz="4" w:space="0"/>
              <w:right w:val="single" w:color="auto" w:sz="4" w:space="0"/>
            </w:tcBorders>
            <w:vAlign w:val="center"/>
          </w:tcPr>
          <w:p w14:paraId="56E3C1C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w:t>
            </w:r>
          </w:p>
          <w:p w14:paraId="2B27838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项目负责人具备物探或地质专业高级工程师职称得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0DF20CF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每负责1个类似的相关业绩得1分，最多</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6C6125C4">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未提供不得分。</w:t>
            </w:r>
          </w:p>
          <w:p w14:paraId="1E53DD63">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注：需提供能体现项目负责人姓名的中标（成交）通知书或合同等证明材料。</w:t>
            </w:r>
          </w:p>
        </w:tc>
        <w:tc>
          <w:tcPr>
            <w:tcW w:w="934" w:type="dxa"/>
            <w:tcBorders>
              <w:top w:val="single" w:color="auto" w:sz="4" w:space="0"/>
              <w:left w:val="single" w:color="auto" w:sz="4" w:space="0"/>
              <w:bottom w:val="single" w:color="auto" w:sz="4" w:space="0"/>
              <w:right w:val="single" w:color="auto" w:sz="4" w:space="0"/>
            </w:tcBorders>
            <w:vAlign w:val="center"/>
          </w:tcPr>
          <w:p w14:paraId="7569C5C9">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15C6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vMerge w:val="continue"/>
            <w:tcBorders>
              <w:left w:val="single" w:color="auto" w:sz="4" w:space="0"/>
              <w:bottom w:val="single" w:color="auto" w:sz="4" w:space="0"/>
              <w:right w:val="single" w:color="auto" w:sz="4" w:space="0"/>
            </w:tcBorders>
            <w:vAlign w:val="center"/>
          </w:tcPr>
          <w:p w14:paraId="491DD222">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p>
        </w:tc>
        <w:tc>
          <w:tcPr>
            <w:tcW w:w="6918" w:type="dxa"/>
            <w:tcBorders>
              <w:top w:val="single" w:color="auto" w:sz="4" w:space="0"/>
              <w:left w:val="single" w:color="auto" w:sz="4" w:space="0"/>
              <w:bottom w:val="single" w:color="auto" w:sz="4" w:space="0"/>
              <w:right w:val="single" w:color="auto" w:sz="4" w:space="0"/>
            </w:tcBorders>
            <w:vAlign w:val="center"/>
          </w:tcPr>
          <w:p w14:paraId="42D50137">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项目团队：</w:t>
            </w:r>
          </w:p>
          <w:p w14:paraId="64CCED9B">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拟投入的项目团队人员中包括</w:t>
            </w:r>
            <w:bookmarkStart w:id="32" w:name="OLE_LINK31"/>
            <w:bookmarkStart w:id="33" w:name="OLE_LINK32"/>
            <w:r>
              <w:rPr>
                <w:rFonts w:hint="eastAsia" w:ascii="宋体" w:hAnsi="宋体" w:eastAsia="宋体" w:cs="宋体"/>
                <w:color w:val="auto"/>
                <w:kern w:val="0"/>
                <w:sz w:val="21"/>
                <w:szCs w:val="21"/>
                <w:highlight w:val="none"/>
              </w:rPr>
              <w:t>物探或地质</w:t>
            </w:r>
            <w:bookmarkEnd w:id="32"/>
            <w:bookmarkEnd w:id="33"/>
            <w:r>
              <w:rPr>
                <w:rFonts w:hint="eastAsia" w:ascii="宋体" w:hAnsi="宋体" w:eastAsia="宋体" w:cs="宋体"/>
                <w:color w:val="auto"/>
                <w:kern w:val="0"/>
                <w:sz w:val="21"/>
                <w:szCs w:val="21"/>
                <w:highlight w:val="none"/>
              </w:rPr>
              <w:t>相关专业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高级工程师每提供1人得2分，中级工程师每提供1人得1分，助理工程师每提供1人得0.5分，最多提供5人，满分8分</w:t>
            </w:r>
            <w:r>
              <w:rPr>
                <w:rFonts w:hint="eastAsia" w:ascii="宋体" w:hAnsi="宋体" w:eastAsia="宋体" w:cs="宋体"/>
                <w:color w:val="auto"/>
                <w:kern w:val="0"/>
                <w:sz w:val="21"/>
                <w:szCs w:val="21"/>
                <w:highlight w:val="none"/>
              </w:rPr>
              <w:t>，且团队成员（不包含项目负责人）至少有</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人(含））以上参与过类似项目经历，否则不得分。</w:t>
            </w:r>
            <w:r>
              <w:rPr>
                <w:rFonts w:hint="eastAsia" w:ascii="宋体" w:hAnsi="宋体" w:eastAsia="宋体" w:cs="宋体"/>
                <w:color w:val="auto"/>
                <w:kern w:val="0"/>
                <w:sz w:val="21"/>
                <w:szCs w:val="21"/>
                <w:highlight w:val="none"/>
                <w:lang w:val="en-US" w:eastAsia="zh-CN"/>
              </w:rPr>
              <w:t>拟投入人员均</w:t>
            </w:r>
            <w:r>
              <w:rPr>
                <w:rFonts w:hint="eastAsia" w:ascii="宋体" w:hAnsi="宋体" w:eastAsia="宋体" w:cs="宋体"/>
                <w:color w:val="auto"/>
                <w:kern w:val="0"/>
                <w:sz w:val="21"/>
                <w:szCs w:val="21"/>
                <w:highlight w:val="none"/>
              </w:rPr>
              <w:t>需提供近三个月内连续的社保证明。</w:t>
            </w:r>
          </w:p>
          <w:p w14:paraId="671B58E7">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val="en-US" w:eastAsia="zh-CN"/>
              </w:rPr>
              <w:t>参加过的类似项目须</w:t>
            </w:r>
            <w:r>
              <w:rPr>
                <w:rFonts w:hint="eastAsia" w:ascii="宋体" w:hAnsi="宋体" w:eastAsia="宋体" w:cs="宋体"/>
                <w:color w:val="auto"/>
                <w:kern w:val="0"/>
                <w:sz w:val="21"/>
                <w:szCs w:val="21"/>
                <w:highlight w:val="none"/>
              </w:rPr>
              <w:t>提供能体现项目团队人员姓名的证明材料。</w:t>
            </w:r>
          </w:p>
        </w:tc>
        <w:tc>
          <w:tcPr>
            <w:tcW w:w="934" w:type="dxa"/>
            <w:tcBorders>
              <w:top w:val="single" w:color="auto" w:sz="4" w:space="0"/>
              <w:left w:val="single" w:color="auto" w:sz="4" w:space="0"/>
              <w:bottom w:val="single" w:color="auto" w:sz="4" w:space="0"/>
              <w:right w:val="single" w:color="auto" w:sz="4" w:space="0"/>
            </w:tcBorders>
            <w:vAlign w:val="center"/>
          </w:tcPr>
          <w:p w14:paraId="09781B75">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r>
      <w:tr w14:paraId="405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left w:val="single" w:color="auto" w:sz="4" w:space="0"/>
              <w:bottom w:val="single" w:color="auto" w:sz="4" w:space="0"/>
              <w:right w:val="single" w:color="auto" w:sz="4" w:space="0"/>
            </w:tcBorders>
            <w:vAlign w:val="center"/>
          </w:tcPr>
          <w:p w14:paraId="51979127">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设备配置</w:t>
            </w:r>
          </w:p>
        </w:tc>
        <w:tc>
          <w:tcPr>
            <w:tcW w:w="6918" w:type="dxa"/>
            <w:tcBorders>
              <w:top w:val="single" w:color="auto" w:sz="4" w:space="0"/>
              <w:left w:val="single" w:color="auto" w:sz="4" w:space="0"/>
              <w:bottom w:val="single" w:color="auto" w:sz="4" w:space="0"/>
              <w:right w:val="single" w:color="auto" w:sz="4" w:space="0"/>
            </w:tcBorders>
            <w:vAlign w:val="center"/>
          </w:tcPr>
          <w:p w14:paraId="1605C346">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满足本</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要求</w:t>
            </w:r>
            <w:r>
              <w:rPr>
                <w:rFonts w:hint="eastAsia" w:ascii="宋体" w:hAnsi="宋体" w:eastAsia="宋体" w:cs="宋体"/>
                <w:color w:val="auto"/>
                <w:kern w:val="0"/>
                <w:sz w:val="21"/>
                <w:szCs w:val="21"/>
                <w:highlight w:val="none"/>
                <w:lang w:val="en-US" w:eastAsia="zh-CN"/>
              </w:rPr>
              <w:t>的钻探仪器设备，完全满足得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p w14:paraId="2C5E53EC">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注：须提供</w:t>
            </w:r>
            <w:r>
              <w:rPr>
                <w:rFonts w:hint="eastAsia" w:ascii="宋体" w:hAnsi="宋体" w:eastAsia="宋体" w:cs="宋体"/>
                <w:color w:val="auto"/>
                <w:kern w:val="0"/>
                <w:sz w:val="21"/>
                <w:szCs w:val="21"/>
                <w:highlight w:val="none"/>
                <w:lang w:val="en-US" w:eastAsia="zh-CN"/>
              </w:rPr>
              <w:t>购买凭证（如购置发票、合同等）或租赁合同、设备照片、设备清单</w:t>
            </w:r>
            <w:r>
              <w:rPr>
                <w:rFonts w:hint="eastAsia" w:ascii="宋体" w:hAnsi="宋体" w:eastAsia="宋体" w:cs="宋体"/>
                <w:color w:val="auto"/>
                <w:kern w:val="0"/>
                <w:sz w:val="21"/>
                <w:szCs w:val="21"/>
                <w:highlight w:val="none"/>
                <w:lang w:eastAsia="zh-CN"/>
              </w:rPr>
              <w:t>。</w:t>
            </w:r>
          </w:p>
          <w:p w14:paraId="7B6E450A">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不提供设备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软件或提供</w:t>
            </w:r>
            <w:r>
              <w:rPr>
                <w:rFonts w:hint="eastAsia" w:ascii="宋体" w:hAnsi="宋体" w:eastAsia="宋体" w:cs="宋体"/>
                <w:color w:val="auto"/>
                <w:kern w:val="0"/>
                <w:sz w:val="21"/>
                <w:szCs w:val="21"/>
                <w:highlight w:val="none"/>
              </w:rPr>
              <w:t>设备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软件</w:t>
            </w:r>
            <w:r>
              <w:rPr>
                <w:rFonts w:hint="eastAsia" w:ascii="宋体" w:hAnsi="宋体" w:eastAsia="宋体" w:cs="宋体"/>
                <w:color w:val="auto"/>
                <w:kern w:val="0"/>
                <w:sz w:val="21"/>
                <w:szCs w:val="21"/>
                <w:highlight w:val="none"/>
              </w:rPr>
              <w:t>不得当则不得分。</w:t>
            </w:r>
          </w:p>
        </w:tc>
        <w:tc>
          <w:tcPr>
            <w:tcW w:w="934" w:type="dxa"/>
            <w:tcBorders>
              <w:top w:val="single" w:color="auto" w:sz="4" w:space="0"/>
              <w:left w:val="single" w:color="auto" w:sz="4" w:space="0"/>
              <w:bottom w:val="single" w:color="auto" w:sz="4" w:space="0"/>
              <w:right w:val="single" w:color="auto" w:sz="4" w:space="0"/>
            </w:tcBorders>
            <w:vAlign w:val="center"/>
          </w:tcPr>
          <w:p w14:paraId="3004AABB">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4</w:t>
            </w:r>
          </w:p>
        </w:tc>
      </w:tr>
      <w:tr w14:paraId="4D7B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E72540E">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D:</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属于中小企业评审优惠内容及价格扣除幅度</w:t>
            </w:r>
          </w:p>
        </w:tc>
      </w:tr>
      <w:tr w14:paraId="251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76A7A14C">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27AFA9F2">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（一）中小企业（含中型、小型、微型企业）应当同时符合以下条件：</w:t>
            </w:r>
          </w:p>
          <w:p w14:paraId="75C8DD4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①符合中小企业划分标准（按《关于印发中小企业划型标准规定的通知》（工信部联企业〔2011〕300号）执行）；</w:t>
            </w:r>
          </w:p>
          <w:p w14:paraId="7EA2FA08">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②提供本企业制造的货物、承担的项目或者服务，或者提供其他中小企业制造的货物。本项所称货物不包括使用大型企业注册商标的货物；</w:t>
            </w:r>
          </w:p>
          <w:p w14:paraId="2F89953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③小型、微型企业提供中型企业制造的货物的，视同为中型企业。</w:t>
            </w:r>
          </w:p>
          <w:p w14:paraId="226365D2">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监狱企业、残疾人福利性企业视同为小微企业。</w:t>
            </w:r>
          </w:p>
          <w:p w14:paraId="28890D79">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393853D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（三）小型和微型企业适用价格扣除办法时应提供的相关资料：《中小企业声明函》。</w:t>
            </w:r>
          </w:p>
        </w:tc>
      </w:tr>
    </w:tbl>
    <w:p w14:paraId="1FAE8DDF">
      <w:pPr>
        <w:adjustRightInd w:val="0"/>
        <w:snapToGrid w:val="0"/>
        <w:spacing w:line="360" w:lineRule="auto"/>
        <w:rPr>
          <w:rFonts w:hint="default" w:ascii="宋体" w:hAnsi="宋体" w:cs="宋体"/>
          <w:color w:val="auto"/>
          <w:kern w:val="0"/>
          <w:szCs w:val="21"/>
          <w:highlight w:val="none"/>
          <w:lang w:val="en-US" w:eastAsia="zh-CN"/>
        </w:rPr>
      </w:pPr>
    </w:p>
    <w:p w14:paraId="3675A6D4">
      <w:pPr>
        <w:widowControl/>
        <w:adjustRightInd w:val="0"/>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29.提出中标候选人</w:t>
      </w:r>
    </w:p>
    <w:p w14:paraId="3BB4788F">
      <w:pPr>
        <w:widowControl/>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29.1</w:t>
      </w:r>
      <w:r>
        <w:rPr>
          <w:rFonts w:hint="eastAsia" w:ascii="宋体" w:hAnsi="宋体" w:cs="宋体"/>
          <w:color w:val="auto"/>
          <w:kern w:val="0"/>
          <w:szCs w:val="21"/>
          <w:highlight w:val="none"/>
        </w:rPr>
        <w:t>评审小组应当根据综合评分情况，按照评审得分由高到低顺序推荐3名及以上中标候选人，并编写评审报告。评审得分相同的，按照最后评审价格由低到高的顺序推荐。评审得分且最后评审价格相同的，按照技术指标优劣顺序推荐。</w:t>
      </w:r>
    </w:p>
    <w:p w14:paraId="1B8C995A">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30.确定中标单位</w:t>
      </w:r>
    </w:p>
    <w:p w14:paraId="28BDDE7B">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30.1采购代理机构应当在评审结束后2个工作日内将评审报告送采购人确认。</w:t>
      </w:r>
    </w:p>
    <w:p w14:paraId="52D64790">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30.2采购人应当在收到评审报告后5个工作日内，从评审报告提出的中标候选人中，按照排序由高到低的原则确定中标单位，也可以书面授权评审小组直接确定中标单位。</w:t>
      </w:r>
    </w:p>
    <w:p w14:paraId="0666D149">
      <w:pPr>
        <w:pStyle w:val="24"/>
        <w:adjustRightInd w:val="0"/>
        <w:snapToGrid w:val="0"/>
        <w:spacing w:line="360" w:lineRule="auto"/>
        <w:ind w:left="632" w:hanging="632" w:hangingChars="300"/>
        <w:rPr>
          <w:rFonts w:ascii="宋体" w:hAnsi="宋体"/>
          <w:b/>
          <w:color w:val="auto"/>
          <w:sz w:val="21"/>
          <w:szCs w:val="21"/>
          <w:highlight w:val="none"/>
        </w:rPr>
      </w:pPr>
      <w:r>
        <w:rPr>
          <w:rFonts w:hint="eastAsia" w:ascii="宋体" w:hAnsi="宋体"/>
          <w:b/>
          <w:color w:val="auto"/>
          <w:sz w:val="21"/>
          <w:szCs w:val="21"/>
          <w:highlight w:val="none"/>
        </w:rPr>
        <w:t>31.</w:t>
      </w:r>
      <w:r>
        <w:rPr>
          <w:rFonts w:hint="eastAsia" w:ascii="宋体" w:hAnsi="宋体"/>
          <w:color w:val="auto"/>
          <w:sz w:val="21"/>
          <w:szCs w:val="21"/>
          <w:highlight w:val="none"/>
        </w:rPr>
        <w:t xml:space="preserve"> </w:t>
      </w:r>
      <w:r>
        <w:rPr>
          <w:rFonts w:hint="eastAsia" w:ascii="宋体" w:hAnsi="宋体"/>
          <w:b/>
          <w:color w:val="auto"/>
          <w:sz w:val="21"/>
          <w:szCs w:val="21"/>
          <w:highlight w:val="none"/>
        </w:rPr>
        <w:t>终止公开招标采购</w:t>
      </w:r>
    </w:p>
    <w:p w14:paraId="6E006D8C">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31.1</w:t>
      </w:r>
      <w:r>
        <w:rPr>
          <w:rFonts w:hint="eastAsia" w:ascii="宋体" w:hAnsi="宋体" w:cs="宋体"/>
          <w:color w:val="auto"/>
          <w:kern w:val="0"/>
          <w:szCs w:val="21"/>
          <w:highlight w:val="none"/>
        </w:rPr>
        <w:t>出现下列情形之一的，采购人或者采购代理机构应当终止公开招标采购活动，</w:t>
      </w:r>
      <w:r>
        <w:rPr>
          <w:rFonts w:hint="eastAsia" w:ascii="宋体" w:hAnsi="宋体"/>
          <w:color w:val="auto"/>
          <w:szCs w:val="21"/>
          <w:highlight w:val="none"/>
        </w:rPr>
        <w:t>在财政部门指定的媒体上</w:t>
      </w:r>
      <w:r>
        <w:rPr>
          <w:rFonts w:hint="eastAsia" w:ascii="宋体" w:hAnsi="宋体" w:cs="宋体"/>
          <w:color w:val="auto"/>
          <w:kern w:val="0"/>
          <w:szCs w:val="21"/>
          <w:highlight w:val="none"/>
        </w:rPr>
        <w:t xml:space="preserve">发布项目终止公告并说明原因，重新开展采购活动： </w:t>
      </w:r>
    </w:p>
    <w:p w14:paraId="4EEBA331">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（1）因情况变化，不再符合规定的公开招标采购方式适用情形的；</w:t>
      </w:r>
    </w:p>
    <w:p w14:paraId="509941DF">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14:paraId="3DBD29C1">
      <w:pPr>
        <w:widowControl/>
        <w:adjustRightInd w:val="0"/>
        <w:snapToGrid w:val="0"/>
        <w:spacing w:line="360" w:lineRule="auto"/>
        <w:ind w:firstLine="420"/>
        <w:jc w:val="left"/>
        <w:rPr>
          <w:rFonts w:ascii="宋体" w:hAnsi="宋体"/>
          <w:b/>
          <w:bCs/>
          <w:color w:val="auto"/>
          <w:szCs w:val="21"/>
          <w:highlight w:val="none"/>
        </w:rPr>
      </w:pPr>
      <w:r>
        <w:rPr>
          <w:rFonts w:hint="eastAsia" w:ascii="宋体" w:hAnsi="宋体" w:cs="宋体"/>
          <w:color w:val="auto"/>
          <w:kern w:val="0"/>
          <w:szCs w:val="21"/>
          <w:highlight w:val="none"/>
        </w:rPr>
        <w:t>（3）除市场竞争不充分的科研项目，以及需要扶持的科技成果转化项目外，在采购过程中符合竞争要求的投标人或者报价未超过采购预算的投标人不足3家的，或者提交最后报价的投标人少于3家的。</w:t>
      </w:r>
    </w:p>
    <w:p w14:paraId="5B33A027">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32．重新评审</w:t>
      </w:r>
    </w:p>
    <w:p w14:paraId="637E78E7">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32.1除资格性审查认定错误和分值汇总计算错误、分项评分超出评分标准范围、客观分评分不一致、经评审小组一致认定评分畸高、畸低的情形外，采购人或者采购代理机构不以任何理由组织重新评审。采购人、采购代理机构发现评审小组未按照采购文件规定的评定中标的标准进行评审的，应当重新开展采购活动，并同时书面报告本级财政部门。</w:t>
      </w:r>
    </w:p>
    <w:p w14:paraId="1BFE885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33.保密及串通行为</w:t>
      </w:r>
    </w:p>
    <w:p w14:paraId="135E657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33.1评审小组成员以及与评审工作有关的人员不得泄露评审情况以及评审过程中获悉的国家秘密、商业秘密。</w:t>
      </w:r>
    </w:p>
    <w:p w14:paraId="601424E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w:t>
      </w:r>
      <w:r>
        <w:rPr>
          <w:rFonts w:hint="eastAsia" w:ascii="宋体" w:hAnsi="宋体" w:cs="宋体"/>
          <w:color w:val="auto"/>
          <w:kern w:val="0"/>
          <w:szCs w:val="21"/>
          <w:highlight w:val="none"/>
        </w:rPr>
        <w:t>投标人</w:t>
      </w:r>
      <w:r>
        <w:rPr>
          <w:rFonts w:hint="eastAsia" w:ascii="宋体" w:hAnsi="宋体"/>
          <w:color w:val="auto"/>
          <w:szCs w:val="21"/>
          <w:highlight w:val="none"/>
        </w:rPr>
        <w:t>不得与</w:t>
      </w:r>
      <w:r>
        <w:rPr>
          <w:rFonts w:hint="eastAsia" w:ascii="宋体" w:hAnsi="宋体" w:cs="宋体"/>
          <w:color w:val="auto"/>
          <w:kern w:val="0"/>
          <w:szCs w:val="21"/>
          <w:highlight w:val="none"/>
        </w:rPr>
        <w:t>采购人、采购代理机构、其他投标人恶意</w:t>
      </w:r>
      <w:r>
        <w:rPr>
          <w:rFonts w:hint="eastAsia" w:ascii="宋体" w:hAnsi="宋体"/>
          <w:color w:val="auto"/>
          <w:szCs w:val="21"/>
          <w:highlight w:val="none"/>
        </w:rPr>
        <w:t>串通；不得向</w:t>
      </w:r>
      <w:r>
        <w:rPr>
          <w:rFonts w:hint="eastAsia" w:ascii="宋体" w:hAnsi="宋体" w:cs="宋体"/>
          <w:color w:val="auto"/>
          <w:kern w:val="0"/>
          <w:szCs w:val="21"/>
          <w:highlight w:val="none"/>
        </w:rPr>
        <w:t>采购人、采购代理机构</w:t>
      </w:r>
      <w:r>
        <w:rPr>
          <w:rFonts w:hint="eastAsia" w:ascii="宋体" w:hAnsi="宋体"/>
          <w:color w:val="auto"/>
          <w:szCs w:val="21"/>
          <w:highlight w:val="none"/>
        </w:rPr>
        <w:t>或者评审小组成员行贿或者提供其他不正当利益；不得提供虚假材料谋取中标；不得以任何方式干扰、影响采购工作。</w:t>
      </w:r>
    </w:p>
    <w:p w14:paraId="6419055B">
      <w:pPr>
        <w:pStyle w:val="42"/>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s="Arial"/>
          <w:color w:val="auto"/>
          <w:sz w:val="21"/>
          <w:szCs w:val="21"/>
          <w:highlight w:val="none"/>
        </w:rPr>
        <w:t>33.3</w:t>
      </w:r>
      <w:r>
        <w:rPr>
          <w:rFonts w:cs="Arial"/>
          <w:color w:val="auto"/>
          <w:sz w:val="21"/>
          <w:szCs w:val="21"/>
          <w:highlight w:val="none"/>
        </w:rPr>
        <w:t>有下列情形之一的，</w:t>
      </w:r>
      <w:r>
        <w:rPr>
          <w:color w:val="auto"/>
          <w:sz w:val="21"/>
          <w:szCs w:val="21"/>
          <w:highlight w:val="none"/>
          <w:lang w:val="zh-CN"/>
        </w:rPr>
        <w:t>属于恶意串通，</w:t>
      </w:r>
      <w:r>
        <w:rPr>
          <w:rFonts w:hint="eastAsia"/>
          <w:color w:val="auto"/>
          <w:sz w:val="21"/>
          <w:szCs w:val="21"/>
          <w:highlight w:val="none"/>
        </w:rPr>
        <w:t>中标</w:t>
      </w:r>
      <w:r>
        <w:rPr>
          <w:color w:val="auto"/>
          <w:sz w:val="21"/>
          <w:szCs w:val="21"/>
          <w:highlight w:val="none"/>
        </w:rPr>
        <w:t>无效，并</w:t>
      </w:r>
      <w:r>
        <w:rPr>
          <w:color w:val="auto"/>
          <w:sz w:val="21"/>
          <w:szCs w:val="21"/>
          <w:highlight w:val="none"/>
          <w:lang w:val="zh-CN"/>
        </w:rPr>
        <w:t>依照《政府采购法》第七十七条的规定追究法律责任：</w:t>
      </w:r>
    </w:p>
    <w:p w14:paraId="2DCF3D4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投标人</w:t>
      </w:r>
      <w:r>
        <w:rPr>
          <w:rFonts w:hint="eastAsia" w:ascii="宋体" w:hAnsi="宋体"/>
          <w:color w:val="auto"/>
          <w:szCs w:val="21"/>
          <w:highlight w:val="none"/>
        </w:rPr>
        <w:t>直接或者间接从</w:t>
      </w:r>
      <w:r>
        <w:rPr>
          <w:rFonts w:hint="eastAsia" w:ascii="宋体" w:hAnsi="宋体"/>
          <w:bCs/>
          <w:color w:val="auto"/>
          <w:szCs w:val="21"/>
          <w:highlight w:val="none"/>
        </w:rPr>
        <w:t>采购人、采购代理机构</w:t>
      </w:r>
      <w:r>
        <w:rPr>
          <w:rFonts w:hint="eastAsia" w:ascii="宋体" w:hAnsi="宋体"/>
          <w:color w:val="auto"/>
          <w:szCs w:val="21"/>
          <w:highlight w:val="none"/>
        </w:rPr>
        <w:t>获得其他</w:t>
      </w:r>
      <w:r>
        <w:rPr>
          <w:rFonts w:hint="eastAsia" w:ascii="宋体" w:hAnsi="宋体" w:cs="宋体"/>
          <w:color w:val="auto"/>
          <w:kern w:val="0"/>
          <w:szCs w:val="21"/>
          <w:highlight w:val="none"/>
        </w:rPr>
        <w:t>投标人</w:t>
      </w:r>
      <w:r>
        <w:rPr>
          <w:rFonts w:hint="eastAsia" w:ascii="宋体" w:hAnsi="宋体"/>
          <w:color w:val="auto"/>
          <w:szCs w:val="21"/>
          <w:highlight w:val="none"/>
        </w:rPr>
        <w:t>的相应情况，并修改其投标文件的；</w:t>
      </w:r>
    </w:p>
    <w:p w14:paraId="50D450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采购人、采购代理机构</w:t>
      </w:r>
      <w:r>
        <w:rPr>
          <w:rFonts w:hint="eastAsia" w:ascii="宋体" w:hAnsi="宋体"/>
          <w:color w:val="auto"/>
          <w:szCs w:val="21"/>
          <w:highlight w:val="none"/>
        </w:rPr>
        <w:t>授意</w:t>
      </w:r>
      <w:r>
        <w:rPr>
          <w:rFonts w:hint="eastAsia" w:ascii="宋体" w:hAnsi="宋体" w:cs="宋体"/>
          <w:color w:val="auto"/>
          <w:kern w:val="0"/>
          <w:szCs w:val="21"/>
          <w:highlight w:val="none"/>
        </w:rPr>
        <w:t>投标人</w:t>
      </w:r>
      <w:r>
        <w:rPr>
          <w:rFonts w:hint="eastAsia" w:ascii="宋体" w:hAnsi="宋体"/>
          <w:color w:val="auto"/>
          <w:szCs w:val="21"/>
          <w:highlight w:val="none"/>
        </w:rPr>
        <w:t>撤换、修改投标文件的；</w:t>
      </w:r>
    </w:p>
    <w:p w14:paraId="0E5A7C1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投标人</w:t>
      </w:r>
      <w:r>
        <w:rPr>
          <w:rFonts w:hint="eastAsia" w:ascii="宋体" w:hAnsi="宋体"/>
          <w:color w:val="auto"/>
          <w:szCs w:val="21"/>
          <w:highlight w:val="none"/>
        </w:rPr>
        <w:t>之间协商技术方案、合同条款以及报价等投标文件实质性内容的；</w:t>
      </w:r>
    </w:p>
    <w:p w14:paraId="0E5FDD9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（4）属于同一集团、协会、商会等组织成员的</w:t>
      </w:r>
      <w:r>
        <w:rPr>
          <w:rFonts w:hint="eastAsia" w:ascii="宋体" w:hAnsi="宋体" w:cs="宋体"/>
          <w:color w:val="auto"/>
          <w:kern w:val="0"/>
          <w:szCs w:val="21"/>
          <w:highlight w:val="none"/>
        </w:rPr>
        <w:t>投标人</w:t>
      </w:r>
      <w:r>
        <w:rPr>
          <w:rFonts w:hint="eastAsia" w:ascii="宋体" w:hAnsi="宋体"/>
          <w:color w:val="auto"/>
          <w:szCs w:val="21"/>
          <w:highlight w:val="none"/>
        </w:rPr>
        <w:t>按照该组织要求协同参加公开招标政府采购活动的；</w:t>
      </w:r>
    </w:p>
    <w:p w14:paraId="214AAB3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kern w:val="0"/>
          <w:szCs w:val="21"/>
          <w:highlight w:val="none"/>
        </w:rPr>
        <w:t>投标人</w:t>
      </w:r>
      <w:r>
        <w:rPr>
          <w:rFonts w:hint="eastAsia" w:ascii="宋体" w:hAnsi="宋体"/>
          <w:color w:val="auto"/>
          <w:szCs w:val="21"/>
          <w:highlight w:val="none"/>
        </w:rPr>
        <w:t>之间事先约定由某一特定</w:t>
      </w:r>
      <w:r>
        <w:rPr>
          <w:rFonts w:hint="eastAsia" w:ascii="宋体" w:hAnsi="宋体" w:cs="宋体"/>
          <w:color w:val="auto"/>
          <w:kern w:val="0"/>
          <w:szCs w:val="21"/>
          <w:highlight w:val="none"/>
        </w:rPr>
        <w:t>投标人</w:t>
      </w:r>
      <w:r>
        <w:rPr>
          <w:rFonts w:hint="eastAsia" w:ascii="宋体" w:hAnsi="宋体"/>
          <w:color w:val="auto"/>
          <w:szCs w:val="21"/>
          <w:highlight w:val="none"/>
        </w:rPr>
        <w:t>中标的；</w:t>
      </w:r>
    </w:p>
    <w:p w14:paraId="58EC054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投标人</w:t>
      </w:r>
      <w:r>
        <w:rPr>
          <w:rFonts w:hint="eastAsia" w:ascii="宋体" w:hAnsi="宋体"/>
          <w:color w:val="auto"/>
          <w:szCs w:val="21"/>
          <w:highlight w:val="none"/>
        </w:rPr>
        <w:t>之间商定部分</w:t>
      </w:r>
      <w:r>
        <w:rPr>
          <w:rFonts w:hint="eastAsia" w:ascii="宋体" w:hAnsi="宋体" w:cs="宋体"/>
          <w:color w:val="auto"/>
          <w:kern w:val="0"/>
          <w:szCs w:val="21"/>
          <w:highlight w:val="none"/>
        </w:rPr>
        <w:t>投标人</w:t>
      </w:r>
      <w:r>
        <w:rPr>
          <w:rFonts w:hint="eastAsia" w:ascii="宋体" w:hAnsi="宋体"/>
          <w:color w:val="auto"/>
          <w:szCs w:val="21"/>
          <w:highlight w:val="none"/>
        </w:rPr>
        <w:t>放弃提交投标文件或者退出投标或者放弃中标的；</w:t>
      </w:r>
    </w:p>
    <w:p w14:paraId="32D335C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（7）</w:t>
      </w:r>
      <w:r>
        <w:rPr>
          <w:rFonts w:hint="eastAsia" w:ascii="宋体" w:hAnsi="宋体" w:cs="宋体"/>
          <w:color w:val="auto"/>
          <w:kern w:val="0"/>
          <w:szCs w:val="21"/>
          <w:highlight w:val="none"/>
        </w:rPr>
        <w:t>投标人</w:t>
      </w:r>
      <w:r>
        <w:rPr>
          <w:rFonts w:hint="eastAsia" w:ascii="宋体" w:hAnsi="宋体"/>
          <w:color w:val="auto"/>
          <w:szCs w:val="21"/>
          <w:highlight w:val="none"/>
        </w:rPr>
        <w:t>与</w:t>
      </w:r>
      <w:r>
        <w:rPr>
          <w:rFonts w:hint="eastAsia" w:ascii="宋体" w:hAnsi="宋体"/>
          <w:bCs/>
          <w:color w:val="auto"/>
          <w:szCs w:val="21"/>
          <w:highlight w:val="none"/>
        </w:rPr>
        <w:t>采购人、采购代理机构以及</w:t>
      </w:r>
      <w:r>
        <w:rPr>
          <w:rFonts w:hint="eastAsia" w:ascii="宋体" w:hAnsi="宋体"/>
          <w:color w:val="auto"/>
          <w:szCs w:val="21"/>
          <w:highlight w:val="none"/>
        </w:rPr>
        <w:t>评审小组成员之间、</w:t>
      </w:r>
      <w:r>
        <w:rPr>
          <w:rFonts w:hint="eastAsia" w:ascii="宋体" w:hAnsi="宋体" w:cs="宋体"/>
          <w:color w:val="auto"/>
          <w:kern w:val="0"/>
          <w:szCs w:val="21"/>
          <w:highlight w:val="none"/>
        </w:rPr>
        <w:t>投标人</w:t>
      </w:r>
      <w:r>
        <w:rPr>
          <w:rFonts w:hint="eastAsia" w:ascii="宋体" w:hAnsi="宋体"/>
          <w:color w:val="auto"/>
          <w:szCs w:val="21"/>
          <w:highlight w:val="none"/>
        </w:rPr>
        <w:t>相互之间，为谋求特定</w:t>
      </w:r>
      <w:r>
        <w:rPr>
          <w:rFonts w:hint="eastAsia" w:ascii="宋体" w:hAnsi="宋体" w:cs="宋体"/>
          <w:color w:val="auto"/>
          <w:kern w:val="0"/>
          <w:szCs w:val="21"/>
          <w:highlight w:val="none"/>
        </w:rPr>
        <w:t>投标人</w:t>
      </w:r>
      <w:r>
        <w:rPr>
          <w:rFonts w:hint="eastAsia" w:ascii="宋体" w:hAnsi="宋体"/>
          <w:color w:val="auto"/>
          <w:szCs w:val="21"/>
          <w:highlight w:val="none"/>
        </w:rPr>
        <w:t>中标或者排斥其他</w:t>
      </w:r>
      <w:r>
        <w:rPr>
          <w:rFonts w:hint="eastAsia" w:ascii="宋体" w:hAnsi="宋体" w:cs="宋体"/>
          <w:color w:val="auto"/>
          <w:kern w:val="0"/>
          <w:szCs w:val="21"/>
          <w:highlight w:val="none"/>
        </w:rPr>
        <w:t>投标人</w:t>
      </w:r>
      <w:r>
        <w:rPr>
          <w:rFonts w:hint="eastAsia" w:ascii="宋体" w:hAnsi="宋体"/>
          <w:color w:val="auto"/>
          <w:szCs w:val="21"/>
          <w:highlight w:val="none"/>
        </w:rPr>
        <w:t>的其他串通行为的。</w:t>
      </w:r>
    </w:p>
    <w:p w14:paraId="650766BD">
      <w:pPr>
        <w:adjustRightInd w:val="0"/>
        <w:snapToGrid w:val="0"/>
        <w:spacing w:line="360" w:lineRule="auto"/>
        <w:ind w:firstLine="420" w:firstLineChars="200"/>
        <w:rPr>
          <w:rFonts w:ascii="宋体" w:hAnsi="宋体"/>
          <w:color w:val="auto"/>
          <w:szCs w:val="21"/>
          <w:highlight w:val="none"/>
        </w:rPr>
      </w:pPr>
      <w:r>
        <w:rPr>
          <w:rFonts w:ascii="宋体" w:hAnsi="宋体" w:cs="Arial"/>
          <w:color w:val="auto"/>
          <w:szCs w:val="21"/>
          <w:highlight w:val="none"/>
        </w:rPr>
        <w:t>（</w:t>
      </w:r>
      <w:r>
        <w:rPr>
          <w:rFonts w:hint="eastAsia" w:ascii="宋体" w:hAnsi="宋体" w:cs="Arial"/>
          <w:color w:val="auto"/>
          <w:szCs w:val="21"/>
          <w:highlight w:val="none"/>
        </w:rPr>
        <w:t>8</w:t>
      </w:r>
      <w:r>
        <w:rPr>
          <w:rFonts w:ascii="宋体" w:hAnsi="宋体" w:cs="Arial"/>
          <w:color w:val="auto"/>
          <w:szCs w:val="21"/>
          <w:highlight w:val="none"/>
        </w:rPr>
        <w:t>）</w:t>
      </w:r>
      <w:r>
        <w:rPr>
          <w:rFonts w:ascii="宋体" w:hAnsi="宋体"/>
          <w:color w:val="auto"/>
          <w:szCs w:val="21"/>
          <w:highlight w:val="none"/>
        </w:rPr>
        <w:t>法律、行政法规或规章规定的其他串通行为。</w:t>
      </w:r>
    </w:p>
    <w:p w14:paraId="50D07D67">
      <w:pPr>
        <w:pStyle w:val="4"/>
        <w:rPr>
          <w:rFonts w:ascii="宋体" w:hAnsi="宋体"/>
          <w:color w:val="auto"/>
          <w:sz w:val="21"/>
          <w:szCs w:val="21"/>
          <w:highlight w:val="none"/>
        </w:rPr>
      </w:pPr>
      <w:bookmarkStart w:id="34" w:name="_Toc161933891"/>
      <w:r>
        <w:rPr>
          <w:rFonts w:hint="eastAsia" w:ascii="宋体" w:hAnsi="宋体"/>
          <w:color w:val="auto"/>
          <w:sz w:val="21"/>
          <w:szCs w:val="21"/>
          <w:highlight w:val="none"/>
        </w:rPr>
        <w:t>六、中标结果信息公布与授予合同</w:t>
      </w:r>
      <w:bookmarkEnd w:id="34"/>
    </w:p>
    <w:p w14:paraId="40B461E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34.中标信息的公布</w:t>
      </w:r>
    </w:p>
    <w:p w14:paraId="7277E38D">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34.1中标投标人确定后2个工作日内，采购人或者采购代理机构应将中标结果信息在</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指定的媒体上公布。</w:t>
      </w:r>
    </w:p>
    <w:p w14:paraId="2862B81A">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35.询问及质疑</w:t>
      </w:r>
    </w:p>
    <w:p w14:paraId="3D95EB8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35.1投标人对采购文件提出询问或者质疑的，必须遵守政府采购的相关法规，且应提交纸质的质询或者质疑文件原件，并须附证明材料，同时说明投标人联系人、联系方式。原件需加盖投标人公章并由被授权代表签署。</w:t>
      </w:r>
    </w:p>
    <w:p w14:paraId="3E16ECA4">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36.中标通知</w:t>
      </w:r>
    </w:p>
    <w:p w14:paraId="4777094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36.1中标单位确定后，采购人或采购代理机构将以书面形式向中标</w:t>
      </w:r>
      <w:r>
        <w:rPr>
          <w:rFonts w:hint="eastAsia" w:ascii="宋体" w:hAnsi="宋体" w:cs="宋体"/>
          <w:color w:val="auto"/>
          <w:kern w:val="0"/>
          <w:sz w:val="21"/>
          <w:szCs w:val="21"/>
          <w:highlight w:val="none"/>
        </w:rPr>
        <w:t>单位</w:t>
      </w:r>
      <w:r>
        <w:rPr>
          <w:rFonts w:hint="eastAsia" w:ascii="宋体" w:hAnsi="宋体"/>
          <w:color w:val="auto"/>
          <w:sz w:val="21"/>
          <w:szCs w:val="21"/>
          <w:highlight w:val="none"/>
        </w:rPr>
        <w:t>发出中标通知书。中标通知书对采购人和中标单位具有同等法律效力。</w:t>
      </w:r>
    </w:p>
    <w:p w14:paraId="432829D7">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36.2 中标通知书是合同文件的组成部分。</w:t>
      </w:r>
    </w:p>
    <w:p w14:paraId="258A3E56">
      <w:pPr>
        <w:tabs>
          <w:tab w:val="left" w:pos="7560"/>
          <w:tab w:val="left" w:pos="7740"/>
          <w:tab w:val="left" w:pos="7920"/>
        </w:tabs>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 xml:space="preserve">36.3 </w:t>
      </w:r>
      <w:r>
        <w:rPr>
          <w:rFonts w:hint="eastAsia" w:ascii="宋体" w:hAnsi="宋体"/>
          <w:color w:val="auto"/>
          <w:szCs w:val="21"/>
          <w:highlight w:val="none"/>
        </w:rPr>
        <w:t>中标单位在收到采购代理机构的中标通知书后10日内，应按照</w:t>
      </w:r>
      <w:r>
        <w:rPr>
          <w:rFonts w:hint="eastAsia" w:ascii="宋体" w:hAnsi="宋体"/>
          <w:b/>
          <w:color w:val="auto"/>
          <w:szCs w:val="21"/>
          <w:highlight w:val="none"/>
        </w:rPr>
        <w:t>投标须知前附表</w:t>
      </w:r>
      <w:r>
        <w:rPr>
          <w:rFonts w:hint="eastAsia" w:ascii="宋体" w:hAnsi="宋体"/>
          <w:color w:val="auto"/>
          <w:szCs w:val="21"/>
          <w:highlight w:val="none"/>
        </w:rPr>
        <w:t>的规定，向采购人提交履约担保。</w:t>
      </w:r>
    </w:p>
    <w:p w14:paraId="2EAB25A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36.4 中标单位</w:t>
      </w:r>
      <w:r>
        <w:rPr>
          <w:rFonts w:hint="eastAsia" w:ascii="宋体" w:hAnsi="宋体"/>
          <w:color w:val="auto"/>
          <w:spacing w:val="4"/>
          <w:sz w:val="21"/>
          <w:szCs w:val="21"/>
          <w:highlight w:val="none"/>
        </w:rPr>
        <w:t>没有按照本章第37.3</w:t>
      </w:r>
      <w:r>
        <w:rPr>
          <w:rFonts w:hint="eastAsia" w:ascii="宋体" w:hAnsi="宋体" w:cs="宋体"/>
          <w:color w:val="auto"/>
          <w:kern w:val="0"/>
          <w:sz w:val="21"/>
          <w:szCs w:val="21"/>
          <w:highlight w:val="none"/>
          <w:lang w:val="zh-CN"/>
        </w:rPr>
        <w:t>款</w:t>
      </w:r>
      <w:r>
        <w:rPr>
          <w:rFonts w:hint="eastAsia" w:ascii="宋体" w:hAnsi="宋体"/>
          <w:color w:val="auto"/>
          <w:spacing w:val="4"/>
          <w:sz w:val="21"/>
          <w:szCs w:val="21"/>
          <w:highlight w:val="none"/>
        </w:rPr>
        <w:t>规定</w:t>
      </w:r>
      <w:r>
        <w:rPr>
          <w:rFonts w:hint="eastAsia" w:ascii="宋体" w:hAnsi="宋体"/>
          <w:color w:val="auto"/>
          <w:sz w:val="21"/>
          <w:szCs w:val="21"/>
          <w:highlight w:val="none"/>
        </w:rPr>
        <w:t>提交履约担保的</w:t>
      </w:r>
      <w:r>
        <w:rPr>
          <w:rFonts w:hint="eastAsia" w:ascii="宋体" w:hAnsi="宋体"/>
          <w:color w:val="auto"/>
          <w:spacing w:val="4"/>
          <w:sz w:val="21"/>
          <w:szCs w:val="21"/>
          <w:highlight w:val="none"/>
        </w:rPr>
        <w:t>，视为放弃</w:t>
      </w:r>
      <w:r>
        <w:rPr>
          <w:rFonts w:hint="eastAsia" w:ascii="宋体" w:hAnsi="宋体"/>
          <w:color w:val="auto"/>
          <w:sz w:val="21"/>
          <w:szCs w:val="21"/>
          <w:highlight w:val="none"/>
        </w:rPr>
        <w:t>中标资格</w:t>
      </w:r>
      <w:r>
        <w:rPr>
          <w:rFonts w:hint="eastAsia" w:ascii="宋体" w:hAnsi="宋体"/>
          <w:color w:val="auto"/>
          <w:spacing w:val="4"/>
          <w:sz w:val="21"/>
          <w:szCs w:val="21"/>
          <w:highlight w:val="none"/>
        </w:rPr>
        <w:t>，</w:t>
      </w:r>
      <w:r>
        <w:rPr>
          <w:rFonts w:hint="eastAsia" w:ascii="宋体" w:hAnsi="宋体"/>
          <w:color w:val="auto"/>
          <w:spacing w:val="2"/>
          <w:sz w:val="21"/>
          <w:szCs w:val="21"/>
          <w:highlight w:val="none"/>
        </w:rPr>
        <w:t>其投标保证金不予退还。</w:t>
      </w:r>
    </w:p>
    <w:p w14:paraId="74E7D91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37.签订合同</w:t>
      </w:r>
    </w:p>
    <w:p w14:paraId="5EBA54B7">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37.1 采购文件、中标单位的投标文件及其补充的投标文件等均为签订政府采购合同的依据。</w:t>
      </w:r>
    </w:p>
    <w:p w14:paraId="30CB920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37.2 中标单位应当在中标通知书发出之日起30日内与采购人签订政府采购合同。</w:t>
      </w:r>
    </w:p>
    <w:p w14:paraId="63B35301">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37.3 中标单位应当按照合同约定履行义务。中标单位不得向他人转让中标项目，也不得将中标项目分包后分别向他人转让。</w:t>
      </w:r>
    </w:p>
    <w:p w14:paraId="35C79904">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37.4 中标单位有下列情形之一的，责令限期改正，情节严重的，列入不良行为记录名单，在1至3年内禁止参加政府采购活动，并予以通报：</w:t>
      </w:r>
    </w:p>
    <w:p w14:paraId="103301E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（一）中标后无正当理由不与采购人签订合同的；</w:t>
      </w:r>
    </w:p>
    <w:p w14:paraId="42C9DB6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（二）未按照采购文件确定的事项签订政府采购合同，或者与采购人另行订立背离合同实质性内容的协议的；</w:t>
      </w:r>
    </w:p>
    <w:p w14:paraId="18B349B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（三）拒绝履行合同义务的；</w:t>
      </w:r>
    </w:p>
    <w:p w14:paraId="19BC570A">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（四）</w:t>
      </w:r>
      <w:r>
        <w:rPr>
          <w:rFonts w:hint="eastAsia" w:ascii="宋体" w:hAnsi="宋体" w:cs="宋体"/>
          <w:color w:val="auto"/>
          <w:kern w:val="0"/>
          <w:sz w:val="21"/>
          <w:szCs w:val="21"/>
          <w:highlight w:val="none"/>
        </w:rPr>
        <w:t>违反法律、规章、规范性文件规定的。</w:t>
      </w:r>
    </w:p>
    <w:p w14:paraId="02BE6CDA">
      <w:pPr>
        <w:pStyle w:val="24"/>
        <w:adjustRightInd w:val="0"/>
        <w:snapToGrid w:val="0"/>
        <w:spacing w:line="360" w:lineRule="auto"/>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r>
        <w:rPr>
          <w:rFonts w:ascii="宋体" w:hAnsi="宋体" w:cs="宋体"/>
          <w:b/>
          <w:bCs/>
          <w:color w:val="auto"/>
          <w:kern w:val="0"/>
          <w:sz w:val="21"/>
          <w:szCs w:val="21"/>
          <w:highlight w:val="none"/>
        </w:rPr>
        <w:t>7.5</w:t>
      </w:r>
      <w:r>
        <w:rPr>
          <w:rFonts w:hint="eastAsia" w:ascii="宋体" w:hAnsi="宋体" w:cs="宋体"/>
          <w:b/>
          <w:bCs/>
          <w:color w:val="auto"/>
          <w:kern w:val="0"/>
          <w:sz w:val="21"/>
          <w:szCs w:val="21"/>
          <w:highlight w:val="none"/>
        </w:rPr>
        <w:t>验收时候须邀请评标专家之一共同跟甲方参与验收，产生的专家费由中标方承担。</w:t>
      </w:r>
    </w:p>
    <w:p w14:paraId="1404905F">
      <w:pPr>
        <w:pStyle w:val="4"/>
        <w:rPr>
          <w:rFonts w:ascii="宋体" w:hAnsi="宋体"/>
          <w:color w:val="auto"/>
          <w:sz w:val="21"/>
          <w:szCs w:val="21"/>
          <w:highlight w:val="none"/>
        </w:rPr>
      </w:pPr>
      <w:bookmarkStart w:id="35" w:name="_Toc161933892"/>
      <w:bookmarkStart w:id="36" w:name="_Toc425613608"/>
      <w:r>
        <w:rPr>
          <w:rFonts w:hint="eastAsia" w:ascii="宋体" w:hAnsi="宋体"/>
          <w:color w:val="auto"/>
          <w:sz w:val="21"/>
          <w:szCs w:val="21"/>
          <w:highlight w:val="none"/>
        </w:rPr>
        <w:t>七、其他规定</w:t>
      </w:r>
      <w:bookmarkEnd w:id="35"/>
      <w:bookmarkEnd w:id="36"/>
    </w:p>
    <w:p w14:paraId="0B54AEA8">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38.采购代理服务费</w:t>
      </w:r>
    </w:p>
    <w:p w14:paraId="42B6B7F9">
      <w:pPr>
        <w:tabs>
          <w:tab w:val="left" w:pos="420"/>
          <w:tab w:val="left" w:pos="7560"/>
          <w:tab w:val="left" w:pos="7740"/>
          <w:tab w:val="left" w:pos="792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38.1采购代理机构应按</w:t>
      </w:r>
      <w:r>
        <w:rPr>
          <w:rFonts w:hint="eastAsia" w:ascii="宋体" w:hAnsi="宋体"/>
          <w:b/>
          <w:color w:val="auto"/>
          <w:szCs w:val="21"/>
          <w:highlight w:val="none"/>
        </w:rPr>
        <w:t>投标须知前附表</w:t>
      </w:r>
      <w:r>
        <w:rPr>
          <w:rFonts w:hint="eastAsia" w:ascii="宋体" w:hAnsi="宋体"/>
          <w:color w:val="auto"/>
          <w:szCs w:val="21"/>
          <w:highlight w:val="none"/>
        </w:rPr>
        <w:t>规定收取采购代理服务费。</w:t>
      </w:r>
    </w:p>
    <w:p w14:paraId="3F9028DF">
      <w:pPr>
        <w:tabs>
          <w:tab w:val="left" w:pos="420"/>
          <w:tab w:val="left" w:pos="7560"/>
          <w:tab w:val="left" w:pos="7740"/>
          <w:tab w:val="left" w:pos="792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39. 其他规定</w:t>
      </w:r>
    </w:p>
    <w:p w14:paraId="4976EF67">
      <w:pPr>
        <w:spacing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39.1采购文件的其他规定见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62027BC7">
      <w:pPr>
        <w:widowControl/>
        <w:jc w:val="left"/>
        <w:rPr>
          <w:b/>
          <w:bCs/>
          <w:color w:val="auto"/>
          <w:sz w:val="28"/>
          <w:szCs w:val="20"/>
          <w:highlight w:val="none"/>
        </w:rPr>
      </w:pPr>
      <w:bookmarkStart w:id="37" w:name="_Toc433113176"/>
      <w:bookmarkStart w:id="38" w:name="_Toc420948016"/>
      <w:r>
        <w:rPr>
          <w:color w:val="auto"/>
          <w:highlight w:val="none"/>
        </w:rPr>
        <w:br w:type="page"/>
      </w:r>
    </w:p>
    <w:p w14:paraId="58C7D913">
      <w:pPr>
        <w:pStyle w:val="3"/>
        <w:rPr>
          <w:color w:val="auto"/>
          <w:highlight w:val="none"/>
        </w:rPr>
      </w:pPr>
      <w:bookmarkStart w:id="39" w:name="_Toc161933893"/>
      <w:r>
        <w:rPr>
          <w:rFonts w:hint="eastAsia"/>
          <w:color w:val="auto"/>
          <w:highlight w:val="none"/>
        </w:rPr>
        <w:t xml:space="preserve">第三章  </w:t>
      </w:r>
      <w:bookmarkEnd w:id="37"/>
      <w:bookmarkEnd w:id="38"/>
      <w:r>
        <w:rPr>
          <w:rFonts w:hint="eastAsia"/>
          <w:color w:val="auto"/>
          <w:highlight w:val="none"/>
        </w:rPr>
        <w:t>合同协议书</w:t>
      </w:r>
      <w:bookmarkEnd w:id="39"/>
      <w:bookmarkStart w:id="40" w:name="_Toc420948017"/>
      <w:bookmarkStart w:id="41" w:name="_Toc433187361"/>
    </w:p>
    <w:p w14:paraId="119BEEDB">
      <w:pPr>
        <w:spacing w:line="440" w:lineRule="exact"/>
        <w:ind w:firstLine="442" w:firstLineChars="200"/>
        <w:jc w:val="center"/>
        <w:rPr>
          <w:b/>
          <w:color w:val="auto"/>
          <w:sz w:val="22"/>
          <w:szCs w:val="22"/>
          <w:highlight w:val="none"/>
        </w:rPr>
      </w:pPr>
      <w:bookmarkStart w:id="42" w:name="_Toc446500166"/>
      <w:bookmarkStart w:id="43" w:name="_Toc420948020"/>
      <w:r>
        <w:rPr>
          <w:rFonts w:hint="eastAsia"/>
          <w:b/>
          <w:color w:val="auto"/>
          <w:sz w:val="22"/>
          <w:szCs w:val="22"/>
          <w:highlight w:val="none"/>
        </w:rPr>
        <w:t>（本合同仅供参考，具体以实际签订的为准）</w:t>
      </w:r>
    </w:p>
    <w:bookmarkEnd w:id="42"/>
    <w:bookmarkEnd w:id="43"/>
    <w:p w14:paraId="5978B352">
      <w:pPr>
        <w:spacing w:line="360" w:lineRule="auto"/>
        <w:ind w:left="178" w:leftChars="85"/>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 术 服 务 合 同</w:t>
      </w:r>
    </w:p>
    <w:p w14:paraId="47AA5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甲方（技术服务接受方）：</w:t>
      </w:r>
      <w:r>
        <w:rPr>
          <w:rFonts w:hint="eastAsia" w:ascii="宋体" w:hAnsi="宋体" w:eastAsia="宋体" w:cs="宋体"/>
          <w:color w:val="auto"/>
          <w:sz w:val="21"/>
          <w:szCs w:val="21"/>
          <w:highlight w:val="none"/>
          <w:u w:val="single"/>
          <w:lang w:val="en-US" w:eastAsia="zh-CN"/>
        </w:rPr>
        <w:t xml:space="preserve">                </w:t>
      </w:r>
    </w:p>
    <w:p w14:paraId="247B6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69C0B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乙方（技术服务提供方）：</w:t>
      </w:r>
      <w:r>
        <w:rPr>
          <w:rFonts w:hint="eastAsia" w:ascii="宋体" w:hAnsi="宋体" w:eastAsia="宋体" w:cs="宋体"/>
          <w:color w:val="auto"/>
          <w:sz w:val="21"/>
          <w:szCs w:val="21"/>
          <w:highlight w:val="none"/>
          <w:u w:val="single"/>
          <w:lang w:val="en-US" w:eastAsia="zh-CN"/>
        </w:rPr>
        <w:t xml:space="preserve">                </w:t>
      </w:r>
    </w:p>
    <w:p w14:paraId="3F70B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513C5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根据《中华人民共和国合同法》的有关规定，甲乙双方经协商一致，就甲方委托乙方提供技术服务事宜，达成如下协议：</w:t>
      </w:r>
    </w:p>
    <w:p w14:paraId="294444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一、技术服务内容：</w:t>
      </w:r>
    </w:p>
    <w:p w14:paraId="1C8137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乙方为甲方提供的技术服务内容为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A715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二、技术服务期限：</w:t>
      </w:r>
    </w:p>
    <w:p w14:paraId="2C2C5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本合同的技术服务期限自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p>
    <w:p w14:paraId="2CC32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三、技术服务费用：</w:t>
      </w:r>
    </w:p>
    <w:p w14:paraId="57B828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本合同的技术服务费用总额为人民币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元，这笔费用将用于支付与合同相关的技术服务活动。具体的支付方式是分期付款，每月支付一次，由甲方在每月的第一天通过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向乙方支付应支付的款项。双方将根据本合同约定的支付时间和方式，对支付的金额和支付时间进行核对，确保双方权益得到保障。</w:t>
      </w:r>
    </w:p>
    <w:p w14:paraId="629AA6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 在合同生效后，乙方应当在五日内向甲方开具等额的技术服务费用发票。甲方应在收到发票后十日内通过银行转账方式支付技术服务费用。甲方支付的技术服务费用应当以人民币支付。同时，乙方有权根据实际情况收取合同金额的一定比例作为技术服务费用的折扣。具体支付方式为银行转账。</w:t>
      </w:r>
    </w:p>
    <w:p w14:paraId="50A805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四、双方权利和义务：</w:t>
      </w:r>
    </w:p>
    <w:p w14:paraId="25E6F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甲方应按照约定向乙方支付技术服务费用。</w:t>
      </w:r>
    </w:p>
    <w:p w14:paraId="4CD67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乙方应按照约定向甲方提供技术服务，并保证提供的技术服务质量。</w:t>
      </w:r>
    </w:p>
    <w:p w14:paraId="6E32F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乙方应保守甲方的商业秘密和技术秘密。</w:t>
      </w:r>
    </w:p>
    <w:p w14:paraId="1962F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 乙方应承担由于其提供的技术服务而引发的纠纷和法律责任，并及时采取必要的补救措施。</w:t>
      </w:r>
    </w:p>
    <w:p w14:paraId="362E2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 乙方应协助甲方确保其核心技术和信息的安全，采取必要的技术措施防止数据泄露、篡改和非法使用。</w:t>
      </w:r>
    </w:p>
    <w:p w14:paraId="77EE1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4.6 如乙方在履行约定过程中违反了本协议的任何条款，甲方有权终止本协议并要求乙方赔偿由此产生的损失。</w:t>
      </w:r>
    </w:p>
    <w:p w14:paraId="5EA4A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五、违约责任：</w:t>
      </w:r>
    </w:p>
    <w:p w14:paraId="62A60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如果甲方未按照约定向乙方支付技术服务费用，乙方有权要求甲方支付欠款并支付滞纳金。</w:t>
      </w:r>
    </w:p>
    <w:p w14:paraId="6E092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如果乙方提供的技术服务质量不符合约定，甲方有权要求乙方进行维修或者重新提供技术服务。</w:t>
      </w:r>
    </w:p>
    <w:p w14:paraId="105E3D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 如果因乙方提供的技术服务造成甲方的损失，乙方应当承担赔偿责任。赔偿金额以乙方造成甲方的实际损失为准。</w:t>
      </w:r>
    </w:p>
    <w:p w14:paraId="22681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 甲方在乙方提供技术服务期间，应按照乙方的要求，提供相应的技术资料或者协助乙方进行技术服务。如甲方未按照约定提供，则视为甲方违约，乙方有权要求甲方支付未提供的技术资料的费用。</w:t>
      </w:r>
    </w:p>
    <w:p w14:paraId="367281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 乙方应当在约定的时间内完成技术服务。如因乙方的原因导致技术服务不能在约定的时间内完成，甲方有权要求乙方赔偿因此产生的损失，并按照约定的违约金额支付违约金。</w:t>
      </w:r>
    </w:p>
    <w:p w14:paraId="350BB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5.6 若双方因本协议的履行发生争议，双方应首先尝试友好协商解决。如协商不成，可提交至签约地的仲裁机构进行仲裁或提交至签约地的人民法院进行诉讼。</w:t>
      </w:r>
    </w:p>
    <w:p w14:paraId="76FF1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六、争议解决：</w:t>
      </w:r>
    </w:p>
    <w:p w14:paraId="5AA0B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如果双方在履行本合同过程中发生争议，应首先通过友好协商解决。</w:t>
      </w:r>
    </w:p>
    <w:p w14:paraId="56C5C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如果协商不成，任何一方均可向乙方所在地人民法院提起诉讼。</w:t>
      </w:r>
    </w:p>
    <w:p w14:paraId="33CA7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七、其他约定：</w:t>
      </w:r>
    </w:p>
    <w:p w14:paraId="05313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本合同自双方签字或盖章之日起生效。</w:t>
      </w:r>
    </w:p>
    <w:p w14:paraId="428D31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本合同一式两份，甲乙双方各执一份。</w:t>
      </w:r>
    </w:p>
    <w:p w14:paraId="76C7B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2DD6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甲方（签章）：</w:t>
      </w:r>
      <w:r>
        <w:rPr>
          <w:rFonts w:hint="eastAsia" w:ascii="宋体" w:hAnsi="宋体" w:eastAsia="宋体" w:cs="宋体"/>
          <w:color w:val="auto"/>
          <w:sz w:val="21"/>
          <w:szCs w:val="21"/>
          <w:highlight w:val="none"/>
          <w:u w:val="single"/>
          <w:lang w:val="en-US" w:eastAsia="zh-CN"/>
        </w:rPr>
        <w:t xml:space="preserve">                </w:t>
      </w:r>
    </w:p>
    <w:p w14:paraId="40B62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乙方（签章）：</w:t>
      </w:r>
      <w:r>
        <w:rPr>
          <w:rFonts w:hint="eastAsia" w:ascii="宋体" w:hAnsi="宋体" w:eastAsia="宋体" w:cs="宋体"/>
          <w:color w:val="auto"/>
          <w:sz w:val="21"/>
          <w:szCs w:val="21"/>
          <w:highlight w:val="none"/>
          <w:u w:val="single"/>
          <w:lang w:val="en-US" w:eastAsia="zh-CN"/>
        </w:rPr>
        <w:t xml:space="preserve">                </w:t>
      </w:r>
    </w:p>
    <w:p w14:paraId="4A13C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p>
    <w:p w14:paraId="173C23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bookmarkEnd w:id="40"/>
    <w:bookmarkEnd w:id="41"/>
    <w:p w14:paraId="3EA3A567">
      <w:pPr>
        <w:rPr>
          <w:rFonts w:hint="eastAsia"/>
          <w:color w:val="auto"/>
          <w:highlight w:val="none"/>
        </w:rPr>
      </w:pPr>
      <w:bookmarkStart w:id="44" w:name="_Toc12906820"/>
      <w:bookmarkStart w:id="45" w:name="_Toc161933894"/>
      <w:bookmarkStart w:id="46" w:name="_Toc420948022"/>
      <w:bookmarkStart w:id="47" w:name="_Toc433113178"/>
      <w:r>
        <w:rPr>
          <w:rFonts w:hint="eastAsia"/>
          <w:color w:val="auto"/>
          <w:highlight w:val="none"/>
        </w:rPr>
        <w:br w:type="page"/>
      </w:r>
    </w:p>
    <w:p w14:paraId="33295090">
      <w:pPr>
        <w:pStyle w:val="3"/>
        <w:rPr>
          <w:color w:val="auto"/>
          <w:highlight w:val="none"/>
        </w:rPr>
      </w:pPr>
      <w:r>
        <w:rPr>
          <w:rFonts w:hint="eastAsia"/>
          <w:color w:val="auto"/>
          <w:highlight w:val="none"/>
        </w:rPr>
        <w:t>第四章  采购需求</w:t>
      </w:r>
      <w:bookmarkEnd w:id="44"/>
      <w:bookmarkEnd w:id="45"/>
    </w:p>
    <w:p w14:paraId="7AE44C62">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1.野外工作</w:t>
      </w:r>
    </w:p>
    <w:p w14:paraId="24ACEC56">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永南1井井型为直井，设计井深3000</w:t>
      </w:r>
      <w:r>
        <w:rPr>
          <w:rFonts w:hint="eastAsia" w:ascii="宋体" w:hAnsi="宋体" w:eastAsia="宋体" w:cs="宋体"/>
          <w:kern w:val="0"/>
          <w:sz w:val="21"/>
          <w:szCs w:val="21"/>
          <w:highlight w:val="none"/>
          <w:lang w:val="en-US" w:eastAsia="zh-Hans"/>
        </w:rPr>
        <w:t>米，钻孔数量</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Hans"/>
        </w:rPr>
        <w:t>个，</w:t>
      </w:r>
      <w:r>
        <w:rPr>
          <w:rFonts w:hint="eastAsia" w:ascii="宋体" w:hAnsi="宋体" w:eastAsia="宋体" w:cs="宋体"/>
          <w:kern w:val="0"/>
          <w:sz w:val="21"/>
          <w:szCs w:val="21"/>
          <w:highlight w:val="none"/>
          <w:lang w:val="en-US" w:eastAsia="zh-CN"/>
        </w:rPr>
        <w:t>取心工作量50米以上。</w:t>
      </w:r>
    </w:p>
    <w:p w14:paraId="024BB851">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调查井采用</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lang w:val="en-US" w:eastAsia="zh-Hans"/>
        </w:rPr>
        <w:t>开方式施工。</w:t>
      </w:r>
    </w:p>
    <w:p w14:paraId="1D35C01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导管：套管尺寸508mm，</w:t>
      </w:r>
      <w:r>
        <w:rPr>
          <w:rFonts w:hint="eastAsia" w:ascii="宋体" w:hAnsi="宋体" w:eastAsia="宋体" w:cs="宋体"/>
          <w:spacing w:val="-1"/>
          <w:sz w:val="21"/>
          <w:szCs w:val="21"/>
          <w:highlight w:val="none"/>
        </w:rPr>
        <w:t>封隔第四系，建立井口</w:t>
      </w:r>
      <w:r>
        <w:rPr>
          <w:rFonts w:hint="eastAsia" w:ascii="宋体" w:hAnsi="宋体" w:eastAsia="宋体" w:cs="宋体"/>
          <w:spacing w:val="-1"/>
          <w:sz w:val="21"/>
          <w:szCs w:val="21"/>
          <w:highlight w:val="none"/>
          <w:lang w:eastAsia="zh-CN"/>
        </w:rPr>
        <w:t>。</w:t>
      </w:r>
    </w:p>
    <w:p w14:paraId="68A590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1.一开钻具组合</w:t>
      </w:r>
    </w:p>
    <w:p w14:paraId="0FDD551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钻具组合：一开采用Ф444.5mm牙轮钻头开钻，钻至200米。</w:t>
      </w:r>
    </w:p>
    <w:p w14:paraId="62D615D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2.二开钻具组合</w:t>
      </w:r>
    </w:p>
    <w:p w14:paraId="1F1D911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钻具组合：二开常规钻进采用Ф311.2mm牙轮钻头（或PDC钻头），取心钻进采用Φ215mmPDC取心钻头，钻至1800米。</w:t>
      </w:r>
    </w:p>
    <w:p w14:paraId="78F332C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2.三开钻具组合</w:t>
      </w:r>
    </w:p>
    <w:p w14:paraId="4CE28D99">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钻具组合：三开常规钻进采用Ф215.9mm牙轮钻头，钻至3000米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取心钻进采用Φ215mmPDC取心钻头。取心层段、厚度根据实际钻遇地层情况及气测显示综合而定，最终在各目的层段间隔取心总长不少于50米</w:t>
      </w:r>
      <w:r>
        <w:rPr>
          <w:rFonts w:hint="eastAsia" w:ascii="宋体" w:hAnsi="宋体" w:eastAsia="宋体" w:cs="宋体"/>
          <w:sz w:val="21"/>
          <w:szCs w:val="21"/>
          <w:highlight w:val="none"/>
          <w:lang w:eastAsia="zh-CN"/>
        </w:rPr>
        <w:t>。</w:t>
      </w:r>
    </w:p>
    <w:p w14:paraId="13AC8442">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钻孔工程点坐标测量（RTK测量）。</w:t>
      </w:r>
    </w:p>
    <w:p w14:paraId="4038C1C0">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kern w:val="0"/>
          <w:sz w:val="21"/>
          <w:szCs w:val="21"/>
          <w:highlight w:val="none"/>
          <w:lang w:val="en-US" w:eastAsia="zh-Hans"/>
        </w:rPr>
      </w:pPr>
      <w:r>
        <w:rPr>
          <w:rFonts w:hint="eastAsia" w:ascii="宋体" w:hAnsi="宋体" w:eastAsia="宋体" w:cs="宋体"/>
          <w:kern w:val="0"/>
          <w:sz w:val="21"/>
          <w:szCs w:val="21"/>
          <w:highlight w:val="none"/>
          <w:lang w:val="en-US" w:eastAsia="zh-Hans"/>
        </w:rPr>
        <w:t>（上述钻</w:t>
      </w:r>
      <w:r>
        <w:rPr>
          <w:rFonts w:hint="eastAsia" w:ascii="宋体" w:hAnsi="宋体" w:eastAsia="宋体" w:cs="宋体"/>
          <w:kern w:val="0"/>
          <w:sz w:val="21"/>
          <w:szCs w:val="21"/>
          <w:highlight w:val="none"/>
          <w:lang w:val="en-US" w:eastAsia="zh-CN"/>
        </w:rPr>
        <w:t>井井</w:t>
      </w:r>
      <w:r>
        <w:rPr>
          <w:rFonts w:hint="eastAsia" w:ascii="宋体" w:hAnsi="宋体" w:eastAsia="宋体" w:cs="宋体"/>
          <w:kern w:val="0"/>
          <w:sz w:val="21"/>
          <w:szCs w:val="21"/>
          <w:highlight w:val="none"/>
          <w:lang w:val="en-US" w:eastAsia="zh-Hans"/>
        </w:rPr>
        <w:t>深为预估深度，最终以</w:t>
      </w:r>
      <w:r>
        <w:rPr>
          <w:rFonts w:hint="eastAsia" w:ascii="宋体" w:hAnsi="宋体" w:eastAsia="宋体" w:cs="宋体"/>
          <w:kern w:val="0"/>
          <w:sz w:val="21"/>
          <w:szCs w:val="21"/>
          <w:highlight w:val="none"/>
          <w:lang w:val="en-US" w:eastAsia="zh-CN"/>
        </w:rPr>
        <w:t>钻遇地层实际</w:t>
      </w:r>
      <w:r>
        <w:rPr>
          <w:rFonts w:hint="eastAsia" w:ascii="宋体" w:hAnsi="宋体" w:eastAsia="宋体" w:cs="宋体"/>
          <w:kern w:val="0"/>
          <w:sz w:val="21"/>
          <w:szCs w:val="21"/>
          <w:highlight w:val="none"/>
          <w:lang w:val="en-US" w:eastAsia="zh-Hans"/>
        </w:rPr>
        <w:t>情况</w:t>
      </w:r>
      <w:r>
        <w:rPr>
          <w:rFonts w:hint="eastAsia" w:ascii="宋体" w:hAnsi="宋体" w:eastAsia="宋体" w:cs="宋体"/>
          <w:kern w:val="0"/>
          <w:sz w:val="21"/>
          <w:szCs w:val="21"/>
          <w:highlight w:val="none"/>
          <w:lang w:val="en-US" w:eastAsia="zh-CN"/>
        </w:rPr>
        <w:t>调整完井井深</w:t>
      </w:r>
      <w:r>
        <w:rPr>
          <w:rFonts w:hint="eastAsia" w:ascii="宋体" w:hAnsi="宋体" w:eastAsia="宋体" w:cs="宋体"/>
          <w:kern w:val="0"/>
          <w:sz w:val="21"/>
          <w:szCs w:val="21"/>
          <w:highlight w:val="none"/>
          <w:lang w:val="en-US" w:eastAsia="zh-Hans"/>
        </w:rPr>
        <w:t>。钻探服务费结算时以实际的钻探工程量按实结算。）</w:t>
      </w:r>
    </w:p>
    <w:p w14:paraId="66E3F63C">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2.其他</w:t>
      </w:r>
    </w:p>
    <w:p w14:paraId="0FFCDB0F">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（1）钻机进场前需与当地村委、场地所属村民进行协调，采购人项目组可提供协助，经当地同意后方可进场施工，由此产生的青苗补偿费、草场补偿费</w:t>
      </w:r>
      <w:r>
        <w:rPr>
          <w:rFonts w:hint="eastAsia" w:ascii="宋体" w:hAnsi="宋体" w:eastAsia="宋体" w:cs="宋体"/>
          <w:kern w:val="0"/>
          <w:sz w:val="21"/>
          <w:szCs w:val="21"/>
          <w:highlight w:val="none"/>
          <w:lang w:val="en-US" w:eastAsia="zh-CN" w:bidi="ar-SA"/>
        </w:rPr>
        <w:t>由成交供应商承担</w:t>
      </w:r>
      <w:r>
        <w:rPr>
          <w:rFonts w:hint="eastAsia" w:ascii="宋体" w:hAnsi="宋体" w:eastAsia="宋体" w:cs="宋体"/>
          <w:kern w:val="0"/>
          <w:sz w:val="21"/>
          <w:szCs w:val="21"/>
          <w:highlight w:val="none"/>
          <w:lang w:val="en-US" w:eastAsia="zh-CN" w:bidi="ar-SA"/>
        </w:rPr>
        <w:t>。</w:t>
      </w:r>
    </w:p>
    <w:p w14:paraId="3A257517">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（2）岩心、岩屑由采购人项目组接收入库前的保管。</w:t>
      </w:r>
    </w:p>
    <w:p w14:paraId="2FD88305">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（3）承担钻探施工相关费用包括但不限于动力费、材料费、人工费、临时设施费、岩芯箱、岩芯牌、修便道、修机坪、钻机搬迁运输、封井费、岩矿芯下山以及税务发票等全部费用。</w:t>
      </w:r>
    </w:p>
    <w:p w14:paraId="52893405">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3.设备要求</w:t>
      </w:r>
    </w:p>
    <w:p w14:paraId="2668077C">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钻机型号为ZJ50钻机</w:t>
      </w:r>
      <w:r>
        <w:rPr>
          <w:rFonts w:hint="eastAsia" w:ascii="宋体" w:hAnsi="宋体" w:eastAsia="宋体" w:cs="宋体"/>
          <w:color w:val="000000"/>
          <w:sz w:val="21"/>
          <w:szCs w:val="21"/>
          <w:highlight w:val="none"/>
        </w:rPr>
        <w:t>。</w:t>
      </w:r>
    </w:p>
    <w:p w14:paraId="43174AFA">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（2）钻机工具、安全施工设施配备齐全且符合生产要求，包括</w:t>
      </w:r>
      <w:r>
        <w:rPr>
          <w:rFonts w:hint="eastAsia" w:ascii="宋体" w:hAnsi="宋体" w:eastAsia="宋体" w:cs="宋体"/>
          <w:color w:val="000000"/>
          <w:sz w:val="21"/>
          <w:szCs w:val="21"/>
          <w:highlight w:val="none"/>
          <w:lang w:val="en-US" w:eastAsia="zh-CN"/>
        </w:rPr>
        <w:t>井控装置、随钻测斜仪、</w:t>
      </w:r>
      <w:r>
        <w:rPr>
          <w:rFonts w:hint="eastAsia" w:ascii="宋体" w:hAnsi="宋体" w:eastAsia="宋体" w:cs="宋体"/>
          <w:color w:val="000000"/>
          <w:sz w:val="21"/>
          <w:szCs w:val="21"/>
          <w:highlight w:val="none"/>
        </w:rPr>
        <w:t>避雷针、机台木、塔布（新）、电箱、岩心箱（全新）、</w:t>
      </w:r>
      <w:r>
        <w:rPr>
          <w:rFonts w:hint="eastAsia" w:ascii="宋体" w:hAnsi="宋体" w:eastAsia="宋体" w:cs="宋体"/>
          <w:color w:val="000000"/>
          <w:sz w:val="21"/>
          <w:szCs w:val="21"/>
          <w:highlight w:val="none"/>
          <w:lang w:val="en-US" w:eastAsia="zh-CN"/>
        </w:rPr>
        <w:t>岩屑盒、百格盒、</w:t>
      </w:r>
      <w:r>
        <w:rPr>
          <w:rFonts w:hint="eastAsia" w:ascii="宋体" w:hAnsi="宋体" w:eastAsia="宋体" w:cs="宋体"/>
          <w:color w:val="000000"/>
          <w:sz w:val="21"/>
          <w:szCs w:val="21"/>
          <w:highlight w:val="none"/>
        </w:rPr>
        <w:t>岩心牌、标识牌及常见事故处理工具等。</w:t>
      </w:r>
    </w:p>
    <w:p w14:paraId="3049BC23">
      <w:pPr>
        <w:pStyle w:val="33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lang w:val="en-US" w:eastAsia="zh-CN"/>
        </w:rPr>
        <w:t>4</w:t>
      </w:r>
      <w:r>
        <w:rPr>
          <w:rFonts w:hint="eastAsia" w:ascii="宋体" w:hAnsi="宋体" w:eastAsia="宋体" w:cs="宋体"/>
          <w:b/>
          <w:color w:val="000000"/>
          <w:sz w:val="21"/>
          <w:szCs w:val="21"/>
          <w:highlight w:val="none"/>
        </w:rPr>
        <w:t>、技术要求</w:t>
      </w:r>
    </w:p>
    <w:p w14:paraId="2DF5CCD4">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油气地质调查井，用于掌握主要目的层烃源岩的有效厚度、空间展布、含油气性特征及储盖层特征，了解井下各层系含油气层段的厚度、储集性能、保存条件和含气量及含油性等特征，查明工作区油气资源富集规律；调查井施工中获取深部各类岩石样品。</w:t>
      </w:r>
    </w:p>
    <w:p w14:paraId="3742EDF1">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施工中除严格执行以下有关规范：《油气探井钻井地质设计规范》SY/T 5965-2017；《页岩气调查钻完井技术规程》DB43/T971-2014；《井身结构设计方法》SY/T5431-2008；《石油钻井井身质量控制规范》Q/SY1052-2011；《钻井液技术规范（试行）》CNPC-2010.8；《固井技术规范（试行）》CNPC-2009.5；《地质岩心钻探技术规程》DZT0227-2010；《下套管作业规程》SY/T5412-2005；《固井作业规程》SY/T5374-2006；《钻井井场设备布置要求》Q/CNPC-XJ0281-2006。上述规范如有新规定，按新规定执行，必须达到如下要求：</w:t>
      </w:r>
    </w:p>
    <w:p w14:paraId="63DBC012">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1.</w:t>
      </w: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rPr>
        <w:t>资料收集分析利用与野外踏勘</w:t>
      </w:r>
    </w:p>
    <w:p w14:paraId="7CC0D866">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供应商充分收集分析利用工作区的基础地质、水文地质、工程地质等资料，为钻探工艺优化提供依据。供应商自行组织野外踏勘，为施工方案的确定夯实基础。</w:t>
      </w:r>
    </w:p>
    <w:p w14:paraId="661F052A">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rPr>
        <w:t>施工场地整理</w:t>
      </w:r>
    </w:p>
    <w:p w14:paraId="4D312A1E">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(1)场地环境保护</w:t>
      </w:r>
    </w:p>
    <w:p w14:paraId="495F47F7">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钻探施工过程，应尽量将对环境的影响降至最低，如在挖泥浆池的场地应尽量找空旷且植被覆盖较少处，一旦在植被（主要是草地以及其它景观灌木等）覆盖完好的地方施工，应将植被迁移到合适的地方放置。施工过程中避免泥浆乱排放，施工完毕后将场地平整覆绿。</w:t>
      </w:r>
    </w:p>
    <w:p w14:paraId="24486B1E">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(2)施工防护与警示</w:t>
      </w:r>
    </w:p>
    <w:p w14:paraId="72D90017">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（1）施工场地四周</w:t>
      </w:r>
      <w:r>
        <w:rPr>
          <w:rFonts w:hint="eastAsia" w:ascii="宋体" w:hAnsi="宋体" w:eastAsia="宋体" w:cs="宋体"/>
          <w:color w:val="000000"/>
          <w:sz w:val="21"/>
          <w:szCs w:val="21"/>
          <w:highlight w:val="none"/>
          <w:lang w:val="en-US" w:eastAsia="zh-CN"/>
        </w:rPr>
        <w:t>设置</w:t>
      </w:r>
      <w:r>
        <w:rPr>
          <w:rFonts w:hint="eastAsia" w:ascii="宋体" w:hAnsi="宋体" w:eastAsia="宋体" w:cs="宋体"/>
          <w:color w:val="000000"/>
          <w:sz w:val="21"/>
          <w:szCs w:val="21"/>
          <w:highlight w:val="none"/>
        </w:rPr>
        <w:t>彩条布围拦</w:t>
      </w:r>
      <w:r>
        <w:rPr>
          <w:rFonts w:hint="eastAsia" w:ascii="宋体" w:hAnsi="宋体" w:eastAsia="宋体" w:cs="宋体"/>
          <w:color w:val="000000"/>
          <w:sz w:val="21"/>
          <w:szCs w:val="21"/>
          <w:highlight w:val="none"/>
          <w:lang w:val="en-US" w:eastAsia="zh-CN"/>
        </w:rPr>
        <w:t>和风向标，安装井控装置，</w:t>
      </w:r>
      <w:r>
        <w:rPr>
          <w:rFonts w:hint="eastAsia" w:ascii="宋体" w:hAnsi="宋体" w:eastAsia="宋体" w:cs="宋体"/>
          <w:color w:val="000000"/>
          <w:sz w:val="21"/>
          <w:szCs w:val="21"/>
          <w:highlight w:val="none"/>
        </w:rPr>
        <w:t>并在各个方向设置警示牌。在施工场地显眼位置设立施工牌。</w:t>
      </w:r>
    </w:p>
    <w:p w14:paraId="010B4AAA">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钻探施工部门应按照国家和当地政府相关劳动保护法规和标准，为员工配备相应的劳动防护用品；应根据施工区域、季节和作业特点配备相应的急救药品；应保持机场和驻地环境卫生，定时清理垃圾，保持干净整洁，应有防鼠、防蝇、防蚊、防蛇等措施。应按照地质勘查安全生产规程相关要求做好用电、防风、防雷、防洪、防火等安全规定。</w:t>
      </w:r>
    </w:p>
    <w:p w14:paraId="11777F98">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3.</w:t>
      </w: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rPr>
        <w:t>钻探施工</w:t>
      </w:r>
    </w:p>
    <w:p w14:paraId="572AEA5C">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保护油气层要求</w:t>
      </w:r>
    </w:p>
    <w:p w14:paraId="62E1464D">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调查井钻井液相对密度的附加值规定，当实钻中出现油气侵严重，尤其是钻遇气层或其他复杂情况时，现场可根据随钻压力适时监测结果，尽量采用附加值中的低值，以实现近平衡钻井为原则，达到发现油气层和保护油气层的目的。确定合适的钻井液相对密度，以保证油气显示的敏感性、真实性和活跃性。钻井液中禁止添加任何具有荧光显示的物品，以避免对岩心造成污染。</w:t>
      </w:r>
    </w:p>
    <w:p w14:paraId="71905E94">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（2）钻井液工艺及维护管理</w:t>
      </w:r>
    </w:p>
    <w:p w14:paraId="60615C2F">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一开井段：开钻前应仔细检查钻井液循环系统、加重系统、固控系统，必须满足钻井需要。一开钻完后充分洗井，调整好钻井液性能，确保下表套、固井施工顺利。</w:t>
      </w:r>
    </w:p>
    <w:p w14:paraId="0B675876">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开井段：开钻前应认真清淘沉砂箱及上水罐，清除沉淀物。同时开动固控设备，彻底清除一开泥浆中的劣质固相。二开完钻时，保持合适的密度与结构粘度，并充分循环带砂，彻底净化井眼，保证通井及下套管等作业顺利完成。</w:t>
      </w:r>
    </w:p>
    <w:p w14:paraId="49B41DCA">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三开井段：三开钻进前，将钻灰塞时被污染的钻井液放掉，按照设计配方配置钻井液。</w:t>
      </w:r>
    </w:p>
    <w:p w14:paraId="375AB91F">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泥浆的维护处理依靠泥浆净化器配套的振动筛和旋流除砂器除砂，依靠离心机清除细颗粒岩粉，并同时使用宽、长无坡度的循环槽沉淀岩屑，小班人工清理泥浆。</w:t>
      </w:r>
    </w:p>
    <w:p w14:paraId="600CAD3E">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每班在交接班各测量一次泥浆的全套性能，遇复杂情况或有油气显示时要加密测量并填入报表。</w:t>
      </w:r>
    </w:p>
    <w:p w14:paraId="394A0B5E">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(3)取心施工技术</w:t>
      </w:r>
    </w:p>
    <w:p w14:paraId="2810BAFA">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取心层段</w:t>
      </w:r>
    </w:p>
    <w:p w14:paraId="3A54DD40">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对目的层进行常规+密闭取心，取心层段、厚度根据实际钻遇地层情况及气测显示综合而定。</w:t>
      </w:r>
    </w:p>
    <w:p w14:paraId="02F0A323">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取心要求</w:t>
      </w:r>
    </w:p>
    <w:p w14:paraId="68D50801">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①岩心直径不小于98mm；岩心收获率不低于90%，若岩心收获率低于75%，需通过捞取岩屑，落实岩心缺失段岩性。</w:t>
      </w:r>
    </w:p>
    <w:p w14:paraId="41D02CE5">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②按照《钻井取心作业规程》(SY/T 5347-2016)等相关行业标准采集岩心。</w:t>
      </w:r>
    </w:p>
    <w:p w14:paraId="2C39C349">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③采用密闭取心时，使用高温密闭液，在下钻前必须测试密闭液性能，不符合要求不得下钻。</w:t>
      </w:r>
    </w:p>
    <w:p w14:paraId="497A9A3B">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④从岩心出筒到取样完毕，不得超过5分钟，要尽量减少岩样在空气中暴露时间。岩心出筒后，应用干净棉纱清除岩心上的密闭液及泥浆，禁止用任何流体洗涤，严防雨、水、泥等污染岩心。岩心出筒过程中不得使用明火烧烤岩心筒。所有岩心出筒后要按井深和顺序正确排放。</w:t>
      </w:r>
    </w:p>
    <w:p w14:paraId="0DA94EEC">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⑤钻井施工过程中，由钻井施工单位将岩心送入指定岩心库保存，岩心运送时，要妥善装箱，防止因颠簸发生岩心倒置、错位等事故的发生。</w:t>
      </w:r>
    </w:p>
    <w:p w14:paraId="064D958D">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取心技术措施及施工作业要求</w:t>
      </w:r>
    </w:p>
    <w:p w14:paraId="5E6AFE40">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①场地、人员要求</w:t>
      </w:r>
    </w:p>
    <w:p w14:paraId="59D2D834">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井场应提供一个拆装工具平台及专用取心器，便于烃源岩出筒装罐。</w:t>
      </w:r>
    </w:p>
    <w:p w14:paraId="7FDD046E">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井场夜间钻台、场地灯光照明度，必须满足取心作业要求。</w:t>
      </w:r>
    </w:p>
    <w:p w14:paraId="534506BE">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取心作业分工明确，各负其责，确保安全。</w:t>
      </w:r>
    </w:p>
    <w:p w14:paraId="6CC4CFCD">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取心专业技术人员负责钻台作业参数控制、绳索绞车的操作，并负责工具上下钻台的安全和拆卸、组装的技术指导。</w:t>
      </w:r>
    </w:p>
    <w:p w14:paraId="7EB0BC5A">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工具的调试、检查、维修、保养由专业取心人员实施。</w:t>
      </w:r>
    </w:p>
    <w:p w14:paraId="16816F8F">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②取心工具必须严格检查、丈量、计算、选配。组装工具后，调整好间隙。其它的辅助工具配套齐全完好。</w:t>
      </w:r>
    </w:p>
    <w:p w14:paraId="6DBA6538">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③必须在产层充分暴露、压稳、不漏、有安全的作业时间的情况下才能进行取心作业。取心前一趟钻必须充分循环钻井液并调整好性能，保证井底清洁和起下钻通畅。井场钻具在进行取心前应进行通径检查，保证内筒顺利通过。</w:t>
      </w:r>
    </w:p>
    <w:p w14:paraId="3DAAFE79">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④下钻操作平稳，严格控制下放速度，严禁猛刹、猛放，以防水眼堵塞。遇阻不得超过30kN，以冲洗为主，不得划眼强下，严重遇阻改用无心钻头通井划眼至畅通为止。下钻距井底3-5米，开泵循环，清洗井眼及内筒。</w:t>
      </w:r>
    </w:p>
    <w:p w14:paraId="7733E404">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⑤循环正常后，缓慢下放钻具到井底试转，轻压慢转后，树心钻进0.3-0.5米，再逐渐调整到最佳取心钻进参数。</w:t>
      </w:r>
    </w:p>
    <w:p w14:paraId="5D2FCE50">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⑥钻进中，不停泵、不停转盘、不上提钻具、不溜钻、不顿钻，尽量减少憋跳钻。要时刻注意钻压、泵压及转盘负荷的变化，认真观察、分析钻进中的相关情况，发现异常及时压井、割心起钻。</w:t>
      </w:r>
    </w:p>
    <w:p w14:paraId="6905A0DF">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⑦操作平稳、轻提、轻放、慢卸，防止钻具猛烈摆动。</w:t>
      </w:r>
    </w:p>
    <w:p w14:paraId="41282A17">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⑧起下钻时应控制速度，减小压力激动，确保井内稳定，不具备安全起下钻条件时不起钻。取心工具为常规川84-1取心筒和密闭取心工具。</w:t>
      </w:r>
    </w:p>
    <w:p w14:paraId="38619B43">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w:t>
      </w:r>
      <w:r>
        <w:rPr>
          <w:rFonts w:hint="eastAsia" w:ascii="宋体" w:hAnsi="宋体" w:eastAsia="宋体" w:cs="宋体"/>
          <w:color w:val="000000"/>
          <w:sz w:val="21"/>
          <w:szCs w:val="21"/>
          <w:highlight w:val="none"/>
        </w:rPr>
        <w:t>▲</w:t>
      </w:r>
      <w:r>
        <w:rPr>
          <w:rFonts w:hint="eastAsia" w:ascii="宋体" w:hAnsi="宋体" w:eastAsia="宋体" w:cs="宋体"/>
          <w:b/>
          <w:sz w:val="21"/>
          <w:szCs w:val="21"/>
          <w:highlight w:val="none"/>
        </w:rPr>
        <w:t>岩心保管</w:t>
      </w:r>
    </w:p>
    <w:p w14:paraId="0B0D093B">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成交供应商应对钻探场地的岩心进行保管，避免倾倒、雨水浸泡等，直至采购人项目组接收入库。</w:t>
      </w:r>
    </w:p>
    <w:p w14:paraId="6DB03A3B">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w:t>
      </w:r>
      <w:r>
        <w:rPr>
          <w:rFonts w:hint="eastAsia" w:ascii="宋体" w:hAnsi="宋体" w:eastAsia="宋体" w:cs="宋体"/>
          <w:color w:val="000000"/>
          <w:sz w:val="21"/>
          <w:szCs w:val="21"/>
          <w:highlight w:val="none"/>
        </w:rPr>
        <w:t>▲</w:t>
      </w:r>
      <w:r>
        <w:rPr>
          <w:rFonts w:hint="eastAsia" w:ascii="宋体" w:hAnsi="宋体" w:eastAsia="宋体" w:cs="宋体"/>
          <w:b/>
          <w:sz w:val="21"/>
          <w:szCs w:val="21"/>
          <w:highlight w:val="none"/>
        </w:rPr>
        <w:t>地方关系协调</w:t>
      </w:r>
    </w:p>
    <w:p w14:paraId="596EC6EE">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钻机进场前需与当地村委、场地所属村民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当地自然资源局、应急管理局</w:t>
      </w:r>
      <w:r>
        <w:rPr>
          <w:rFonts w:hint="eastAsia" w:ascii="宋体" w:hAnsi="宋体" w:eastAsia="宋体" w:cs="宋体"/>
          <w:sz w:val="21"/>
          <w:szCs w:val="21"/>
          <w:highlight w:val="none"/>
        </w:rPr>
        <w:t>进行协调，采购人项目组可提供协助，经当地同意后方可进场施工，由此产生的施工场地使用费、青苗补偿费、村民的误耕误工等费用</w:t>
      </w:r>
      <w:r>
        <w:rPr>
          <w:rFonts w:hint="eastAsia" w:ascii="宋体" w:hAnsi="宋体" w:eastAsia="宋体" w:cs="宋体"/>
          <w:sz w:val="21"/>
          <w:szCs w:val="21"/>
          <w:highlight w:val="none"/>
        </w:rPr>
        <w:t>由成交供应商承担</w:t>
      </w:r>
      <w:r>
        <w:rPr>
          <w:rFonts w:hint="eastAsia" w:ascii="宋体" w:hAnsi="宋体" w:eastAsia="宋体" w:cs="宋体"/>
          <w:sz w:val="21"/>
          <w:szCs w:val="21"/>
          <w:highlight w:val="none"/>
        </w:rPr>
        <w:t>。</w:t>
      </w:r>
    </w:p>
    <w:p w14:paraId="6E7F81F2">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6.其他需要说明的问题</w:t>
      </w:r>
    </w:p>
    <w:p w14:paraId="7F562F57">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 </w:t>
      </w:r>
      <w:r>
        <w:rPr>
          <w:rFonts w:hint="eastAsia" w:ascii="宋体" w:hAnsi="宋体" w:eastAsia="宋体" w:cs="宋体"/>
          <w:sz w:val="21"/>
          <w:szCs w:val="21"/>
          <w:highlight w:val="none"/>
          <w:lang w:val="en-US" w:eastAsia="zh-CN"/>
        </w:rPr>
        <w:t>钻井</w:t>
      </w:r>
      <w:r>
        <w:rPr>
          <w:rFonts w:hint="eastAsia" w:ascii="宋体" w:hAnsi="宋体" w:eastAsia="宋体" w:cs="宋体"/>
          <w:sz w:val="21"/>
          <w:szCs w:val="21"/>
          <w:highlight w:val="none"/>
        </w:rPr>
        <w:t>施工过程中</w:t>
      </w:r>
      <w:r>
        <w:rPr>
          <w:rFonts w:hint="eastAsia" w:ascii="宋体" w:hAnsi="宋体" w:eastAsia="宋体" w:cs="宋体"/>
          <w:sz w:val="21"/>
          <w:szCs w:val="21"/>
          <w:highlight w:val="none"/>
          <w:lang w:val="en-US" w:eastAsia="zh-CN"/>
        </w:rPr>
        <w:t>根据地层的变化情况，一开、二开、三开深度及开次可能存在调整，以</w:t>
      </w:r>
      <w:r>
        <w:rPr>
          <w:rFonts w:hint="eastAsia" w:ascii="宋体" w:hAnsi="宋体" w:eastAsia="宋体" w:cs="宋体"/>
          <w:sz w:val="21"/>
          <w:szCs w:val="21"/>
          <w:highlight w:val="none"/>
        </w:rPr>
        <w:t>“边施工、边调整”</w:t>
      </w:r>
      <w:r>
        <w:rPr>
          <w:rFonts w:hint="eastAsia" w:ascii="宋体" w:hAnsi="宋体" w:eastAsia="宋体" w:cs="宋体"/>
          <w:sz w:val="21"/>
          <w:szCs w:val="21"/>
          <w:highlight w:val="none"/>
          <w:lang w:val="en-US" w:eastAsia="zh-CN"/>
        </w:rPr>
        <w:t>为</w:t>
      </w:r>
      <w:r>
        <w:rPr>
          <w:rFonts w:hint="eastAsia" w:ascii="宋体" w:hAnsi="宋体" w:eastAsia="宋体" w:cs="宋体"/>
          <w:sz w:val="21"/>
          <w:szCs w:val="21"/>
          <w:highlight w:val="none"/>
        </w:rPr>
        <w:t>原则，</w:t>
      </w:r>
      <w:r>
        <w:rPr>
          <w:rFonts w:hint="eastAsia" w:ascii="宋体" w:hAnsi="宋体" w:eastAsia="宋体" w:cs="宋体"/>
          <w:sz w:val="21"/>
          <w:szCs w:val="21"/>
          <w:highlight w:val="none"/>
          <w:lang w:val="en-US" w:eastAsia="zh-CN"/>
        </w:rPr>
        <w:t>若遇复杂情况三开可增加至4开，</w:t>
      </w:r>
      <w:r>
        <w:rPr>
          <w:rFonts w:hint="eastAsia" w:ascii="宋体" w:hAnsi="宋体" w:eastAsia="宋体" w:cs="宋体"/>
          <w:sz w:val="21"/>
          <w:szCs w:val="21"/>
          <w:highlight w:val="none"/>
        </w:rPr>
        <w:t>以便有效的达到预期目的。</w:t>
      </w:r>
    </w:p>
    <w:p w14:paraId="71F6CDA8">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项目实施过程中要坚持生态保护优先，大力推进绿色勘查。项目实施过程中，施工废料、生活垃圾等固体废物必须分类管理，回收利用，及时清理，并按相关规定现场处置或外运处理，保持现场干净整洁；施工结束后要及时对钻探工程（新修路、钻机机坪沉沙池等）进行回填，并种植树木、植被，进行复原，保护生态环境。</w:t>
      </w:r>
    </w:p>
    <w:p w14:paraId="2E20FFB4">
      <w:pPr>
        <w:pStyle w:val="33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六、预期工作成果</w:t>
      </w:r>
    </w:p>
    <w:p w14:paraId="42F5B576">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1.纸介质</w:t>
      </w:r>
    </w:p>
    <w:p w14:paraId="45D42706">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钻井工程班报表。</w:t>
      </w:r>
    </w:p>
    <w:p w14:paraId="2131E79D">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钻井液班报表。</w:t>
      </w:r>
    </w:p>
    <w:p w14:paraId="64C1D786">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钻井液完井小结。</w:t>
      </w:r>
    </w:p>
    <w:p w14:paraId="071F70B7">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定向实钻记录表。</w:t>
      </w:r>
    </w:p>
    <w:p w14:paraId="083DBD23">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井深校正记录。</w:t>
      </w:r>
    </w:p>
    <w:p w14:paraId="660242C4">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钻具记录。</w:t>
      </w:r>
    </w:p>
    <w:p w14:paraId="0705AFD9">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指重表记录卡片。</w:t>
      </w:r>
    </w:p>
    <w:p w14:paraId="73881194">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测斜记录卡。</w:t>
      </w:r>
    </w:p>
    <w:p w14:paraId="28B9F632">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钻井液：小型实验记录，维护处理记录、处理剂消耗记录台帐。</w:t>
      </w:r>
    </w:p>
    <w:p w14:paraId="3ADFABE2">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事故报告及处理事故技术总结。</w:t>
      </w:r>
    </w:p>
    <w:p w14:paraId="2B3A7597">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处理复杂情况记录、报告及技术总结。</w:t>
      </w:r>
    </w:p>
    <w:p w14:paraId="7ADDD2D0">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固井施工设计、施工记录和固井总结。</w:t>
      </w:r>
    </w:p>
    <w:p w14:paraId="5031E8CA">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井口装置试压记录。</w:t>
      </w:r>
    </w:p>
    <w:p w14:paraId="52395E0F">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钻井井史。</w:t>
      </w:r>
    </w:p>
    <w:p w14:paraId="3F5F2401">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钻井工程总结报告。</w:t>
      </w:r>
    </w:p>
    <w:p w14:paraId="48687EAC">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入井套管原始记录。</w:t>
      </w:r>
    </w:p>
    <w:p w14:paraId="0B680F77">
      <w:pPr>
        <w:pStyle w:val="334"/>
        <w:keepNext w:val="0"/>
        <w:keepLines w:val="0"/>
        <w:pageBreakBefore w:val="0"/>
        <w:kinsoku/>
        <w:wordWrap/>
        <w:overflowPunct/>
        <w:topLinePunct w:val="0"/>
        <w:autoSpaceDE/>
        <w:autoSpaceDN/>
        <w:bidi w:val="0"/>
        <w:adjustRightInd/>
        <w:snapToGrid/>
        <w:spacing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2.实物</w:t>
      </w:r>
    </w:p>
    <w:p w14:paraId="644C3569">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钻孔岩心</w:t>
      </w:r>
      <w:r>
        <w:rPr>
          <w:rFonts w:hint="eastAsia" w:ascii="宋体" w:hAnsi="宋体" w:eastAsia="宋体" w:cs="宋体"/>
          <w:sz w:val="21"/>
          <w:szCs w:val="21"/>
          <w:highlight w:val="none"/>
          <w:lang w:val="en-US" w:eastAsia="zh-CN"/>
        </w:rPr>
        <w:t>和岩屑</w:t>
      </w:r>
      <w:r>
        <w:rPr>
          <w:rFonts w:hint="eastAsia" w:ascii="宋体" w:hAnsi="宋体" w:eastAsia="宋体" w:cs="宋体"/>
          <w:sz w:val="21"/>
          <w:szCs w:val="21"/>
          <w:highlight w:val="none"/>
        </w:rPr>
        <w:t>。</w:t>
      </w:r>
    </w:p>
    <w:p w14:paraId="41695847">
      <w:pPr>
        <w:pStyle w:val="33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七、服务期要求</w:t>
      </w:r>
    </w:p>
    <w:p w14:paraId="68A262B0">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w:t>
      </w:r>
      <w:r>
        <w:rPr>
          <w:rFonts w:hint="eastAsia" w:ascii="宋体" w:hAnsi="宋体" w:eastAsia="宋体" w:cs="宋体"/>
          <w:sz w:val="21"/>
          <w:szCs w:val="21"/>
          <w:highlight w:val="none"/>
          <w:lang w:val="en-US" w:eastAsia="zh-CN"/>
        </w:rPr>
        <w:t>120</w:t>
      </w:r>
      <w:r>
        <w:rPr>
          <w:rFonts w:hint="eastAsia" w:ascii="宋体" w:hAnsi="宋体" w:eastAsia="宋体" w:cs="宋体"/>
          <w:sz w:val="21"/>
          <w:szCs w:val="21"/>
          <w:highlight w:val="none"/>
        </w:rPr>
        <w:t>天内完成。</w:t>
      </w:r>
    </w:p>
    <w:p w14:paraId="0EF7597F">
      <w:pPr>
        <w:pStyle w:val="33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八、安全、保密要求</w:t>
      </w:r>
    </w:p>
    <w:p w14:paraId="2B11FECB">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1.成交供应商施工期间确保野外文明、安全施工，确保不发生安全事故。</w:t>
      </w:r>
    </w:p>
    <w:p w14:paraId="796D6483">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2.成交供应商应严格遵守国家有关保密法律法规，采取有效的保密措施，严防泄密。各项资料所有权均属采购人，未经采购人许可，不得复制、转让、转借或转抄，不在公众场所</w:t>
      </w:r>
      <w:r>
        <w:rPr>
          <w:rFonts w:hint="eastAsia" w:ascii="宋体" w:hAnsi="宋体" w:eastAsia="宋体" w:cs="宋体"/>
          <w:sz w:val="21"/>
          <w:szCs w:val="21"/>
          <w:highlight w:val="none"/>
        </w:rPr>
        <w:t>展示，不在互联网上登载，成交供应商不得以任何形式向第三方提供。</w:t>
      </w:r>
    </w:p>
    <w:p w14:paraId="1E7F1842">
      <w:pPr>
        <w:pStyle w:val="33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九、验收要求</w:t>
      </w:r>
    </w:p>
    <w:p w14:paraId="39F45D9F">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钻探及配套工作全部完成后，20天内提交钻探工作成果报告。由采购人技术负责人组织验收。</w:t>
      </w:r>
    </w:p>
    <w:p w14:paraId="709AC99F">
      <w:pPr>
        <w:pStyle w:val="33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十、付款方式</w:t>
      </w:r>
    </w:p>
    <w:p w14:paraId="1AD50D6A">
      <w:pPr>
        <w:pStyle w:val="33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按照合同约定支付</w:t>
      </w:r>
    </w:p>
    <w:p w14:paraId="03DDA7E6">
      <w:pPr>
        <w:rPr>
          <w:highlight w:val="none"/>
        </w:rPr>
      </w:pPr>
    </w:p>
    <w:p w14:paraId="0BCF7F21">
      <w:pPr>
        <w:keepNext w:val="0"/>
        <w:keepLines w:val="0"/>
        <w:pageBreakBefore w:val="0"/>
        <w:widowControl w:val="0"/>
        <w:kinsoku/>
        <w:wordWrap/>
        <w:autoSpaceDE/>
        <w:autoSpaceDN/>
        <w:bidi w:val="0"/>
        <w:adjustRightInd/>
        <w:snapToGrid/>
        <w:spacing w:line="360" w:lineRule="auto"/>
        <w:textAlignment w:val="auto"/>
        <w:rPr>
          <w:rFonts w:hint="eastAsia" w:ascii="宋体" w:hAnsi="宋体" w:eastAsia="宋体" w:cs="宋体"/>
          <w:color w:val="auto"/>
          <w:spacing w:val="1"/>
          <w:highlight w:val="none"/>
          <w:lang w:eastAsia="zh-CN"/>
        </w:rPr>
      </w:pPr>
    </w:p>
    <w:p w14:paraId="281ECC47">
      <w:pPr>
        <w:rPr>
          <w:color w:val="auto"/>
          <w:highlight w:val="none"/>
        </w:rPr>
      </w:pPr>
    </w:p>
    <w:p w14:paraId="2051C4D9">
      <w:pPr>
        <w:rPr>
          <w:rFonts w:hint="eastAsia"/>
          <w:color w:val="auto"/>
          <w:highlight w:val="none"/>
          <w:lang w:eastAsia="zh-CN"/>
        </w:rPr>
      </w:pPr>
    </w:p>
    <w:p w14:paraId="202C33A5">
      <w:pPr>
        <w:pStyle w:val="2"/>
        <w:jc w:val="both"/>
        <w:rPr>
          <w:color w:val="auto"/>
          <w:highlight w:val="none"/>
          <w:lang w:eastAsia="zh-CN"/>
        </w:rPr>
      </w:pPr>
    </w:p>
    <w:p w14:paraId="44EBB82C">
      <w:pPr>
        <w:widowControl/>
        <w:jc w:val="left"/>
        <w:rPr>
          <w:rFonts w:hint="eastAsia" w:ascii="仿宋" w:hAnsi="仿宋" w:eastAsia="仿宋"/>
          <w:b/>
          <w:bCs/>
          <w:color w:val="auto"/>
          <w:sz w:val="32"/>
          <w:szCs w:val="32"/>
          <w:highlight w:val="none"/>
          <w:lang w:eastAsia="zh-CN"/>
        </w:rPr>
      </w:pPr>
    </w:p>
    <w:p w14:paraId="2DFDA84B">
      <w:pPr>
        <w:rPr>
          <w:rFonts w:hint="eastAsia" w:ascii="仿宋" w:hAnsi="仿宋" w:eastAsia="仿宋"/>
          <w:b/>
          <w:bCs/>
          <w:color w:val="auto"/>
          <w:sz w:val="44"/>
          <w:szCs w:val="44"/>
          <w:highlight w:val="none"/>
          <w:lang w:val="en-US" w:eastAsia="zh-CN"/>
        </w:rPr>
      </w:pPr>
      <w:r>
        <w:rPr>
          <w:rFonts w:hint="eastAsia" w:ascii="仿宋" w:hAnsi="仿宋" w:eastAsia="仿宋"/>
          <w:b/>
          <w:bCs/>
          <w:color w:val="auto"/>
          <w:sz w:val="44"/>
          <w:szCs w:val="44"/>
          <w:highlight w:val="none"/>
          <w:lang w:val="en-US" w:eastAsia="zh-CN"/>
        </w:rPr>
        <w:br w:type="page"/>
      </w:r>
    </w:p>
    <w:p w14:paraId="749243E9">
      <w:pPr>
        <w:pStyle w:val="3"/>
        <w:rPr>
          <w:rFonts w:ascii="宋体" w:hAnsi="宋体"/>
          <w:color w:val="auto"/>
          <w:highlight w:val="none"/>
        </w:rPr>
      </w:pPr>
      <w:bookmarkStart w:id="48" w:name="_Toc161933895"/>
      <w:r>
        <w:rPr>
          <w:rFonts w:hint="eastAsia" w:ascii="宋体" w:hAnsi="宋体"/>
          <w:color w:val="auto"/>
          <w:highlight w:val="none"/>
        </w:rPr>
        <w:t xml:space="preserve">第五章  </w:t>
      </w:r>
      <w:bookmarkEnd w:id="46"/>
      <w:bookmarkEnd w:id="47"/>
      <w:r>
        <w:rPr>
          <w:rFonts w:hint="eastAsia" w:ascii="宋体" w:hAnsi="宋体"/>
          <w:color w:val="auto"/>
          <w:highlight w:val="none"/>
        </w:rPr>
        <w:t>投标文件格式</w:t>
      </w:r>
      <w:bookmarkEnd w:id="48"/>
    </w:p>
    <w:p w14:paraId="3EAB7520">
      <w:pPr>
        <w:adjustRightInd w:val="0"/>
        <w:snapToGrid w:val="0"/>
        <w:spacing w:line="400" w:lineRule="atLeast"/>
        <w:jc w:val="center"/>
        <w:rPr>
          <w:rFonts w:ascii="宋体" w:hAnsi="宋体"/>
          <w:bCs/>
          <w:color w:val="auto"/>
          <w:sz w:val="52"/>
          <w:szCs w:val="52"/>
          <w:highlight w:val="none"/>
        </w:rPr>
      </w:pPr>
    </w:p>
    <w:p w14:paraId="55835E29">
      <w:pPr>
        <w:adjustRightInd w:val="0"/>
        <w:snapToGrid w:val="0"/>
        <w:spacing w:line="400" w:lineRule="atLeast"/>
        <w:jc w:val="center"/>
        <w:rPr>
          <w:rFonts w:ascii="宋体" w:hAnsi="宋体"/>
          <w:bCs/>
          <w:color w:val="auto"/>
          <w:sz w:val="44"/>
          <w:szCs w:val="44"/>
          <w:highlight w:val="none"/>
        </w:rPr>
        <w:sectPr>
          <w:footerReference r:id="rId6" w:type="default"/>
          <w:type w:val="continuous"/>
          <w:pgSz w:w="11906" w:h="16838"/>
          <w:pgMar w:top="1440" w:right="1797" w:bottom="1440" w:left="1797" w:header="851" w:footer="992" w:gutter="0"/>
          <w:pgNumType w:fmt="decimal" w:start="1"/>
          <w:cols w:space="720" w:num="1"/>
          <w:docGrid w:linePitch="312" w:charSpace="0"/>
        </w:sectPr>
      </w:pPr>
    </w:p>
    <w:p w14:paraId="690A7C41">
      <w:pPr>
        <w:adjustRightInd w:val="0"/>
        <w:snapToGrid w:val="0"/>
        <w:spacing w:line="400" w:lineRule="atLeast"/>
        <w:jc w:val="center"/>
        <w:rPr>
          <w:rFonts w:ascii="宋体" w:hAnsi="宋体"/>
          <w:bCs/>
          <w:color w:val="auto"/>
          <w:sz w:val="52"/>
          <w:szCs w:val="52"/>
          <w:highlight w:val="none"/>
        </w:rPr>
      </w:pPr>
    </w:p>
    <w:p w14:paraId="19EBF6ED">
      <w:pPr>
        <w:adjustRightInd w:val="0"/>
        <w:snapToGrid w:val="0"/>
        <w:spacing w:line="400" w:lineRule="atLeast"/>
        <w:jc w:val="center"/>
        <w:rPr>
          <w:rFonts w:ascii="宋体" w:hAnsi="宋体"/>
          <w:bCs/>
          <w:color w:val="auto"/>
          <w:sz w:val="52"/>
          <w:szCs w:val="52"/>
          <w:highlight w:val="none"/>
        </w:rPr>
      </w:pPr>
    </w:p>
    <w:p w14:paraId="10628DAD">
      <w:pPr>
        <w:adjustRightInd w:val="0"/>
        <w:snapToGrid w:val="0"/>
        <w:spacing w:line="400" w:lineRule="atLeast"/>
        <w:jc w:val="center"/>
        <w:rPr>
          <w:rFonts w:ascii="宋体" w:hAnsi="宋体"/>
          <w:bCs/>
          <w:color w:val="auto"/>
          <w:sz w:val="48"/>
          <w:szCs w:val="48"/>
          <w:highlight w:val="none"/>
        </w:rPr>
      </w:pPr>
      <w:r>
        <w:rPr>
          <w:rFonts w:hint="eastAsia" w:ascii="宋体" w:hAnsi="宋体"/>
          <w:bCs/>
          <w:color w:val="auto"/>
          <w:sz w:val="48"/>
          <w:szCs w:val="48"/>
          <w:highlight w:val="none"/>
        </w:rPr>
        <w:t>投 标 文 件</w:t>
      </w:r>
    </w:p>
    <w:p w14:paraId="3FB09DB4">
      <w:pPr>
        <w:snapToGrid w:val="0"/>
        <w:spacing w:before="120" w:beforeLines="50" w:after="50"/>
        <w:jc w:val="center"/>
        <w:rPr>
          <w:rFonts w:ascii="宋体" w:hAnsi="宋体"/>
          <w:b/>
          <w:bCs/>
          <w:color w:val="auto"/>
          <w:sz w:val="28"/>
          <w:szCs w:val="28"/>
          <w:highlight w:val="none"/>
        </w:rPr>
      </w:pPr>
    </w:p>
    <w:p w14:paraId="3BCA7139">
      <w:pPr>
        <w:snapToGrid w:val="0"/>
        <w:spacing w:before="120" w:beforeLines="50" w:after="50"/>
        <w:jc w:val="center"/>
        <w:rPr>
          <w:rFonts w:ascii="宋体" w:hAnsi="宋体"/>
          <w:b/>
          <w:bCs/>
          <w:color w:val="auto"/>
          <w:sz w:val="28"/>
          <w:szCs w:val="28"/>
          <w:highlight w:val="none"/>
        </w:rPr>
      </w:pPr>
    </w:p>
    <w:p w14:paraId="5735AFA8">
      <w:pPr>
        <w:spacing w:before="240" w:beforeLines="100"/>
        <w:jc w:val="center"/>
        <w:rPr>
          <w:rFonts w:ascii="宋体" w:hAnsi="宋体"/>
          <w:b/>
          <w:color w:val="auto"/>
          <w:sz w:val="44"/>
          <w:szCs w:val="44"/>
          <w:highlight w:val="none"/>
        </w:rPr>
      </w:pPr>
    </w:p>
    <w:p w14:paraId="470ACD1E">
      <w:pPr>
        <w:rPr>
          <w:rFonts w:ascii="宋体" w:hAnsi="宋体"/>
          <w:color w:val="auto"/>
          <w:sz w:val="28"/>
          <w:szCs w:val="28"/>
          <w:highlight w:val="none"/>
        </w:rPr>
      </w:pPr>
    </w:p>
    <w:p w14:paraId="0CA180EF">
      <w:pPr>
        <w:snapToGrid w:val="0"/>
        <w:spacing w:before="240" w:beforeLines="100" w:after="240" w:afterLines="100" w:line="360" w:lineRule="auto"/>
        <w:ind w:firstLine="993" w:firstLineChars="412"/>
        <w:rPr>
          <w:rFonts w:ascii="宋体" w:hAnsi="宋体"/>
          <w:b/>
          <w:bCs/>
          <w:color w:val="auto"/>
          <w:sz w:val="24"/>
          <w:highlight w:val="none"/>
        </w:rPr>
      </w:pPr>
      <w:r>
        <w:rPr>
          <w:rFonts w:hint="eastAsia" w:ascii="宋体" w:hAnsi="宋体"/>
          <w:b/>
          <w:bCs/>
          <w:color w:val="auto"/>
          <w:sz w:val="24"/>
          <w:highlight w:val="none"/>
        </w:rPr>
        <w:t>项目名称：</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p>
    <w:p w14:paraId="5410D375">
      <w:pPr>
        <w:snapToGrid w:val="0"/>
        <w:spacing w:before="240" w:beforeLines="100" w:after="240" w:afterLines="100" w:line="360" w:lineRule="auto"/>
        <w:ind w:firstLine="985" w:firstLineChars="409"/>
        <w:rPr>
          <w:rFonts w:ascii="宋体" w:hAnsi="宋体"/>
          <w:b/>
          <w:bCs/>
          <w:color w:val="auto"/>
          <w:sz w:val="24"/>
          <w:highlight w:val="none"/>
        </w:rPr>
      </w:pPr>
      <w:r>
        <w:rPr>
          <w:rFonts w:hint="eastAsia" w:ascii="宋体" w:hAnsi="宋体"/>
          <w:b/>
          <w:bCs/>
          <w:color w:val="auto"/>
          <w:sz w:val="24"/>
          <w:highlight w:val="none"/>
        </w:rPr>
        <w:t>项目编号：</w:t>
      </w:r>
      <w:r>
        <w:rPr>
          <w:rFonts w:hint="eastAsia" w:ascii="宋体" w:hAnsi="宋体"/>
          <w:b/>
          <w:bCs/>
          <w:color w:val="auto"/>
          <w:sz w:val="24"/>
          <w:highlight w:val="none"/>
          <w:u w:val="single"/>
        </w:rPr>
        <w:t xml:space="preserve">                                  </w:t>
      </w:r>
      <w:r>
        <w:rPr>
          <w:rFonts w:ascii="宋体" w:hAnsi="宋体"/>
          <w:b/>
          <w:bCs/>
          <w:color w:val="auto"/>
          <w:sz w:val="24"/>
          <w:highlight w:val="none"/>
        </w:rPr>
        <w:t xml:space="preserve"> </w:t>
      </w:r>
      <w:r>
        <w:rPr>
          <w:rFonts w:hint="eastAsia" w:ascii="宋体" w:hAnsi="宋体"/>
          <w:b/>
          <w:bCs/>
          <w:color w:val="auto"/>
          <w:sz w:val="24"/>
          <w:highlight w:val="none"/>
        </w:rPr>
        <w:t xml:space="preserve">    </w:t>
      </w:r>
    </w:p>
    <w:p w14:paraId="26DFA887">
      <w:pPr>
        <w:snapToGrid w:val="0"/>
        <w:spacing w:before="240" w:beforeLines="100" w:after="240" w:afterLines="100" w:line="360" w:lineRule="auto"/>
        <w:ind w:firstLine="985" w:firstLineChars="409"/>
        <w:rPr>
          <w:rFonts w:ascii="宋体" w:hAnsi="宋体"/>
          <w:b/>
          <w:bCs/>
          <w:color w:val="auto"/>
          <w:sz w:val="24"/>
          <w:highlight w:val="none"/>
          <w:u w:val="single"/>
        </w:rPr>
      </w:pPr>
      <w:r>
        <w:rPr>
          <w:rFonts w:hint="eastAsia" w:ascii="宋体" w:hAnsi="宋体"/>
          <w:b/>
          <w:bCs/>
          <w:color w:val="auto"/>
          <w:sz w:val="24"/>
          <w:highlight w:val="none"/>
        </w:rPr>
        <w:t>投标内容：</w:t>
      </w:r>
      <w:r>
        <w:rPr>
          <w:rFonts w:hint="eastAsia" w:ascii="宋体" w:hAnsi="宋体"/>
          <w:b/>
          <w:bCs/>
          <w:color w:val="auto"/>
          <w:sz w:val="24"/>
          <w:highlight w:val="none"/>
          <w:u w:val="single"/>
        </w:rPr>
        <w:t xml:space="preserve">                                  </w:t>
      </w:r>
    </w:p>
    <w:p w14:paraId="135E0E84">
      <w:pPr>
        <w:pStyle w:val="13"/>
        <w:snapToGrid w:val="0"/>
        <w:spacing w:before="240" w:beforeLines="100" w:after="240" w:afterLines="100" w:line="360" w:lineRule="auto"/>
        <w:ind w:firstLine="981" w:firstLineChars="407"/>
        <w:rPr>
          <w:rFonts w:ascii="宋体" w:hAnsi="宋体"/>
          <w:b/>
          <w:bCs/>
          <w:color w:val="auto"/>
          <w:sz w:val="24"/>
          <w:szCs w:val="24"/>
          <w:highlight w:val="none"/>
        </w:rPr>
      </w:pPr>
      <w:r>
        <w:rPr>
          <w:rFonts w:hint="eastAsia" w:ascii="宋体" w:hAnsi="宋体"/>
          <w:b/>
          <w:bCs/>
          <w:color w:val="auto"/>
          <w:sz w:val="24"/>
          <w:szCs w:val="24"/>
          <w:highlight w:val="none"/>
        </w:rPr>
        <w:t>投标人名称：</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加盖公章）</w:t>
      </w:r>
    </w:p>
    <w:p w14:paraId="4EF5A92B">
      <w:pPr>
        <w:pStyle w:val="13"/>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投标人地址：</w:t>
      </w:r>
      <w:r>
        <w:rPr>
          <w:rFonts w:hint="eastAsia" w:ascii="宋体" w:hAnsi="宋体"/>
          <w:b/>
          <w:bCs/>
          <w:color w:val="auto"/>
          <w:sz w:val="24"/>
          <w:szCs w:val="24"/>
          <w:highlight w:val="none"/>
          <w:u w:val="single"/>
        </w:rPr>
        <w:t xml:space="preserve">                                </w:t>
      </w:r>
    </w:p>
    <w:p w14:paraId="4ABB3912">
      <w:pPr>
        <w:pStyle w:val="13"/>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联</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系</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人：</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电</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话:</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p>
    <w:p w14:paraId="3B2161AB">
      <w:pPr>
        <w:snapToGrid w:val="0"/>
        <w:spacing w:before="120" w:beforeLines="50" w:after="50"/>
        <w:ind w:firstLine="628" w:firstLineChars="262"/>
        <w:rPr>
          <w:rFonts w:ascii="宋体" w:hAnsi="宋体"/>
          <w:bCs/>
          <w:color w:val="auto"/>
          <w:sz w:val="24"/>
          <w:highlight w:val="none"/>
        </w:rPr>
      </w:pPr>
    </w:p>
    <w:p w14:paraId="16BD2223">
      <w:pPr>
        <w:autoSpaceDE w:val="0"/>
        <w:autoSpaceDN w:val="0"/>
        <w:adjustRightInd w:val="0"/>
        <w:snapToGrid w:val="0"/>
        <w:spacing w:before="120" w:beforeLines="50" w:after="120" w:afterLines="50" w:line="360" w:lineRule="auto"/>
        <w:jc w:val="center"/>
        <w:rPr>
          <w:rFonts w:ascii="宋体" w:hAnsi="宋体"/>
          <w:b/>
          <w:color w:val="auto"/>
          <w:sz w:val="32"/>
          <w:szCs w:val="32"/>
          <w:highlight w:val="none"/>
        </w:rPr>
      </w:pPr>
      <w:r>
        <w:rPr>
          <w:rFonts w:ascii="宋体" w:hAnsi="宋体"/>
          <w:bCs/>
          <w:color w:val="auto"/>
          <w:sz w:val="24"/>
          <w:highlight w:val="none"/>
        </w:rPr>
        <w:t xml:space="preserve">     </w:t>
      </w:r>
      <w:bookmarkStart w:id="49" w:name="_Toc437365891"/>
      <w:bookmarkStart w:id="50" w:name="_Toc437365964"/>
      <w:bookmarkStart w:id="51" w:name="_Toc430714682"/>
      <w:bookmarkStart w:id="52" w:name="_Toc437359752"/>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 xml:space="preserve"> 月</w:t>
      </w:r>
      <w:r>
        <w:rPr>
          <w:rFonts w:ascii="宋体" w:hAnsi="宋体"/>
          <w:bCs/>
          <w:color w:val="auto"/>
          <w:sz w:val="24"/>
          <w:highlight w:val="none"/>
        </w:rPr>
        <w:t xml:space="preserve">  </w:t>
      </w:r>
      <w:r>
        <w:rPr>
          <w:rFonts w:hint="eastAsia" w:ascii="宋体" w:hAnsi="宋体"/>
          <w:bCs/>
          <w:color w:val="auto"/>
          <w:sz w:val="24"/>
          <w:highlight w:val="none"/>
        </w:rPr>
        <w:t xml:space="preserve"> 日</w:t>
      </w:r>
      <w:bookmarkEnd w:id="49"/>
      <w:bookmarkEnd w:id="50"/>
      <w:bookmarkEnd w:id="51"/>
      <w:bookmarkEnd w:id="52"/>
    </w:p>
    <w:p w14:paraId="429418A9">
      <w:pPr>
        <w:spacing w:line="360" w:lineRule="exact"/>
        <w:rPr>
          <w:rFonts w:ascii="宋体" w:hAnsi="宋体"/>
          <w:color w:val="auto"/>
          <w:highlight w:val="none"/>
        </w:rPr>
      </w:pPr>
    </w:p>
    <w:p w14:paraId="6E14E7D2">
      <w:pPr>
        <w:rPr>
          <w:rFonts w:ascii="宋体" w:hAnsi="宋体"/>
          <w:color w:val="auto"/>
          <w:highlight w:val="none"/>
        </w:rPr>
      </w:pPr>
      <w:r>
        <w:rPr>
          <w:rFonts w:ascii="宋体" w:hAnsi="宋体"/>
          <w:color w:val="auto"/>
          <w:highlight w:val="none"/>
        </w:rPr>
        <w:br w:type="page"/>
      </w:r>
    </w:p>
    <w:p w14:paraId="7EB0CC1A">
      <w:pPr>
        <w:adjustRightInd w:val="0"/>
        <w:snapToGrid w:val="0"/>
        <w:spacing w:line="360" w:lineRule="auto"/>
        <w:jc w:val="left"/>
        <w:rPr>
          <w:rFonts w:ascii="宋体" w:hAnsi="宋体"/>
          <w:b/>
          <w:color w:val="auto"/>
          <w:szCs w:val="21"/>
          <w:highlight w:val="none"/>
        </w:rPr>
      </w:pPr>
    </w:p>
    <w:p w14:paraId="3CFA5BB5">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一、资格性自查表</w:t>
      </w:r>
    </w:p>
    <w:p w14:paraId="59B17B4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二、投标函、投标声明</w:t>
      </w:r>
    </w:p>
    <w:p w14:paraId="75B3DA2C">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附件1：法定代表人身份证明(法定代表人参加投标)</w:t>
      </w:r>
    </w:p>
    <w:p w14:paraId="185D74A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附件2：法定代表人授权书(委托代理人参加投标)</w:t>
      </w:r>
    </w:p>
    <w:p w14:paraId="67997E63">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三、投标保证金</w:t>
      </w:r>
    </w:p>
    <w:p w14:paraId="0FB78BA1">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附件3：投标保证金</w:t>
      </w:r>
    </w:p>
    <w:p w14:paraId="2B6E12BE">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四</w:t>
      </w:r>
      <w:r>
        <w:rPr>
          <w:rFonts w:hint="eastAsia" w:ascii="宋体" w:hAnsi="宋体"/>
          <w:color w:val="auto"/>
          <w:sz w:val="21"/>
          <w:szCs w:val="21"/>
          <w:highlight w:val="none"/>
        </w:rPr>
        <w:t>、</w:t>
      </w:r>
      <w:r>
        <w:rPr>
          <w:rFonts w:hint="eastAsia" w:ascii="宋体" w:hAnsi="宋体"/>
          <w:b/>
          <w:color w:val="auto"/>
          <w:sz w:val="21"/>
          <w:szCs w:val="21"/>
          <w:highlight w:val="none"/>
        </w:rPr>
        <w:t>报价一览表报价明细表及报价说明</w:t>
      </w:r>
    </w:p>
    <w:p w14:paraId="3105F3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附件4：报价一览表</w:t>
      </w:r>
    </w:p>
    <w:p w14:paraId="601F921B">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附件5：</w:t>
      </w:r>
      <w:r>
        <w:rPr>
          <w:rFonts w:hint="eastAsia" w:ascii="宋体" w:hAnsi="宋体"/>
          <w:bCs/>
          <w:color w:val="auto"/>
          <w:szCs w:val="21"/>
          <w:highlight w:val="none"/>
        </w:rPr>
        <w:t>报价明细表及报价说明</w:t>
      </w:r>
    </w:p>
    <w:p w14:paraId="2088CB2A">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附件6</w:t>
      </w:r>
      <w:r>
        <w:rPr>
          <w:rFonts w:hint="eastAsia" w:ascii="宋体" w:hAnsi="宋体"/>
          <w:color w:val="auto"/>
          <w:szCs w:val="21"/>
          <w:highlight w:val="none"/>
        </w:rPr>
        <w:t>：</w:t>
      </w:r>
      <w:r>
        <w:rPr>
          <w:rFonts w:hint="eastAsia" w:ascii="宋体" w:hAnsi="宋体"/>
          <w:bCs/>
          <w:color w:val="auto"/>
          <w:szCs w:val="21"/>
          <w:highlight w:val="none"/>
        </w:rPr>
        <w:t>节能、环境标志产品证明材料</w:t>
      </w:r>
    </w:p>
    <w:p w14:paraId="770F532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附件7：中小企业声明函</w:t>
      </w:r>
    </w:p>
    <w:p w14:paraId="267C003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附件8：残疾人福利性单位声明函</w:t>
      </w:r>
    </w:p>
    <w:p w14:paraId="442E9E0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附件9：监狱企业声明函</w:t>
      </w:r>
    </w:p>
    <w:p w14:paraId="6B33B374">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五、投标人的资格审查材料</w:t>
      </w:r>
    </w:p>
    <w:p w14:paraId="710B47E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附件10：投标人基本情况表</w:t>
      </w:r>
    </w:p>
    <w:p w14:paraId="5F967B3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附件11：具备履行合同所必需的设备和专业技术能力的承诺</w:t>
      </w:r>
    </w:p>
    <w:p w14:paraId="334B7E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附件12：无重大违法记录声明书</w:t>
      </w:r>
    </w:p>
    <w:p w14:paraId="6CF7583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附件13：信用记录</w:t>
      </w:r>
    </w:p>
    <w:p w14:paraId="0CA4F6D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六、项目方案</w:t>
      </w:r>
    </w:p>
    <w:p w14:paraId="2324A7DC">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附件14：拟投入本项目的人员及设备一览表</w:t>
      </w:r>
    </w:p>
    <w:p w14:paraId="0CF6A0C6">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附件15：服务附表</w:t>
      </w:r>
    </w:p>
    <w:p w14:paraId="4C81BE07">
      <w:pPr>
        <w:adjustRightInd w:val="0"/>
        <w:snapToGrid w:val="0"/>
        <w:spacing w:line="360" w:lineRule="auto"/>
        <w:jc w:val="left"/>
        <w:rPr>
          <w:rFonts w:ascii="宋体" w:hAnsi="宋体"/>
          <w:color w:val="auto"/>
          <w:szCs w:val="21"/>
          <w:highlight w:val="none"/>
        </w:rPr>
      </w:pPr>
      <w:r>
        <w:rPr>
          <w:rFonts w:hint="eastAsia" w:ascii="宋体" w:hAnsi="宋体"/>
          <w:b/>
          <w:color w:val="auto"/>
          <w:szCs w:val="21"/>
          <w:highlight w:val="none"/>
        </w:rPr>
        <w:t>七、响应/偏离表</w:t>
      </w:r>
    </w:p>
    <w:p w14:paraId="38F5081B">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八、投标人认为需提供的其它资料</w:t>
      </w:r>
    </w:p>
    <w:p w14:paraId="6C835532">
      <w:pPr>
        <w:adjustRightInd w:val="0"/>
        <w:snapToGrid w:val="0"/>
        <w:spacing w:line="360" w:lineRule="auto"/>
        <w:rPr>
          <w:rFonts w:ascii="宋体" w:hAnsi="宋体"/>
          <w:b/>
          <w:color w:val="auto"/>
          <w:szCs w:val="21"/>
          <w:highlight w:val="none"/>
        </w:rPr>
      </w:pPr>
    </w:p>
    <w:p w14:paraId="6350EE86">
      <w:pPr>
        <w:adjustRightInd w:val="0"/>
        <w:snapToGrid w:val="0"/>
        <w:spacing w:line="360" w:lineRule="auto"/>
        <w:rPr>
          <w:rFonts w:ascii="宋体" w:hAnsi="宋体"/>
          <w:b/>
          <w:color w:val="auto"/>
          <w:szCs w:val="21"/>
          <w:highlight w:val="none"/>
        </w:rPr>
      </w:pPr>
    </w:p>
    <w:p w14:paraId="0C699BE4">
      <w:pPr>
        <w:adjustRightInd w:val="0"/>
        <w:snapToGrid w:val="0"/>
        <w:spacing w:line="360" w:lineRule="auto"/>
        <w:rPr>
          <w:rFonts w:ascii="宋体" w:hAnsi="宋体"/>
          <w:b/>
          <w:color w:val="auto"/>
          <w:highlight w:val="none"/>
        </w:rPr>
      </w:pPr>
      <w:r>
        <w:rPr>
          <w:rFonts w:ascii="宋体" w:hAnsi="宋体"/>
          <w:b/>
          <w:color w:val="auto"/>
          <w:szCs w:val="21"/>
          <w:highlight w:val="none"/>
        </w:rPr>
        <w:br w:type="page"/>
      </w:r>
    </w:p>
    <w:p w14:paraId="452CDFA3">
      <w:pPr>
        <w:spacing w:line="400" w:lineRule="exact"/>
        <w:jc w:val="center"/>
        <w:outlineLvl w:val="1"/>
        <w:rPr>
          <w:rFonts w:ascii="宋体" w:hAnsi="宋体" w:cs="宋体"/>
          <w:b/>
          <w:color w:val="auto"/>
          <w:sz w:val="24"/>
          <w:highlight w:val="none"/>
        </w:rPr>
      </w:pPr>
      <w:bookmarkStart w:id="53" w:name="_Toc161933896"/>
      <w:bookmarkStart w:id="54" w:name="_Toc433187366"/>
      <w:r>
        <w:rPr>
          <w:rFonts w:hint="eastAsia" w:ascii="宋体" w:hAnsi="宋体" w:cs="宋体"/>
          <w:b/>
          <w:color w:val="auto"/>
          <w:sz w:val="24"/>
          <w:highlight w:val="none"/>
        </w:rPr>
        <w:t>一、资格性自查表</w:t>
      </w:r>
      <w:bookmarkEnd w:id="53"/>
    </w:p>
    <w:p w14:paraId="424179A9">
      <w:pPr>
        <w:spacing w:line="400" w:lineRule="exact"/>
        <w:rPr>
          <w:rFonts w:ascii="宋体" w:hAnsi="宋体"/>
          <w:b/>
          <w:color w:val="auto"/>
          <w:highlight w:val="none"/>
        </w:rPr>
      </w:pPr>
    </w:p>
    <w:tbl>
      <w:tblPr>
        <w:tblStyle w:val="47"/>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41"/>
        <w:gridCol w:w="1275"/>
      </w:tblGrid>
      <w:tr w14:paraId="5F26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75D092C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6341" w:type="dxa"/>
            <w:vAlign w:val="center"/>
          </w:tcPr>
          <w:p w14:paraId="14C82E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审查因素</w:t>
            </w:r>
          </w:p>
        </w:tc>
        <w:tc>
          <w:tcPr>
            <w:tcW w:w="1275" w:type="dxa"/>
            <w:vAlign w:val="center"/>
          </w:tcPr>
          <w:p w14:paraId="4087693F">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投标文件中</w:t>
            </w:r>
          </w:p>
          <w:p w14:paraId="448F8FCC">
            <w:pPr>
              <w:topLinePunct/>
              <w:spacing w:line="440" w:lineRule="exact"/>
              <w:jc w:val="center"/>
              <w:rPr>
                <w:rFonts w:ascii="宋体" w:hAnsi="宋体"/>
                <w:color w:val="auto"/>
                <w:szCs w:val="21"/>
                <w:highlight w:val="none"/>
              </w:rPr>
            </w:pPr>
            <w:r>
              <w:rPr>
                <w:rFonts w:hint="eastAsia" w:ascii="宋体" w:hAnsi="宋体"/>
                <w:color w:val="auto"/>
                <w:szCs w:val="21"/>
                <w:highlight w:val="none"/>
              </w:rPr>
              <w:t>对应页码</w:t>
            </w:r>
          </w:p>
        </w:tc>
      </w:tr>
      <w:tr w14:paraId="2739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7BD85DD">
            <w:pPr>
              <w:topLinePunct/>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6341" w:type="dxa"/>
            <w:vAlign w:val="center"/>
          </w:tcPr>
          <w:p w14:paraId="51C850E8">
            <w:pPr>
              <w:topLinePunct/>
              <w:spacing w:line="440" w:lineRule="exact"/>
              <w:rPr>
                <w:rFonts w:ascii="宋体" w:hAnsi="宋体"/>
                <w:color w:val="auto"/>
                <w:szCs w:val="21"/>
                <w:highlight w:val="none"/>
              </w:rPr>
            </w:pPr>
            <w:r>
              <w:rPr>
                <w:rFonts w:hint="eastAsia" w:ascii="宋体" w:hAnsi="宋体"/>
                <w:color w:val="auto"/>
                <w:szCs w:val="21"/>
                <w:highlight w:val="none"/>
              </w:rPr>
              <w:t>有效的营业执照</w:t>
            </w:r>
          </w:p>
        </w:tc>
        <w:tc>
          <w:tcPr>
            <w:tcW w:w="1275" w:type="dxa"/>
            <w:vAlign w:val="center"/>
          </w:tcPr>
          <w:p w14:paraId="38CD622C">
            <w:pPr>
              <w:topLinePunct/>
              <w:spacing w:line="440" w:lineRule="exact"/>
              <w:jc w:val="center"/>
              <w:rPr>
                <w:rFonts w:ascii="宋体" w:hAnsi="宋体"/>
                <w:color w:val="auto"/>
                <w:szCs w:val="21"/>
                <w:highlight w:val="none"/>
              </w:rPr>
            </w:pPr>
          </w:p>
        </w:tc>
      </w:tr>
      <w:tr w14:paraId="378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CBF8A09">
            <w:pPr>
              <w:topLinePunct/>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6341" w:type="dxa"/>
            <w:vAlign w:val="center"/>
          </w:tcPr>
          <w:p w14:paraId="2EAFDBA8">
            <w:pPr>
              <w:topLinePunct/>
              <w:spacing w:line="440" w:lineRule="exact"/>
              <w:rPr>
                <w:rFonts w:ascii="宋体" w:hAnsi="宋体"/>
                <w:color w:val="auto"/>
                <w:szCs w:val="21"/>
                <w:highlight w:val="none"/>
              </w:rPr>
            </w:pPr>
            <w:r>
              <w:rPr>
                <w:rFonts w:hint="eastAsia" w:ascii="宋体" w:hAnsi="宋体"/>
                <w:color w:val="auto"/>
                <w:szCs w:val="21"/>
                <w:highlight w:val="none"/>
              </w:rPr>
              <w:t>上一年度经审计财务审计报告，或基本开户银行出具的资信证明</w:t>
            </w:r>
          </w:p>
        </w:tc>
        <w:tc>
          <w:tcPr>
            <w:tcW w:w="1275" w:type="dxa"/>
            <w:vAlign w:val="center"/>
          </w:tcPr>
          <w:p w14:paraId="2B17D526">
            <w:pPr>
              <w:topLinePunct/>
              <w:spacing w:line="440" w:lineRule="exact"/>
              <w:jc w:val="center"/>
              <w:rPr>
                <w:rFonts w:ascii="宋体" w:hAnsi="宋体"/>
                <w:color w:val="auto"/>
                <w:szCs w:val="21"/>
                <w:highlight w:val="none"/>
              </w:rPr>
            </w:pPr>
          </w:p>
        </w:tc>
      </w:tr>
      <w:tr w14:paraId="1E56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FE77D0C">
            <w:pPr>
              <w:topLinePunct/>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6341" w:type="dxa"/>
            <w:vAlign w:val="center"/>
          </w:tcPr>
          <w:p w14:paraId="42C4451B">
            <w:pPr>
              <w:topLinePunct/>
              <w:spacing w:line="440" w:lineRule="exact"/>
              <w:rPr>
                <w:rFonts w:ascii="宋体" w:hAnsi="宋体"/>
                <w:color w:val="auto"/>
                <w:szCs w:val="21"/>
                <w:highlight w:val="none"/>
              </w:rPr>
            </w:pPr>
            <w:r>
              <w:rPr>
                <w:rFonts w:hint="eastAsia" w:ascii="宋体" w:hAnsi="宋体"/>
                <w:color w:val="auto"/>
                <w:szCs w:val="21"/>
                <w:highlight w:val="none"/>
              </w:rPr>
              <w:t>缴纳税收证明</w:t>
            </w:r>
          </w:p>
        </w:tc>
        <w:tc>
          <w:tcPr>
            <w:tcW w:w="1275" w:type="dxa"/>
            <w:vAlign w:val="center"/>
          </w:tcPr>
          <w:p w14:paraId="0A8BC959">
            <w:pPr>
              <w:topLinePunct/>
              <w:spacing w:line="440" w:lineRule="exact"/>
              <w:jc w:val="center"/>
              <w:rPr>
                <w:rFonts w:ascii="宋体" w:hAnsi="宋体"/>
                <w:color w:val="auto"/>
                <w:szCs w:val="21"/>
                <w:highlight w:val="none"/>
              </w:rPr>
            </w:pPr>
          </w:p>
        </w:tc>
      </w:tr>
      <w:tr w14:paraId="6DF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BA53B19">
            <w:pPr>
              <w:topLinePunct/>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6341" w:type="dxa"/>
            <w:vAlign w:val="center"/>
          </w:tcPr>
          <w:p w14:paraId="531A2EEF">
            <w:pPr>
              <w:topLinePunct/>
              <w:spacing w:line="440" w:lineRule="exact"/>
              <w:rPr>
                <w:rFonts w:ascii="宋体" w:hAnsi="宋体"/>
                <w:color w:val="auto"/>
                <w:szCs w:val="21"/>
                <w:highlight w:val="none"/>
              </w:rPr>
            </w:pPr>
            <w:r>
              <w:rPr>
                <w:rFonts w:hint="eastAsia" w:ascii="宋体" w:hAnsi="宋体"/>
                <w:color w:val="auto"/>
                <w:szCs w:val="21"/>
                <w:highlight w:val="none"/>
              </w:rPr>
              <w:t>保缴纳证明</w:t>
            </w:r>
          </w:p>
        </w:tc>
        <w:tc>
          <w:tcPr>
            <w:tcW w:w="1275" w:type="dxa"/>
            <w:vAlign w:val="center"/>
          </w:tcPr>
          <w:p w14:paraId="1399BD98">
            <w:pPr>
              <w:topLinePunct/>
              <w:spacing w:line="440" w:lineRule="exact"/>
              <w:jc w:val="center"/>
              <w:rPr>
                <w:rFonts w:ascii="宋体" w:hAnsi="宋体"/>
                <w:color w:val="auto"/>
                <w:szCs w:val="21"/>
                <w:highlight w:val="none"/>
              </w:rPr>
            </w:pPr>
          </w:p>
        </w:tc>
      </w:tr>
      <w:tr w14:paraId="0F0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CD230D4">
            <w:pPr>
              <w:topLinePunct/>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6341" w:type="dxa"/>
            <w:vAlign w:val="center"/>
          </w:tcPr>
          <w:p w14:paraId="07F50B68">
            <w:pPr>
              <w:widowControl/>
              <w:spacing w:line="440" w:lineRule="exact"/>
              <w:jc w:val="left"/>
              <w:rPr>
                <w:rFonts w:ascii="宋体" w:hAnsi="宋体" w:cs="宋体"/>
                <w:color w:val="auto"/>
                <w:kern w:val="0"/>
                <w:szCs w:val="21"/>
                <w:highlight w:val="none"/>
              </w:rPr>
            </w:pPr>
            <w:r>
              <w:rPr>
                <w:rFonts w:hint="eastAsia" w:ascii="宋体" w:hAnsi="宋体"/>
                <w:color w:val="auto"/>
                <w:szCs w:val="21"/>
                <w:highlight w:val="none"/>
              </w:rPr>
              <w:t>无重大违法记录声明书</w:t>
            </w:r>
          </w:p>
        </w:tc>
        <w:tc>
          <w:tcPr>
            <w:tcW w:w="1275" w:type="dxa"/>
            <w:vAlign w:val="center"/>
          </w:tcPr>
          <w:p w14:paraId="0EF539ED">
            <w:pPr>
              <w:topLinePunct/>
              <w:spacing w:line="440" w:lineRule="exact"/>
              <w:jc w:val="center"/>
              <w:rPr>
                <w:rFonts w:ascii="宋体" w:hAnsi="宋体"/>
                <w:color w:val="auto"/>
                <w:szCs w:val="21"/>
                <w:highlight w:val="none"/>
              </w:rPr>
            </w:pPr>
          </w:p>
        </w:tc>
      </w:tr>
      <w:tr w14:paraId="22F1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084300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6341" w:type="dxa"/>
            <w:vAlign w:val="center"/>
          </w:tcPr>
          <w:p w14:paraId="3990E8CF">
            <w:pPr>
              <w:widowControl/>
              <w:spacing w:line="440" w:lineRule="exact"/>
              <w:jc w:val="left"/>
              <w:rPr>
                <w:rFonts w:ascii="宋体" w:hAnsi="宋体" w:cs="宋体"/>
                <w:b/>
                <w:color w:val="auto"/>
                <w:kern w:val="0"/>
                <w:szCs w:val="21"/>
                <w:highlight w:val="none"/>
              </w:rPr>
            </w:pPr>
            <w:r>
              <w:rPr>
                <w:rFonts w:hint="eastAsia" w:ascii="宋体" w:hAnsi="宋体"/>
                <w:color w:val="auto"/>
                <w:szCs w:val="21"/>
                <w:highlight w:val="none"/>
              </w:rPr>
              <w:t>保证金缴纳凭证</w:t>
            </w:r>
          </w:p>
        </w:tc>
        <w:tc>
          <w:tcPr>
            <w:tcW w:w="1275" w:type="dxa"/>
            <w:vAlign w:val="center"/>
          </w:tcPr>
          <w:p w14:paraId="44F166DB">
            <w:pPr>
              <w:topLinePunct/>
              <w:spacing w:line="440" w:lineRule="exact"/>
              <w:jc w:val="center"/>
              <w:rPr>
                <w:rFonts w:ascii="宋体" w:hAnsi="宋体"/>
                <w:color w:val="auto"/>
                <w:szCs w:val="21"/>
                <w:highlight w:val="none"/>
              </w:rPr>
            </w:pPr>
          </w:p>
        </w:tc>
      </w:tr>
      <w:tr w14:paraId="2E7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5B924833">
            <w:pPr>
              <w:topLinePunct/>
              <w:spacing w:line="440" w:lineRule="exact"/>
              <w:jc w:val="center"/>
              <w:rPr>
                <w:rFonts w:ascii="宋体" w:hAnsi="宋体"/>
                <w:color w:val="auto"/>
                <w:szCs w:val="21"/>
                <w:highlight w:val="none"/>
              </w:rPr>
            </w:pPr>
            <w:r>
              <w:rPr>
                <w:rFonts w:ascii="宋体" w:hAnsi="宋体"/>
                <w:color w:val="auto"/>
                <w:szCs w:val="21"/>
                <w:highlight w:val="none"/>
              </w:rPr>
              <w:t>7</w:t>
            </w:r>
          </w:p>
        </w:tc>
        <w:tc>
          <w:tcPr>
            <w:tcW w:w="6341" w:type="dxa"/>
            <w:vAlign w:val="center"/>
          </w:tcPr>
          <w:p w14:paraId="32872B21">
            <w:pPr>
              <w:widowControl/>
              <w:spacing w:line="440" w:lineRule="exact"/>
              <w:jc w:val="left"/>
              <w:rPr>
                <w:rFonts w:ascii="宋体" w:hAnsi="宋体"/>
                <w:color w:val="auto"/>
                <w:sz w:val="24"/>
                <w:highlight w:val="none"/>
              </w:rPr>
            </w:pPr>
            <w:r>
              <w:rPr>
                <w:rFonts w:hint="eastAsia" w:ascii="宋体" w:hAnsi="宋体"/>
                <w:color w:val="auto"/>
                <w:szCs w:val="21"/>
                <w:highlight w:val="none"/>
              </w:rPr>
              <w:t>中小企业声明函</w:t>
            </w:r>
          </w:p>
        </w:tc>
        <w:tc>
          <w:tcPr>
            <w:tcW w:w="1275" w:type="dxa"/>
            <w:vAlign w:val="center"/>
          </w:tcPr>
          <w:p w14:paraId="601395AD">
            <w:pPr>
              <w:topLinePunct/>
              <w:spacing w:line="440" w:lineRule="exact"/>
              <w:jc w:val="center"/>
              <w:rPr>
                <w:rFonts w:ascii="宋体" w:hAnsi="宋体"/>
                <w:color w:val="auto"/>
                <w:szCs w:val="21"/>
                <w:highlight w:val="none"/>
              </w:rPr>
            </w:pPr>
          </w:p>
        </w:tc>
      </w:tr>
    </w:tbl>
    <w:p w14:paraId="7164BCD1">
      <w:pPr>
        <w:rPr>
          <w:color w:val="auto"/>
          <w:highlight w:val="none"/>
        </w:rPr>
      </w:pPr>
    </w:p>
    <w:p w14:paraId="1884C47D">
      <w:pPr>
        <w:pStyle w:val="2"/>
        <w:rPr>
          <w:color w:val="auto"/>
          <w:highlight w:val="none"/>
        </w:rPr>
      </w:pPr>
      <w:r>
        <w:rPr>
          <w:rFonts w:hint="eastAsia"/>
          <w:color w:val="auto"/>
          <w:highlight w:val="none"/>
        </w:rPr>
        <w:t>注：根据资格性审查表自行调整</w:t>
      </w:r>
    </w:p>
    <w:p w14:paraId="5552FC6F">
      <w:pPr>
        <w:pStyle w:val="4"/>
        <w:jc w:val="center"/>
        <w:rPr>
          <w:rFonts w:ascii="宋体" w:hAnsi="宋体"/>
          <w:color w:val="auto"/>
          <w:highlight w:val="none"/>
        </w:rPr>
      </w:pPr>
      <w:r>
        <w:rPr>
          <w:rFonts w:ascii="宋体" w:hAnsi="宋体"/>
          <w:color w:val="auto"/>
          <w:highlight w:val="none"/>
        </w:rPr>
        <w:br w:type="page"/>
      </w:r>
      <w:bookmarkStart w:id="55" w:name="_Toc161933897"/>
      <w:r>
        <w:rPr>
          <w:rFonts w:hint="eastAsia" w:ascii="宋体" w:hAnsi="宋体"/>
          <w:color w:val="auto"/>
          <w:highlight w:val="none"/>
        </w:rPr>
        <w:t>二、投标函</w:t>
      </w:r>
      <w:bookmarkEnd w:id="54"/>
      <w:bookmarkEnd w:id="55"/>
    </w:p>
    <w:p w14:paraId="421BC40F">
      <w:pPr>
        <w:adjustRightInd w:val="0"/>
        <w:snapToGrid w:val="0"/>
        <w:spacing w:line="360" w:lineRule="auto"/>
        <w:rPr>
          <w:rFonts w:ascii="宋体" w:hAnsi="宋体"/>
          <w:color w:val="auto"/>
          <w:sz w:val="24"/>
          <w:highlight w:val="none"/>
        </w:rPr>
      </w:pPr>
    </w:p>
    <w:p w14:paraId="012A806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(采购人或代理机构)：</w:t>
      </w:r>
    </w:p>
    <w:p w14:paraId="7A1474A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项目名称)的采购文件（项目编号：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）的全部内容，知悉参加投标的风险，我方承诺接受采购文件的全部条款且无任何异议。</w:t>
      </w:r>
    </w:p>
    <w:p w14:paraId="3E8D63E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一、我方同意在采购文件中规定的提交投标文件截止时间起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日内(投标文件有效期)遵守本投标文件中的承诺且在此期限期满之前均具有法律约束力。</w:t>
      </w:r>
    </w:p>
    <w:p w14:paraId="71300448">
      <w:pPr>
        <w:pStyle w:val="24"/>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二、我方提交经加密的投标文件</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壹</w:t>
      </w:r>
      <w:r>
        <w:rPr>
          <w:rFonts w:ascii="宋体" w:hAnsi="宋体"/>
          <w:color w:val="auto"/>
          <w:sz w:val="21"/>
          <w:szCs w:val="21"/>
          <w:highlight w:val="none"/>
          <w:u w:val="single"/>
        </w:rPr>
        <w:t xml:space="preserve"> </w:t>
      </w:r>
      <w:r>
        <w:rPr>
          <w:rFonts w:hint="eastAsia" w:ascii="宋体" w:hAnsi="宋体"/>
          <w:color w:val="auto"/>
          <w:sz w:val="21"/>
          <w:szCs w:val="21"/>
          <w:highlight w:val="none"/>
        </w:rPr>
        <w:t>份，并保证投标文件提供的数据和材料是真实、准确的。否则，愿承担《政府采购法》</w:t>
      </w:r>
      <w:r>
        <w:rPr>
          <w:rFonts w:hint="eastAsia" w:ascii="宋体" w:hAnsi="宋体"/>
          <w:bCs/>
          <w:color w:val="auto"/>
          <w:sz w:val="21"/>
          <w:szCs w:val="21"/>
          <w:highlight w:val="none"/>
        </w:rPr>
        <w:t>第七十七条规定的法律责任。</w:t>
      </w:r>
    </w:p>
    <w:p w14:paraId="561EC72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三、我方愿意向贵方提供任何与本项采购有关的数据、情况和技术资料。若贵方需要，我方愿意提供我方作出的一切承诺的证明材料。</w:t>
      </w:r>
    </w:p>
    <w:p w14:paraId="3B5EF6E9">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四、我方承诺遵守《政府采购法》的有关规定，保证在获得中标资格后，按照采购文件确定的事项签订政府采购合同，履行双方所签订的合同，并承担合同规定的责任和义务。</w:t>
      </w:r>
    </w:p>
    <w:p w14:paraId="13E436CF">
      <w:pPr>
        <w:pStyle w:val="24"/>
        <w:adjustRightInd w:val="0"/>
        <w:snapToGrid w:val="0"/>
        <w:spacing w:line="360" w:lineRule="auto"/>
        <w:ind w:firstLine="420" w:firstLineChars="200"/>
        <w:rPr>
          <w:rFonts w:ascii="宋体" w:hAnsi="宋体"/>
          <w:color w:val="auto"/>
          <w:sz w:val="21"/>
          <w:szCs w:val="21"/>
          <w:highlight w:val="none"/>
        </w:rPr>
      </w:pPr>
    </w:p>
    <w:p w14:paraId="36F61DF2">
      <w:pPr>
        <w:adjustRightInd w:val="0"/>
        <w:snapToGrid w:val="0"/>
        <w:spacing w:line="360" w:lineRule="auto"/>
        <w:ind w:right="24"/>
        <w:rPr>
          <w:rFonts w:ascii="宋体" w:hAnsi="宋体"/>
          <w:bCs/>
          <w:color w:val="auto"/>
          <w:szCs w:val="21"/>
          <w:highlight w:val="none"/>
        </w:rPr>
      </w:pPr>
    </w:p>
    <w:p w14:paraId="2F635F14">
      <w:pPr>
        <w:adjustRightInd w:val="0"/>
        <w:snapToGrid w:val="0"/>
        <w:spacing w:line="360" w:lineRule="auto"/>
        <w:ind w:right="24"/>
        <w:rPr>
          <w:rFonts w:ascii="宋体" w:hAnsi="宋体"/>
          <w:bCs/>
          <w:color w:val="auto"/>
          <w:szCs w:val="21"/>
          <w:highlight w:val="none"/>
        </w:rPr>
      </w:pPr>
    </w:p>
    <w:p w14:paraId="1485850C">
      <w:pPr>
        <w:adjustRightInd w:val="0"/>
        <w:snapToGrid w:val="0"/>
        <w:spacing w:line="360" w:lineRule="auto"/>
        <w:ind w:right="24"/>
        <w:rPr>
          <w:rFonts w:ascii="宋体" w:hAnsi="宋体"/>
          <w:bCs/>
          <w:color w:val="auto"/>
          <w:szCs w:val="21"/>
          <w:highlight w:val="none"/>
        </w:rPr>
      </w:pPr>
    </w:p>
    <w:p w14:paraId="34734052">
      <w:pPr>
        <w:adjustRightInd w:val="0"/>
        <w:snapToGrid w:val="0"/>
        <w:spacing w:line="360" w:lineRule="auto"/>
        <w:ind w:right="24"/>
        <w:rPr>
          <w:rFonts w:ascii="宋体" w:hAnsi="宋体"/>
          <w:bCs/>
          <w:color w:val="auto"/>
          <w:szCs w:val="21"/>
          <w:highlight w:val="none"/>
        </w:rPr>
      </w:pPr>
    </w:p>
    <w:p w14:paraId="7B0A69E3">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附件1：</w:t>
      </w:r>
      <w:r>
        <w:rPr>
          <w:rFonts w:hint="eastAsia" w:ascii="宋体" w:hAnsi="宋体"/>
          <w:color w:val="auto"/>
          <w:szCs w:val="21"/>
          <w:highlight w:val="none"/>
        </w:rPr>
        <w:t>法定代表人身份证明(法定代表人参加投标)</w:t>
      </w:r>
    </w:p>
    <w:p w14:paraId="6D96ABE8">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附件2</w:t>
      </w:r>
      <w:r>
        <w:rPr>
          <w:rFonts w:hint="eastAsia" w:ascii="宋体" w:hAnsi="宋体"/>
          <w:color w:val="auto"/>
          <w:szCs w:val="21"/>
          <w:highlight w:val="none"/>
        </w:rPr>
        <w:t>：法定代表人授权书(委托代理人参加投标)</w:t>
      </w:r>
    </w:p>
    <w:p w14:paraId="1ACAA23B">
      <w:pPr>
        <w:pStyle w:val="24"/>
        <w:adjustRightInd w:val="0"/>
        <w:snapToGrid w:val="0"/>
        <w:spacing w:line="360" w:lineRule="auto"/>
        <w:rPr>
          <w:rFonts w:ascii="宋体" w:hAnsi="宋体"/>
          <w:color w:val="auto"/>
          <w:sz w:val="21"/>
          <w:szCs w:val="21"/>
          <w:highlight w:val="none"/>
        </w:rPr>
      </w:pPr>
    </w:p>
    <w:p w14:paraId="0B5BF98B">
      <w:pPr>
        <w:pStyle w:val="24"/>
        <w:adjustRightInd w:val="0"/>
        <w:snapToGrid w:val="0"/>
        <w:spacing w:line="360" w:lineRule="auto"/>
        <w:rPr>
          <w:rFonts w:ascii="宋体" w:hAnsi="宋体"/>
          <w:color w:val="auto"/>
          <w:sz w:val="21"/>
          <w:szCs w:val="21"/>
          <w:highlight w:val="none"/>
        </w:rPr>
      </w:pPr>
    </w:p>
    <w:p w14:paraId="5DACAA64">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8E6BC44">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D02A46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7646687">
      <w:pPr>
        <w:adjustRightInd w:val="0"/>
        <w:snapToGrid w:val="0"/>
        <w:spacing w:line="360" w:lineRule="auto"/>
        <w:ind w:right="24"/>
        <w:rPr>
          <w:rFonts w:ascii="宋体" w:hAnsi="宋体"/>
          <w:bCs/>
          <w:color w:val="auto"/>
          <w:szCs w:val="21"/>
          <w:highlight w:val="none"/>
        </w:rPr>
      </w:pPr>
    </w:p>
    <w:p w14:paraId="556DEB3F">
      <w:pPr>
        <w:adjustRightInd w:val="0"/>
        <w:snapToGrid w:val="0"/>
        <w:spacing w:line="360" w:lineRule="auto"/>
        <w:ind w:right="24"/>
        <w:rPr>
          <w:rFonts w:ascii="宋体" w:hAnsi="宋体"/>
          <w:bCs/>
          <w:color w:val="auto"/>
          <w:sz w:val="28"/>
          <w:szCs w:val="28"/>
          <w:highlight w:val="none"/>
        </w:rPr>
      </w:pPr>
    </w:p>
    <w:p w14:paraId="5F679129">
      <w:pPr>
        <w:adjustRightInd w:val="0"/>
        <w:snapToGrid w:val="0"/>
        <w:spacing w:before="120" w:beforeLines="50" w:line="360" w:lineRule="auto"/>
        <w:jc w:val="center"/>
        <w:rPr>
          <w:rFonts w:ascii="宋体" w:hAnsi="宋体"/>
          <w:b/>
          <w:color w:val="auto"/>
          <w:sz w:val="24"/>
          <w:highlight w:val="none"/>
        </w:rPr>
      </w:pPr>
      <w:r>
        <w:rPr>
          <w:rFonts w:ascii="宋体" w:hAnsi="宋体"/>
          <w:bCs/>
          <w:color w:val="auto"/>
          <w:sz w:val="28"/>
          <w:szCs w:val="28"/>
          <w:highlight w:val="none"/>
        </w:rPr>
        <w:br w:type="page"/>
      </w:r>
      <w:r>
        <w:rPr>
          <w:rFonts w:hint="eastAsia" w:ascii="宋体" w:hAnsi="宋体"/>
          <w:b/>
          <w:color w:val="auto"/>
          <w:sz w:val="24"/>
          <w:highlight w:val="none"/>
        </w:rPr>
        <w:t>投标声明</w:t>
      </w:r>
    </w:p>
    <w:p w14:paraId="544C5882">
      <w:pPr>
        <w:widowControl/>
        <w:adjustRightInd w:val="0"/>
        <w:snapToGrid w:val="0"/>
        <w:spacing w:line="360" w:lineRule="auto"/>
        <w:ind w:firstLine="420" w:firstLineChars="200"/>
        <w:rPr>
          <w:rFonts w:ascii="宋体" w:hAnsi="宋体"/>
          <w:color w:val="auto"/>
          <w:szCs w:val="21"/>
          <w:highlight w:val="none"/>
        </w:rPr>
      </w:pPr>
    </w:p>
    <w:p w14:paraId="5511CD59">
      <w:pPr>
        <w:widowControl/>
        <w:adjustRightInd w:val="0"/>
        <w:snapToGrid w:val="0"/>
        <w:spacing w:line="360" w:lineRule="auto"/>
        <w:ind w:firstLine="420" w:firstLineChars="200"/>
        <w:rPr>
          <w:rFonts w:ascii="宋体" w:hAnsi="宋体"/>
          <w:color w:val="auto"/>
          <w:szCs w:val="21"/>
          <w:highlight w:val="none"/>
        </w:rPr>
      </w:pPr>
    </w:p>
    <w:p w14:paraId="0BEDAAE3">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我们，</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（投标人名称）已认真阅读</w:t>
      </w:r>
      <w:r>
        <w:rPr>
          <w:rFonts w:hint="eastAsia" w:ascii="宋体" w:hAnsi="宋体" w:cs="宋体"/>
          <w:color w:val="auto"/>
          <w:kern w:val="0"/>
          <w:szCs w:val="21"/>
          <w:highlight w:val="none"/>
        </w:rPr>
        <w:t>《中华人民共和国政府采购法》、《中华人民共和国政府采购法实施条例》及</w:t>
      </w:r>
      <w:r>
        <w:rPr>
          <w:rFonts w:hint="eastAsia" w:ascii="宋体" w:hAnsi="宋体"/>
          <w:color w:val="auto"/>
          <w:highlight w:val="none"/>
        </w:rPr>
        <w:t>采购文件</w:t>
      </w:r>
      <w:r>
        <w:rPr>
          <w:rFonts w:hint="eastAsia" w:ascii="宋体" w:hAnsi="宋体" w:cs="宋体"/>
          <w:color w:val="auto"/>
          <w:kern w:val="0"/>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highlight w:val="none"/>
        </w:rPr>
        <w:t>项目</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]相关内容，知悉投标人参加政府采购活动应当具备的条件。此次按</w:t>
      </w:r>
      <w:r>
        <w:rPr>
          <w:rFonts w:hint="eastAsia" w:ascii="宋体" w:hAnsi="宋体"/>
          <w:color w:val="auto"/>
          <w:highlight w:val="none"/>
        </w:rPr>
        <w:t>采购文件</w:t>
      </w:r>
      <w:r>
        <w:rPr>
          <w:rFonts w:hint="eastAsia" w:ascii="宋体" w:hAnsi="宋体"/>
          <w:color w:val="auto"/>
          <w:szCs w:val="21"/>
          <w:highlight w:val="none"/>
        </w:rPr>
        <w:t>要求提交的投标人资格证明材料，已经认真核对和检查，全部内容真实、合法、准确和完整，我们对此负责，并愿承担由此引起的法律责任。</w:t>
      </w:r>
    </w:p>
    <w:p w14:paraId="0320F30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一、我方在此声明： </w:t>
      </w:r>
    </w:p>
    <w:p w14:paraId="61DA880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（一）我方与采购人或代理机构不存在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14:paraId="1C4125E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（二）我方与参加本项目的其他投标人不存在控股、关联关系，或者与其他投标人法定代表人（或者负责人）为同一人。</w:t>
      </w:r>
    </w:p>
    <w:p w14:paraId="6C5A177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（三）我方未为本项目前期准备提供设计或技术服务。</w:t>
      </w:r>
    </w:p>
    <w:p w14:paraId="721F565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二、我方承诺</w:t>
      </w:r>
    </w:p>
    <w:p w14:paraId="1E035E1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参加政府采购近三年内：</w:t>
      </w:r>
    </w:p>
    <w:p w14:paraId="5AD2F539">
      <w:pPr>
        <w:adjustRightInd w:val="0"/>
        <w:snapToGrid w:val="0"/>
        <w:spacing w:line="360" w:lineRule="auto"/>
        <w:ind w:left="1" w:firstLine="420" w:firstLineChars="200"/>
        <w:rPr>
          <w:rFonts w:ascii="宋体" w:hAnsi="宋体"/>
          <w:color w:val="auto"/>
          <w:szCs w:val="21"/>
          <w:highlight w:val="none"/>
        </w:rPr>
      </w:pPr>
      <w:r>
        <w:rPr>
          <w:rFonts w:hint="eastAsia" w:ascii="宋体" w:hAnsi="宋体"/>
          <w:bCs/>
          <w:color w:val="auto"/>
          <w:szCs w:val="21"/>
          <w:highlight w:val="none"/>
        </w:rPr>
        <w:t>（一）我方</w:t>
      </w:r>
      <w:r>
        <w:rPr>
          <w:rFonts w:hint="eastAsia" w:ascii="宋体" w:hAnsi="宋体"/>
          <w:color w:val="auto"/>
          <w:szCs w:val="21"/>
          <w:highlight w:val="none"/>
        </w:rPr>
        <w:t>依法缴纳了各项税费及各项社会保障资金，没有偷税、漏税及欠缴行为。</w:t>
      </w:r>
    </w:p>
    <w:p w14:paraId="2DEA97F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（二）我方在经营活动中没有存在下列重大违法记录：</w:t>
      </w:r>
    </w:p>
    <w:p w14:paraId="76430FD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1、受到刑事处罚；</w:t>
      </w:r>
    </w:p>
    <w:p w14:paraId="0F0C2F0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2、受到三万元以上的罚款、责令停产停业、在一至三年内禁止参加政府采购活动、暂扣或者吊销许可证、暂扣或者吊销执照的行政处罚。</w:t>
      </w:r>
    </w:p>
    <w:p w14:paraId="5DF52CA7">
      <w:pPr>
        <w:adjustRightInd w:val="0"/>
        <w:snapToGrid w:val="0"/>
        <w:spacing w:line="360" w:lineRule="auto"/>
        <w:ind w:firstLine="420" w:firstLineChars="200"/>
        <w:rPr>
          <w:rFonts w:ascii="宋体" w:hAnsi="宋体"/>
          <w:bCs/>
          <w:color w:val="auto"/>
          <w:szCs w:val="21"/>
          <w:highlight w:val="none"/>
        </w:rPr>
      </w:pPr>
    </w:p>
    <w:p w14:paraId="222D2D04">
      <w:pPr>
        <w:adjustRightInd w:val="0"/>
        <w:snapToGrid w:val="0"/>
        <w:spacing w:line="360" w:lineRule="auto"/>
        <w:ind w:firstLine="2723" w:firstLineChars="1297"/>
        <w:rPr>
          <w:rFonts w:ascii="宋体" w:hAnsi="宋体"/>
          <w:color w:val="auto"/>
          <w:szCs w:val="21"/>
          <w:highlight w:val="none"/>
        </w:rPr>
      </w:pPr>
    </w:p>
    <w:p w14:paraId="5C570924">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36D088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40D33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6C86E37">
      <w:pPr>
        <w:adjustRightInd w:val="0"/>
        <w:snapToGrid w:val="0"/>
        <w:spacing w:line="360" w:lineRule="auto"/>
        <w:ind w:right="24"/>
        <w:rPr>
          <w:rFonts w:ascii="宋体" w:hAnsi="宋体"/>
          <w:bCs/>
          <w:color w:val="auto"/>
          <w:szCs w:val="21"/>
          <w:highlight w:val="none"/>
        </w:rPr>
        <w:sectPr>
          <w:pgSz w:w="11906" w:h="16838"/>
          <w:pgMar w:top="1440" w:right="1797" w:bottom="1440" w:left="1797" w:header="851" w:footer="992" w:gutter="0"/>
          <w:pgNumType w:fmt="decimal"/>
          <w:cols w:space="720" w:num="1"/>
          <w:docGrid w:linePitch="312" w:charSpace="0"/>
        </w:sectPr>
      </w:pPr>
    </w:p>
    <w:p w14:paraId="47B63779">
      <w:pPr>
        <w:adjustRightInd w:val="0"/>
        <w:snapToGrid w:val="0"/>
        <w:spacing w:line="360" w:lineRule="auto"/>
        <w:ind w:right="24"/>
        <w:rPr>
          <w:rFonts w:ascii="宋体" w:hAnsi="宋体"/>
          <w:bCs/>
          <w:color w:val="auto"/>
          <w:sz w:val="24"/>
          <w:highlight w:val="none"/>
        </w:rPr>
      </w:pPr>
      <w:r>
        <w:rPr>
          <w:rFonts w:hint="eastAsia" w:ascii="宋体" w:hAnsi="宋体"/>
          <w:bCs/>
          <w:color w:val="auto"/>
          <w:sz w:val="24"/>
          <w:highlight w:val="none"/>
        </w:rPr>
        <w:t>附件1</w:t>
      </w:r>
    </w:p>
    <w:p w14:paraId="449D697B">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法定代表人身份证明(法定代表人参加投标)</w:t>
      </w:r>
    </w:p>
    <w:p w14:paraId="3A5569A6">
      <w:pPr>
        <w:snapToGrid w:val="0"/>
        <w:spacing w:line="480" w:lineRule="auto"/>
        <w:rPr>
          <w:rFonts w:ascii="宋体" w:hAnsi="宋体"/>
          <w:color w:val="auto"/>
          <w:szCs w:val="21"/>
          <w:highlight w:val="none"/>
        </w:rPr>
      </w:pPr>
    </w:p>
    <w:p w14:paraId="74DF44B9">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5FCC43D">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14:paraId="7B3EAB1E">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14:paraId="6B2BADE0">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14:paraId="16B54226">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14:paraId="7EF9419A">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w:t>
      </w:r>
    </w:p>
    <w:p w14:paraId="2E04A27B">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14:paraId="6F296C15">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附：法定代表人身份证复印件</w:t>
      </w:r>
    </w:p>
    <w:p w14:paraId="27449612">
      <w:pPr>
        <w:snapToGrid w:val="0"/>
        <w:spacing w:line="480" w:lineRule="auto"/>
        <w:rPr>
          <w:rFonts w:ascii="宋体" w:hAnsi="宋体"/>
          <w:color w:val="auto"/>
          <w:szCs w:val="21"/>
          <w:highlight w:val="none"/>
        </w:rPr>
      </w:pPr>
    </w:p>
    <w:p w14:paraId="5B9699FE">
      <w:pPr>
        <w:snapToGrid w:val="0"/>
        <w:rPr>
          <w:rFonts w:ascii="宋体" w:hAnsi="宋体"/>
          <w:color w:val="auto"/>
          <w:szCs w:val="21"/>
          <w:highlight w:val="none"/>
        </w:rPr>
      </w:pPr>
    </w:p>
    <w:p w14:paraId="1F3A49A9">
      <w:pPr>
        <w:snapToGrid w:val="0"/>
        <w:rPr>
          <w:rFonts w:ascii="宋体" w:hAnsi="宋体"/>
          <w:color w:val="auto"/>
          <w:szCs w:val="21"/>
          <w:highlight w:val="none"/>
        </w:rPr>
      </w:pPr>
    </w:p>
    <w:p w14:paraId="33E6E690">
      <w:pPr>
        <w:snapToGrid w:val="0"/>
        <w:rPr>
          <w:rFonts w:ascii="宋体" w:hAnsi="宋体"/>
          <w:color w:val="auto"/>
          <w:szCs w:val="21"/>
          <w:highlight w:val="none"/>
        </w:rPr>
      </w:pPr>
    </w:p>
    <w:p w14:paraId="4FE4B82C">
      <w:pPr>
        <w:snapToGrid w:val="0"/>
        <w:rPr>
          <w:rFonts w:ascii="宋体" w:hAnsi="宋体"/>
          <w:color w:val="auto"/>
          <w:szCs w:val="21"/>
          <w:highlight w:val="none"/>
        </w:rPr>
      </w:pPr>
    </w:p>
    <w:p w14:paraId="63A59706">
      <w:pPr>
        <w:adjustRightInd w:val="0"/>
        <w:snapToGrid w:val="0"/>
        <w:spacing w:line="360" w:lineRule="auto"/>
        <w:rPr>
          <w:rFonts w:ascii="宋体" w:hAnsi="宋体"/>
          <w:color w:val="auto"/>
          <w:szCs w:val="21"/>
          <w:highlight w:val="none"/>
        </w:rPr>
      </w:pPr>
    </w:p>
    <w:p w14:paraId="57A472A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p>
    <w:p w14:paraId="2E80977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00989A2B">
      <w:pPr>
        <w:adjustRightInd w:val="0"/>
        <w:snapToGrid w:val="0"/>
        <w:spacing w:before="120" w:beforeLines="50" w:line="360" w:lineRule="auto"/>
        <w:rPr>
          <w:rFonts w:ascii="宋体" w:hAnsi="宋体"/>
          <w:color w:val="auto"/>
          <w:szCs w:val="21"/>
          <w:highlight w:val="none"/>
        </w:rPr>
      </w:pPr>
    </w:p>
    <w:p w14:paraId="24FDE16C">
      <w:pPr>
        <w:adjustRightInd w:val="0"/>
        <w:snapToGrid w:val="0"/>
        <w:spacing w:before="120" w:beforeLines="50" w:line="360" w:lineRule="auto"/>
        <w:rPr>
          <w:rFonts w:ascii="宋体" w:hAnsi="宋体"/>
          <w:color w:val="auto"/>
          <w:szCs w:val="21"/>
          <w:highlight w:val="none"/>
        </w:rPr>
      </w:pPr>
    </w:p>
    <w:p w14:paraId="0A0BC5B9">
      <w:pPr>
        <w:adjustRightInd w:val="0"/>
        <w:snapToGrid w:val="0"/>
        <w:spacing w:before="120" w:beforeLines="50" w:line="360" w:lineRule="auto"/>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附件2</w:t>
      </w:r>
    </w:p>
    <w:p w14:paraId="1768EF4E">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法定代表人授权书(委托代理人参加投标)</w:t>
      </w:r>
    </w:p>
    <w:p w14:paraId="42D55211">
      <w:pPr>
        <w:adjustRightInd w:val="0"/>
        <w:snapToGrid w:val="0"/>
        <w:spacing w:line="360" w:lineRule="auto"/>
        <w:jc w:val="center"/>
        <w:rPr>
          <w:rFonts w:ascii="宋体" w:hAnsi="宋体"/>
          <w:b/>
          <w:color w:val="auto"/>
          <w:sz w:val="28"/>
          <w:szCs w:val="28"/>
          <w:highlight w:val="none"/>
        </w:rPr>
      </w:pPr>
    </w:p>
    <w:p w14:paraId="5079FB9B">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rPr>
        <w:t>项目</w:t>
      </w:r>
      <w:r>
        <w:rPr>
          <w:rFonts w:hint="eastAsia" w:ascii="宋体" w:hAnsi="宋体" w:cs="宋体"/>
          <w:color w:val="auto"/>
          <w:kern w:val="0"/>
          <w:szCs w:val="21"/>
          <w:highlight w:val="none"/>
        </w:rPr>
        <w:t>编号）</w:t>
      </w:r>
      <w:r>
        <w:rPr>
          <w:rFonts w:hint="eastAsia" w:ascii="宋体" w:hAnsi="宋体"/>
          <w:color w:val="auto"/>
          <w:highlight w:val="none"/>
        </w:rPr>
        <w:t>投标文件</w:t>
      </w:r>
      <w:r>
        <w:rPr>
          <w:rFonts w:hint="eastAsia" w:ascii="宋体" w:hAnsi="宋体" w:cs="宋体"/>
          <w:color w:val="auto"/>
          <w:kern w:val="0"/>
          <w:szCs w:val="21"/>
          <w:highlight w:val="none"/>
        </w:rPr>
        <w:t>及报价；</w:t>
      </w:r>
    </w:p>
    <w:p w14:paraId="5D1F2554">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(2)签订合同和处理有关事宜，其法律后果由我方承担。</w:t>
      </w:r>
    </w:p>
    <w:p w14:paraId="7F7BE596">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D1D3B7">
      <w:pPr>
        <w:spacing w:line="360" w:lineRule="auto"/>
        <w:ind w:firstLine="435"/>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54D8575">
      <w:pPr>
        <w:spacing w:line="360" w:lineRule="auto"/>
        <w:ind w:firstLine="435"/>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14:paraId="103569DC">
      <w:pPr>
        <w:adjustRightInd w:val="0"/>
        <w:snapToGrid w:val="0"/>
        <w:spacing w:before="120" w:beforeLines="50" w:line="360" w:lineRule="auto"/>
        <w:ind w:firstLine="420" w:firstLineChars="200"/>
        <w:rPr>
          <w:rFonts w:ascii="宋体" w:hAnsi="宋体"/>
          <w:color w:val="auto"/>
          <w:szCs w:val="21"/>
          <w:highlight w:val="none"/>
        </w:rPr>
      </w:pPr>
    </w:p>
    <w:p w14:paraId="57412F9C">
      <w:pPr>
        <w:adjustRightInd w:val="0"/>
        <w:snapToGrid w:val="0"/>
        <w:spacing w:before="120" w:beforeLines="50" w:line="360" w:lineRule="auto"/>
        <w:ind w:firstLine="420" w:firstLineChars="200"/>
        <w:rPr>
          <w:rFonts w:ascii="宋体" w:hAnsi="宋体"/>
          <w:color w:val="auto"/>
          <w:szCs w:val="21"/>
          <w:highlight w:val="none"/>
        </w:rPr>
      </w:pPr>
    </w:p>
    <w:p w14:paraId="13339F5E">
      <w:pPr>
        <w:adjustRightInd w:val="0"/>
        <w:snapToGrid w:val="0"/>
        <w:spacing w:before="120" w:beforeLines="50" w:line="360" w:lineRule="auto"/>
        <w:ind w:firstLine="420" w:firstLineChars="200"/>
        <w:rPr>
          <w:rFonts w:ascii="宋体" w:hAnsi="宋体"/>
          <w:color w:val="auto"/>
          <w:szCs w:val="21"/>
          <w:highlight w:val="none"/>
        </w:rPr>
      </w:pPr>
    </w:p>
    <w:p w14:paraId="3C7E64BB">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14:paraId="5367209E">
      <w:pPr>
        <w:adjustRightInd w:val="0"/>
        <w:snapToGrid w:val="0"/>
        <w:spacing w:before="120" w:beforeLines="50" w:line="360" w:lineRule="auto"/>
        <w:ind w:firstLine="420" w:firstLineChars="200"/>
        <w:rPr>
          <w:rFonts w:ascii="宋体" w:hAnsi="宋体"/>
          <w:color w:val="auto"/>
          <w:szCs w:val="21"/>
          <w:highlight w:val="none"/>
        </w:rPr>
      </w:pPr>
    </w:p>
    <w:p w14:paraId="09BE1154">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附：委托代理人身份证复印件</w:t>
      </w:r>
    </w:p>
    <w:p w14:paraId="7E8307AA">
      <w:pPr>
        <w:adjustRightInd w:val="0"/>
        <w:snapToGrid w:val="0"/>
        <w:spacing w:before="120" w:beforeLines="50" w:line="360" w:lineRule="auto"/>
        <w:ind w:firstLine="420" w:firstLineChars="200"/>
        <w:rPr>
          <w:rFonts w:ascii="宋体" w:hAnsi="宋体"/>
          <w:color w:val="auto"/>
          <w:szCs w:val="21"/>
          <w:highlight w:val="none"/>
        </w:rPr>
      </w:pPr>
    </w:p>
    <w:p w14:paraId="12752775">
      <w:pPr>
        <w:adjustRightInd w:val="0"/>
        <w:snapToGrid w:val="0"/>
        <w:spacing w:line="360" w:lineRule="auto"/>
        <w:ind w:right="420"/>
        <w:rPr>
          <w:rFonts w:ascii="宋体" w:hAnsi="宋体"/>
          <w:color w:val="auto"/>
          <w:szCs w:val="21"/>
          <w:highlight w:val="none"/>
        </w:rPr>
      </w:pPr>
    </w:p>
    <w:p w14:paraId="076F9EB2">
      <w:pPr>
        <w:adjustRightInd w:val="0"/>
        <w:snapToGrid w:val="0"/>
        <w:spacing w:line="360" w:lineRule="auto"/>
        <w:ind w:right="420"/>
        <w:rPr>
          <w:rFonts w:ascii="宋体" w:hAnsi="宋体"/>
          <w:color w:val="auto"/>
          <w:szCs w:val="21"/>
          <w:highlight w:val="none"/>
        </w:rPr>
      </w:pPr>
    </w:p>
    <w:p w14:paraId="643D743A">
      <w:pPr>
        <w:adjustRightInd w:val="0"/>
        <w:snapToGrid w:val="0"/>
        <w:spacing w:line="360" w:lineRule="auto"/>
        <w:ind w:right="420"/>
        <w:rPr>
          <w:rFonts w:ascii="宋体" w:hAnsi="宋体"/>
          <w:color w:val="auto"/>
          <w:szCs w:val="21"/>
          <w:highlight w:val="none"/>
        </w:rPr>
      </w:pPr>
    </w:p>
    <w:p w14:paraId="0BA048FB">
      <w:pPr>
        <w:adjustRightInd w:val="0"/>
        <w:snapToGrid w:val="0"/>
        <w:spacing w:line="360" w:lineRule="auto"/>
        <w:ind w:right="420"/>
        <w:rPr>
          <w:rFonts w:ascii="宋体" w:hAnsi="宋体"/>
          <w:color w:val="auto"/>
          <w:szCs w:val="21"/>
          <w:highlight w:val="none"/>
        </w:rPr>
      </w:pPr>
    </w:p>
    <w:p w14:paraId="35C0C77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99FE5C">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5E342C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委托代理人（签字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FD5997D">
      <w:pPr>
        <w:adjustRightInd w:val="0"/>
        <w:snapToGrid w:val="0"/>
        <w:spacing w:line="360" w:lineRule="auto"/>
        <w:ind w:right="24"/>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06A4D89">
      <w:pPr>
        <w:spacing w:line="360" w:lineRule="exact"/>
        <w:rPr>
          <w:rFonts w:ascii="宋体" w:hAnsi="宋体"/>
          <w:b/>
          <w:color w:val="auto"/>
          <w:highlight w:val="none"/>
        </w:rPr>
      </w:pPr>
      <w:r>
        <w:rPr>
          <w:rFonts w:ascii="宋体" w:hAnsi="宋体"/>
          <w:color w:val="auto"/>
          <w:highlight w:val="none"/>
        </w:rPr>
        <w:br w:type="page"/>
      </w:r>
    </w:p>
    <w:p w14:paraId="1C940681">
      <w:pPr>
        <w:pStyle w:val="4"/>
        <w:jc w:val="center"/>
        <w:rPr>
          <w:rFonts w:ascii="宋体" w:hAnsi="宋体"/>
          <w:color w:val="auto"/>
          <w:sz w:val="28"/>
          <w:szCs w:val="28"/>
          <w:highlight w:val="none"/>
        </w:rPr>
      </w:pPr>
      <w:bookmarkStart w:id="56" w:name="_Toc433187367"/>
      <w:bookmarkStart w:id="57" w:name="_Toc161933898"/>
      <w:r>
        <w:rPr>
          <w:rFonts w:hint="eastAsia" w:ascii="宋体" w:hAnsi="宋体"/>
          <w:color w:val="auto"/>
          <w:sz w:val="28"/>
          <w:szCs w:val="28"/>
          <w:highlight w:val="none"/>
        </w:rPr>
        <w:t>三、</w:t>
      </w:r>
      <w:bookmarkEnd w:id="56"/>
      <w:r>
        <w:rPr>
          <w:rFonts w:hint="eastAsia" w:ascii="宋体" w:hAnsi="宋体"/>
          <w:color w:val="auto"/>
          <w:sz w:val="28"/>
          <w:szCs w:val="28"/>
          <w:highlight w:val="none"/>
        </w:rPr>
        <w:t>投标保证金</w:t>
      </w:r>
      <w:bookmarkEnd w:id="57"/>
    </w:p>
    <w:p w14:paraId="126009C1">
      <w:pPr>
        <w:spacing w:line="480" w:lineRule="exact"/>
        <w:rPr>
          <w:rFonts w:ascii="宋体" w:hAnsi="宋体"/>
          <w:color w:val="auto"/>
          <w:sz w:val="24"/>
          <w:highlight w:val="none"/>
        </w:rPr>
      </w:pPr>
      <w:r>
        <w:rPr>
          <w:rFonts w:hint="eastAsia" w:ascii="宋体" w:hAnsi="宋体"/>
          <w:color w:val="auto"/>
          <w:sz w:val="24"/>
          <w:highlight w:val="none"/>
        </w:rPr>
        <w:t>附件3：</w:t>
      </w:r>
    </w:p>
    <w:p w14:paraId="4C59C756">
      <w:pPr>
        <w:spacing w:line="480" w:lineRule="exact"/>
        <w:jc w:val="center"/>
        <w:rPr>
          <w:rFonts w:ascii="宋体" w:hAnsi="宋体"/>
          <w:b/>
          <w:bCs/>
          <w:color w:val="auto"/>
          <w:sz w:val="24"/>
          <w:highlight w:val="none"/>
        </w:rPr>
      </w:pPr>
      <w:r>
        <w:rPr>
          <w:rFonts w:hint="eastAsia" w:ascii="宋体" w:hAnsi="宋体"/>
          <w:b/>
          <w:bCs/>
          <w:color w:val="auto"/>
          <w:sz w:val="24"/>
          <w:highlight w:val="none"/>
        </w:rPr>
        <w:t>投标保证金缴纳凭证</w:t>
      </w:r>
    </w:p>
    <w:p w14:paraId="3434CB8A">
      <w:pPr>
        <w:spacing w:line="480" w:lineRule="exact"/>
        <w:jc w:val="center"/>
        <w:rPr>
          <w:rFonts w:ascii="宋体" w:hAnsi="宋体"/>
          <w:b/>
          <w:bCs/>
          <w:color w:val="auto"/>
          <w:sz w:val="28"/>
          <w:szCs w:val="28"/>
          <w:highlight w:val="none"/>
        </w:rPr>
      </w:pPr>
    </w:p>
    <w:p w14:paraId="5288CDF5">
      <w:pPr>
        <w:spacing w:line="480" w:lineRule="exact"/>
        <w:jc w:val="center"/>
        <w:rPr>
          <w:rFonts w:ascii="宋体" w:hAnsi="宋体"/>
          <w:b/>
          <w:bCs/>
          <w:color w:val="auto"/>
          <w:sz w:val="28"/>
          <w:szCs w:val="28"/>
          <w:highlight w:val="none"/>
        </w:rPr>
      </w:pPr>
    </w:p>
    <w:p w14:paraId="017FE7DE">
      <w:pPr>
        <w:spacing w:line="480" w:lineRule="exact"/>
        <w:jc w:val="center"/>
        <w:rPr>
          <w:rFonts w:ascii="宋体" w:hAnsi="宋体"/>
          <w:b/>
          <w:bCs/>
          <w:color w:val="auto"/>
          <w:sz w:val="28"/>
          <w:szCs w:val="28"/>
          <w:highlight w:val="none"/>
        </w:rPr>
      </w:pPr>
    </w:p>
    <w:p w14:paraId="68DE22E7">
      <w:pPr>
        <w:spacing w:line="480" w:lineRule="exact"/>
        <w:jc w:val="center"/>
        <w:rPr>
          <w:rFonts w:ascii="宋体" w:hAnsi="宋体"/>
          <w:b/>
          <w:bCs/>
          <w:color w:val="auto"/>
          <w:sz w:val="28"/>
          <w:szCs w:val="28"/>
          <w:highlight w:val="none"/>
        </w:rPr>
      </w:pPr>
    </w:p>
    <w:p w14:paraId="15AB46A2">
      <w:pPr>
        <w:pStyle w:val="4"/>
        <w:jc w:val="center"/>
        <w:rPr>
          <w:rFonts w:ascii="宋体" w:hAnsi="宋体"/>
          <w:color w:val="auto"/>
          <w:sz w:val="28"/>
          <w:szCs w:val="28"/>
          <w:highlight w:val="none"/>
        </w:rPr>
      </w:pPr>
      <w:r>
        <w:rPr>
          <w:rFonts w:ascii="宋体" w:hAnsi="宋体"/>
          <w:color w:val="auto"/>
          <w:highlight w:val="none"/>
        </w:rPr>
        <w:br w:type="page"/>
      </w:r>
      <w:bookmarkStart w:id="58" w:name="_Toc161933899"/>
      <w:bookmarkStart w:id="59" w:name="_Toc433187368"/>
      <w:r>
        <w:rPr>
          <w:rFonts w:hint="eastAsia" w:ascii="宋体" w:hAnsi="宋体"/>
          <w:color w:val="auto"/>
          <w:sz w:val="28"/>
          <w:szCs w:val="28"/>
          <w:highlight w:val="none"/>
        </w:rPr>
        <w:t>四、报价一览表及报价明细表</w:t>
      </w:r>
      <w:bookmarkEnd w:id="58"/>
    </w:p>
    <w:p w14:paraId="733FBC3A">
      <w:pPr>
        <w:rPr>
          <w:rFonts w:ascii="宋体" w:hAnsi="宋体"/>
          <w:color w:val="auto"/>
          <w:highlight w:val="none"/>
        </w:rPr>
      </w:pPr>
    </w:p>
    <w:p w14:paraId="2C9E93ED">
      <w:pPr>
        <w:rPr>
          <w:rFonts w:ascii="宋体" w:hAnsi="宋体"/>
          <w:color w:val="auto"/>
          <w:sz w:val="24"/>
          <w:highlight w:val="none"/>
        </w:rPr>
      </w:pPr>
    </w:p>
    <w:p w14:paraId="0E589FA3">
      <w:pPr>
        <w:rPr>
          <w:rFonts w:ascii="宋体" w:hAnsi="宋体"/>
          <w:color w:val="auto"/>
          <w:sz w:val="24"/>
          <w:highlight w:val="none"/>
        </w:rPr>
      </w:pPr>
      <w:r>
        <w:rPr>
          <w:rFonts w:hint="eastAsia" w:ascii="宋体" w:hAnsi="宋体"/>
          <w:color w:val="auto"/>
          <w:sz w:val="24"/>
          <w:highlight w:val="none"/>
        </w:rPr>
        <w:t xml:space="preserve">附件4    </w:t>
      </w:r>
    </w:p>
    <w:p w14:paraId="47C6204E">
      <w:pPr>
        <w:adjustRightInd w:val="0"/>
        <w:snapToGrid w:val="0"/>
        <w:jc w:val="center"/>
        <w:rPr>
          <w:rFonts w:ascii="宋体" w:hAnsi="宋体"/>
          <w:b/>
          <w:color w:val="auto"/>
          <w:sz w:val="28"/>
          <w:szCs w:val="28"/>
          <w:highlight w:val="none"/>
        </w:rPr>
      </w:pPr>
      <w:r>
        <w:rPr>
          <w:rFonts w:hint="eastAsia" w:ascii="宋体" w:hAnsi="宋体"/>
          <w:b/>
          <w:bCs/>
          <w:color w:val="auto"/>
          <w:sz w:val="28"/>
          <w:szCs w:val="28"/>
          <w:highlight w:val="none"/>
        </w:rPr>
        <w:t>报价一览表</w:t>
      </w:r>
    </w:p>
    <w:p w14:paraId="1AB0715E">
      <w:pPr>
        <w:spacing w:line="360" w:lineRule="exact"/>
        <w:jc w:val="left"/>
        <w:rPr>
          <w:rFonts w:ascii="宋体" w:hAnsi="宋体"/>
          <w:b/>
          <w:color w:val="auto"/>
          <w:highlight w:val="none"/>
        </w:rPr>
      </w:pPr>
    </w:p>
    <w:p w14:paraId="533A611E">
      <w:pPr>
        <w:spacing w:line="360" w:lineRule="exact"/>
        <w:jc w:val="left"/>
        <w:rPr>
          <w:rFonts w:ascii="宋体" w:hAnsi="宋体"/>
          <w:color w:val="auto"/>
          <w:sz w:val="24"/>
          <w:highlight w:val="none"/>
        </w:rPr>
      </w:pPr>
      <w:r>
        <w:rPr>
          <w:rFonts w:hint="eastAsia" w:ascii="宋体" w:hAnsi="宋体"/>
          <w:b/>
          <w:color w:val="auto"/>
          <w:highlight w:val="none"/>
        </w:rPr>
        <w:t xml:space="preserve">项目名称：                                                                                  项目编号：  </w:t>
      </w:r>
    </w:p>
    <w:tbl>
      <w:tblPr>
        <w:tblStyle w:val="47"/>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1827"/>
        <w:gridCol w:w="4668"/>
        <w:gridCol w:w="1299"/>
      </w:tblGrid>
      <w:tr w14:paraId="4A342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047D2268">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6495" w:type="dxa"/>
            <w:gridSpan w:val="2"/>
            <w:tcBorders>
              <w:top w:val="single" w:color="auto" w:sz="4" w:space="0"/>
              <w:left w:val="single" w:color="auto" w:sz="4" w:space="0"/>
              <w:right w:val="single" w:color="auto" w:sz="4" w:space="0"/>
            </w:tcBorders>
            <w:vAlign w:val="center"/>
          </w:tcPr>
          <w:p w14:paraId="73F739AC">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1299" w:type="dxa"/>
            <w:tcBorders>
              <w:top w:val="single" w:color="auto" w:sz="4" w:space="0"/>
              <w:left w:val="single" w:color="auto" w:sz="4" w:space="0"/>
              <w:right w:val="single" w:color="auto" w:sz="4" w:space="0"/>
            </w:tcBorders>
            <w:vAlign w:val="center"/>
          </w:tcPr>
          <w:p w14:paraId="25D70ADF">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56CE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0B02607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827" w:type="dxa"/>
            <w:tcBorders>
              <w:top w:val="single" w:color="auto" w:sz="4" w:space="0"/>
              <w:left w:val="single" w:color="auto" w:sz="4" w:space="0"/>
              <w:right w:val="single" w:color="auto" w:sz="4" w:space="0"/>
            </w:tcBorders>
            <w:vAlign w:val="center"/>
          </w:tcPr>
          <w:p w14:paraId="231DD5A6">
            <w:pPr>
              <w:snapToGrid w:val="0"/>
              <w:spacing w:line="400" w:lineRule="exact"/>
              <w:rPr>
                <w:rFonts w:ascii="宋体" w:hAnsi="宋体"/>
                <w:color w:val="auto"/>
                <w:szCs w:val="21"/>
                <w:highlight w:val="none"/>
              </w:rPr>
            </w:pPr>
            <w:r>
              <w:rPr>
                <w:rFonts w:hint="eastAsia" w:ascii="宋体" w:hAnsi="宋体"/>
                <w:color w:val="auto"/>
                <w:szCs w:val="21"/>
                <w:highlight w:val="none"/>
              </w:rPr>
              <w:t>投标人名称</w:t>
            </w:r>
          </w:p>
        </w:tc>
        <w:tc>
          <w:tcPr>
            <w:tcW w:w="4668" w:type="dxa"/>
            <w:tcBorders>
              <w:top w:val="single" w:color="auto" w:sz="4" w:space="0"/>
              <w:left w:val="single" w:color="auto" w:sz="4" w:space="0"/>
              <w:right w:val="single" w:color="auto" w:sz="4" w:space="0"/>
            </w:tcBorders>
            <w:vAlign w:val="center"/>
          </w:tcPr>
          <w:p w14:paraId="4A91E227">
            <w:pPr>
              <w:snapToGrid w:val="0"/>
              <w:spacing w:line="400" w:lineRule="exact"/>
              <w:rPr>
                <w:rFonts w:ascii="宋体" w:hAnsi="宋体"/>
                <w:color w:val="auto"/>
                <w:szCs w:val="21"/>
                <w:highlight w:val="none"/>
              </w:rPr>
            </w:pPr>
          </w:p>
        </w:tc>
        <w:tc>
          <w:tcPr>
            <w:tcW w:w="1299" w:type="dxa"/>
            <w:tcBorders>
              <w:top w:val="single" w:color="auto" w:sz="4" w:space="0"/>
              <w:left w:val="single" w:color="auto" w:sz="4" w:space="0"/>
              <w:right w:val="single" w:color="auto" w:sz="4" w:space="0"/>
            </w:tcBorders>
            <w:vAlign w:val="center"/>
          </w:tcPr>
          <w:p w14:paraId="636C3300">
            <w:pPr>
              <w:snapToGrid w:val="0"/>
              <w:spacing w:line="400" w:lineRule="exact"/>
              <w:jc w:val="center"/>
              <w:rPr>
                <w:rFonts w:ascii="宋体" w:hAnsi="宋体"/>
                <w:color w:val="auto"/>
                <w:szCs w:val="21"/>
                <w:highlight w:val="none"/>
              </w:rPr>
            </w:pPr>
          </w:p>
        </w:tc>
      </w:tr>
      <w:tr w14:paraId="1A57C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7EDF56B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827" w:type="dxa"/>
            <w:tcBorders>
              <w:top w:val="single" w:color="auto" w:sz="4" w:space="0"/>
              <w:left w:val="single" w:color="auto" w:sz="4" w:space="0"/>
              <w:bottom w:val="single" w:color="auto" w:sz="4" w:space="0"/>
              <w:right w:val="single" w:color="auto" w:sz="4" w:space="0"/>
            </w:tcBorders>
            <w:vAlign w:val="center"/>
          </w:tcPr>
          <w:p w14:paraId="449227F7">
            <w:pPr>
              <w:snapToGrid w:val="0"/>
              <w:spacing w:line="400" w:lineRule="exact"/>
              <w:rPr>
                <w:rFonts w:ascii="宋体" w:hAnsi="宋体"/>
                <w:color w:val="auto"/>
                <w:szCs w:val="21"/>
                <w:highlight w:val="none"/>
              </w:rPr>
            </w:pPr>
            <w:r>
              <w:rPr>
                <w:rFonts w:hint="eastAsia" w:ascii="宋体" w:hAnsi="宋体"/>
                <w:color w:val="auto"/>
                <w:szCs w:val="21"/>
                <w:highlight w:val="none"/>
              </w:rPr>
              <w:t>报价</w:t>
            </w:r>
          </w:p>
        </w:tc>
        <w:tc>
          <w:tcPr>
            <w:tcW w:w="4668" w:type="dxa"/>
            <w:tcBorders>
              <w:top w:val="single" w:color="auto" w:sz="4" w:space="0"/>
              <w:left w:val="single" w:color="auto" w:sz="4" w:space="0"/>
              <w:bottom w:val="single" w:color="auto" w:sz="4" w:space="0"/>
              <w:right w:val="single" w:color="auto" w:sz="4" w:space="0"/>
            </w:tcBorders>
            <w:vAlign w:val="center"/>
          </w:tcPr>
          <w:p w14:paraId="1043048B">
            <w:pPr>
              <w:widowControl/>
              <w:rPr>
                <w:rFonts w:ascii="宋体" w:hAnsi="宋体"/>
                <w:color w:val="auto"/>
                <w:szCs w:val="21"/>
                <w:highlight w:val="none"/>
              </w:rPr>
            </w:pPr>
            <w:r>
              <w:rPr>
                <w:rFonts w:hint="eastAsia" w:ascii="宋体" w:hAnsi="宋体"/>
                <w:color w:val="auto"/>
                <w:szCs w:val="21"/>
                <w:highlight w:val="none"/>
              </w:rPr>
              <w:t xml:space="preserve">大写：           </w:t>
            </w:r>
          </w:p>
          <w:p w14:paraId="0D39189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小写：          </w:t>
            </w:r>
          </w:p>
        </w:tc>
        <w:tc>
          <w:tcPr>
            <w:tcW w:w="1299" w:type="dxa"/>
            <w:tcBorders>
              <w:top w:val="single" w:color="auto" w:sz="4" w:space="0"/>
              <w:left w:val="single" w:color="auto" w:sz="4" w:space="0"/>
              <w:bottom w:val="single" w:color="auto" w:sz="4" w:space="0"/>
              <w:right w:val="single" w:color="auto" w:sz="4" w:space="0"/>
            </w:tcBorders>
            <w:vAlign w:val="center"/>
          </w:tcPr>
          <w:p w14:paraId="6CAF1659">
            <w:pPr>
              <w:snapToGrid w:val="0"/>
              <w:spacing w:line="400" w:lineRule="exact"/>
              <w:jc w:val="center"/>
              <w:rPr>
                <w:rFonts w:ascii="宋体" w:hAnsi="宋体"/>
                <w:color w:val="auto"/>
                <w:szCs w:val="21"/>
                <w:highlight w:val="none"/>
              </w:rPr>
            </w:pPr>
          </w:p>
        </w:tc>
      </w:tr>
      <w:tr w14:paraId="16055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3490AB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827" w:type="dxa"/>
            <w:tcBorders>
              <w:top w:val="single" w:color="auto" w:sz="4" w:space="0"/>
              <w:left w:val="single" w:color="auto" w:sz="4" w:space="0"/>
              <w:bottom w:val="single" w:color="auto" w:sz="4" w:space="0"/>
              <w:right w:val="single" w:color="auto" w:sz="4" w:space="0"/>
            </w:tcBorders>
            <w:vAlign w:val="center"/>
          </w:tcPr>
          <w:p w14:paraId="595787C4">
            <w:pPr>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668" w:type="dxa"/>
            <w:tcBorders>
              <w:top w:val="single" w:color="auto" w:sz="4" w:space="0"/>
              <w:left w:val="single" w:color="auto" w:sz="4" w:space="0"/>
              <w:bottom w:val="single" w:color="auto" w:sz="4" w:space="0"/>
              <w:right w:val="single" w:color="auto" w:sz="4" w:space="0"/>
            </w:tcBorders>
            <w:vAlign w:val="center"/>
          </w:tcPr>
          <w:p w14:paraId="00500A90">
            <w:pPr>
              <w:snapToGrid w:val="0"/>
              <w:spacing w:line="400" w:lineRule="exact"/>
              <w:ind w:left="2559"/>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2C85EC92">
            <w:pPr>
              <w:snapToGrid w:val="0"/>
              <w:spacing w:line="400" w:lineRule="exact"/>
              <w:jc w:val="center"/>
              <w:rPr>
                <w:rFonts w:ascii="宋体" w:hAnsi="宋体"/>
                <w:color w:val="auto"/>
                <w:szCs w:val="21"/>
                <w:highlight w:val="none"/>
                <w:u w:val="single"/>
              </w:rPr>
            </w:pPr>
          </w:p>
        </w:tc>
      </w:tr>
      <w:tr w14:paraId="02E18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09B861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827" w:type="dxa"/>
            <w:tcBorders>
              <w:top w:val="single" w:color="auto" w:sz="4" w:space="0"/>
              <w:left w:val="single" w:color="auto" w:sz="4" w:space="0"/>
              <w:bottom w:val="single" w:color="auto" w:sz="4" w:space="0"/>
              <w:right w:val="single" w:color="auto" w:sz="4" w:space="0"/>
            </w:tcBorders>
            <w:vAlign w:val="center"/>
          </w:tcPr>
          <w:p w14:paraId="64D6434A">
            <w:pPr>
              <w:snapToGrid w:val="0"/>
              <w:spacing w:line="400" w:lineRule="exact"/>
              <w:rPr>
                <w:rFonts w:ascii="宋体" w:hAnsi="宋体"/>
                <w:color w:val="auto"/>
                <w:szCs w:val="21"/>
                <w:highlight w:val="none"/>
              </w:rPr>
            </w:pPr>
            <w:r>
              <w:rPr>
                <w:rFonts w:hint="eastAsia" w:ascii="宋体" w:hAnsi="宋体"/>
                <w:color w:val="auto"/>
                <w:szCs w:val="21"/>
                <w:highlight w:val="none"/>
              </w:rPr>
              <w:t>其他事项声明</w:t>
            </w:r>
          </w:p>
        </w:tc>
        <w:tc>
          <w:tcPr>
            <w:tcW w:w="4668" w:type="dxa"/>
            <w:tcBorders>
              <w:top w:val="single" w:color="auto" w:sz="4" w:space="0"/>
              <w:left w:val="single" w:color="auto" w:sz="4" w:space="0"/>
              <w:bottom w:val="single" w:color="auto" w:sz="4" w:space="0"/>
              <w:right w:val="single" w:color="auto" w:sz="4" w:space="0"/>
            </w:tcBorders>
            <w:vAlign w:val="center"/>
          </w:tcPr>
          <w:p w14:paraId="7288D02B">
            <w:pPr>
              <w:snapToGrid w:val="0"/>
              <w:spacing w:line="400" w:lineRule="exact"/>
              <w:ind w:left="2559"/>
              <w:jc w:val="left"/>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145EB467">
            <w:pPr>
              <w:snapToGrid w:val="0"/>
              <w:spacing w:line="400" w:lineRule="exact"/>
              <w:jc w:val="center"/>
              <w:rPr>
                <w:rFonts w:ascii="宋体" w:hAnsi="宋体"/>
                <w:color w:val="auto"/>
                <w:szCs w:val="21"/>
                <w:highlight w:val="none"/>
                <w:u w:val="single"/>
              </w:rPr>
            </w:pPr>
          </w:p>
        </w:tc>
      </w:tr>
    </w:tbl>
    <w:p w14:paraId="2731AEC6">
      <w:pPr>
        <w:adjustRightInd w:val="0"/>
        <w:snapToGrid w:val="0"/>
        <w:spacing w:line="360" w:lineRule="auto"/>
        <w:rPr>
          <w:rFonts w:ascii="宋体" w:hAnsi="宋体"/>
          <w:color w:val="auto"/>
          <w:szCs w:val="21"/>
          <w:highlight w:val="none"/>
        </w:rPr>
      </w:pPr>
    </w:p>
    <w:p w14:paraId="573E70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1、报价一经涂改，应在涂改处加盖单位公章或者由法定代表人或授权委托人签字或盖章，否则其投标作无效处理。</w:t>
      </w:r>
    </w:p>
    <w:p w14:paraId="10500D5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须附详细的报价明细表，报价明细表中总金额和此表中首次投标报价一致。</w:t>
      </w:r>
    </w:p>
    <w:p w14:paraId="3FB9A47B">
      <w:pPr>
        <w:adjustRightInd w:val="0"/>
        <w:snapToGrid w:val="0"/>
        <w:spacing w:line="360" w:lineRule="auto"/>
        <w:rPr>
          <w:rFonts w:ascii="宋体" w:hAnsi="宋体"/>
          <w:color w:val="auto"/>
          <w:szCs w:val="21"/>
          <w:highlight w:val="none"/>
        </w:rPr>
      </w:pPr>
    </w:p>
    <w:p w14:paraId="3360FFF1">
      <w:pPr>
        <w:adjustRightInd w:val="0"/>
        <w:snapToGrid w:val="0"/>
        <w:spacing w:line="360" w:lineRule="auto"/>
        <w:rPr>
          <w:rFonts w:ascii="宋体" w:hAnsi="宋体"/>
          <w:color w:val="auto"/>
          <w:szCs w:val="21"/>
          <w:highlight w:val="none"/>
        </w:rPr>
      </w:pPr>
    </w:p>
    <w:p w14:paraId="377AD505">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E3ABB0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42C7EF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62BF1BC">
      <w:pPr>
        <w:rPr>
          <w:rFonts w:hint="eastAsia" w:ascii="宋体" w:hAnsi="宋体"/>
          <w:color w:val="auto"/>
          <w:sz w:val="24"/>
          <w:highlight w:val="none"/>
        </w:rPr>
      </w:pPr>
      <w:r>
        <w:rPr>
          <w:rFonts w:hint="eastAsia" w:ascii="宋体" w:hAnsi="宋体"/>
          <w:color w:val="auto"/>
          <w:sz w:val="24"/>
          <w:highlight w:val="none"/>
        </w:rPr>
        <w:br w:type="page"/>
      </w:r>
    </w:p>
    <w:p w14:paraId="168FB690">
      <w:pPr>
        <w:adjustRightInd w:val="0"/>
        <w:snapToGrid w:val="0"/>
        <w:rPr>
          <w:rFonts w:ascii="宋体" w:hAnsi="宋体"/>
          <w:b/>
          <w:color w:val="auto"/>
          <w:sz w:val="30"/>
          <w:szCs w:val="30"/>
          <w:highlight w:val="none"/>
        </w:rPr>
      </w:pPr>
      <w:r>
        <w:rPr>
          <w:rFonts w:hint="eastAsia" w:ascii="宋体" w:hAnsi="宋体"/>
          <w:color w:val="auto"/>
          <w:sz w:val="24"/>
          <w:highlight w:val="none"/>
        </w:rPr>
        <w:t xml:space="preserve">附件5  </w:t>
      </w:r>
    </w:p>
    <w:p w14:paraId="10ED13B6">
      <w:pPr>
        <w:adjustRightInd w:val="0"/>
        <w:snapToGrid w:val="0"/>
        <w:jc w:val="center"/>
        <w:rPr>
          <w:rFonts w:ascii="宋体" w:hAnsi="宋体"/>
          <w:b/>
          <w:color w:val="auto"/>
          <w:sz w:val="24"/>
          <w:highlight w:val="none"/>
        </w:rPr>
      </w:pPr>
      <w:r>
        <w:rPr>
          <w:rFonts w:hint="eastAsia" w:ascii="宋体" w:hAnsi="宋体"/>
          <w:b/>
          <w:color w:val="auto"/>
          <w:sz w:val="24"/>
          <w:highlight w:val="none"/>
        </w:rPr>
        <w:t xml:space="preserve">报价明细表 </w:t>
      </w:r>
    </w:p>
    <w:p w14:paraId="16C26B26">
      <w:pPr>
        <w:spacing w:line="360" w:lineRule="exact"/>
        <w:ind w:firstLine="211" w:firstLineChars="100"/>
        <w:rPr>
          <w:rFonts w:ascii="宋体" w:hAnsi="宋体"/>
          <w:b/>
          <w:color w:val="auto"/>
          <w:highlight w:val="none"/>
        </w:rPr>
      </w:pPr>
    </w:p>
    <w:p w14:paraId="55F37D20">
      <w:pPr>
        <w:spacing w:line="360" w:lineRule="exact"/>
        <w:jc w:val="left"/>
        <w:rPr>
          <w:rFonts w:ascii="宋体" w:hAnsi="宋体"/>
          <w:b/>
          <w:color w:val="auto"/>
          <w:highlight w:val="none"/>
        </w:rPr>
      </w:pPr>
      <w:r>
        <w:rPr>
          <w:rFonts w:hint="eastAsia" w:ascii="宋体" w:hAnsi="宋体"/>
          <w:b/>
          <w:color w:val="auto"/>
          <w:highlight w:val="none"/>
        </w:rPr>
        <w:t xml:space="preserve">项目名称：                                                     </w:t>
      </w:r>
    </w:p>
    <w:p w14:paraId="47AB877D">
      <w:pPr>
        <w:spacing w:line="360" w:lineRule="exact"/>
        <w:jc w:val="left"/>
        <w:rPr>
          <w:rFonts w:ascii="宋体" w:hAnsi="宋体"/>
          <w:b/>
          <w:color w:val="auto"/>
          <w:highlight w:val="none"/>
        </w:rPr>
      </w:pPr>
      <w:r>
        <w:rPr>
          <w:rFonts w:hint="eastAsia" w:ascii="宋体" w:hAnsi="宋体"/>
          <w:b/>
          <w:color w:val="auto"/>
          <w:highlight w:val="none"/>
        </w:rPr>
        <w:t>项目编号：</w:t>
      </w:r>
      <w:r>
        <w:rPr>
          <w:rFonts w:hint="eastAsia" w:ascii="宋体" w:hAnsi="宋体"/>
          <w:b/>
          <w:color w:val="auto"/>
          <w:highlight w:val="none"/>
          <w:lang w:val="en-US" w:eastAsia="zh-CN"/>
        </w:rPr>
        <w:t xml:space="preserve">  </w:t>
      </w:r>
      <w:r>
        <w:rPr>
          <w:rFonts w:hint="eastAsia" w:ascii="宋体" w:hAnsi="宋体"/>
          <w:b/>
          <w:color w:val="auto"/>
          <w:highlight w:val="none"/>
        </w:rPr>
        <w:t xml:space="preserve">                                                 金额单位：元</w:t>
      </w:r>
    </w:p>
    <w:tbl>
      <w:tblPr>
        <w:tblStyle w:val="47"/>
        <w:tblW w:w="6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712"/>
        <w:gridCol w:w="782"/>
        <w:gridCol w:w="836"/>
        <w:gridCol w:w="951"/>
        <w:gridCol w:w="1112"/>
        <w:gridCol w:w="682"/>
      </w:tblGrid>
      <w:tr w14:paraId="6FD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518" w:type="dxa"/>
            <w:vAlign w:val="center"/>
          </w:tcPr>
          <w:p w14:paraId="6AB83936">
            <w:pPr>
              <w:jc w:val="center"/>
              <w:rPr>
                <w:rFonts w:ascii="宋体" w:hAnsi="宋体"/>
                <w:color w:val="auto"/>
                <w:highlight w:val="none"/>
              </w:rPr>
            </w:pPr>
            <w:r>
              <w:rPr>
                <w:rFonts w:hint="eastAsia" w:ascii="宋体" w:hAnsi="宋体"/>
                <w:color w:val="auto"/>
                <w:highlight w:val="none"/>
              </w:rPr>
              <w:t>序号</w:t>
            </w:r>
          </w:p>
        </w:tc>
        <w:tc>
          <w:tcPr>
            <w:tcW w:w="1712" w:type="dxa"/>
            <w:vAlign w:val="center"/>
          </w:tcPr>
          <w:p w14:paraId="586BB77B">
            <w:pPr>
              <w:jc w:val="center"/>
              <w:rPr>
                <w:rFonts w:ascii="宋体" w:hAnsi="宋体"/>
                <w:color w:val="auto"/>
                <w:highlight w:val="none"/>
              </w:rPr>
            </w:pPr>
            <w:r>
              <w:rPr>
                <w:rFonts w:hint="eastAsia" w:ascii="宋体" w:hAnsi="宋体"/>
                <w:color w:val="auto"/>
                <w:highlight w:val="none"/>
              </w:rPr>
              <w:t>费用名称</w:t>
            </w:r>
          </w:p>
        </w:tc>
        <w:tc>
          <w:tcPr>
            <w:tcW w:w="782" w:type="dxa"/>
            <w:vAlign w:val="center"/>
          </w:tcPr>
          <w:p w14:paraId="1ACBE89A">
            <w:pPr>
              <w:jc w:val="center"/>
              <w:rPr>
                <w:rFonts w:ascii="宋体" w:hAnsi="宋体"/>
                <w:color w:val="auto"/>
                <w:highlight w:val="none"/>
              </w:rPr>
            </w:pPr>
            <w:r>
              <w:rPr>
                <w:rFonts w:hint="eastAsia" w:ascii="宋体" w:hAnsi="宋体"/>
                <w:color w:val="auto"/>
                <w:highlight w:val="none"/>
              </w:rPr>
              <w:t>数量</w:t>
            </w:r>
          </w:p>
        </w:tc>
        <w:tc>
          <w:tcPr>
            <w:tcW w:w="836" w:type="dxa"/>
            <w:vAlign w:val="center"/>
          </w:tcPr>
          <w:p w14:paraId="054295D5">
            <w:pPr>
              <w:jc w:val="center"/>
              <w:rPr>
                <w:rFonts w:ascii="宋体" w:hAnsi="宋体"/>
                <w:color w:val="auto"/>
                <w:highlight w:val="none"/>
              </w:rPr>
            </w:pPr>
            <w:r>
              <w:rPr>
                <w:rFonts w:hint="eastAsia" w:ascii="宋体" w:hAnsi="宋体"/>
                <w:color w:val="auto"/>
                <w:highlight w:val="none"/>
              </w:rPr>
              <w:t>单位</w:t>
            </w:r>
          </w:p>
        </w:tc>
        <w:tc>
          <w:tcPr>
            <w:tcW w:w="951" w:type="dxa"/>
            <w:vAlign w:val="center"/>
          </w:tcPr>
          <w:p w14:paraId="466C1A39">
            <w:pPr>
              <w:jc w:val="center"/>
              <w:rPr>
                <w:rFonts w:ascii="宋体" w:hAnsi="宋体"/>
                <w:color w:val="auto"/>
                <w:highlight w:val="none"/>
              </w:rPr>
            </w:pPr>
            <w:r>
              <w:rPr>
                <w:rFonts w:hint="eastAsia" w:ascii="宋体" w:hAnsi="宋体"/>
                <w:color w:val="auto"/>
                <w:highlight w:val="none"/>
              </w:rPr>
              <w:t>单价(元</w:t>
            </w:r>
            <w:r>
              <w:rPr>
                <w:rFonts w:ascii="宋体" w:hAnsi="宋体"/>
                <w:color w:val="auto"/>
                <w:highlight w:val="none"/>
              </w:rPr>
              <w:t>)</w:t>
            </w:r>
          </w:p>
        </w:tc>
        <w:tc>
          <w:tcPr>
            <w:tcW w:w="1112" w:type="dxa"/>
            <w:vAlign w:val="center"/>
          </w:tcPr>
          <w:p w14:paraId="37C1E00E">
            <w:pPr>
              <w:jc w:val="center"/>
              <w:rPr>
                <w:rFonts w:ascii="宋体" w:hAnsi="宋体"/>
                <w:color w:val="auto"/>
                <w:highlight w:val="none"/>
              </w:rPr>
            </w:pPr>
            <w:r>
              <w:rPr>
                <w:rFonts w:hint="eastAsia" w:ascii="宋体" w:hAnsi="宋体"/>
                <w:color w:val="auto"/>
                <w:highlight w:val="none"/>
              </w:rPr>
              <w:t>合计（元）</w:t>
            </w:r>
          </w:p>
        </w:tc>
        <w:tc>
          <w:tcPr>
            <w:tcW w:w="682" w:type="dxa"/>
            <w:vAlign w:val="center"/>
          </w:tcPr>
          <w:p w14:paraId="6F29FED6">
            <w:pPr>
              <w:jc w:val="center"/>
              <w:rPr>
                <w:rFonts w:ascii="宋体" w:hAnsi="宋体"/>
                <w:color w:val="auto"/>
                <w:highlight w:val="none"/>
              </w:rPr>
            </w:pPr>
            <w:r>
              <w:rPr>
                <w:rFonts w:hint="eastAsia" w:ascii="宋体" w:hAnsi="宋体"/>
                <w:color w:val="auto"/>
                <w:highlight w:val="none"/>
              </w:rPr>
              <w:t>备注</w:t>
            </w:r>
          </w:p>
        </w:tc>
      </w:tr>
      <w:tr w14:paraId="474B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75CB1B29">
            <w:pPr>
              <w:jc w:val="center"/>
              <w:rPr>
                <w:rFonts w:ascii="宋体" w:hAnsi="宋体"/>
                <w:color w:val="auto"/>
                <w:highlight w:val="none"/>
              </w:rPr>
            </w:pPr>
          </w:p>
        </w:tc>
        <w:tc>
          <w:tcPr>
            <w:tcW w:w="1712" w:type="dxa"/>
            <w:vAlign w:val="center"/>
          </w:tcPr>
          <w:p w14:paraId="1D5D22BF">
            <w:pPr>
              <w:jc w:val="center"/>
              <w:rPr>
                <w:rFonts w:ascii="宋体" w:hAnsi="宋体"/>
                <w:color w:val="auto"/>
                <w:highlight w:val="none"/>
              </w:rPr>
            </w:pPr>
          </w:p>
        </w:tc>
        <w:tc>
          <w:tcPr>
            <w:tcW w:w="782" w:type="dxa"/>
          </w:tcPr>
          <w:p w14:paraId="04812EC4">
            <w:pPr>
              <w:jc w:val="center"/>
              <w:rPr>
                <w:rFonts w:ascii="宋体" w:hAnsi="宋体"/>
                <w:color w:val="auto"/>
                <w:highlight w:val="none"/>
              </w:rPr>
            </w:pPr>
          </w:p>
        </w:tc>
        <w:tc>
          <w:tcPr>
            <w:tcW w:w="836" w:type="dxa"/>
          </w:tcPr>
          <w:p w14:paraId="7EE3A7BA">
            <w:pPr>
              <w:jc w:val="center"/>
              <w:rPr>
                <w:rFonts w:ascii="宋体" w:hAnsi="宋体"/>
                <w:color w:val="auto"/>
                <w:highlight w:val="none"/>
              </w:rPr>
            </w:pPr>
          </w:p>
        </w:tc>
        <w:tc>
          <w:tcPr>
            <w:tcW w:w="951" w:type="dxa"/>
          </w:tcPr>
          <w:p w14:paraId="7F613B15">
            <w:pPr>
              <w:jc w:val="center"/>
              <w:rPr>
                <w:rFonts w:ascii="宋体" w:hAnsi="宋体"/>
                <w:color w:val="auto"/>
                <w:highlight w:val="none"/>
              </w:rPr>
            </w:pPr>
          </w:p>
        </w:tc>
        <w:tc>
          <w:tcPr>
            <w:tcW w:w="1112" w:type="dxa"/>
            <w:vAlign w:val="center"/>
          </w:tcPr>
          <w:p w14:paraId="02300176">
            <w:pPr>
              <w:jc w:val="center"/>
              <w:rPr>
                <w:rFonts w:ascii="宋体" w:hAnsi="宋体"/>
                <w:color w:val="auto"/>
                <w:highlight w:val="none"/>
              </w:rPr>
            </w:pPr>
          </w:p>
        </w:tc>
        <w:tc>
          <w:tcPr>
            <w:tcW w:w="682" w:type="dxa"/>
            <w:vAlign w:val="center"/>
          </w:tcPr>
          <w:p w14:paraId="5761C6AF">
            <w:pPr>
              <w:jc w:val="center"/>
              <w:rPr>
                <w:rFonts w:ascii="宋体" w:hAnsi="宋体"/>
                <w:color w:val="auto"/>
                <w:highlight w:val="none"/>
              </w:rPr>
            </w:pPr>
          </w:p>
        </w:tc>
      </w:tr>
      <w:tr w14:paraId="05A0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4DE4FA0">
            <w:pPr>
              <w:jc w:val="center"/>
              <w:rPr>
                <w:rFonts w:ascii="宋体" w:hAnsi="宋体"/>
                <w:color w:val="auto"/>
                <w:highlight w:val="none"/>
              </w:rPr>
            </w:pPr>
          </w:p>
        </w:tc>
        <w:tc>
          <w:tcPr>
            <w:tcW w:w="1712" w:type="dxa"/>
            <w:vAlign w:val="center"/>
          </w:tcPr>
          <w:p w14:paraId="28831B9C">
            <w:pPr>
              <w:jc w:val="center"/>
              <w:rPr>
                <w:rFonts w:ascii="宋体" w:hAnsi="宋体"/>
                <w:color w:val="auto"/>
                <w:highlight w:val="none"/>
              </w:rPr>
            </w:pPr>
          </w:p>
        </w:tc>
        <w:tc>
          <w:tcPr>
            <w:tcW w:w="782" w:type="dxa"/>
          </w:tcPr>
          <w:p w14:paraId="4572A2F2">
            <w:pPr>
              <w:jc w:val="center"/>
              <w:rPr>
                <w:rFonts w:ascii="宋体" w:hAnsi="宋体"/>
                <w:color w:val="auto"/>
                <w:highlight w:val="none"/>
              </w:rPr>
            </w:pPr>
          </w:p>
        </w:tc>
        <w:tc>
          <w:tcPr>
            <w:tcW w:w="836" w:type="dxa"/>
          </w:tcPr>
          <w:p w14:paraId="67C0DC80">
            <w:pPr>
              <w:jc w:val="center"/>
              <w:rPr>
                <w:rFonts w:ascii="宋体" w:hAnsi="宋体"/>
                <w:color w:val="auto"/>
                <w:highlight w:val="none"/>
              </w:rPr>
            </w:pPr>
          </w:p>
        </w:tc>
        <w:tc>
          <w:tcPr>
            <w:tcW w:w="951" w:type="dxa"/>
          </w:tcPr>
          <w:p w14:paraId="5225320E">
            <w:pPr>
              <w:jc w:val="center"/>
              <w:rPr>
                <w:rFonts w:ascii="宋体" w:hAnsi="宋体"/>
                <w:color w:val="auto"/>
                <w:highlight w:val="none"/>
              </w:rPr>
            </w:pPr>
          </w:p>
        </w:tc>
        <w:tc>
          <w:tcPr>
            <w:tcW w:w="1112" w:type="dxa"/>
            <w:vAlign w:val="center"/>
          </w:tcPr>
          <w:p w14:paraId="22DDCA2D">
            <w:pPr>
              <w:jc w:val="center"/>
              <w:rPr>
                <w:rFonts w:ascii="宋体" w:hAnsi="宋体"/>
                <w:color w:val="auto"/>
                <w:highlight w:val="none"/>
              </w:rPr>
            </w:pPr>
          </w:p>
        </w:tc>
        <w:tc>
          <w:tcPr>
            <w:tcW w:w="682" w:type="dxa"/>
            <w:vAlign w:val="center"/>
          </w:tcPr>
          <w:p w14:paraId="773D80CC">
            <w:pPr>
              <w:jc w:val="center"/>
              <w:rPr>
                <w:rFonts w:ascii="宋体" w:hAnsi="宋体"/>
                <w:color w:val="auto"/>
                <w:highlight w:val="none"/>
              </w:rPr>
            </w:pPr>
          </w:p>
        </w:tc>
      </w:tr>
      <w:tr w14:paraId="2AF0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96CA2A4">
            <w:pPr>
              <w:jc w:val="center"/>
              <w:rPr>
                <w:rFonts w:ascii="宋体" w:hAnsi="宋体"/>
                <w:color w:val="auto"/>
                <w:highlight w:val="none"/>
              </w:rPr>
            </w:pPr>
          </w:p>
        </w:tc>
        <w:tc>
          <w:tcPr>
            <w:tcW w:w="1712" w:type="dxa"/>
            <w:vAlign w:val="center"/>
          </w:tcPr>
          <w:p w14:paraId="66608911">
            <w:pPr>
              <w:jc w:val="center"/>
              <w:rPr>
                <w:rFonts w:ascii="宋体" w:hAnsi="宋体"/>
                <w:color w:val="auto"/>
                <w:highlight w:val="none"/>
              </w:rPr>
            </w:pPr>
          </w:p>
        </w:tc>
        <w:tc>
          <w:tcPr>
            <w:tcW w:w="782" w:type="dxa"/>
          </w:tcPr>
          <w:p w14:paraId="69872B7B">
            <w:pPr>
              <w:jc w:val="center"/>
              <w:rPr>
                <w:rFonts w:ascii="宋体" w:hAnsi="宋体"/>
                <w:color w:val="auto"/>
                <w:highlight w:val="none"/>
              </w:rPr>
            </w:pPr>
          </w:p>
        </w:tc>
        <w:tc>
          <w:tcPr>
            <w:tcW w:w="836" w:type="dxa"/>
          </w:tcPr>
          <w:p w14:paraId="5763ADF5">
            <w:pPr>
              <w:jc w:val="center"/>
              <w:rPr>
                <w:rFonts w:ascii="宋体" w:hAnsi="宋体"/>
                <w:color w:val="auto"/>
                <w:highlight w:val="none"/>
              </w:rPr>
            </w:pPr>
          </w:p>
        </w:tc>
        <w:tc>
          <w:tcPr>
            <w:tcW w:w="951" w:type="dxa"/>
          </w:tcPr>
          <w:p w14:paraId="08BF5F61">
            <w:pPr>
              <w:jc w:val="center"/>
              <w:rPr>
                <w:rFonts w:ascii="宋体" w:hAnsi="宋体"/>
                <w:color w:val="auto"/>
                <w:highlight w:val="none"/>
              </w:rPr>
            </w:pPr>
          </w:p>
        </w:tc>
        <w:tc>
          <w:tcPr>
            <w:tcW w:w="1112" w:type="dxa"/>
            <w:vAlign w:val="center"/>
          </w:tcPr>
          <w:p w14:paraId="40CD7260">
            <w:pPr>
              <w:jc w:val="center"/>
              <w:rPr>
                <w:rFonts w:ascii="宋体" w:hAnsi="宋体"/>
                <w:color w:val="auto"/>
                <w:highlight w:val="none"/>
              </w:rPr>
            </w:pPr>
          </w:p>
        </w:tc>
        <w:tc>
          <w:tcPr>
            <w:tcW w:w="682" w:type="dxa"/>
            <w:vAlign w:val="center"/>
          </w:tcPr>
          <w:p w14:paraId="1EB55CF9">
            <w:pPr>
              <w:jc w:val="center"/>
              <w:rPr>
                <w:rFonts w:ascii="宋体" w:hAnsi="宋体"/>
                <w:color w:val="auto"/>
                <w:highlight w:val="none"/>
              </w:rPr>
            </w:pPr>
          </w:p>
        </w:tc>
      </w:tr>
      <w:tr w14:paraId="334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3AC96BB9">
            <w:pPr>
              <w:jc w:val="center"/>
              <w:rPr>
                <w:rFonts w:ascii="宋体" w:hAnsi="宋体"/>
                <w:color w:val="auto"/>
                <w:highlight w:val="none"/>
              </w:rPr>
            </w:pPr>
          </w:p>
        </w:tc>
        <w:tc>
          <w:tcPr>
            <w:tcW w:w="1712" w:type="dxa"/>
            <w:vAlign w:val="center"/>
          </w:tcPr>
          <w:p w14:paraId="4EEE2AC9">
            <w:pPr>
              <w:jc w:val="center"/>
              <w:rPr>
                <w:rFonts w:ascii="宋体" w:hAnsi="宋体"/>
                <w:color w:val="auto"/>
                <w:highlight w:val="none"/>
              </w:rPr>
            </w:pPr>
          </w:p>
        </w:tc>
        <w:tc>
          <w:tcPr>
            <w:tcW w:w="782" w:type="dxa"/>
          </w:tcPr>
          <w:p w14:paraId="7303B686">
            <w:pPr>
              <w:jc w:val="center"/>
              <w:rPr>
                <w:rFonts w:ascii="宋体" w:hAnsi="宋体"/>
                <w:color w:val="auto"/>
                <w:highlight w:val="none"/>
              </w:rPr>
            </w:pPr>
          </w:p>
        </w:tc>
        <w:tc>
          <w:tcPr>
            <w:tcW w:w="836" w:type="dxa"/>
          </w:tcPr>
          <w:p w14:paraId="2FB34E32">
            <w:pPr>
              <w:jc w:val="center"/>
              <w:rPr>
                <w:rFonts w:ascii="宋体" w:hAnsi="宋体"/>
                <w:color w:val="auto"/>
                <w:highlight w:val="none"/>
              </w:rPr>
            </w:pPr>
          </w:p>
        </w:tc>
        <w:tc>
          <w:tcPr>
            <w:tcW w:w="951" w:type="dxa"/>
          </w:tcPr>
          <w:p w14:paraId="62D098C1">
            <w:pPr>
              <w:jc w:val="center"/>
              <w:rPr>
                <w:rFonts w:ascii="宋体" w:hAnsi="宋体"/>
                <w:color w:val="auto"/>
                <w:highlight w:val="none"/>
              </w:rPr>
            </w:pPr>
          </w:p>
        </w:tc>
        <w:tc>
          <w:tcPr>
            <w:tcW w:w="1112" w:type="dxa"/>
            <w:vAlign w:val="center"/>
          </w:tcPr>
          <w:p w14:paraId="295A399A">
            <w:pPr>
              <w:jc w:val="center"/>
              <w:rPr>
                <w:rFonts w:ascii="宋体" w:hAnsi="宋体"/>
                <w:color w:val="auto"/>
                <w:highlight w:val="none"/>
              </w:rPr>
            </w:pPr>
          </w:p>
        </w:tc>
        <w:tc>
          <w:tcPr>
            <w:tcW w:w="682" w:type="dxa"/>
            <w:vAlign w:val="center"/>
          </w:tcPr>
          <w:p w14:paraId="46095229">
            <w:pPr>
              <w:jc w:val="center"/>
              <w:rPr>
                <w:rFonts w:ascii="宋体" w:hAnsi="宋体"/>
                <w:color w:val="auto"/>
                <w:highlight w:val="none"/>
              </w:rPr>
            </w:pPr>
          </w:p>
        </w:tc>
      </w:tr>
      <w:tr w14:paraId="57F1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4D5DC9A6">
            <w:pPr>
              <w:jc w:val="center"/>
              <w:rPr>
                <w:rFonts w:ascii="宋体" w:hAnsi="宋体"/>
                <w:color w:val="auto"/>
                <w:highlight w:val="none"/>
              </w:rPr>
            </w:pPr>
          </w:p>
        </w:tc>
        <w:tc>
          <w:tcPr>
            <w:tcW w:w="1712" w:type="dxa"/>
            <w:vAlign w:val="center"/>
          </w:tcPr>
          <w:p w14:paraId="5F2FE98A">
            <w:pPr>
              <w:jc w:val="center"/>
              <w:rPr>
                <w:rFonts w:ascii="宋体" w:hAnsi="宋体"/>
                <w:color w:val="auto"/>
                <w:highlight w:val="none"/>
              </w:rPr>
            </w:pPr>
          </w:p>
        </w:tc>
        <w:tc>
          <w:tcPr>
            <w:tcW w:w="782" w:type="dxa"/>
          </w:tcPr>
          <w:p w14:paraId="5AFA9DB4">
            <w:pPr>
              <w:jc w:val="center"/>
              <w:rPr>
                <w:rFonts w:ascii="宋体" w:hAnsi="宋体"/>
                <w:color w:val="auto"/>
                <w:highlight w:val="none"/>
              </w:rPr>
            </w:pPr>
          </w:p>
        </w:tc>
        <w:tc>
          <w:tcPr>
            <w:tcW w:w="836" w:type="dxa"/>
          </w:tcPr>
          <w:p w14:paraId="29A10AD9">
            <w:pPr>
              <w:jc w:val="center"/>
              <w:rPr>
                <w:rFonts w:ascii="宋体" w:hAnsi="宋体"/>
                <w:color w:val="auto"/>
                <w:highlight w:val="none"/>
              </w:rPr>
            </w:pPr>
          </w:p>
        </w:tc>
        <w:tc>
          <w:tcPr>
            <w:tcW w:w="951" w:type="dxa"/>
          </w:tcPr>
          <w:p w14:paraId="04B57CDB">
            <w:pPr>
              <w:jc w:val="center"/>
              <w:rPr>
                <w:rFonts w:ascii="宋体" w:hAnsi="宋体"/>
                <w:color w:val="auto"/>
                <w:highlight w:val="none"/>
              </w:rPr>
            </w:pPr>
          </w:p>
        </w:tc>
        <w:tc>
          <w:tcPr>
            <w:tcW w:w="1112" w:type="dxa"/>
            <w:vAlign w:val="center"/>
          </w:tcPr>
          <w:p w14:paraId="1FFC982C">
            <w:pPr>
              <w:jc w:val="center"/>
              <w:rPr>
                <w:rFonts w:ascii="宋体" w:hAnsi="宋体"/>
                <w:color w:val="auto"/>
                <w:highlight w:val="none"/>
              </w:rPr>
            </w:pPr>
          </w:p>
        </w:tc>
        <w:tc>
          <w:tcPr>
            <w:tcW w:w="682" w:type="dxa"/>
            <w:vAlign w:val="center"/>
          </w:tcPr>
          <w:p w14:paraId="68409E80">
            <w:pPr>
              <w:jc w:val="center"/>
              <w:rPr>
                <w:rFonts w:ascii="宋体" w:hAnsi="宋体"/>
                <w:color w:val="auto"/>
                <w:highlight w:val="none"/>
              </w:rPr>
            </w:pPr>
          </w:p>
        </w:tc>
      </w:tr>
      <w:tr w14:paraId="6B03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536E4D8D">
            <w:pPr>
              <w:jc w:val="center"/>
              <w:rPr>
                <w:rFonts w:ascii="宋体" w:hAnsi="宋体"/>
                <w:color w:val="auto"/>
                <w:highlight w:val="none"/>
              </w:rPr>
            </w:pPr>
          </w:p>
        </w:tc>
        <w:tc>
          <w:tcPr>
            <w:tcW w:w="1712" w:type="dxa"/>
            <w:vAlign w:val="center"/>
          </w:tcPr>
          <w:p w14:paraId="1D2FB804">
            <w:pPr>
              <w:jc w:val="center"/>
              <w:rPr>
                <w:rFonts w:ascii="宋体" w:hAnsi="宋体"/>
                <w:color w:val="auto"/>
                <w:highlight w:val="none"/>
              </w:rPr>
            </w:pPr>
          </w:p>
        </w:tc>
        <w:tc>
          <w:tcPr>
            <w:tcW w:w="782" w:type="dxa"/>
          </w:tcPr>
          <w:p w14:paraId="773D42DF">
            <w:pPr>
              <w:jc w:val="center"/>
              <w:rPr>
                <w:rFonts w:ascii="宋体" w:hAnsi="宋体"/>
                <w:color w:val="auto"/>
                <w:highlight w:val="none"/>
              </w:rPr>
            </w:pPr>
          </w:p>
        </w:tc>
        <w:tc>
          <w:tcPr>
            <w:tcW w:w="836" w:type="dxa"/>
          </w:tcPr>
          <w:p w14:paraId="3AE8A6B8">
            <w:pPr>
              <w:jc w:val="center"/>
              <w:rPr>
                <w:rFonts w:ascii="宋体" w:hAnsi="宋体"/>
                <w:color w:val="auto"/>
                <w:highlight w:val="none"/>
              </w:rPr>
            </w:pPr>
          </w:p>
        </w:tc>
        <w:tc>
          <w:tcPr>
            <w:tcW w:w="951" w:type="dxa"/>
          </w:tcPr>
          <w:p w14:paraId="5477E1E3">
            <w:pPr>
              <w:jc w:val="center"/>
              <w:rPr>
                <w:rFonts w:ascii="宋体" w:hAnsi="宋体"/>
                <w:color w:val="auto"/>
                <w:highlight w:val="none"/>
              </w:rPr>
            </w:pPr>
          </w:p>
        </w:tc>
        <w:tc>
          <w:tcPr>
            <w:tcW w:w="1112" w:type="dxa"/>
            <w:vAlign w:val="center"/>
          </w:tcPr>
          <w:p w14:paraId="692E8E11">
            <w:pPr>
              <w:jc w:val="center"/>
              <w:rPr>
                <w:rFonts w:ascii="宋体" w:hAnsi="宋体"/>
                <w:color w:val="auto"/>
                <w:highlight w:val="none"/>
              </w:rPr>
            </w:pPr>
          </w:p>
        </w:tc>
        <w:tc>
          <w:tcPr>
            <w:tcW w:w="682" w:type="dxa"/>
            <w:vAlign w:val="center"/>
          </w:tcPr>
          <w:p w14:paraId="16C45A64">
            <w:pPr>
              <w:jc w:val="center"/>
              <w:rPr>
                <w:rFonts w:ascii="宋体" w:hAnsi="宋体"/>
                <w:color w:val="auto"/>
                <w:highlight w:val="none"/>
              </w:rPr>
            </w:pPr>
          </w:p>
        </w:tc>
      </w:tr>
      <w:tr w14:paraId="0B9E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0626086B">
            <w:pPr>
              <w:jc w:val="center"/>
              <w:rPr>
                <w:rFonts w:ascii="宋体" w:hAnsi="宋体"/>
                <w:color w:val="auto"/>
                <w:highlight w:val="none"/>
              </w:rPr>
            </w:pPr>
          </w:p>
        </w:tc>
        <w:tc>
          <w:tcPr>
            <w:tcW w:w="1712" w:type="dxa"/>
            <w:vAlign w:val="center"/>
          </w:tcPr>
          <w:p w14:paraId="1345DC07">
            <w:pPr>
              <w:jc w:val="center"/>
              <w:rPr>
                <w:rFonts w:ascii="宋体" w:hAnsi="宋体"/>
                <w:color w:val="auto"/>
                <w:highlight w:val="none"/>
              </w:rPr>
            </w:pPr>
          </w:p>
        </w:tc>
        <w:tc>
          <w:tcPr>
            <w:tcW w:w="782" w:type="dxa"/>
          </w:tcPr>
          <w:p w14:paraId="17EFB38C">
            <w:pPr>
              <w:jc w:val="center"/>
              <w:rPr>
                <w:rFonts w:ascii="宋体" w:hAnsi="宋体"/>
                <w:color w:val="auto"/>
                <w:highlight w:val="none"/>
              </w:rPr>
            </w:pPr>
          </w:p>
        </w:tc>
        <w:tc>
          <w:tcPr>
            <w:tcW w:w="836" w:type="dxa"/>
          </w:tcPr>
          <w:p w14:paraId="2FAC6B34">
            <w:pPr>
              <w:jc w:val="center"/>
              <w:rPr>
                <w:rFonts w:ascii="宋体" w:hAnsi="宋体"/>
                <w:color w:val="auto"/>
                <w:highlight w:val="none"/>
              </w:rPr>
            </w:pPr>
          </w:p>
        </w:tc>
        <w:tc>
          <w:tcPr>
            <w:tcW w:w="951" w:type="dxa"/>
          </w:tcPr>
          <w:p w14:paraId="34167DC8">
            <w:pPr>
              <w:jc w:val="center"/>
              <w:rPr>
                <w:rFonts w:ascii="宋体" w:hAnsi="宋体"/>
                <w:color w:val="auto"/>
                <w:highlight w:val="none"/>
              </w:rPr>
            </w:pPr>
          </w:p>
        </w:tc>
        <w:tc>
          <w:tcPr>
            <w:tcW w:w="1112" w:type="dxa"/>
            <w:vAlign w:val="center"/>
          </w:tcPr>
          <w:p w14:paraId="2E240D17">
            <w:pPr>
              <w:jc w:val="center"/>
              <w:rPr>
                <w:rFonts w:ascii="宋体" w:hAnsi="宋体"/>
                <w:color w:val="auto"/>
                <w:highlight w:val="none"/>
              </w:rPr>
            </w:pPr>
          </w:p>
        </w:tc>
        <w:tc>
          <w:tcPr>
            <w:tcW w:w="682" w:type="dxa"/>
            <w:vAlign w:val="center"/>
          </w:tcPr>
          <w:p w14:paraId="79D268A0">
            <w:pPr>
              <w:jc w:val="center"/>
              <w:rPr>
                <w:rFonts w:ascii="宋体" w:hAnsi="宋体"/>
                <w:color w:val="auto"/>
                <w:highlight w:val="none"/>
              </w:rPr>
            </w:pPr>
          </w:p>
        </w:tc>
      </w:tr>
      <w:tr w14:paraId="3206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9" w:type="dxa"/>
            <w:gridSpan w:val="5"/>
            <w:vAlign w:val="center"/>
          </w:tcPr>
          <w:p w14:paraId="0AE94CB6">
            <w:pPr>
              <w:jc w:val="center"/>
              <w:rPr>
                <w:rFonts w:hint="eastAsia" w:ascii="宋体" w:hAnsi="宋体" w:eastAsia="宋体"/>
                <w:color w:val="auto"/>
                <w:highlight w:val="none"/>
                <w:lang w:eastAsia="zh-CN"/>
              </w:rPr>
            </w:pPr>
            <w:r>
              <w:rPr>
                <w:rFonts w:hint="eastAsia" w:ascii="宋体" w:hAnsi="宋体"/>
                <w:color w:val="auto"/>
                <w:highlight w:val="none"/>
                <w:lang w:eastAsia="zh-CN"/>
              </w:rPr>
              <w:t>投标报价</w:t>
            </w:r>
          </w:p>
        </w:tc>
        <w:tc>
          <w:tcPr>
            <w:tcW w:w="1112" w:type="dxa"/>
            <w:vAlign w:val="center"/>
          </w:tcPr>
          <w:p w14:paraId="4D9D429C">
            <w:pPr>
              <w:jc w:val="center"/>
              <w:rPr>
                <w:rFonts w:ascii="宋体" w:hAnsi="宋体"/>
                <w:color w:val="auto"/>
                <w:highlight w:val="none"/>
              </w:rPr>
            </w:pPr>
          </w:p>
        </w:tc>
        <w:tc>
          <w:tcPr>
            <w:tcW w:w="682" w:type="dxa"/>
            <w:vAlign w:val="center"/>
          </w:tcPr>
          <w:p w14:paraId="123C7FF2">
            <w:pPr>
              <w:jc w:val="center"/>
              <w:rPr>
                <w:rFonts w:ascii="宋体" w:hAnsi="宋体"/>
                <w:color w:val="auto"/>
                <w:highlight w:val="none"/>
              </w:rPr>
            </w:pPr>
          </w:p>
        </w:tc>
      </w:tr>
    </w:tbl>
    <w:p w14:paraId="0000D2A4">
      <w:pPr>
        <w:adjustRightInd w:val="0"/>
        <w:snapToGrid w:val="0"/>
        <w:spacing w:line="360" w:lineRule="auto"/>
        <w:ind w:left="-88" w:leftChars="-42"/>
        <w:rPr>
          <w:rFonts w:ascii="宋体" w:hAnsi="宋体"/>
          <w:color w:val="auto"/>
          <w:szCs w:val="21"/>
          <w:highlight w:val="none"/>
        </w:rPr>
      </w:pPr>
    </w:p>
    <w:p w14:paraId="1F8D79E4">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注：1、投标人可在此表后附其报价详细说明。</w:t>
      </w:r>
    </w:p>
    <w:p w14:paraId="3BB61726">
      <w:pPr>
        <w:adjustRightInd w:val="0"/>
        <w:snapToGrid w:val="0"/>
        <w:spacing w:line="360" w:lineRule="auto"/>
        <w:ind w:left="-88" w:leftChars="-42"/>
        <w:rPr>
          <w:rFonts w:ascii="宋体" w:hAnsi="宋体"/>
          <w:b/>
          <w:color w:val="auto"/>
          <w:szCs w:val="21"/>
          <w:highlight w:val="none"/>
        </w:rPr>
      </w:pPr>
    </w:p>
    <w:p w14:paraId="6EB29DE3">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14:paraId="4874CD3B">
      <w:pPr>
        <w:adjustRightInd w:val="0"/>
        <w:snapToGrid w:val="0"/>
        <w:spacing w:line="360" w:lineRule="auto"/>
        <w:rPr>
          <w:rFonts w:ascii="宋体" w:hAnsi="宋体"/>
          <w:color w:val="auto"/>
          <w:szCs w:val="21"/>
          <w:highlight w:val="none"/>
        </w:rPr>
      </w:pPr>
    </w:p>
    <w:p w14:paraId="13BCCB2B">
      <w:pPr>
        <w:adjustRightInd w:val="0"/>
        <w:snapToGrid w:val="0"/>
        <w:spacing w:line="360" w:lineRule="auto"/>
        <w:rPr>
          <w:rFonts w:ascii="宋体" w:hAnsi="宋体"/>
          <w:color w:val="auto"/>
          <w:szCs w:val="21"/>
          <w:highlight w:val="none"/>
        </w:rPr>
      </w:pPr>
    </w:p>
    <w:p w14:paraId="14D197A5">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FA6A15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2E043C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20162AA">
      <w:pPr>
        <w:adjustRightInd w:val="0"/>
        <w:snapToGrid w:val="0"/>
        <w:rPr>
          <w:rFonts w:ascii="宋体" w:hAnsi="宋体"/>
          <w:color w:val="auto"/>
          <w:sz w:val="24"/>
          <w:highlight w:val="none"/>
        </w:rPr>
      </w:pPr>
      <w:r>
        <w:rPr>
          <w:rFonts w:ascii="宋体" w:hAnsi="宋体"/>
          <w:b/>
          <w:color w:val="auto"/>
          <w:sz w:val="24"/>
          <w:highlight w:val="none"/>
        </w:rPr>
        <w:br w:type="page"/>
      </w:r>
      <w:r>
        <w:rPr>
          <w:rFonts w:hint="eastAsia" w:ascii="宋体" w:hAnsi="宋体"/>
          <w:color w:val="auto"/>
          <w:sz w:val="24"/>
          <w:highlight w:val="none"/>
        </w:rPr>
        <w:t>附件6</w:t>
      </w:r>
    </w:p>
    <w:p w14:paraId="0F9B8DC2">
      <w:pPr>
        <w:adjustRightInd w:val="0"/>
        <w:snapToGrid w:val="0"/>
        <w:spacing w:line="360" w:lineRule="auto"/>
        <w:ind w:right="24"/>
        <w:jc w:val="center"/>
        <w:rPr>
          <w:rFonts w:ascii="宋体" w:hAnsi="宋体"/>
          <w:b/>
          <w:color w:val="auto"/>
          <w:sz w:val="24"/>
          <w:highlight w:val="none"/>
        </w:rPr>
      </w:pPr>
    </w:p>
    <w:p w14:paraId="60E2FB33">
      <w:pPr>
        <w:adjustRightInd w:val="0"/>
        <w:snapToGrid w:val="0"/>
        <w:spacing w:line="360" w:lineRule="auto"/>
        <w:ind w:right="24"/>
        <w:jc w:val="center"/>
        <w:rPr>
          <w:rFonts w:ascii="宋体" w:hAnsi="宋体"/>
          <w:b/>
          <w:bCs/>
          <w:color w:val="auto"/>
          <w:sz w:val="24"/>
          <w:highlight w:val="none"/>
        </w:rPr>
      </w:pPr>
      <w:r>
        <w:rPr>
          <w:rFonts w:hint="eastAsia" w:ascii="宋体" w:hAnsi="宋体"/>
          <w:b/>
          <w:color w:val="auto"/>
          <w:sz w:val="24"/>
          <w:highlight w:val="none"/>
        </w:rPr>
        <w:t>节能、环境标志产品证明材料（如有）</w:t>
      </w:r>
    </w:p>
    <w:p w14:paraId="32961D7F">
      <w:pPr>
        <w:adjustRightInd w:val="0"/>
        <w:snapToGrid w:val="0"/>
        <w:rPr>
          <w:rFonts w:ascii="宋体" w:hAnsi="宋体"/>
          <w:color w:val="auto"/>
          <w:highlight w:val="none"/>
        </w:rPr>
      </w:pPr>
      <w:r>
        <w:rPr>
          <w:rFonts w:hint="eastAsia" w:ascii="宋体" w:hAnsi="宋体"/>
          <w:color w:val="auto"/>
          <w:szCs w:val="21"/>
          <w:highlight w:val="none"/>
        </w:rPr>
        <w:t>相关材料</w:t>
      </w:r>
      <w:r>
        <w:rPr>
          <w:rFonts w:hint="eastAsia" w:ascii="宋体" w:hAnsi="宋体"/>
          <w:color w:val="auto"/>
          <w:highlight w:val="none"/>
        </w:rPr>
        <w:t>加盖投标人公章。</w:t>
      </w:r>
    </w:p>
    <w:p w14:paraId="6476EFDB">
      <w:pPr>
        <w:adjustRightInd w:val="0"/>
        <w:snapToGrid w:val="0"/>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附件7</w:t>
      </w:r>
    </w:p>
    <w:p w14:paraId="1DF18C49">
      <w:pPr>
        <w:tabs>
          <w:tab w:val="left" w:pos="3600"/>
        </w:tabs>
        <w:adjustRightInd w:val="0"/>
        <w:snapToGrid w:val="0"/>
        <w:jc w:val="center"/>
        <w:rPr>
          <w:rFonts w:hint="eastAsia" w:ascii="宋体" w:hAnsi="宋体" w:cs="宋体"/>
          <w:b/>
          <w:bCs/>
          <w:color w:val="auto"/>
          <w:spacing w:val="6"/>
          <w:kern w:val="0"/>
          <w:sz w:val="24"/>
          <w:highlight w:val="none"/>
        </w:rPr>
      </w:pPr>
      <w:r>
        <w:rPr>
          <w:rFonts w:hint="eastAsia" w:ascii="宋体" w:hAnsi="宋体" w:cs="宋体"/>
          <w:b/>
          <w:bCs/>
          <w:color w:val="auto"/>
          <w:spacing w:val="6"/>
          <w:kern w:val="0"/>
          <w:sz w:val="24"/>
          <w:highlight w:val="none"/>
        </w:rPr>
        <w:t>中小企业声明函(（工程、服务)）</w:t>
      </w:r>
    </w:p>
    <w:p w14:paraId="32274909">
      <w:pPr>
        <w:tabs>
          <w:tab w:val="left" w:pos="3600"/>
        </w:tabs>
        <w:adjustRightInd w:val="0"/>
        <w:snapToGrid w:val="0"/>
        <w:jc w:val="center"/>
        <w:rPr>
          <w:rFonts w:hint="eastAsia" w:ascii="宋体" w:hAnsi="宋体" w:cs="宋体"/>
          <w:b/>
          <w:bCs/>
          <w:color w:val="auto"/>
          <w:spacing w:val="6"/>
          <w:kern w:val="0"/>
          <w:sz w:val="24"/>
          <w:highlight w:val="none"/>
        </w:rPr>
      </w:pPr>
    </w:p>
    <w:p w14:paraId="4E8C91C3">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本公司（联合体）郑重声明，根据《政府采购促进中小企业发展管理办法》（财库〔2020〕[2020]46号）的规定，本公司（联合体）参加</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（单位名称）的 </w:t>
      </w:r>
      <w:r>
        <w:rPr>
          <w:rFonts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02CA0D1D">
      <w:pPr>
        <w:adjustRightInd w:val="0"/>
        <w:snapToGrid w:val="0"/>
        <w:spacing w:line="360" w:lineRule="auto"/>
        <w:ind w:firstLine="555" w:firstLineChars="250"/>
        <w:rPr>
          <w:rFonts w:ascii="宋体" w:hAnsi="宋体" w:cs="宋体"/>
          <w:color w:val="auto"/>
          <w:spacing w:val="6"/>
          <w:kern w:val="0"/>
          <w:szCs w:val="21"/>
          <w:highlight w:val="none"/>
        </w:rPr>
      </w:pPr>
    </w:p>
    <w:p w14:paraId="025F188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0"/>
        <w:textAlignment w:val="auto"/>
        <w:rPr>
          <w:rFonts w:ascii="宋体" w:hAnsi="宋体" w:cs="宋体"/>
          <w:color w:val="auto"/>
          <w:spacing w:val="6"/>
          <w:kern w:val="0"/>
          <w:szCs w:val="21"/>
          <w:highlight w:val="none"/>
        </w:rPr>
      </w:pP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（标的名称），属于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（采购文件中明确的所属行业）；承建（承接）企业为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（企业名称），从业人员</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人，营业收入为</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万元，资产总额为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 万元，属于（中型企业、小型企业、微型企业）；</w:t>
      </w:r>
    </w:p>
    <w:p w14:paraId="0B877C79">
      <w:pPr>
        <w:adjustRightInd w:val="0"/>
        <w:snapToGrid w:val="0"/>
        <w:spacing w:line="360" w:lineRule="auto"/>
        <w:rPr>
          <w:rFonts w:ascii="宋体" w:hAnsi="宋体" w:cs="宋体"/>
          <w:color w:val="auto"/>
          <w:spacing w:val="6"/>
          <w:kern w:val="0"/>
          <w:szCs w:val="21"/>
          <w:highlight w:val="none"/>
        </w:rPr>
      </w:pPr>
    </w:p>
    <w:p w14:paraId="24DF9BB7">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以上企业，不属于大企业的分支机构，不存在控股股东为大企业的情形，也不存在与大企业的负责人为同一人的情形。</w:t>
      </w:r>
    </w:p>
    <w:p w14:paraId="41266670">
      <w:pPr>
        <w:adjustRightInd w:val="0"/>
        <w:snapToGrid w:val="0"/>
        <w:spacing w:line="360" w:lineRule="auto"/>
        <w:ind w:firstLine="555" w:firstLineChars="250"/>
        <w:rPr>
          <w:rFonts w:ascii="宋体" w:hAnsi="宋体" w:cs="宋体"/>
          <w:color w:val="auto"/>
          <w:spacing w:val="6"/>
          <w:kern w:val="0"/>
          <w:szCs w:val="21"/>
          <w:highlight w:val="none"/>
        </w:rPr>
      </w:pPr>
    </w:p>
    <w:p w14:paraId="0355D911">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本企业对上述声明内容的真实性负责。如有虚假，将依法承担相应责任。</w:t>
      </w:r>
    </w:p>
    <w:p w14:paraId="5DBB4D41">
      <w:pPr>
        <w:widowControl/>
        <w:adjustRightInd w:val="0"/>
        <w:snapToGrid w:val="0"/>
        <w:spacing w:line="360" w:lineRule="auto"/>
        <w:jc w:val="left"/>
        <w:rPr>
          <w:rFonts w:ascii="宋体" w:hAnsi="宋体" w:cs="宋体"/>
          <w:color w:val="auto"/>
          <w:spacing w:val="6"/>
          <w:kern w:val="0"/>
          <w:szCs w:val="21"/>
          <w:highlight w:val="none"/>
        </w:rPr>
      </w:pPr>
    </w:p>
    <w:p w14:paraId="4A684ACE">
      <w:pPr>
        <w:widowControl/>
        <w:adjustRightInd w:val="0"/>
        <w:snapToGrid w:val="0"/>
        <w:spacing w:line="360" w:lineRule="auto"/>
        <w:jc w:val="left"/>
        <w:rPr>
          <w:rFonts w:ascii="宋体" w:hAnsi="宋体" w:cs="宋体"/>
          <w:color w:val="auto"/>
          <w:spacing w:val="6"/>
          <w:kern w:val="0"/>
          <w:szCs w:val="21"/>
          <w:highlight w:val="none"/>
        </w:rPr>
      </w:pPr>
    </w:p>
    <w:p w14:paraId="50758ABE">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B7C7A07">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1E95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A13E237">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35683A80">
      <w:pPr>
        <w:adjustRightInd w:val="0"/>
        <w:snapToGrid w:val="0"/>
        <w:spacing w:line="360" w:lineRule="auto"/>
        <w:ind w:firstLine="632" w:firstLineChars="250"/>
        <w:rPr>
          <w:rFonts w:ascii="宋体" w:hAnsi="宋体" w:cs="宋体"/>
          <w:b/>
          <w:bCs/>
          <w:color w:val="auto"/>
          <w:spacing w:val="6"/>
          <w:kern w:val="0"/>
          <w:sz w:val="24"/>
          <w:highlight w:val="none"/>
        </w:rPr>
      </w:pPr>
    </w:p>
    <w:p w14:paraId="74FC607D">
      <w:pPr>
        <w:adjustRightInd w:val="0"/>
        <w:snapToGrid w:val="0"/>
        <w:spacing w:line="360" w:lineRule="auto"/>
        <w:ind w:firstLine="525" w:firstLineChars="250"/>
        <w:rPr>
          <w:rFonts w:ascii="宋体" w:hAnsi="宋体"/>
          <w:color w:val="auto"/>
          <w:szCs w:val="21"/>
          <w:highlight w:val="none"/>
        </w:rPr>
      </w:pPr>
    </w:p>
    <w:p w14:paraId="47F7742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bookmarkStart w:id="60" w:name="_Hlk73465846"/>
      <w:r>
        <w:rPr>
          <w:rFonts w:hint="eastAsia" w:ascii="宋体" w:hAnsi="宋体" w:cs="宋体"/>
          <w:color w:val="auto"/>
          <w:spacing w:val="6"/>
          <w:kern w:val="0"/>
          <w:szCs w:val="21"/>
          <w:highlight w:val="none"/>
        </w:rPr>
        <w:t>说明：按照《政府采购促进中小企业发展管理办法》（财库〔2020〕46号）的规定，中小企业仅需提供声明函，不需提供其他证明材料。</w:t>
      </w:r>
      <w:r>
        <w:rPr>
          <w:rFonts w:hint="eastAsia" w:ascii="宋体" w:hAnsi="宋体" w:cs="宋体"/>
          <w:b/>
          <w:color w:val="auto"/>
          <w:spacing w:val="6"/>
          <w:kern w:val="0"/>
          <w:szCs w:val="21"/>
          <w:highlight w:val="none"/>
        </w:rPr>
        <w:t>非中小企业，本表可不提供。</w:t>
      </w:r>
    </w:p>
    <w:bookmarkEnd w:id="60"/>
    <w:p w14:paraId="243F2701">
      <w:pPr>
        <w:numPr>
          <w:ilvl w:val="0"/>
          <w:numId w:val="0"/>
        </w:numPr>
        <w:adjustRightInd w:val="0"/>
        <w:snapToGrid w:val="0"/>
        <w:spacing w:line="360" w:lineRule="auto"/>
        <w:ind w:right="24" w:rightChars="0" w:firstLine="420" w:firstLineChars="0"/>
        <w:rPr>
          <w:rFonts w:ascii="宋体" w:hAnsi="宋体" w:eastAsia="宋体" w:cs="宋体"/>
          <w:color w:val="auto"/>
          <w:sz w:val="24"/>
          <w:szCs w:val="24"/>
          <w:highlight w:val="none"/>
        </w:rPr>
      </w:pPr>
    </w:p>
    <w:p w14:paraId="6898EDD2">
      <w:pPr>
        <w:numPr>
          <w:ilvl w:val="0"/>
          <w:numId w:val="0"/>
        </w:numPr>
        <w:adjustRightInd w:val="0"/>
        <w:snapToGrid w:val="0"/>
        <w:spacing w:line="360" w:lineRule="auto"/>
        <w:ind w:right="24" w:rightChars="0" w:firstLine="420" w:firstLineChars="0"/>
        <w:rPr>
          <w:rFonts w:ascii="宋体" w:hAnsi="宋体"/>
          <w:color w:val="auto"/>
          <w:spacing w:val="6"/>
          <w:kern w:val="0"/>
          <w:sz w:val="28"/>
          <w:szCs w:val="28"/>
          <w:highlight w:val="none"/>
        </w:rPr>
      </w:pPr>
      <w:r>
        <w:rPr>
          <w:rFonts w:ascii="宋体" w:hAnsi="宋体" w:eastAsia="宋体" w:cs="宋体"/>
          <w:color w:val="auto"/>
          <w:sz w:val="24"/>
          <w:szCs w:val="24"/>
          <w:highlight w:val="none"/>
        </w:rPr>
        <w:t>1 从业人员、营业收入、资产总额填报上一年度数据，无上一年度数据的新成立企业可不填报。</w:t>
      </w:r>
      <w:r>
        <w:rPr>
          <w:rFonts w:hint="eastAsia" w:ascii="宋体" w:hAnsi="宋体"/>
          <w:color w:val="auto"/>
          <w:szCs w:val="21"/>
          <w:highlight w:val="none"/>
          <w:lang w:bidi="ar"/>
        </w:rPr>
        <w:br w:type="page"/>
      </w:r>
      <w:r>
        <w:rPr>
          <w:rFonts w:hint="eastAsia" w:ascii="宋体" w:hAnsi="宋体"/>
          <w:bCs/>
          <w:color w:val="auto"/>
          <w:sz w:val="28"/>
          <w:szCs w:val="28"/>
          <w:highlight w:val="none"/>
        </w:rPr>
        <w:t>附件8</w:t>
      </w:r>
      <w:bookmarkStart w:id="61" w:name="OLE_LINK14"/>
      <w:bookmarkStart w:id="62" w:name="OLE_LINK13"/>
    </w:p>
    <w:p w14:paraId="7534EBAA">
      <w:pPr>
        <w:tabs>
          <w:tab w:val="left" w:pos="3600"/>
        </w:tabs>
        <w:adjustRightInd w:val="0"/>
        <w:snapToGrid w:val="0"/>
        <w:jc w:val="center"/>
        <w:rPr>
          <w:rFonts w:ascii="宋体" w:hAnsi="宋体" w:cs="宋体"/>
          <w:b/>
          <w:bCs/>
          <w:color w:val="auto"/>
          <w:spacing w:val="6"/>
          <w:kern w:val="0"/>
          <w:sz w:val="24"/>
          <w:highlight w:val="none"/>
        </w:rPr>
      </w:pPr>
      <w:bookmarkStart w:id="63" w:name="_Hlk73465908"/>
      <w:r>
        <w:rPr>
          <w:rFonts w:hint="eastAsia" w:ascii="宋体" w:hAnsi="宋体" w:cs="宋体"/>
          <w:b/>
          <w:bCs/>
          <w:color w:val="auto"/>
          <w:spacing w:val="6"/>
          <w:kern w:val="0"/>
          <w:sz w:val="24"/>
          <w:highlight w:val="none"/>
        </w:rPr>
        <w:t>残疾人福利性单位声明函</w:t>
      </w:r>
    </w:p>
    <w:bookmarkEnd w:id="61"/>
    <w:bookmarkEnd w:id="62"/>
    <w:p w14:paraId="4BB0FDA9">
      <w:pPr>
        <w:spacing w:line="588" w:lineRule="exact"/>
        <w:rPr>
          <w:rFonts w:ascii="宋体" w:hAnsi="宋体"/>
          <w:b/>
          <w:bCs/>
          <w:color w:val="auto"/>
          <w:spacing w:val="6"/>
          <w:szCs w:val="21"/>
          <w:highlight w:val="none"/>
        </w:rPr>
      </w:pPr>
    </w:p>
    <w:p w14:paraId="5E24EBB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1886606">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本单位郑重声明，根据《财政部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民政部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中国残疾人联合会关于促进残疾人就业政府采购政策的通知》（财库〔</w:t>
      </w:r>
      <w:r>
        <w:rPr>
          <w:rFonts w:ascii="宋体" w:hAnsi="宋体" w:cs="宋体"/>
          <w:color w:val="auto"/>
          <w:spacing w:val="6"/>
          <w:kern w:val="0"/>
          <w:szCs w:val="21"/>
          <w:highlight w:val="none"/>
        </w:rPr>
        <w:t>2017</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 xml:space="preserve"> 141</w:t>
      </w:r>
      <w:r>
        <w:rPr>
          <w:rFonts w:hint="eastAsia" w:ascii="宋体" w:hAnsi="宋体" w:cs="宋体"/>
          <w:color w:val="auto"/>
          <w:spacing w:val="6"/>
          <w:kern w:val="0"/>
          <w:szCs w:val="21"/>
          <w:highlight w:val="none"/>
        </w:rPr>
        <w:t>号）的规定，本单位为符合条件的残疾人福利性单位，且本单位参加</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单位的</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项目采购活动提供本单位制造的货物（由本单位承担工程</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提供服务），或者提供其他残疾人福利性单位制造的货物（不包括使用非残疾人福利性单位注册商标的货物）。</w:t>
      </w:r>
    </w:p>
    <w:p w14:paraId="2F93B73C">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13562945">
      <w:pPr>
        <w:widowControl/>
        <w:adjustRightInd w:val="0"/>
        <w:snapToGrid w:val="0"/>
        <w:spacing w:line="360" w:lineRule="auto"/>
        <w:ind w:firstLine="444" w:firstLineChars="200"/>
        <w:jc w:val="left"/>
        <w:rPr>
          <w:rFonts w:ascii="宋体" w:hAnsi="宋体"/>
          <w:color w:val="auto"/>
          <w:spacing w:val="6"/>
          <w:kern w:val="0"/>
          <w:szCs w:val="21"/>
          <w:highlight w:val="none"/>
        </w:rPr>
      </w:pPr>
    </w:p>
    <w:p w14:paraId="7E5BAD2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710CDCD">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807B39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E51830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5883AF7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22D1C16">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137B00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ADA6E6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A835854">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60D65CE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1D0523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23468B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r>
        <w:rPr>
          <w:rFonts w:hint="eastAsia" w:ascii="宋体" w:hAnsi="宋体" w:cs="宋体"/>
          <w:color w:val="auto"/>
          <w:spacing w:val="6"/>
          <w:kern w:val="0"/>
          <w:szCs w:val="21"/>
          <w:highlight w:val="none"/>
        </w:rPr>
        <w:t>说明：按照《关于促进残疾人就业政府采购政策的通知》（财库〔2017〕141号）的规定，残疾人福利性单位仅需提供声明函，不需提供其他证明材料。</w:t>
      </w:r>
      <w:r>
        <w:rPr>
          <w:rFonts w:hint="eastAsia" w:ascii="宋体" w:hAnsi="宋体" w:cs="宋体"/>
          <w:b/>
          <w:color w:val="auto"/>
          <w:spacing w:val="6"/>
          <w:kern w:val="0"/>
          <w:szCs w:val="21"/>
          <w:highlight w:val="none"/>
        </w:rPr>
        <w:t>非残疾人福利性单位，本表可不提供。</w:t>
      </w:r>
    </w:p>
    <w:bookmarkEnd w:id="63"/>
    <w:p w14:paraId="263CBC64">
      <w:pPr>
        <w:widowControl/>
        <w:adjustRightInd w:val="0"/>
        <w:snapToGrid w:val="0"/>
        <w:spacing w:line="360" w:lineRule="auto"/>
        <w:jc w:val="left"/>
        <w:rPr>
          <w:rFonts w:ascii="宋体" w:hAnsi="宋体" w:cs="宋体"/>
          <w:color w:val="auto"/>
          <w:spacing w:val="6"/>
          <w:kern w:val="0"/>
          <w:szCs w:val="21"/>
          <w:highlight w:val="none"/>
        </w:rPr>
      </w:pPr>
    </w:p>
    <w:p w14:paraId="503F5141">
      <w:pPr>
        <w:tabs>
          <w:tab w:val="left" w:pos="3600"/>
        </w:tabs>
        <w:adjustRightInd w:val="0"/>
        <w:snapToGrid w:val="0"/>
        <w:jc w:val="left"/>
        <w:rPr>
          <w:rFonts w:ascii="宋体" w:hAnsi="宋体" w:cs="宋体"/>
          <w:b/>
          <w:bCs/>
          <w:color w:val="auto"/>
          <w:spacing w:val="6"/>
          <w:kern w:val="0"/>
          <w:sz w:val="24"/>
          <w:highlight w:val="none"/>
        </w:rPr>
      </w:pPr>
      <w:r>
        <w:rPr>
          <w:rFonts w:ascii="宋体" w:hAnsi="宋体"/>
          <w:bCs/>
          <w:color w:val="auto"/>
          <w:sz w:val="28"/>
          <w:szCs w:val="28"/>
          <w:highlight w:val="none"/>
        </w:rPr>
        <w:br w:type="page"/>
      </w:r>
      <w:r>
        <w:rPr>
          <w:rFonts w:hint="eastAsia" w:ascii="宋体" w:hAnsi="宋体"/>
          <w:bCs/>
          <w:color w:val="auto"/>
          <w:sz w:val="28"/>
          <w:szCs w:val="28"/>
          <w:highlight w:val="none"/>
        </w:rPr>
        <w:t>附件</w:t>
      </w:r>
      <w:r>
        <w:rPr>
          <w:rFonts w:ascii="宋体" w:hAnsi="宋体"/>
          <w:bCs/>
          <w:color w:val="auto"/>
          <w:sz w:val="28"/>
          <w:szCs w:val="28"/>
          <w:highlight w:val="none"/>
        </w:rPr>
        <w:t>9</w:t>
      </w:r>
    </w:p>
    <w:p w14:paraId="1C317F27">
      <w:pPr>
        <w:tabs>
          <w:tab w:val="left" w:pos="3600"/>
        </w:tabs>
        <w:adjustRightInd w:val="0"/>
        <w:snapToGrid w:val="0"/>
        <w:jc w:val="center"/>
        <w:rPr>
          <w:rFonts w:ascii="宋体" w:hAnsi="宋体" w:cs="宋体"/>
          <w:b/>
          <w:bCs/>
          <w:color w:val="auto"/>
          <w:spacing w:val="6"/>
          <w:kern w:val="0"/>
          <w:sz w:val="24"/>
          <w:highlight w:val="none"/>
        </w:rPr>
      </w:pPr>
      <w:bookmarkStart w:id="64" w:name="_Hlk73465936"/>
      <w:r>
        <w:rPr>
          <w:rFonts w:hint="eastAsia" w:ascii="宋体" w:hAnsi="宋体" w:cs="宋体"/>
          <w:b/>
          <w:bCs/>
          <w:color w:val="auto"/>
          <w:spacing w:val="6"/>
          <w:kern w:val="0"/>
          <w:sz w:val="24"/>
          <w:highlight w:val="none"/>
        </w:rPr>
        <w:t>投标人监狱企业声明函</w:t>
      </w:r>
    </w:p>
    <w:p w14:paraId="04831E09">
      <w:pPr>
        <w:tabs>
          <w:tab w:val="left" w:pos="3600"/>
        </w:tabs>
        <w:adjustRightInd w:val="0"/>
        <w:snapToGrid w:val="0"/>
        <w:jc w:val="center"/>
        <w:rPr>
          <w:rFonts w:ascii="宋体" w:hAnsi="宋体" w:cs="宋体"/>
          <w:b/>
          <w:bCs/>
          <w:color w:val="auto"/>
          <w:spacing w:val="6"/>
          <w:kern w:val="0"/>
          <w:sz w:val="24"/>
          <w:highlight w:val="none"/>
        </w:rPr>
      </w:pPr>
    </w:p>
    <w:p w14:paraId="2EF12C0D">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）郑重声明下</w:t>
      </w:r>
      <w:r>
        <w:rPr>
          <w:rFonts w:hint="eastAsia" w:ascii="宋体" w:hAnsi="宋体" w:cs="宋体"/>
          <w:color w:val="auto"/>
          <w:spacing w:val="6"/>
          <w:kern w:val="0"/>
          <w:szCs w:val="21"/>
          <w:highlight w:val="none"/>
        </w:rPr>
        <w:t>列事项（按照</w:t>
      </w:r>
      <w:r>
        <w:rPr>
          <w:rFonts w:ascii="宋体" w:hAnsi="宋体" w:cs="宋体"/>
          <w:color w:val="auto"/>
          <w:spacing w:val="6"/>
          <w:kern w:val="0"/>
          <w:szCs w:val="21"/>
          <w:highlight w:val="none"/>
        </w:rPr>
        <w:t>实际情况勾选或</w:t>
      </w:r>
      <w:r>
        <w:rPr>
          <w:rFonts w:hint="eastAsia" w:ascii="宋体" w:hAnsi="宋体" w:cs="宋体"/>
          <w:color w:val="auto"/>
          <w:spacing w:val="6"/>
          <w:kern w:val="0"/>
          <w:szCs w:val="21"/>
          <w:highlight w:val="none"/>
        </w:rPr>
        <w:t>填空）：</w:t>
      </w:r>
    </w:p>
    <w:p w14:paraId="5D699A82">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企业（单位）为直接投标人</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w:t>
      </w:r>
      <w:r>
        <w:rPr>
          <w:rFonts w:hint="eastAsia" w:ascii="宋体" w:hAnsi="宋体" w:cs="宋体"/>
          <w:color w:val="auto"/>
          <w:spacing w:val="6"/>
          <w:kern w:val="0"/>
          <w:szCs w:val="21"/>
          <w:highlight w:val="none"/>
        </w:rPr>
        <w:t>。</w:t>
      </w:r>
    </w:p>
    <w:p w14:paraId="39E66A9D">
      <w:pPr>
        <w:widowControl/>
        <w:spacing w:line="360" w:lineRule="auto"/>
        <w:ind w:firstLine="333" w:firstLineChars="1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）监狱企业。</w:t>
      </w:r>
      <w:r>
        <w:rPr>
          <w:rFonts w:hint="eastAsia" w:ascii="宋体" w:hAnsi="宋体" w:cs="宋体"/>
          <w:color w:val="auto"/>
          <w:spacing w:val="6"/>
          <w:kern w:val="0"/>
          <w:szCs w:val="21"/>
          <w:highlight w:val="none"/>
        </w:rPr>
        <w:t>后附省级以上监狱管理局、戒毒管理局（含新疆生产建设兵团）出具的属于监狱企业的证明文件。</w:t>
      </w:r>
    </w:p>
    <w:p w14:paraId="5E7D9115">
      <w:pPr>
        <w:widowControl/>
        <w:spacing w:line="360" w:lineRule="auto"/>
        <w:ind w:firstLine="42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2</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为联合体一方，</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制造的货物，由本企业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承担工程、提供服务</w:t>
      </w:r>
      <w:r>
        <w:rPr>
          <w:rFonts w:hint="eastAsia" w:ascii="宋体" w:hAnsi="宋体" w:cs="宋体"/>
          <w:color w:val="auto"/>
          <w:spacing w:val="6"/>
          <w:kern w:val="0"/>
          <w:szCs w:val="21"/>
          <w:highlight w:val="none"/>
        </w:rPr>
        <w:t>。本企业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w:t>
      </w:r>
      <w:r>
        <w:rPr>
          <w:rFonts w:ascii="宋体" w:hAnsi="宋体" w:cs="宋体"/>
          <w:color w:val="auto"/>
          <w:spacing w:val="6"/>
          <w:kern w:val="0"/>
          <w:szCs w:val="21"/>
          <w:highlight w:val="none"/>
        </w:rPr>
        <w:t>协议合同金额占到</w:t>
      </w:r>
      <w:r>
        <w:rPr>
          <w:rFonts w:hint="eastAsia" w:ascii="宋体" w:hAnsi="宋体" w:cs="宋体"/>
          <w:color w:val="auto"/>
          <w:spacing w:val="6"/>
          <w:kern w:val="0"/>
          <w:szCs w:val="21"/>
          <w:highlight w:val="none"/>
        </w:rPr>
        <w:t>共同投标</w:t>
      </w:r>
      <w:r>
        <w:rPr>
          <w:rFonts w:ascii="宋体" w:hAnsi="宋体" w:cs="宋体"/>
          <w:color w:val="auto"/>
          <w:spacing w:val="6"/>
          <w:kern w:val="0"/>
          <w:szCs w:val="21"/>
          <w:highlight w:val="none"/>
        </w:rPr>
        <w:t>协议合同总金额</w:t>
      </w:r>
      <w:r>
        <w:rPr>
          <w:rFonts w:hint="eastAsia" w:ascii="宋体" w:hAnsi="宋体" w:cs="宋体"/>
          <w:color w:val="auto"/>
          <w:spacing w:val="6"/>
          <w:kern w:val="0"/>
          <w:szCs w:val="21"/>
          <w:highlight w:val="none"/>
        </w:rPr>
        <w:t>的比例为       。</w:t>
      </w:r>
    </w:p>
    <w:p w14:paraId="341BC3EE">
      <w:pPr>
        <w:widowControl/>
        <w:spacing w:line="360" w:lineRule="auto"/>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　　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）对上述声明的真实性负责。如有虚假，将依法承担相应责任。</w:t>
      </w:r>
    </w:p>
    <w:p w14:paraId="479AD817">
      <w:pPr>
        <w:pStyle w:val="2"/>
        <w:rPr>
          <w:color w:val="auto"/>
          <w:highlight w:val="none"/>
        </w:rPr>
      </w:pPr>
    </w:p>
    <w:p w14:paraId="76B147DF">
      <w:pPr>
        <w:pStyle w:val="2"/>
        <w:rPr>
          <w:color w:val="auto"/>
          <w:highlight w:val="none"/>
        </w:rPr>
      </w:pPr>
    </w:p>
    <w:p w14:paraId="02A4D8D3">
      <w:pPr>
        <w:pStyle w:val="2"/>
        <w:rPr>
          <w:color w:val="auto"/>
          <w:highlight w:val="none"/>
        </w:rPr>
      </w:pPr>
    </w:p>
    <w:p w14:paraId="45D41E0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ABFD0D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A5EF99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A3D9EDF">
      <w:pPr>
        <w:adjustRightInd w:val="0"/>
        <w:snapToGrid w:val="0"/>
        <w:spacing w:line="360" w:lineRule="auto"/>
        <w:rPr>
          <w:rFonts w:ascii="宋体" w:hAnsi="宋体"/>
          <w:bCs/>
          <w:color w:val="auto"/>
          <w:szCs w:val="21"/>
          <w:highlight w:val="none"/>
        </w:rPr>
      </w:pPr>
    </w:p>
    <w:p w14:paraId="231C34ED">
      <w:pPr>
        <w:adjustRightInd w:val="0"/>
        <w:snapToGrid w:val="0"/>
        <w:spacing w:line="360" w:lineRule="auto"/>
        <w:rPr>
          <w:rFonts w:ascii="宋体" w:hAnsi="宋体"/>
          <w:bCs/>
          <w:color w:val="auto"/>
          <w:szCs w:val="21"/>
          <w:highlight w:val="none"/>
        </w:rPr>
      </w:pPr>
    </w:p>
    <w:p w14:paraId="5E9107C1">
      <w:pPr>
        <w:adjustRightInd w:val="0"/>
        <w:snapToGrid w:val="0"/>
        <w:spacing w:line="360" w:lineRule="auto"/>
        <w:rPr>
          <w:rFonts w:ascii="宋体" w:hAnsi="宋体"/>
          <w:bCs/>
          <w:color w:val="auto"/>
          <w:szCs w:val="21"/>
          <w:highlight w:val="none"/>
        </w:rPr>
      </w:pPr>
    </w:p>
    <w:p w14:paraId="2DDBD32D">
      <w:pPr>
        <w:adjustRightInd w:val="0"/>
        <w:snapToGrid w:val="0"/>
        <w:spacing w:line="360" w:lineRule="auto"/>
        <w:rPr>
          <w:rFonts w:ascii="宋体" w:hAnsi="宋体"/>
          <w:bCs/>
          <w:color w:val="auto"/>
          <w:szCs w:val="21"/>
          <w:highlight w:val="none"/>
        </w:rPr>
        <w:sectPr>
          <w:footerReference r:id="rId7" w:type="even"/>
          <w:pgSz w:w="11906" w:h="16838"/>
          <w:pgMar w:top="1440" w:right="1797" w:bottom="1440" w:left="1797" w:header="851" w:footer="992" w:gutter="0"/>
          <w:pgNumType w:fmt="decimal"/>
          <w:cols w:space="720" w:num="1"/>
          <w:docGrid w:linePitch="312" w:charSpace="0"/>
        </w:sectPr>
      </w:pPr>
      <w:r>
        <w:rPr>
          <w:rFonts w:hint="eastAsia" w:ascii="宋体" w:hAnsi="宋体" w:cs="宋体"/>
          <w:color w:val="auto"/>
          <w:spacing w:val="6"/>
          <w:kern w:val="0"/>
          <w:szCs w:val="21"/>
          <w:highlight w:val="none"/>
        </w:rPr>
        <w:t>说明：按照《财政部、司法部关于政府采购支持监狱企业发展有关问题的通知》（财库〔2014〕68号）的规定，监狱企业仅需提供声明函，不需提供其他证明材料。</w:t>
      </w:r>
      <w:r>
        <w:rPr>
          <w:rFonts w:hint="eastAsia" w:ascii="宋体" w:hAnsi="宋体" w:cs="宋体"/>
          <w:b/>
          <w:color w:val="auto"/>
          <w:spacing w:val="6"/>
          <w:kern w:val="0"/>
          <w:szCs w:val="21"/>
          <w:highlight w:val="none"/>
        </w:rPr>
        <w:t>非监狱企业，本表可不提供。</w:t>
      </w:r>
    </w:p>
    <w:bookmarkEnd w:id="64"/>
    <w:p w14:paraId="7928F7BD">
      <w:pPr>
        <w:pStyle w:val="4"/>
        <w:jc w:val="center"/>
        <w:rPr>
          <w:rFonts w:ascii="宋体" w:hAnsi="宋体"/>
          <w:color w:val="auto"/>
          <w:sz w:val="28"/>
          <w:szCs w:val="28"/>
          <w:highlight w:val="none"/>
        </w:rPr>
      </w:pPr>
      <w:bookmarkStart w:id="65" w:name="_Toc161933900"/>
      <w:r>
        <w:rPr>
          <w:rFonts w:hint="eastAsia" w:ascii="宋体" w:hAnsi="宋体"/>
          <w:color w:val="auto"/>
          <w:sz w:val="28"/>
          <w:szCs w:val="28"/>
          <w:highlight w:val="none"/>
        </w:rPr>
        <w:t>五、投标人的资格证明材料</w:t>
      </w:r>
      <w:bookmarkEnd w:id="59"/>
      <w:bookmarkEnd w:id="65"/>
    </w:p>
    <w:p w14:paraId="2BA21544">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（一）法人或者其他组织的营业执照等证明文件，自然人的身份证明；：</w:t>
      </w:r>
    </w:p>
    <w:p w14:paraId="1A71BAD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798A988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投标人是事业单位的，应提供其有效的“事业单位法人证书”复印件；</w:t>
      </w:r>
    </w:p>
    <w:p w14:paraId="7F5F289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04A5B33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245FBD2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财务状况报告；</w:t>
      </w:r>
    </w:p>
    <w:p w14:paraId="0DA6A3E4">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会计师事务所出具的上一年度财务审计报告（报告中须包括资产负债表、利润表、现金流量表）；</w:t>
      </w:r>
    </w:p>
    <w:p w14:paraId="02C4B527">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53CE9A96">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r>
        <w:rPr>
          <w:rFonts w:ascii="宋体" w:hAnsi="宋体"/>
          <w:color w:val="auto"/>
          <w:szCs w:val="21"/>
          <w:highlight w:val="none"/>
        </w:rPr>
        <w:t xml:space="preserve"> </w:t>
      </w:r>
    </w:p>
    <w:p w14:paraId="4F6CDB09">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72DB534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p w14:paraId="7A65726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（三）依法缴纳税收和社会保障资金的良好记录：</w:t>
      </w:r>
    </w:p>
    <w:p w14:paraId="6B2DA988">
      <w:pPr>
        <w:adjustRightInd w:val="0"/>
        <w:snapToGrid w:val="0"/>
        <w:spacing w:line="360" w:lineRule="auto"/>
        <w:ind w:firstLine="210" w:firstLineChars="100"/>
        <w:jc w:val="left"/>
        <w:rPr>
          <w:rFonts w:ascii="宋体" w:hAnsi="宋体"/>
          <w:color w:val="auto"/>
          <w:szCs w:val="21"/>
          <w:highlight w:val="none"/>
        </w:rPr>
      </w:pPr>
      <w:r>
        <w:rPr>
          <w:rFonts w:hint="eastAsia" w:ascii="宋体" w:hAnsi="宋体"/>
          <w:color w:val="auto"/>
          <w:szCs w:val="21"/>
          <w:highlight w:val="none"/>
        </w:rPr>
        <w:t>（1）投标人是法人的，缴纳税收的证明材料，应提供开标前六个月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的纳税凭据复印件，指投标人缴纳增值税、营业税和企业所得税等缴纳凭据（完税证、缴款书、印花税票、银行代扣（代缴）转账凭证等均可）；</w:t>
      </w:r>
    </w:p>
    <w:p w14:paraId="48AEB8B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（2）投标人是法人的，缴纳社会保障资金的证明材料，应提供开标前六个月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的缴纳社会保险的凭据（专用收据或社会保险缴纳清单）；</w:t>
      </w:r>
    </w:p>
    <w:p w14:paraId="18539D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投标人是其他组织和自然人的，需要提供开标前六个月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缴纳税收（专用收据或社会保险缴纳清单）。</w:t>
      </w:r>
    </w:p>
    <w:p w14:paraId="0F8246F4">
      <w:pPr>
        <w:adjustRightInd w:val="0"/>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1）如投标人的社会保险为委托第三方代缴，还需同时提供投标人与第三方服务机构签署的服务合同（合同中应明确写明第三方为投标人代缴其社会保险）。</w:t>
      </w:r>
    </w:p>
    <w:p w14:paraId="00AF9EF5">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（四）投标人须具有履行合同所必需的设备和专业技术能力，须附相关证明材料或声明： </w:t>
      </w:r>
    </w:p>
    <w:p w14:paraId="507103F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见附件11</w:t>
      </w:r>
    </w:p>
    <w:p w14:paraId="32CB1257">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（五）近三年内在经营活动中没有重大违法记录的书面声明：</w:t>
      </w:r>
    </w:p>
    <w:p w14:paraId="1797309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见附件12</w:t>
      </w:r>
    </w:p>
    <w:p w14:paraId="7B019C0D">
      <w:pPr>
        <w:adjustRightInd w:val="0"/>
        <w:snapToGrid w:val="0"/>
        <w:spacing w:line="360" w:lineRule="auto"/>
        <w:jc w:val="left"/>
        <w:rPr>
          <w:rFonts w:ascii="宋体" w:hAnsi="宋体"/>
          <w:color w:val="auto"/>
          <w:szCs w:val="21"/>
          <w:highlight w:val="none"/>
        </w:rPr>
      </w:pPr>
    </w:p>
    <w:p w14:paraId="243E1DE0">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（六）投标人未列入失信被执行人、重大税收违法案件当事人名单、政府采购严重违法失信行为记录名单证明材料（财库[2016]125号）</w:t>
      </w:r>
    </w:p>
    <w:p w14:paraId="18DB7B0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见附件13</w:t>
      </w:r>
    </w:p>
    <w:p w14:paraId="4082FE2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注：1、以上复印件均需要加盖投标人公章。</w:t>
      </w:r>
    </w:p>
    <w:p w14:paraId="31D53191">
      <w:pPr>
        <w:adjustRightInd w:val="0"/>
        <w:snapToGrid w:val="0"/>
        <w:spacing w:line="360" w:lineRule="auto"/>
        <w:ind w:firstLine="420" w:firstLineChars="200"/>
        <w:jc w:val="left"/>
        <w:rPr>
          <w:rFonts w:ascii="宋体" w:hAnsi="宋体"/>
          <w:color w:val="auto"/>
          <w:szCs w:val="21"/>
          <w:highlight w:val="none"/>
        </w:rPr>
        <w:sectPr>
          <w:pgSz w:w="11906" w:h="16838"/>
          <w:pgMar w:top="1440" w:right="1797" w:bottom="1440" w:left="1797" w:header="851" w:footer="992" w:gutter="0"/>
          <w:pgNumType w:fmt="decimal"/>
          <w:cols w:space="720" w:num="1"/>
          <w:docGrid w:linePitch="312" w:charSpace="0"/>
        </w:sectPr>
      </w:pPr>
      <w:r>
        <w:rPr>
          <w:rFonts w:hint="eastAsia" w:ascii="宋体" w:hAnsi="宋体"/>
          <w:color w:val="auto"/>
          <w:szCs w:val="21"/>
          <w:highlight w:val="none"/>
        </w:rPr>
        <w:t>2、依法免税或不需要缴纳社会保障资金的投标人，应提供相应文件证明其依法免税或不需要缴纳社会保障资金。</w:t>
      </w:r>
    </w:p>
    <w:p w14:paraId="085AC4A7">
      <w:pPr>
        <w:adjustRightInd w:val="0"/>
        <w:snapToGrid w:val="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10</w:t>
      </w:r>
    </w:p>
    <w:p w14:paraId="25A066EE">
      <w:pPr>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投标人基本情况表</w:t>
      </w:r>
    </w:p>
    <w:p w14:paraId="52F637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盖投标人单位章</w:t>
      </w:r>
    </w:p>
    <w:tbl>
      <w:tblPr>
        <w:tblStyle w:val="4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360"/>
        <w:gridCol w:w="783"/>
        <w:gridCol w:w="1377"/>
        <w:gridCol w:w="63"/>
        <w:gridCol w:w="1377"/>
        <w:gridCol w:w="720"/>
        <w:gridCol w:w="609"/>
        <w:gridCol w:w="1596"/>
      </w:tblGrid>
      <w:tr w14:paraId="6AA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E6EDF36">
            <w:pPr>
              <w:topLinePunct/>
              <w:spacing w:line="440" w:lineRule="exact"/>
              <w:jc w:val="center"/>
              <w:rPr>
                <w:rFonts w:ascii="宋体" w:hAnsi="宋体"/>
                <w:color w:val="auto"/>
                <w:szCs w:val="21"/>
                <w:highlight w:val="none"/>
              </w:rPr>
            </w:pPr>
            <w:r>
              <w:rPr>
                <w:rFonts w:hint="eastAsia" w:ascii="宋体" w:hAnsi="宋体"/>
                <w:color w:val="auto"/>
                <w:highlight w:val="none"/>
              </w:rPr>
              <w:t>投标人</w:t>
            </w:r>
            <w:r>
              <w:rPr>
                <w:rFonts w:ascii="宋体" w:hAnsi="宋体"/>
                <w:color w:val="auto"/>
                <w:szCs w:val="21"/>
                <w:highlight w:val="none"/>
              </w:rPr>
              <w:t>名称</w:t>
            </w:r>
          </w:p>
        </w:tc>
        <w:tc>
          <w:tcPr>
            <w:tcW w:w="3960" w:type="dxa"/>
            <w:gridSpan w:val="5"/>
            <w:vAlign w:val="center"/>
          </w:tcPr>
          <w:p w14:paraId="69E2EAC1">
            <w:pPr>
              <w:topLinePunct/>
              <w:spacing w:line="440" w:lineRule="exact"/>
              <w:jc w:val="center"/>
              <w:rPr>
                <w:rFonts w:ascii="宋体" w:hAnsi="宋体"/>
                <w:color w:val="auto"/>
                <w:szCs w:val="21"/>
                <w:highlight w:val="none"/>
              </w:rPr>
            </w:pPr>
          </w:p>
        </w:tc>
        <w:tc>
          <w:tcPr>
            <w:tcW w:w="1329" w:type="dxa"/>
            <w:gridSpan w:val="2"/>
            <w:vAlign w:val="center"/>
          </w:tcPr>
          <w:p w14:paraId="643A46B5">
            <w:pPr>
              <w:topLinePunct/>
              <w:spacing w:line="440" w:lineRule="exact"/>
              <w:jc w:val="center"/>
              <w:rPr>
                <w:rFonts w:ascii="宋体" w:hAnsi="宋体"/>
                <w:color w:val="auto"/>
                <w:szCs w:val="21"/>
                <w:highlight w:val="none"/>
              </w:rPr>
            </w:pPr>
            <w:r>
              <w:rPr>
                <w:rFonts w:ascii="宋体" w:hAnsi="宋体"/>
                <w:color w:val="auto"/>
                <w:szCs w:val="21"/>
                <w:highlight w:val="none"/>
              </w:rPr>
              <w:t>法定代表人</w:t>
            </w:r>
          </w:p>
        </w:tc>
        <w:tc>
          <w:tcPr>
            <w:tcW w:w="1596" w:type="dxa"/>
            <w:vAlign w:val="center"/>
          </w:tcPr>
          <w:p w14:paraId="735C824C">
            <w:pPr>
              <w:topLinePunct/>
              <w:spacing w:line="440" w:lineRule="exact"/>
              <w:jc w:val="center"/>
              <w:rPr>
                <w:rFonts w:ascii="宋体" w:hAnsi="宋体"/>
                <w:color w:val="auto"/>
                <w:szCs w:val="21"/>
                <w:highlight w:val="none"/>
              </w:rPr>
            </w:pPr>
          </w:p>
        </w:tc>
      </w:tr>
      <w:tr w14:paraId="5B11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480B3B9">
            <w:pPr>
              <w:topLinePunct/>
              <w:spacing w:line="440" w:lineRule="exact"/>
              <w:jc w:val="center"/>
              <w:rPr>
                <w:rFonts w:ascii="宋体" w:hAnsi="宋体"/>
                <w:color w:val="auto"/>
                <w:szCs w:val="21"/>
                <w:highlight w:val="none"/>
              </w:rPr>
            </w:pPr>
            <w:r>
              <w:rPr>
                <w:rFonts w:hint="eastAsia" w:ascii="宋体" w:hAnsi="宋体"/>
                <w:color w:val="auto"/>
                <w:szCs w:val="21"/>
                <w:highlight w:val="none"/>
              </w:rPr>
              <w:t>组织机构代码</w:t>
            </w:r>
          </w:p>
        </w:tc>
        <w:tc>
          <w:tcPr>
            <w:tcW w:w="3960" w:type="dxa"/>
            <w:gridSpan w:val="5"/>
            <w:vAlign w:val="center"/>
          </w:tcPr>
          <w:p w14:paraId="171D2CE1">
            <w:pPr>
              <w:topLinePunct/>
              <w:spacing w:line="440" w:lineRule="exact"/>
              <w:jc w:val="center"/>
              <w:rPr>
                <w:rFonts w:ascii="宋体" w:hAnsi="宋体"/>
                <w:color w:val="auto"/>
                <w:szCs w:val="21"/>
                <w:highlight w:val="none"/>
              </w:rPr>
            </w:pPr>
          </w:p>
        </w:tc>
        <w:tc>
          <w:tcPr>
            <w:tcW w:w="1329" w:type="dxa"/>
            <w:gridSpan w:val="2"/>
            <w:vAlign w:val="center"/>
          </w:tcPr>
          <w:p w14:paraId="0B37D810">
            <w:pPr>
              <w:topLinePunct/>
              <w:spacing w:line="440" w:lineRule="exact"/>
              <w:jc w:val="center"/>
              <w:rPr>
                <w:rFonts w:ascii="宋体" w:hAnsi="宋体"/>
                <w:color w:val="auto"/>
                <w:szCs w:val="21"/>
                <w:highlight w:val="none"/>
              </w:rPr>
            </w:pPr>
            <w:r>
              <w:rPr>
                <w:rFonts w:ascii="宋体" w:hAnsi="宋体"/>
                <w:color w:val="auto"/>
                <w:szCs w:val="21"/>
                <w:highlight w:val="none"/>
              </w:rPr>
              <w:t>邮政编码</w:t>
            </w:r>
          </w:p>
        </w:tc>
        <w:tc>
          <w:tcPr>
            <w:tcW w:w="1596" w:type="dxa"/>
            <w:vAlign w:val="center"/>
          </w:tcPr>
          <w:p w14:paraId="1D008500">
            <w:pPr>
              <w:topLinePunct/>
              <w:spacing w:line="440" w:lineRule="exact"/>
              <w:jc w:val="center"/>
              <w:rPr>
                <w:rFonts w:ascii="宋体" w:hAnsi="宋体"/>
                <w:color w:val="auto"/>
                <w:szCs w:val="21"/>
                <w:highlight w:val="none"/>
              </w:rPr>
            </w:pPr>
          </w:p>
        </w:tc>
      </w:tr>
      <w:tr w14:paraId="1F6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67B8C985">
            <w:pPr>
              <w:topLinePunct/>
              <w:spacing w:line="440" w:lineRule="exact"/>
              <w:jc w:val="center"/>
              <w:rPr>
                <w:rFonts w:ascii="宋体" w:hAnsi="宋体"/>
                <w:color w:val="auto"/>
                <w:szCs w:val="21"/>
                <w:highlight w:val="none"/>
              </w:rPr>
            </w:pPr>
            <w:r>
              <w:rPr>
                <w:rFonts w:hint="eastAsia" w:ascii="宋体" w:hAnsi="宋体"/>
                <w:color w:val="auto"/>
                <w:szCs w:val="21"/>
                <w:highlight w:val="none"/>
              </w:rPr>
              <w:t>委托代理</w:t>
            </w:r>
            <w:r>
              <w:rPr>
                <w:rFonts w:ascii="宋体" w:hAnsi="宋体"/>
                <w:color w:val="auto"/>
                <w:szCs w:val="21"/>
                <w:highlight w:val="none"/>
              </w:rPr>
              <w:t>人</w:t>
            </w:r>
          </w:p>
        </w:tc>
        <w:tc>
          <w:tcPr>
            <w:tcW w:w="3960" w:type="dxa"/>
            <w:gridSpan w:val="5"/>
            <w:vAlign w:val="center"/>
          </w:tcPr>
          <w:p w14:paraId="5EFE58BC">
            <w:pPr>
              <w:topLinePunct/>
              <w:spacing w:line="440" w:lineRule="exact"/>
              <w:jc w:val="center"/>
              <w:rPr>
                <w:rFonts w:ascii="宋体" w:hAnsi="宋体"/>
                <w:color w:val="auto"/>
                <w:szCs w:val="21"/>
                <w:highlight w:val="none"/>
              </w:rPr>
            </w:pPr>
          </w:p>
        </w:tc>
        <w:tc>
          <w:tcPr>
            <w:tcW w:w="1329" w:type="dxa"/>
            <w:gridSpan w:val="2"/>
            <w:vAlign w:val="center"/>
          </w:tcPr>
          <w:p w14:paraId="27692D0E">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电子邮箱</w:t>
            </w:r>
          </w:p>
        </w:tc>
        <w:tc>
          <w:tcPr>
            <w:tcW w:w="1596" w:type="dxa"/>
            <w:vAlign w:val="center"/>
          </w:tcPr>
          <w:p w14:paraId="6135D62E">
            <w:pPr>
              <w:topLinePunct/>
              <w:spacing w:line="440" w:lineRule="exact"/>
              <w:jc w:val="center"/>
              <w:rPr>
                <w:rFonts w:ascii="宋体" w:hAnsi="宋体"/>
                <w:color w:val="auto"/>
                <w:szCs w:val="21"/>
                <w:highlight w:val="none"/>
              </w:rPr>
            </w:pPr>
          </w:p>
        </w:tc>
      </w:tr>
      <w:tr w14:paraId="275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157716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上年营业收入</w:t>
            </w:r>
          </w:p>
        </w:tc>
        <w:tc>
          <w:tcPr>
            <w:tcW w:w="3960" w:type="dxa"/>
            <w:gridSpan w:val="5"/>
            <w:vAlign w:val="center"/>
          </w:tcPr>
          <w:p w14:paraId="7A3A37BB">
            <w:pPr>
              <w:topLinePunct/>
              <w:spacing w:line="440" w:lineRule="exact"/>
              <w:jc w:val="center"/>
              <w:rPr>
                <w:rFonts w:ascii="宋体" w:hAnsi="宋体"/>
                <w:color w:val="auto"/>
                <w:szCs w:val="21"/>
                <w:highlight w:val="none"/>
              </w:rPr>
            </w:pPr>
          </w:p>
        </w:tc>
        <w:tc>
          <w:tcPr>
            <w:tcW w:w="1329" w:type="dxa"/>
            <w:gridSpan w:val="2"/>
            <w:vAlign w:val="center"/>
          </w:tcPr>
          <w:p w14:paraId="086A6E6A">
            <w:pPr>
              <w:topLinePunct/>
              <w:spacing w:line="440" w:lineRule="exact"/>
              <w:jc w:val="center"/>
              <w:rPr>
                <w:rFonts w:ascii="宋体" w:hAnsi="宋体"/>
                <w:color w:val="auto"/>
                <w:szCs w:val="21"/>
                <w:highlight w:val="none"/>
              </w:rPr>
            </w:pPr>
            <w:r>
              <w:rPr>
                <w:rFonts w:hint="eastAsia" w:ascii="宋体" w:hAnsi="宋体"/>
                <w:color w:val="auto"/>
                <w:szCs w:val="21"/>
                <w:highlight w:val="none"/>
              </w:rPr>
              <w:t>员工总人数</w:t>
            </w:r>
          </w:p>
        </w:tc>
        <w:tc>
          <w:tcPr>
            <w:tcW w:w="1596" w:type="dxa"/>
            <w:vAlign w:val="center"/>
          </w:tcPr>
          <w:p w14:paraId="6694834A">
            <w:pPr>
              <w:topLinePunct/>
              <w:spacing w:line="440" w:lineRule="exact"/>
              <w:jc w:val="center"/>
              <w:rPr>
                <w:rFonts w:ascii="宋体" w:hAnsi="宋体"/>
                <w:color w:val="auto"/>
                <w:szCs w:val="21"/>
                <w:highlight w:val="none"/>
              </w:rPr>
            </w:pPr>
          </w:p>
        </w:tc>
      </w:tr>
      <w:tr w14:paraId="032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2CA06793">
            <w:pPr>
              <w:topLinePunct/>
              <w:spacing w:line="440" w:lineRule="exact"/>
              <w:jc w:val="center"/>
              <w:rPr>
                <w:rFonts w:ascii="宋体" w:hAnsi="宋体"/>
                <w:color w:val="auto"/>
                <w:szCs w:val="21"/>
                <w:highlight w:val="none"/>
              </w:rPr>
            </w:pPr>
            <w:r>
              <w:rPr>
                <w:rFonts w:hint="eastAsia" w:ascii="宋体" w:hAnsi="宋体"/>
                <w:color w:val="auto"/>
                <w:szCs w:val="21"/>
                <w:highlight w:val="none"/>
              </w:rPr>
              <w:t>固定电话</w:t>
            </w:r>
          </w:p>
        </w:tc>
        <w:tc>
          <w:tcPr>
            <w:tcW w:w="3960" w:type="dxa"/>
            <w:gridSpan w:val="5"/>
            <w:vAlign w:val="center"/>
          </w:tcPr>
          <w:p w14:paraId="5B423689">
            <w:pPr>
              <w:topLinePunct/>
              <w:spacing w:line="440" w:lineRule="exact"/>
              <w:jc w:val="center"/>
              <w:rPr>
                <w:rFonts w:ascii="宋体" w:hAnsi="宋体"/>
                <w:color w:val="auto"/>
                <w:szCs w:val="21"/>
                <w:highlight w:val="none"/>
              </w:rPr>
            </w:pPr>
          </w:p>
        </w:tc>
        <w:tc>
          <w:tcPr>
            <w:tcW w:w="1329" w:type="dxa"/>
            <w:gridSpan w:val="2"/>
            <w:vAlign w:val="center"/>
          </w:tcPr>
          <w:p w14:paraId="62556FD0">
            <w:pPr>
              <w:topLinePunct/>
              <w:spacing w:line="440" w:lineRule="exact"/>
              <w:jc w:val="center"/>
              <w:rPr>
                <w:rFonts w:ascii="宋体" w:hAnsi="宋体"/>
                <w:color w:val="auto"/>
                <w:szCs w:val="21"/>
                <w:highlight w:val="none"/>
              </w:rPr>
            </w:pPr>
          </w:p>
        </w:tc>
        <w:tc>
          <w:tcPr>
            <w:tcW w:w="1596" w:type="dxa"/>
            <w:vAlign w:val="center"/>
          </w:tcPr>
          <w:p w14:paraId="642D5D99">
            <w:pPr>
              <w:topLinePunct/>
              <w:spacing w:line="440" w:lineRule="exact"/>
              <w:jc w:val="center"/>
              <w:rPr>
                <w:rFonts w:ascii="宋体" w:hAnsi="宋体"/>
                <w:color w:val="auto"/>
                <w:szCs w:val="21"/>
                <w:highlight w:val="none"/>
              </w:rPr>
            </w:pPr>
          </w:p>
        </w:tc>
      </w:tr>
      <w:tr w14:paraId="3681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restart"/>
            <w:vAlign w:val="center"/>
          </w:tcPr>
          <w:p w14:paraId="301C4B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营业执照</w:t>
            </w:r>
          </w:p>
        </w:tc>
        <w:tc>
          <w:tcPr>
            <w:tcW w:w="2044" w:type="dxa"/>
            <w:gridSpan w:val="4"/>
            <w:vAlign w:val="center"/>
          </w:tcPr>
          <w:p w14:paraId="02C293F8">
            <w:pPr>
              <w:topLinePunct/>
              <w:spacing w:line="440" w:lineRule="exact"/>
              <w:jc w:val="center"/>
              <w:rPr>
                <w:rFonts w:ascii="宋体" w:hAnsi="宋体"/>
                <w:color w:val="auto"/>
                <w:szCs w:val="21"/>
                <w:highlight w:val="none"/>
              </w:rPr>
            </w:pPr>
            <w:r>
              <w:rPr>
                <w:rFonts w:hint="eastAsia" w:ascii="宋体" w:hAnsi="宋体"/>
                <w:color w:val="auto"/>
                <w:szCs w:val="21"/>
                <w:highlight w:val="none"/>
              </w:rPr>
              <w:t>注册号码</w:t>
            </w:r>
          </w:p>
        </w:tc>
        <w:tc>
          <w:tcPr>
            <w:tcW w:w="1440" w:type="dxa"/>
            <w:gridSpan w:val="2"/>
            <w:vAlign w:val="center"/>
          </w:tcPr>
          <w:p w14:paraId="24FDF496">
            <w:pPr>
              <w:topLinePunct/>
              <w:spacing w:line="440" w:lineRule="exact"/>
              <w:jc w:val="center"/>
              <w:rPr>
                <w:rFonts w:ascii="宋体" w:hAnsi="宋体"/>
                <w:color w:val="auto"/>
                <w:szCs w:val="21"/>
                <w:highlight w:val="none"/>
              </w:rPr>
            </w:pPr>
          </w:p>
        </w:tc>
        <w:tc>
          <w:tcPr>
            <w:tcW w:w="1377" w:type="dxa"/>
            <w:vAlign w:val="center"/>
          </w:tcPr>
          <w:p w14:paraId="2E103D28">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注册地址</w:t>
            </w:r>
          </w:p>
        </w:tc>
        <w:tc>
          <w:tcPr>
            <w:tcW w:w="2925" w:type="dxa"/>
            <w:gridSpan w:val="3"/>
            <w:vAlign w:val="center"/>
          </w:tcPr>
          <w:p w14:paraId="3600B71E">
            <w:pPr>
              <w:topLinePunct/>
              <w:spacing w:line="440" w:lineRule="exact"/>
              <w:ind w:firstLine="105" w:firstLineChars="50"/>
              <w:jc w:val="center"/>
              <w:rPr>
                <w:rFonts w:ascii="宋体" w:hAnsi="宋体"/>
                <w:color w:val="auto"/>
                <w:szCs w:val="21"/>
                <w:highlight w:val="none"/>
              </w:rPr>
            </w:pPr>
          </w:p>
        </w:tc>
      </w:tr>
      <w:tr w14:paraId="3438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4B226A92">
            <w:pPr>
              <w:topLinePunct/>
              <w:spacing w:line="440" w:lineRule="exact"/>
              <w:jc w:val="center"/>
              <w:rPr>
                <w:rFonts w:ascii="宋体" w:hAnsi="宋体"/>
                <w:color w:val="auto"/>
                <w:szCs w:val="21"/>
                <w:highlight w:val="none"/>
              </w:rPr>
            </w:pPr>
          </w:p>
        </w:tc>
        <w:tc>
          <w:tcPr>
            <w:tcW w:w="2044" w:type="dxa"/>
            <w:gridSpan w:val="4"/>
            <w:vAlign w:val="center"/>
          </w:tcPr>
          <w:p w14:paraId="291618B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1440" w:type="dxa"/>
            <w:gridSpan w:val="2"/>
            <w:vAlign w:val="center"/>
          </w:tcPr>
          <w:p w14:paraId="367B5EBD">
            <w:pPr>
              <w:topLinePunct/>
              <w:spacing w:line="440" w:lineRule="exact"/>
              <w:jc w:val="center"/>
              <w:rPr>
                <w:rFonts w:ascii="宋体" w:hAnsi="宋体"/>
                <w:color w:val="auto"/>
                <w:szCs w:val="21"/>
                <w:highlight w:val="none"/>
              </w:rPr>
            </w:pPr>
          </w:p>
        </w:tc>
        <w:tc>
          <w:tcPr>
            <w:tcW w:w="1377" w:type="dxa"/>
            <w:vAlign w:val="center"/>
          </w:tcPr>
          <w:p w14:paraId="565F5AF3">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发证日期</w:t>
            </w:r>
          </w:p>
        </w:tc>
        <w:tc>
          <w:tcPr>
            <w:tcW w:w="2925" w:type="dxa"/>
            <w:gridSpan w:val="3"/>
            <w:vAlign w:val="center"/>
          </w:tcPr>
          <w:p w14:paraId="196A18B3">
            <w:pPr>
              <w:topLinePunct/>
              <w:spacing w:line="440" w:lineRule="exact"/>
              <w:ind w:firstLine="105" w:firstLineChars="50"/>
              <w:jc w:val="center"/>
              <w:rPr>
                <w:rFonts w:ascii="宋体" w:hAnsi="宋体"/>
                <w:color w:val="auto"/>
                <w:szCs w:val="21"/>
                <w:highlight w:val="none"/>
              </w:rPr>
            </w:pPr>
          </w:p>
        </w:tc>
      </w:tr>
      <w:tr w14:paraId="09F0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18BB2E6B">
            <w:pPr>
              <w:topLinePunct/>
              <w:spacing w:line="440" w:lineRule="exact"/>
              <w:jc w:val="center"/>
              <w:rPr>
                <w:rFonts w:ascii="宋体" w:hAnsi="宋体"/>
                <w:color w:val="auto"/>
                <w:szCs w:val="21"/>
                <w:highlight w:val="none"/>
              </w:rPr>
            </w:pPr>
          </w:p>
        </w:tc>
        <w:tc>
          <w:tcPr>
            <w:tcW w:w="2044" w:type="dxa"/>
            <w:gridSpan w:val="4"/>
            <w:vAlign w:val="center"/>
          </w:tcPr>
          <w:p w14:paraId="76931B4C">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营业范围（主营）</w:t>
            </w:r>
          </w:p>
        </w:tc>
        <w:tc>
          <w:tcPr>
            <w:tcW w:w="5742" w:type="dxa"/>
            <w:gridSpan w:val="6"/>
            <w:vAlign w:val="center"/>
          </w:tcPr>
          <w:p w14:paraId="5A1F3474">
            <w:pPr>
              <w:topLinePunct/>
              <w:spacing w:line="440" w:lineRule="exact"/>
              <w:ind w:firstLine="105" w:firstLineChars="50"/>
              <w:jc w:val="center"/>
              <w:rPr>
                <w:rFonts w:ascii="宋体" w:hAnsi="宋体"/>
                <w:color w:val="auto"/>
                <w:szCs w:val="21"/>
                <w:highlight w:val="none"/>
              </w:rPr>
            </w:pPr>
          </w:p>
        </w:tc>
      </w:tr>
      <w:tr w14:paraId="1152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5DAE77D8">
            <w:pPr>
              <w:topLinePunct/>
              <w:spacing w:line="440" w:lineRule="exact"/>
              <w:jc w:val="center"/>
              <w:rPr>
                <w:rFonts w:ascii="宋体" w:hAnsi="宋体"/>
                <w:color w:val="auto"/>
                <w:szCs w:val="21"/>
                <w:highlight w:val="none"/>
              </w:rPr>
            </w:pPr>
          </w:p>
        </w:tc>
        <w:tc>
          <w:tcPr>
            <w:tcW w:w="2044" w:type="dxa"/>
            <w:gridSpan w:val="4"/>
            <w:vAlign w:val="center"/>
          </w:tcPr>
          <w:p w14:paraId="05726C3B">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营业范围（兼营）</w:t>
            </w:r>
          </w:p>
        </w:tc>
        <w:tc>
          <w:tcPr>
            <w:tcW w:w="5742" w:type="dxa"/>
            <w:gridSpan w:val="6"/>
            <w:vAlign w:val="center"/>
          </w:tcPr>
          <w:p w14:paraId="6CB7CFE8">
            <w:pPr>
              <w:topLinePunct/>
              <w:spacing w:line="440" w:lineRule="exact"/>
              <w:ind w:firstLine="105" w:firstLineChars="50"/>
              <w:jc w:val="center"/>
              <w:rPr>
                <w:rFonts w:ascii="宋体" w:hAnsi="宋体"/>
                <w:color w:val="auto"/>
                <w:szCs w:val="21"/>
                <w:highlight w:val="none"/>
              </w:rPr>
            </w:pPr>
          </w:p>
        </w:tc>
      </w:tr>
      <w:tr w14:paraId="4DA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1895C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基本账户开户行及帐号</w:t>
            </w:r>
          </w:p>
        </w:tc>
        <w:tc>
          <w:tcPr>
            <w:tcW w:w="5742" w:type="dxa"/>
            <w:gridSpan w:val="6"/>
            <w:vAlign w:val="center"/>
          </w:tcPr>
          <w:p w14:paraId="258D0549">
            <w:pPr>
              <w:topLinePunct/>
              <w:spacing w:line="440" w:lineRule="exact"/>
              <w:jc w:val="center"/>
              <w:rPr>
                <w:rFonts w:ascii="宋体" w:hAnsi="宋体"/>
                <w:color w:val="auto"/>
                <w:szCs w:val="21"/>
                <w:highlight w:val="none"/>
              </w:rPr>
            </w:pPr>
          </w:p>
        </w:tc>
      </w:tr>
      <w:tr w14:paraId="6485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BEA0432">
            <w:pPr>
              <w:topLinePunct/>
              <w:spacing w:line="440" w:lineRule="exact"/>
              <w:jc w:val="center"/>
              <w:rPr>
                <w:rFonts w:ascii="宋体" w:hAnsi="宋体"/>
                <w:color w:val="auto"/>
                <w:szCs w:val="21"/>
                <w:highlight w:val="none"/>
              </w:rPr>
            </w:pPr>
            <w:r>
              <w:rPr>
                <w:rFonts w:hint="eastAsia" w:ascii="宋体" w:hAnsi="宋体"/>
                <w:color w:val="auto"/>
                <w:szCs w:val="21"/>
                <w:highlight w:val="none"/>
              </w:rPr>
              <w:t>税务登记机关</w:t>
            </w:r>
          </w:p>
        </w:tc>
        <w:tc>
          <w:tcPr>
            <w:tcW w:w="5742" w:type="dxa"/>
            <w:gridSpan w:val="6"/>
            <w:vAlign w:val="center"/>
          </w:tcPr>
          <w:p w14:paraId="31774C3E">
            <w:pPr>
              <w:topLinePunct/>
              <w:spacing w:line="440" w:lineRule="exact"/>
              <w:jc w:val="center"/>
              <w:rPr>
                <w:rFonts w:ascii="宋体" w:hAnsi="宋体"/>
                <w:color w:val="auto"/>
                <w:szCs w:val="21"/>
                <w:highlight w:val="none"/>
              </w:rPr>
            </w:pPr>
          </w:p>
        </w:tc>
      </w:tr>
      <w:tr w14:paraId="7284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04CCA739">
            <w:pPr>
              <w:topLinePunct/>
              <w:spacing w:line="440" w:lineRule="exact"/>
              <w:jc w:val="center"/>
              <w:rPr>
                <w:rFonts w:ascii="宋体" w:hAnsi="宋体"/>
                <w:color w:val="auto"/>
                <w:szCs w:val="21"/>
                <w:highlight w:val="none"/>
              </w:rPr>
            </w:pPr>
            <w:r>
              <w:rPr>
                <w:rFonts w:hint="eastAsia" w:ascii="宋体" w:hAnsi="宋体"/>
                <w:color w:val="auto"/>
                <w:szCs w:val="21"/>
                <w:highlight w:val="none"/>
              </w:rPr>
              <w:t>资质能力</w:t>
            </w:r>
          </w:p>
        </w:tc>
      </w:tr>
      <w:tr w14:paraId="521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9B80C34">
            <w:pPr>
              <w:topLinePunct/>
              <w:spacing w:line="440" w:lineRule="exact"/>
              <w:jc w:val="center"/>
              <w:rPr>
                <w:rFonts w:ascii="宋体" w:hAnsi="宋体"/>
                <w:color w:val="auto"/>
                <w:szCs w:val="21"/>
                <w:highlight w:val="none"/>
              </w:rPr>
            </w:pPr>
            <w:r>
              <w:rPr>
                <w:rFonts w:ascii="宋体" w:hAnsi="宋体"/>
                <w:color w:val="auto"/>
                <w:szCs w:val="21"/>
                <w:highlight w:val="none"/>
              </w:rPr>
              <w:t>资质</w:t>
            </w:r>
            <w:r>
              <w:rPr>
                <w:rFonts w:hint="eastAsia" w:ascii="宋体" w:hAnsi="宋体"/>
                <w:color w:val="auto"/>
                <w:szCs w:val="21"/>
                <w:highlight w:val="none"/>
              </w:rPr>
              <w:t>名称</w:t>
            </w:r>
          </w:p>
        </w:tc>
        <w:tc>
          <w:tcPr>
            <w:tcW w:w="2160" w:type="dxa"/>
            <w:gridSpan w:val="2"/>
            <w:vAlign w:val="center"/>
          </w:tcPr>
          <w:p w14:paraId="7636AB6A">
            <w:pPr>
              <w:topLinePunct/>
              <w:spacing w:line="440" w:lineRule="exact"/>
              <w:jc w:val="center"/>
              <w:rPr>
                <w:rFonts w:ascii="宋体" w:hAnsi="宋体"/>
                <w:color w:val="auto"/>
                <w:szCs w:val="21"/>
                <w:highlight w:val="none"/>
              </w:rPr>
            </w:pPr>
            <w:r>
              <w:rPr>
                <w:rFonts w:ascii="宋体" w:hAnsi="宋体"/>
                <w:color w:val="auto"/>
                <w:szCs w:val="21"/>
                <w:highlight w:val="none"/>
              </w:rPr>
              <w:t>等级</w:t>
            </w:r>
          </w:p>
        </w:tc>
        <w:tc>
          <w:tcPr>
            <w:tcW w:w="2160" w:type="dxa"/>
            <w:gridSpan w:val="3"/>
            <w:vAlign w:val="center"/>
          </w:tcPr>
          <w:p w14:paraId="145282A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2205" w:type="dxa"/>
            <w:gridSpan w:val="2"/>
            <w:vAlign w:val="center"/>
          </w:tcPr>
          <w:p w14:paraId="011091ED">
            <w:pPr>
              <w:topLinePunct/>
              <w:spacing w:line="440" w:lineRule="exact"/>
              <w:jc w:val="center"/>
              <w:rPr>
                <w:rFonts w:ascii="宋体" w:hAnsi="宋体"/>
                <w:color w:val="auto"/>
                <w:szCs w:val="21"/>
                <w:highlight w:val="none"/>
              </w:rPr>
            </w:pPr>
            <w:r>
              <w:rPr>
                <w:rFonts w:hint="eastAsia" w:ascii="宋体" w:hAnsi="宋体"/>
                <w:color w:val="auto"/>
                <w:szCs w:val="21"/>
                <w:highlight w:val="none"/>
              </w:rPr>
              <w:t>有效期</w:t>
            </w:r>
          </w:p>
        </w:tc>
      </w:tr>
      <w:tr w14:paraId="002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15112A7">
            <w:pPr>
              <w:topLinePunct/>
              <w:spacing w:line="440" w:lineRule="exact"/>
              <w:jc w:val="center"/>
              <w:rPr>
                <w:rFonts w:ascii="宋体" w:hAnsi="宋体"/>
                <w:color w:val="auto"/>
                <w:szCs w:val="21"/>
                <w:highlight w:val="none"/>
              </w:rPr>
            </w:pPr>
          </w:p>
        </w:tc>
        <w:tc>
          <w:tcPr>
            <w:tcW w:w="2160" w:type="dxa"/>
            <w:gridSpan w:val="2"/>
            <w:vAlign w:val="center"/>
          </w:tcPr>
          <w:p w14:paraId="24693476">
            <w:pPr>
              <w:topLinePunct/>
              <w:spacing w:line="440" w:lineRule="exact"/>
              <w:jc w:val="center"/>
              <w:rPr>
                <w:rFonts w:ascii="宋体" w:hAnsi="宋体"/>
                <w:color w:val="auto"/>
                <w:szCs w:val="21"/>
                <w:highlight w:val="none"/>
              </w:rPr>
            </w:pPr>
          </w:p>
        </w:tc>
        <w:tc>
          <w:tcPr>
            <w:tcW w:w="2160" w:type="dxa"/>
            <w:gridSpan w:val="3"/>
            <w:vAlign w:val="center"/>
          </w:tcPr>
          <w:p w14:paraId="1784A07C">
            <w:pPr>
              <w:topLinePunct/>
              <w:spacing w:line="440" w:lineRule="exact"/>
              <w:jc w:val="center"/>
              <w:rPr>
                <w:rFonts w:ascii="宋体" w:hAnsi="宋体"/>
                <w:color w:val="auto"/>
                <w:szCs w:val="21"/>
                <w:highlight w:val="none"/>
              </w:rPr>
            </w:pPr>
          </w:p>
        </w:tc>
        <w:tc>
          <w:tcPr>
            <w:tcW w:w="2205" w:type="dxa"/>
            <w:gridSpan w:val="2"/>
            <w:vAlign w:val="center"/>
          </w:tcPr>
          <w:p w14:paraId="4C6691D5">
            <w:pPr>
              <w:topLinePunct/>
              <w:spacing w:line="440" w:lineRule="exact"/>
              <w:jc w:val="center"/>
              <w:rPr>
                <w:rFonts w:ascii="宋体" w:hAnsi="宋体"/>
                <w:color w:val="auto"/>
                <w:szCs w:val="21"/>
                <w:highlight w:val="none"/>
              </w:rPr>
            </w:pPr>
          </w:p>
        </w:tc>
      </w:tr>
      <w:tr w14:paraId="6D61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0CD33DF">
            <w:pPr>
              <w:topLinePunct/>
              <w:spacing w:line="440" w:lineRule="exact"/>
              <w:jc w:val="center"/>
              <w:rPr>
                <w:rFonts w:ascii="宋体" w:hAnsi="宋体"/>
                <w:color w:val="auto"/>
                <w:szCs w:val="21"/>
                <w:highlight w:val="none"/>
              </w:rPr>
            </w:pPr>
          </w:p>
        </w:tc>
        <w:tc>
          <w:tcPr>
            <w:tcW w:w="2160" w:type="dxa"/>
            <w:gridSpan w:val="2"/>
            <w:vAlign w:val="center"/>
          </w:tcPr>
          <w:p w14:paraId="51BF251A">
            <w:pPr>
              <w:topLinePunct/>
              <w:spacing w:line="440" w:lineRule="exact"/>
              <w:jc w:val="center"/>
              <w:rPr>
                <w:rFonts w:ascii="宋体" w:hAnsi="宋体"/>
                <w:color w:val="auto"/>
                <w:szCs w:val="21"/>
                <w:highlight w:val="none"/>
              </w:rPr>
            </w:pPr>
          </w:p>
        </w:tc>
        <w:tc>
          <w:tcPr>
            <w:tcW w:w="2160" w:type="dxa"/>
            <w:gridSpan w:val="3"/>
            <w:vAlign w:val="center"/>
          </w:tcPr>
          <w:p w14:paraId="64DDB8A7">
            <w:pPr>
              <w:topLinePunct/>
              <w:spacing w:line="440" w:lineRule="exact"/>
              <w:jc w:val="center"/>
              <w:rPr>
                <w:rFonts w:ascii="宋体" w:hAnsi="宋体"/>
                <w:color w:val="auto"/>
                <w:szCs w:val="21"/>
                <w:highlight w:val="none"/>
              </w:rPr>
            </w:pPr>
          </w:p>
        </w:tc>
        <w:tc>
          <w:tcPr>
            <w:tcW w:w="2205" w:type="dxa"/>
            <w:gridSpan w:val="2"/>
            <w:vAlign w:val="center"/>
          </w:tcPr>
          <w:p w14:paraId="4CECE6D3">
            <w:pPr>
              <w:topLinePunct/>
              <w:spacing w:line="440" w:lineRule="exact"/>
              <w:jc w:val="center"/>
              <w:rPr>
                <w:rFonts w:ascii="宋体" w:hAnsi="宋体"/>
                <w:color w:val="auto"/>
                <w:szCs w:val="21"/>
                <w:highlight w:val="none"/>
              </w:rPr>
            </w:pPr>
          </w:p>
        </w:tc>
      </w:tr>
      <w:tr w14:paraId="0D37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4B010D57">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投标人近三年项目业绩</w:t>
            </w:r>
          </w:p>
        </w:tc>
      </w:tr>
      <w:tr w14:paraId="33C0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85194FE">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项目业绩名称</w:t>
            </w:r>
          </w:p>
        </w:tc>
        <w:tc>
          <w:tcPr>
            <w:tcW w:w="2160" w:type="dxa"/>
            <w:gridSpan w:val="2"/>
            <w:vAlign w:val="center"/>
          </w:tcPr>
          <w:p w14:paraId="3A80B17B">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项目地点、起止时间</w:t>
            </w:r>
          </w:p>
        </w:tc>
        <w:tc>
          <w:tcPr>
            <w:tcW w:w="2160" w:type="dxa"/>
            <w:gridSpan w:val="3"/>
            <w:vAlign w:val="center"/>
          </w:tcPr>
          <w:p w14:paraId="79542A9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合同内容、金额</w:t>
            </w:r>
          </w:p>
        </w:tc>
        <w:tc>
          <w:tcPr>
            <w:tcW w:w="2205" w:type="dxa"/>
            <w:gridSpan w:val="2"/>
            <w:vAlign w:val="center"/>
          </w:tcPr>
          <w:p w14:paraId="34D43D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甲方联系人及电话</w:t>
            </w:r>
          </w:p>
        </w:tc>
      </w:tr>
      <w:tr w14:paraId="5F5F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A2D9176">
            <w:pPr>
              <w:topLinePunct/>
              <w:spacing w:line="440" w:lineRule="exact"/>
              <w:jc w:val="center"/>
              <w:rPr>
                <w:rFonts w:ascii="宋体" w:hAnsi="宋体"/>
                <w:color w:val="auto"/>
                <w:szCs w:val="21"/>
                <w:highlight w:val="none"/>
              </w:rPr>
            </w:pPr>
          </w:p>
        </w:tc>
        <w:tc>
          <w:tcPr>
            <w:tcW w:w="2160" w:type="dxa"/>
            <w:gridSpan w:val="2"/>
            <w:vAlign w:val="center"/>
          </w:tcPr>
          <w:p w14:paraId="73B5124D">
            <w:pPr>
              <w:topLinePunct/>
              <w:spacing w:line="440" w:lineRule="exact"/>
              <w:jc w:val="center"/>
              <w:rPr>
                <w:rFonts w:ascii="宋体" w:hAnsi="宋体"/>
                <w:color w:val="auto"/>
                <w:szCs w:val="21"/>
                <w:highlight w:val="none"/>
              </w:rPr>
            </w:pPr>
          </w:p>
        </w:tc>
        <w:tc>
          <w:tcPr>
            <w:tcW w:w="2160" w:type="dxa"/>
            <w:gridSpan w:val="3"/>
            <w:vAlign w:val="center"/>
          </w:tcPr>
          <w:p w14:paraId="0782BD8D">
            <w:pPr>
              <w:topLinePunct/>
              <w:spacing w:line="440" w:lineRule="exact"/>
              <w:jc w:val="center"/>
              <w:rPr>
                <w:rFonts w:ascii="宋体" w:hAnsi="宋体"/>
                <w:color w:val="auto"/>
                <w:szCs w:val="21"/>
                <w:highlight w:val="none"/>
              </w:rPr>
            </w:pPr>
          </w:p>
        </w:tc>
        <w:tc>
          <w:tcPr>
            <w:tcW w:w="2205" w:type="dxa"/>
            <w:gridSpan w:val="2"/>
            <w:vAlign w:val="center"/>
          </w:tcPr>
          <w:p w14:paraId="4F1B2A65">
            <w:pPr>
              <w:topLinePunct/>
              <w:spacing w:line="440" w:lineRule="exact"/>
              <w:jc w:val="center"/>
              <w:rPr>
                <w:rFonts w:ascii="宋体" w:hAnsi="宋体"/>
                <w:color w:val="auto"/>
                <w:szCs w:val="21"/>
                <w:highlight w:val="none"/>
              </w:rPr>
            </w:pPr>
          </w:p>
        </w:tc>
      </w:tr>
      <w:tr w14:paraId="2E5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45B52D3">
            <w:pPr>
              <w:topLinePunct/>
              <w:spacing w:line="440" w:lineRule="exact"/>
              <w:jc w:val="center"/>
              <w:rPr>
                <w:rFonts w:ascii="宋体" w:hAnsi="宋体"/>
                <w:color w:val="auto"/>
                <w:szCs w:val="21"/>
                <w:highlight w:val="none"/>
              </w:rPr>
            </w:pPr>
          </w:p>
        </w:tc>
        <w:tc>
          <w:tcPr>
            <w:tcW w:w="2160" w:type="dxa"/>
            <w:gridSpan w:val="2"/>
            <w:vAlign w:val="center"/>
          </w:tcPr>
          <w:p w14:paraId="31CB6588">
            <w:pPr>
              <w:topLinePunct/>
              <w:spacing w:line="440" w:lineRule="exact"/>
              <w:jc w:val="center"/>
              <w:rPr>
                <w:rFonts w:ascii="宋体" w:hAnsi="宋体"/>
                <w:color w:val="auto"/>
                <w:szCs w:val="21"/>
                <w:highlight w:val="none"/>
              </w:rPr>
            </w:pPr>
          </w:p>
        </w:tc>
        <w:tc>
          <w:tcPr>
            <w:tcW w:w="2160" w:type="dxa"/>
            <w:gridSpan w:val="3"/>
            <w:vAlign w:val="center"/>
          </w:tcPr>
          <w:p w14:paraId="66B602E5">
            <w:pPr>
              <w:topLinePunct/>
              <w:spacing w:line="440" w:lineRule="exact"/>
              <w:jc w:val="center"/>
              <w:rPr>
                <w:rFonts w:ascii="宋体" w:hAnsi="宋体"/>
                <w:color w:val="auto"/>
                <w:szCs w:val="21"/>
                <w:highlight w:val="none"/>
              </w:rPr>
            </w:pPr>
          </w:p>
        </w:tc>
        <w:tc>
          <w:tcPr>
            <w:tcW w:w="2205" w:type="dxa"/>
            <w:gridSpan w:val="2"/>
            <w:vAlign w:val="center"/>
          </w:tcPr>
          <w:p w14:paraId="0B920C56">
            <w:pPr>
              <w:topLinePunct/>
              <w:spacing w:line="440" w:lineRule="exact"/>
              <w:jc w:val="center"/>
              <w:rPr>
                <w:rFonts w:ascii="宋体" w:hAnsi="宋体"/>
                <w:color w:val="auto"/>
                <w:szCs w:val="21"/>
                <w:highlight w:val="none"/>
              </w:rPr>
            </w:pPr>
          </w:p>
        </w:tc>
      </w:tr>
      <w:tr w14:paraId="6E4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6A02C385">
            <w:pPr>
              <w:topLinePunct/>
              <w:spacing w:line="440" w:lineRule="exact"/>
              <w:jc w:val="center"/>
              <w:rPr>
                <w:rFonts w:ascii="宋体" w:hAnsi="宋体"/>
                <w:color w:val="auto"/>
                <w:szCs w:val="21"/>
                <w:highlight w:val="none"/>
              </w:rPr>
            </w:pPr>
          </w:p>
        </w:tc>
        <w:tc>
          <w:tcPr>
            <w:tcW w:w="2160" w:type="dxa"/>
            <w:gridSpan w:val="2"/>
            <w:vAlign w:val="center"/>
          </w:tcPr>
          <w:p w14:paraId="49285754">
            <w:pPr>
              <w:topLinePunct/>
              <w:spacing w:line="440" w:lineRule="exact"/>
              <w:jc w:val="center"/>
              <w:rPr>
                <w:rFonts w:ascii="宋体" w:hAnsi="宋体"/>
                <w:color w:val="auto"/>
                <w:szCs w:val="21"/>
                <w:highlight w:val="none"/>
              </w:rPr>
            </w:pPr>
          </w:p>
        </w:tc>
        <w:tc>
          <w:tcPr>
            <w:tcW w:w="2160" w:type="dxa"/>
            <w:gridSpan w:val="3"/>
            <w:vAlign w:val="center"/>
          </w:tcPr>
          <w:p w14:paraId="3694CDFA">
            <w:pPr>
              <w:topLinePunct/>
              <w:spacing w:line="440" w:lineRule="exact"/>
              <w:jc w:val="center"/>
              <w:rPr>
                <w:rFonts w:ascii="宋体" w:hAnsi="宋体"/>
                <w:color w:val="auto"/>
                <w:szCs w:val="21"/>
                <w:highlight w:val="none"/>
              </w:rPr>
            </w:pPr>
          </w:p>
        </w:tc>
        <w:tc>
          <w:tcPr>
            <w:tcW w:w="2205" w:type="dxa"/>
            <w:gridSpan w:val="2"/>
            <w:vAlign w:val="center"/>
          </w:tcPr>
          <w:p w14:paraId="78AEA74C">
            <w:pPr>
              <w:topLinePunct/>
              <w:spacing w:line="440" w:lineRule="exact"/>
              <w:jc w:val="center"/>
              <w:rPr>
                <w:rFonts w:ascii="宋体" w:hAnsi="宋体"/>
                <w:color w:val="auto"/>
                <w:szCs w:val="21"/>
                <w:highlight w:val="none"/>
              </w:rPr>
            </w:pPr>
          </w:p>
        </w:tc>
      </w:tr>
      <w:tr w14:paraId="461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58" w:type="dxa"/>
            <w:gridSpan w:val="2"/>
            <w:vAlign w:val="center"/>
          </w:tcPr>
          <w:p w14:paraId="3F11CE7B">
            <w:pPr>
              <w:topLinePunct/>
              <w:spacing w:line="440" w:lineRule="exact"/>
              <w:jc w:val="center"/>
              <w:rPr>
                <w:rFonts w:ascii="宋体" w:hAnsi="宋体"/>
                <w:color w:val="auto"/>
                <w:szCs w:val="21"/>
                <w:highlight w:val="none"/>
              </w:rPr>
            </w:pPr>
            <w:r>
              <w:rPr>
                <w:rFonts w:ascii="宋体" w:hAnsi="宋体"/>
                <w:color w:val="auto"/>
                <w:szCs w:val="21"/>
                <w:highlight w:val="none"/>
              </w:rPr>
              <w:t>备注</w:t>
            </w:r>
          </w:p>
        </w:tc>
        <w:tc>
          <w:tcPr>
            <w:tcW w:w="7247" w:type="dxa"/>
            <w:gridSpan w:val="9"/>
            <w:vAlign w:val="center"/>
          </w:tcPr>
          <w:p w14:paraId="1256D76E">
            <w:pPr>
              <w:topLinePunct/>
              <w:spacing w:line="440" w:lineRule="exact"/>
              <w:rPr>
                <w:rFonts w:ascii="宋体" w:hAnsi="宋体"/>
                <w:color w:val="auto"/>
                <w:szCs w:val="21"/>
                <w:highlight w:val="none"/>
              </w:rPr>
            </w:pPr>
            <w:r>
              <w:rPr>
                <w:rFonts w:hint="eastAsia" w:ascii="宋体" w:hAnsi="宋体"/>
                <w:color w:val="auto"/>
                <w:szCs w:val="21"/>
                <w:highlight w:val="none"/>
              </w:rPr>
              <w:t>后附项目业绩证明材料</w:t>
            </w:r>
          </w:p>
        </w:tc>
      </w:tr>
    </w:tbl>
    <w:p w14:paraId="0E01624B">
      <w:pPr>
        <w:adjustRightInd w:val="0"/>
        <w:snapToGrid w:val="0"/>
        <w:spacing w:line="360" w:lineRule="auto"/>
        <w:jc w:val="center"/>
        <w:rPr>
          <w:rFonts w:ascii="宋体" w:hAnsi="宋体"/>
          <w:color w:val="auto"/>
          <w:sz w:val="24"/>
          <w:highlight w:val="none"/>
        </w:rPr>
      </w:pPr>
    </w:p>
    <w:p w14:paraId="0E45B5D5">
      <w:pPr>
        <w:spacing w:line="480" w:lineRule="exact"/>
        <w:rPr>
          <w:rFonts w:ascii="宋体" w:hAnsi="宋体"/>
          <w:color w:val="auto"/>
          <w:sz w:val="32"/>
          <w:szCs w:val="32"/>
          <w:highlight w:val="none"/>
        </w:rPr>
      </w:pPr>
    </w:p>
    <w:p w14:paraId="75CB8CF8">
      <w:pPr>
        <w:spacing w:line="480" w:lineRule="exact"/>
        <w:rPr>
          <w:rFonts w:ascii="宋体" w:hAnsi="宋体"/>
          <w:color w:val="auto"/>
          <w:sz w:val="32"/>
          <w:szCs w:val="32"/>
          <w:highlight w:val="none"/>
        </w:rPr>
        <w:sectPr>
          <w:pgSz w:w="11906" w:h="16838"/>
          <w:pgMar w:top="1440" w:right="1797" w:bottom="1440" w:left="1797" w:header="851" w:footer="992" w:gutter="0"/>
          <w:pgNumType w:fmt="decimal"/>
          <w:cols w:space="720" w:num="1"/>
          <w:docGrid w:linePitch="312" w:charSpace="0"/>
        </w:sectPr>
      </w:pPr>
    </w:p>
    <w:p w14:paraId="7B5C1416">
      <w:pPr>
        <w:adjustRightInd w:val="0"/>
        <w:snapToGrid w:val="0"/>
        <w:spacing w:line="480" w:lineRule="auto"/>
        <w:jc w:val="left"/>
        <w:rPr>
          <w:rFonts w:ascii="宋体" w:hAnsi="宋体"/>
          <w:bCs/>
          <w:color w:val="auto"/>
          <w:sz w:val="24"/>
          <w:highlight w:val="none"/>
        </w:rPr>
      </w:pPr>
      <w:r>
        <w:rPr>
          <w:rFonts w:hint="eastAsia" w:ascii="宋体" w:hAnsi="宋体"/>
          <w:bCs/>
          <w:color w:val="auto"/>
          <w:sz w:val="24"/>
          <w:highlight w:val="none"/>
        </w:rPr>
        <w:t>附件1</w:t>
      </w:r>
      <w:r>
        <w:rPr>
          <w:rFonts w:ascii="宋体" w:hAnsi="宋体"/>
          <w:bCs/>
          <w:color w:val="auto"/>
          <w:sz w:val="24"/>
          <w:highlight w:val="none"/>
        </w:rPr>
        <w:t>1</w:t>
      </w:r>
    </w:p>
    <w:p w14:paraId="7F67F3E5">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具备履行合同所必需的设备和专业技术能力的承诺</w:t>
      </w:r>
    </w:p>
    <w:p w14:paraId="3D5FCA6E">
      <w:pPr>
        <w:adjustRightInd w:val="0"/>
        <w:snapToGrid w:val="0"/>
        <w:spacing w:line="360" w:lineRule="auto"/>
        <w:ind w:firstLine="560" w:firstLineChars="200"/>
        <w:jc w:val="center"/>
        <w:rPr>
          <w:rFonts w:ascii="宋体" w:hAnsi="宋体"/>
          <w:color w:val="auto"/>
          <w:sz w:val="28"/>
          <w:szCs w:val="28"/>
          <w:highlight w:val="none"/>
        </w:rPr>
      </w:pPr>
    </w:p>
    <w:p w14:paraId="171DFC91">
      <w:pPr>
        <w:autoSpaceDE w:val="0"/>
        <w:autoSpaceDN w:val="0"/>
        <w:adjustRightInd w:val="0"/>
        <w:spacing w:line="440" w:lineRule="exact"/>
        <w:jc w:val="left"/>
        <w:rPr>
          <w:rFonts w:ascii="宋体" w:cs="宋体"/>
          <w:color w:val="auto"/>
          <w:kern w:val="0"/>
          <w:szCs w:val="21"/>
          <w:highlight w:val="none"/>
        </w:rPr>
      </w:pPr>
      <w:r>
        <w:rPr>
          <w:rFonts w:hint="eastAsia" w:ascii="宋体" w:cs="宋体"/>
          <w:color w:val="auto"/>
          <w:kern w:val="0"/>
          <w:szCs w:val="21"/>
          <w:highlight w:val="none"/>
        </w:rPr>
        <w:t>本投标人郑重声明：</w:t>
      </w:r>
      <w:r>
        <w:rPr>
          <w:rFonts w:ascii="宋体" w:cs="宋体"/>
          <w:color w:val="auto"/>
          <w:kern w:val="0"/>
          <w:szCs w:val="21"/>
          <w:highlight w:val="none"/>
        </w:rPr>
        <w:t xml:space="preserve"> </w:t>
      </w:r>
    </w:p>
    <w:p w14:paraId="1AABD580">
      <w:pPr>
        <w:autoSpaceDE w:val="0"/>
        <w:autoSpaceDN w:val="0"/>
        <w:adjustRightInd w:val="0"/>
        <w:spacing w:line="440" w:lineRule="exact"/>
        <w:ind w:left="420"/>
        <w:jc w:val="left"/>
        <w:rPr>
          <w:rFonts w:ascii="宋体" w:cs="宋体"/>
          <w:color w:val="auto"/>
          <w:kern w:val="0"/>
          <w:szCs w:val="21"/>
          <w:highlight w:val="none"/>
        </w:rPr>
      </w:pPr>
    </w:p>
    <w:p w14:paraId="4262B4E5">
      <w:pPr>
        <w:autoSpaceDE w:val="0"/>
        <w:autoSpaceDN w:val="0"/>
        <w:adjustRightInd w:val="0"/>
        <w:spacing w:line="44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本公司（或单位）具备本项目履行合同所必需的设备和专业技术能力，特此承诺。</w:t>
      </w:r>
      <w:r>
        <w:rPr>
          <w:rFonts w:ascii="宋体" w:cs="宋体"/>
          <w:color w:val="auto"/>
          <w:kern w:val="0"/>
          <w:szCs w:val="21"/>
          <w:highlight w:val="none"/>
        </w:rPr>
        <w:t xml:space="preserve"> </w:t>
      </w:r>
    </w:p>
    <w:p w14:paraId="764B63EB">
      <w:pPr>
        <w:autoSpaceDE w:val="0"/>
        <w:autoSpaceDN w:val="0"/>
        <w:adjustRightInd w:val="0"/>
        <w:spacing w:line="440" w:lineRule="exact"/>
        <w:jc w:val="left"/>
        <w:rPr>
          <w:rFonts w:ascii="宋体" w:cs="宋体"/>
          <w:color w:val="auto"/>
          <w:kern w:val="0"/>
          <w:szCs w:val="21"/>
          <w:highlight w:val="none"/>
        </w:rPr>
      </w:pPr>
    </w:p>
    <w:p w14:paraId="6489B6B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0C6F8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8E021C2">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FE88F9D">
      <w:pPr>
        <w:rPr>
          <w:rFonts w:hint="eastAsia" w:ascii="宋体" w:hAnsi="宋体"/>
          <w:color w:val="auto"/>
          <w:sz w:val="24"/>
          <w:highlight w:val="none"/>
        </w:rPr>
      </w:pPr>
      <w:r>
        <w:rPr>
          <w:rFonts w:hint="eastAsia" w:ascii="宋体" w:hAnsi="宋体"/>
          <w:color w:val="auto"/>
          <w:sz w:val="24"/>
          <w:highlight w:val="none"/>
        </w:rPr>
        <w:br w:type="page"/>
      </w:r>
    </w:p>
    <w:p w14:paraId="1A30BC2D">
      <w:pPr>
        <w:adjustRightInd w:val="0"/>
        <w:snapToGrid w:val="0"/>
        <w:rPr>
          <w:rFonts w:ascii="宋体" w:hAnsi="宋体"/>
          <w:color w:val="auto"/>
          <w:sz w:val="24"/>
          <w:highlight w:val="none"/>
        </w:rPr>
      </w:pPr>
      <w:r>
        <w:rPr>
          <w:rFonts w:hint="eastAsia" w:ascii="宋体" w:hAnsi="宋体"/>
          <w:color w:val="auto"/>
          <w:sz w:val="24"/>
          <w:highlight w:val="none"/>
        </w:rPr>
        <w:t>附件1</w:t>
      </w:r>
      <w:r>
        <w:rPr>
          <w:rFonts w:ascii="宋体" w:hAnsi="宋体"/>
          <w:color w:val="auto"/>
          <w:sz w:val="24"/>
          <w:highlight w:val="none"/>
        </w:rPr>
        <w:t>2</w:t>
      </w:r>
    </w:p>
    <w:p w14:paraId="133335BD">
      <w:pPr>
        <w:adjustRightInd w:val="0"/>
        <w:snapToGrid w:val="0"/>
        <w:spacing w:before="156" w:beforeLines="50" w:line="360" w:lineRule="auto"/>
        <w:rPr>
          <w:rFonts w:ascii="宋体" w:hAnsi="宋体"/>
          <w:b/>
          <w:color w:val="auto"/>
          <w:highlight w:val="none"/>
        </w:rPr>
      </w:pPr>
    </w:p>
    <w:p w14:paraId="77C02A2B">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无重大违法记录声明书</w:t>
      </w:r>
    </w:p>
    <w:p w14:paraId="4F215438">
      <w:pPr>
        <w:widowControl/>
        <w:adjustRightInd w:val="0"/>
        <w:snapToGrid w:val="0"/>
        <w:spacing w:line="360" w:lineRule="auto"/>
        <w:jc w:val="center"/>
        <w:rPr>
          <w:rFonts w:ascii="宋体" w:hAnsi="宋体"/>
          <w:color w:val="auto"/>
          <w:szCs w:val="21"/>
          <w:highlight w:val="none"/>
        </w:rPr>
      </w:pPr>
    </w:p>
    <w:p w14:paraId="5300391C">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（采购人）         </w:t>
      </w:r>
      <w:r>
        <w:rPr>
          <w:rFonts w:hint="eastAsia" w:ascii="宋体" w:hAnsi="宋体"/>
          <w:color w:val="auto"/>
          <w:szCs w:val="21"/>
          <w:highlight w:val="none"/>
        </w:rPr>
        <w:t>：</w:t>
      </w:r>
    </w:p>
    <w:p w14:paraId="346CCD21">
      <w:pPr>
        <w:adjustRightInd w:val="0"/>
        <w:snapToGrid w:val="0"/>
        <w:spacing w:line="360" w:lineRule="auto"/>
        <w:ind w:firstLine="420" w:firstLineChars="200"/>
        <w:rPr>
          <w:rFonts w:ascii="宋体" w:hAnsi="宋体"/>
          <w:color w:val="auto"/>
          <w:szCs w:val="21"/>
          <w:highlight w:val="none"/>
        </w:rPr>
      </w:pPr>
    </w:p>
    <w:p w14:paraId="779EB66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项目</w:t>
      </w:r>
      <w:r>
        <w:rPr>
          <w:rFonts w:hint="eastAsia" w:ascii="宋体" w:hAnsi="宋体"/>
          <w:color w:val="auto"/>
          <w:szCs w:val="21"/>
          <w:highlight w:val="none"/>
        </w:rPr>
        <w:t>编号）公开招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19852F0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特此声明  </w:t>
      </w:r>
    </w:p>
    <w:p w14:paraId="4ECCDBA2">
      <w:pPr>
        <w:adjustRightInd w:val="0"/>
        <w:snapToGrid w:val="0"/>
        <w:spacing w:line="360" w:lineRule="auto"/>
        <w:ind w:firstLine="420" w:firstLineChars="200"/>
        <w:rPr>
          <w:rFonts w:ascii="宋体" w:hAnsi="宋体"/>
          <w:color w:val="auto"/>
          <w:szCs w:val="21"/>
          <w:highlight w:val="none"/>
        </w:rPr>
      </w:pPr>
    </w:p>
    <w:p w14:paraId="3FDD25D9">
      <w:pPr>
        <w:adjustRightInd w:val="0"/>
        <w:snapToGrid w:val="0"/>
        <w:spacing w:line="360" w:lineRule="auto"/>
        <w:ind w:firstLine="420" w:firstLineChars="200"/>
        <w:rPr>
          <w:rFonts w:ascii="宋体" w:hAnsi="宋体"/>
          <w:color w:val="auto"/>
          <w:szCs w:val="21"/>
          <w:highlight w:val="none"/>
        </w:rPr>
      </w:pPr>
    </w:p>
    <w:p w14:paraId="77C91983">
      <w:pPr>
        <w:adjustRightInd w:val="0"/>
        <w:snapToGrid w:val="0"/>
        <w:spacing w:line="360" w:lineRule="auto"/>
        <w:ind w:firstLine="420" w:firstLineChars="200"/>
        <w:rPr>
          <w:rFonts w:ascii="宋体" w:hAnsi="宋体"/>
          <w:color w:val="auto"/>
          <w:szCs w:val="21"/>
          <w:highlight w:val="none"/>
        </w:rPr>
      </w:pPr>
    </w:p>
    <w:p w14:paraId="4A5C7948">
      <w:pPr>
        <w:adjustRightInd w:val="0"/>
        <w:snapToGrid w:val="0"/>
        <w:spacing w:line="360" w:lineRule="auto"/>
        <w:ind w:firstLine="420" w:firstLineChars="200"/>
        <w:rPr>
          <w:rFonts w:ascii="宋体" w:hAnsi="宋体"/>
          <w:color w:val="auto"/>
          <w:szCs w:val="21"/>
          <w:highlight w:val="none"/>
        </w:rPr>
      </w:pPr>
    </w:p>
    <w:p w14:paraId="001C131E">
      <w:pPr>
        <w:adjustRightInd w:val="0"/>
        <w:snapToGrid w:val="0"/>
        <w:spacing w:line="360" w:lineRule="auto"/>
        <w:ind w:firstLine="420" w:firstLineChars="200"/>
        <w:rPr>
          <w:rFonts w:ascii="宋体" w:hAnsi="宋体"/>
          <w:bCs/>
          <w:color w:val="auto"/>
          <w:szCs w:val="21"/>
          <w:highlight w:val="none"/>
        </w:rPr>
      </w:pPr>
    </w:p>
    <w:p w14:paraId="06404DB0">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6F7D87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7092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990F7A">
      <w:pPr>
        <w:spacing w:line="360" w:lineRule="auto"/>
        <w:ind w:firstLine="3502" w:firstLineChars="1668"/>
        <w:rPr>
          <w:rFonts w:ascii="宋体" w:hAnsi="宋体"/>
          <w:color w:val="auto"/>
          <w:szCs w:val="21"/>
          <w:highlight w:val="none"/>
        </w:rPr>
      </w:pPr>
    </w:p>
    <w:p w14:paraId="40058691">
      <w:pPr>
        <w:spacing w:line="360" w:lineRule="auto"/>
        <w:ind w:firstLine="3502" w:firstLineChars="1668"/>
        <w:rPr>
          <w:rFonts w:ascii="宋体" w:hAnsi="宋体"/>
          <w:color w:val="auto"/>
          <w:szCs w:val="21"/>
          <w:highlight w:val="none"/>
        </w:rPr>
      </w:pPr>
    </w:p>
    <w:p w14:paraId="2EDBFA5F">
      <w:pPr>
        <w:rPr>
          <w:color w:val="auto"/>
          <w:szCs w:val="21"/>
          <w:highlight w:val="none"/>
        </w:rPr>
      </w:pPr>
      <w:r>
        <w:rPr>
          <w:rFonts w:hint="eastAsia"/>
          <w:color w:val="auto"/>
          <w:highlight w:val="none"/>
        </w:rPr>
        <w:t>附注：近三年指成立三年以上的，为提交首次投标文件截止时间前三年内；成立不足三年的，为实际时间</w:t>
      </w:r>
      <w:r>
        <w:rPr>
          <w:rFonts w:hint="eastAsia"/>
          <w:color w:val="auto"/>
          <w:szCs w:val="21"/>
          <w:highlight w:val="none"/>
        </w:rPr>
        <w:t>。</w:t>
      </w:r>
    </w:p>
    <w:p w14:paraId="2656AAA5">
      <w:pPr>
        <w:adjustRightInd w:val="0"/>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附件1</w:t>
      </w:r>
      <w:r>
        <w:rPr>
          <w:rFonts w:ascii="宋体" w:hAnsi="宋体"/>
          <w:color w:val="auto"/>
          <w:sz w:val="24"/>
          <w:highlight w:val="none"/>
        </w:rPr>
        <w:t>3</w:t>
      </w:r>
    </w:p>
    <w:p w14:paraId="1E9BA6EE">
      <w:pPr>
        <w:autoSpaceDE w:val="0"/>
        <w:autoSpaceDN w:val="0"/>
        <w:adjustRightInd w:val="0"/>
        <w:jc w:val="center"/>
        <w:rPr>
          <w:rFonts w:ascii="宋体" w:hAnsi="宋体"/>
          <w:b/>
          <w:color w:val="auto"/>
          <w:kern w:val="0"/>
          <w:sz w:val="24"/>
          <w:highlight w:val="none"/>
        </w:rPr>
      </w:pPr>
      <w:r>
        <w:rPr>
          <w:rFonts w:hint="eastAsia" w:ascii="宋体" w:hAnsi="宋体"/>
          <w:b/>
          <w:color w:val="auto"/>
          <w:kern w:val="0"/>
          <w:sz w:val="24"/>
          <w:highlight w:val="none"/>
        </w:rPr>
        <w:t>信用记录</w:t>
      </w:r>
    </w:p>
    <w:p w14:paraId="51A9D739">
      <w:pPr>
        <w:widowControl/>
        <w:adjustRightInd w:val="0"/>
        <w:snapToGrid w:val="0"/>
        <w:spacing w:line="360" w:lineRule="auto"/>
        <w:ind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（复印件并加盖投标人单位公章）</w:t>
      </w:r>
    </w:p>
    <w:p w14:paraId="35E6D93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381FDD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依据财库</w:t>
      </w:r>
      <w:r>
        <w:rPr>
          <w:rFonts w:ascii="宋体" w:hAnsi="宋体" w:cs="宋体"/>
          <w:color w:val="auto"/>
          <w:spacing w:val="6"/>
          <w:kern w:val="0"/>
          <w:szCs w:val="21"/>
          <w:highlight w:val="none"/>
        </w:rPr>
        <w:t>[2016]125</w:t>
      </w:r>
      <w:r>
        <w:rPr>
          <w:rFonts w:hint="eastAsia" w:ascii="宋体" w:hAnsi="宋体" w:cs="宋体"/>
          <w:color w:val="auto"/>
          <w:spacing w:val="6"/>
          <w:kern w:val="0"/>
          <w:szCs w:val="21"/>
          <w:highlight w:val="none"/>
        </w:rPr>
        <w:t>号文件规定，投标人须符合《关于在政府采购活动中查询及使用信用记录有关问题的通知》的相关要求，即具有良好的信用记录。</w:t>
      </w:r>
    </w:p>
    <w:p w14:paraId="38C4A44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投标人须提供本单位（出售文件起至递交投标文件截止日前）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信用中国</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网站（</w:t>
      </w:r>
      <w:r>
        <w:rPr>
          <w:rFonts w:ascii="宋体" w:hAnsi="宋体" w:cs="宋体"/>
          <w:color w:val="auto"/>
          <w:spacing w:val="6"/>
          <w:kern w:val="0"/>
          <w:szCs w:val="21"/>
          <w:highlight w:val="none"/>
        </w:rPr>
        <w:t>www.creditchina.gov.cn</w:t>
      </w:r>
      <w:r>
        <w:rPr>
          <w:rFonts w:hint="eastAsia" w:ascii="宋体" w:hAnsi="宋体" w:cs="宋体"/>
          <w:color w:val="auto"/>
          <w:spacing w:val="6"/>
          <w:kern w:val="0"/>
          <w:szCs w:val="21"/>
          <w:highlight w:val="none"/>
        </w:rPr>
        <w:t>）及中国政府采购网（</w:t>
      </w:r>
      <w:r>
        <w:rPr>
          <w:rFonts w:ascii="宋体" w:hAnsi="宋体" w:cs="宋体"/>
          <w:color w:val="auto"/>
          <w:spacing w:val="6"/>
          <w:kern w:val="0"/>
          <w:szCs w:val="21"/>
          <w:highlight w:val="none"/>
        </w:rPr>
        <w:t>www.ccgp.gov.cn</w:t>
      </w:r>
      <w:r>
        <w:rPr>
          <w:rFonts w:hint="eastAsia" w:ascii="宋体" w:hAnsi="宋体" w:cs="宋体"/>
          <w:color w:val="auto"/>
          <w:spacing w:val="6"/>
          <w:kern w:val="0"/>
          <w:szCs w:val="21"/>
          <w:highlight w:val="none"/>
        </w:rPr>
        <w:t>）已公布的信用记录查询截图。</w:t>
      </w:r>
    </w:p>
    <w:p w14:paraId="3FED710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截图含1）未被列入失信被执行人</w:t>
      </w:r>
    </w:p>
    <w:p w14:paraId="4DF60C51">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2）非重大税收违法案件当事人名单的投标人</w:t>
      </w:r>
    </w:p>
    <w:p w14:paraId="13EE1860">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3）未列入政府采购严重违法失信行为记录名单</w:t>
      </w:r>
    </w:p>
    <w:p w14:paraId="6BFD3642">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6E2C500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例如：网站搜索页输入投标人名称，截图查询结果。</w:t>
      </w:r>
    </w:p>
    <w:p w14:paraId="42CFA814">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4E74BBAC">
      <w:pPr>
        <w:widowControl/>
        <w:adjustRightInd w:val="0"/>
        <w:snapToGrid w:val="0"/>
        <w:spacing w:line="360" w:lineRule="auto"/>
        <w:ind w:firstLine="446" w:firstLineChars="200"/>
        <w:jc w:val="left"/>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说明：投标人提供的截图与采购人或采购代理机构查询截图不一致的，以采购人或采购代理机构查询结果为准。</w:t>
      </w:r>
    </w:p>
    <w:p w14:paraId="7DD7151C">
      <w:pPr>
        <w:widowControl/>
        <w:adjustRightInd w:val="0"/>
        <w:snapToGrid w:val="0"/>
        <w:spacing w:line="360" w:lineRule="auto"/>
        <w:ind w:firstLine="444" w:firstLineChars="200"/>
        <w:jc w:val="left"/>
        <w:rPr>
          <w:rFonts w:ascii="宋体" w:hAnsi="宋体" w:cs="宋体"/>
          <w:color w:val="auto"/>
          <w:spacing w:val="6"/>
          <w:kern w:val="0"/>
          <w:szCs w:val="21"/>
          <w:highlight w:val="none"/>
        </w:rPr>
        <w:sectPr>
          <w:footerReference r:id="rId8" w:type="even"/>
          <w:pgSz w:w="11906" w:h="16838"/>
          <w:pgMar w:top="1440" w:right="1800" w:bottom="1440" w:left="1800" w:header="851" w:footer="992" w:gutter="0"/>
          <w:pgNumType w:fmt="decimal"/>
          <w:cols w:space="720" w:num="1"/>
          <w:docGrid w:type="lines" w:linePitch="312" w:charSpace="0"/>
        </w:sectPr>
      </w:pPr>
    </w:p>
    <w:p w14:paraId="49893C44">
      <w:pPr>
        <w:pStyle w:val="4"/>
        <w:jc w:val="center"/>
        <w:rPr>
          <w:rFonts w:ascii="宋体" w:hAnsi="宋体"/>
          <w:color w:val="auto"/>
          <w:sz w:val="28"/>
          <w:szCs w:val="28"/>
          <w:highlight w:val="none"/>
        </w:rPr>
      </w:pPr>
      <w:bookmarkStart w:id="66" w:name="_Toc161933901"/>
      <w:bookmarkStart w:id="67" w:name="_Toc433187369"/>
      <w:r>
        <w:rPr>
          <w:rFonts w:hint="eastAsia" w:ascii="宋体" w:hAnsi="宋体"/>
          <w:color w:val="auto"/>
          <w:sz w:val="28"/>
          <w:szCs w:val="28"/>
          <w:highlight w:val="none"/>
        </w:rPr>
        <w:t>六、项目方案</w:t>
      </w:r>
      <w:bookmarkEnd w:id="66"/>
    </w:p>
    <w:p w14:paraId="7D9FFF9A">
      <w:pPr>
        <w:spacing w:line="360" w:lineRule="auto"/>
        <w:rPr>
          <w:rFonts w:ascii="宋体" w:hAnsi="宋体"/>
          <w:b/>
          <w:color w:val="auto"/>
          <w:szCs w:val="21"/>
          <w:highlight w:val="none"/>
        </w:rPr>
      </w:pPr>
    </w:p>
    <w:p w14:paraId="69B012EB">
      <w:pPr>
        <w:spacing w:line="420" w:lineRule="exact"/>
        <w:jc w:val="center"/>
        <w:rPr>
          <w:rFonts w:ascii="宋体" w:hAnsi="宋体"/>
          <w:bCs/>
          <w:color w:val="auto"/>
          <w:highlight w:val="none"/>
        </w:rPr>
      </w:pPr>
      <w:r>
        <w:rPr>
          <w:rFonts w:hint="eastAsia" w:ascii="宋体" w:hAnsi="宋体"/>
          <w:b/>
          <w:bCs/>
          <w:color w:val="auto"/>
          <w:highlight w:val="none"/>
          <w:lang w:val="en-GB"/>
        </w:rPr>
        <w:t>结合评审办法自行编制</w:t>
      </w:r>
      <w:r>
        <w:rPr>
          <w:rFonts w:ascii="宋体" w:hAnsi="宋体"/>
          <w:b/>
          <w:bCs/>
          <w:color w:val="auto"/>
          <w:highlight w:val="none"/>
        </w:rPr>
        <w:br w:type="page"/>
      </w:r>
      <w:bookmarkStart w:id="68" w:name="_Toc531624162"/>
      <w:bookmarkStart w:id="69" w:name="_Toc3979604"/>
      <w:bookmarkStart w:id="70" w:name="_Toc533178576"/>
      <w:r>
        <w:rPr>
          <w:rFonts w:hint="eastAsia" w:ascii="宋体" w:hAnsi="宋体"/>
          <w:bCs/>
          <w:color w:val="auto"/>
          <w:sz w:val="24"/>
          <w:highlight w:val="none"/>
        </w:rPr>
        <w:t>附件</w:t>
      </w:r>
      <w:bookmarkEnd w:id="68"/>
      <w:r>
        <w:rPr>
          <w:rFonts w:hint="eastAsia" w:ascii="宋体" w:hAnsi="宋体"/>
          <w:bCs/>
          <w:color w:val="auto"/>
          <w:sz w:val="24"/>
          <w:highlight w:val="none"/>
        </w:rPr>
        <w:t>1</w:t>
      </w:r>
      <w:bookmarkEnd w:id="69"/>
      <w:bookmarkEnd w:id="70"/>
      <w:r>
        <w:rPr>
          <w:rFonts w:hint="eastAsia" w:ascii="宋体" w:hAnsi="宋体"/>
          <w:bCs/>
          <w:color w:val="auto"/>
          <w:sz w:val="24"/>
          <w:highlight w:val="none"/>
        </w:rPr>
        <w:t>4</w:t>
      </w:r>
    </w:p>
    <w:p w14:paraId="22D38689">
      <w:pPr>
        <w:spacing w:line="420" w:lineRule="exact"/>
        <w:jc w:val="center"/>
        <w:rPr>
          <w:rFonts w:ascii="宋体" w:hAnsi="宋体"/>
          <w:b/>
          <w:color w:val="auto"/>
          <w:sz w:val="24"/>
          <w:highlight w:val="none"/>
        </w:rPr>
      </w:pPr>
      <w:r>
        <w:rPr>
          <w:rFonts w:hint="eastAsia" w:ascii="宋体" w:hAnsi="宋体"/>
          <w:b/>
          <w:color w:val="auto"/>
          <w:sz w:val="24"/>
          <w:highlight w:val="none"/>
        </w:rPr>
        <w:t>拟投入本项目的人员一览表</w:t>
      </w:r>
    </w:p>
    <w:p w14:paraId="0662ABEE">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7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142"/>
      </w:tblGrid>
      <w:tr w14:paraId="2E42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7DDD3D23">
            <w:pPr>
              <w:jc w:val="center"/>
              <w:rPr>
                <w:rFonts w:ascii="宋体" w:hAnsi="宋体"/>
                <w:color w:val="auto"/>
                <w:highlight w:val="none"/>
              </w:rPr>
            </w:pPr>
            <w:r>
              <w:rPr>
                <w:rFonts w:hint="eastAsia" w:ascii="宋体" w:hAnsi="宋体"/>
                <w:color w:val="auto"/>
                <w:highlight w:val="none"/>
              </w:rPr>
              <w:t>职责分工</w:t>
            </w:r>
          </w:p>
        </w:tc>
        <w:tc>
          <w:tcPr>
            <w:tcW w:w="1183" w:type="dxa"/>
            <w:vAlign w:val="center"/>
          </w:tcPr>
          <w:p w14:paraId="74DB7B6A">
            <w:pPr>
              <w:jc w:val="center"/>
              <w:rPr>
                <w:rFonts w:ascii="宋体" w:hAnsi="宋体"/>
                <w:color w:val="auto"/>
                <w:highlight w:val="none"/>
              </w:rPr>
            </w:pPr>
            <w:r>
              <w:rPr>
                <w:rFonts w:hint="eastAsia" w:ascii="宋体" w:hAnsi="宋体"/>
                <w:color w:val="auto"/>
                <w:highlight w:val="none"/>
              </w:rPr>
              <w:t>姓名</w:t>
            </w:r>
          </w:p>
        </w:tc>
        <w:tc>
          <w:tcPr>
            <w:tcW w:w="945" w:type="dxa"/>
            <w:vAlign w:val="center"/>
          </w:tcPr>
          <w:p w14:paraId="45397364">
            <w:pPr>
              <w:jc w:val="center"/>
              <w:rPr>
                <w:rFonts w:ascii="宋体" w:hAnsi="宋体"/>
                <w:color w:val="auto"/>
                <w:highlight w:val="none"/>
              </w:rPr>
            </w:pPr>
            <w:r>
              <w:rPr>
                <w:rFonts w:hint="eastAsia" w:ascii="宋体" w:hAnsi="宋体"/>
                <w:color w:val="auto"/>
                <w:highlight w:val="none"/>
              </w:rPr>
              <w:t>年龄</w:t>
            </w:r>
          </w:p>
        </w:tc>
        <w:tc>
          <w:tcPr>
            <w:tcW w:w="1137" w:type="dxa"/>
            <w:vAlign w:val="center"/>
          </w:tcPr>
          <w:p w14:paraId="27AE0E8C">
            <w:pPr>
              <w:jc w:val="center"/>
              <w:rPr>
                <w:rFonts w:ascii="宋体" w:hAnsi="宋体"/>
                <w:color w:val="auto"/>
                <w:highlight w:val="none"/>
              </w:rPr>
            </w:pPr>
            <w:r>
              <w:rPr>
                <w:rFonts w:hint="eastAsia" w:ascii="宋体" w:hAnsi="宋体"/>
                <w:color w:val="auto"/>
                <w:highlight w:val="none"/>
              </w:rPr>
              <w:t>专业</w:t>
            </w:r>
          </w:p>
        </w:tc>
        <w:tc>
          <w:tcPr>
            <w:tcW w:w="1359" w:type="dxa"/>
            <w:vAlign w:val="center"/>
          </w:tcPr>
          <w:p w14:paraId="050A313F">
            <w:pPr>
              <w:jc w:val="center"/>
              <w:rPr>
                <w:rFonts w:ascii="宋体" w:hAnsi="宋体"/>
                <w:color w:val="auto"/>
                <w:highlight w:val="none"/>
              </w:rPr>
            </w:pPr>
            <w:r>
              <w:rPr>
                <w:rFonts w:hint="eastAsia" w:ascii="宋体" w:hAnsi="宋体"/>
                <w:color w:val="auto"/>
                <w:highlight w:val="none"/>
              </w:rPr>
              <w:t>在本项目中担任的岗位</w:t>
            </w:r>
          </w:p>
        </w:tc>
        <w:tc>
          <w:tcPr>
            <w:tcW w:w="1142" w:type="dxa"/>
            <w:vAlign w:val="center"/>
          </w:tcPr>
          <w:p w14:paraId="6BD1149F">
            <w:pPr>
              <w:ind w:firstLine="12"/>
              <w:jc w:val="center"/>
              <w:rPr>
                <w:rFonts w:ascii="宋体" w:hAnsi="宋体"/>
                <w:color w:val="auto"/>
                <w:highlight w:val="none"/>
              </w:rPr>
            </w:pPr>
            <w:r>
              <w:rPr>
                <w:rFonts w:hint="eastAsia" w:ascii="宋体" w:hAnsi="宋体"/>
                <w:color w:val="auto"/>
                <w:highlight w:val="none"/>
              </w:rPr>
              <w:t>备注</w:t>
            </w:r>
          </w:p>
        </w:tc>
      </w:tr>
      <w:tr w14:paraId="09358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2F89CE86">
            <w:pPr>
              <w:jc w:val="center"/>
              <w:rPr>
                <w:rFonts w:ascii="宋体" w:hAnsi="宋体"/>
                <w:color w:val="auto"/>
                <w:highlight w:val="none"/>
              </w:rPr>
            </w:pPr>
            <w:r>
              <w:rPr>
                <w:rFonts w:hint="eastAsia" w:ascii="宋体" w:hAnsi="宋体"/>
                <w:color w:val="auto"/>
                <w:highlight w:val="none"/>
              </w:rPr>
              <w:t>项目负责人</w:t>
            </w:r>
          </w:p>
        </w:tc>
        <w:tc>
          <w:tcPr>
            <w:tcW w:w="1183" w:type="dxa"/>
            <w:vAlign w:val="center"/>
          </w:tcPr>
          <w:p w14:paraId="5A2192F5">
            <w:pPr>
              <w:jc w:val="center"/>
              <w:rPr>
                <w:rFonts w:ascii="宋体" w:hAnsi="宋体"/>
                <w:color w:val="auto"/>
                <w:highlight w:val="none"/>
              </w:rPr>
            </w:pPr>
          </w:p>
        </w:tc>
        <w:tc>
          <w:tcPr>
            <w:tcW w:w="945" w:type="dxa"/>
            <w:vAlign w:val="center"/>
          </w:tcPr>
          <w:p w14:paraId="0B1621A2">
            <w:pPr>
              <w:jc w:val="center"/>
              <w:rPr>
                <w:rFonts w:ascii="宋体" w:hAnsi="宋体"/>
                <w:color w:val="auto"/>
                <w:highlight w:val="none"/>
              </w:rPr>
            </w:pPr>
          </w:p>
        </w:tc>
        <w:tc>
          <w:tcPr>
            <w:tcW w:w="1137" w:type="dxa"/>
            <w:vAlign w:val="center"/>
          </w:tcPr>
          <w:p w14:paraId="63CE791F">
            <w:pPr>
              <w:pStyle w:val="255"/>
              <w:keepNext w:val="0"/>
              <w:adjustRightInd/>
              <w:spacing w:before="0" w:after="0" w:line="240" w:lineRule="auto"/>
              <w:textAlignment w:val="auto"/>
              <w:rPr>
                <w:rFonts w:ascii="宋体" w:hAnsi="宋体"/>
                <w:snapToGrid/>
                <w:color w:val="auto"/>
                <w:spacing w:val="0"/>
                <w:kern w:val="2"/>
                <w:szCs w:val="24"/>
                <w:highlight w:val="none"/>
              </w:rPr>
            </w:pPr>
          </w:p>
        </w:tc>
        <w:tc>
          <w:tcPr>
            <w:tcW w:w="1359" w:type="dxa"/>
            <w:vAlign w:val="center"/>
          </w:tcPr>
          <w:p w14:paraId="001B5BE5">
            <w:pPr>
              <w:jc w:val="center"/>
              <w:rPr>
                <w:rFonts w:ascii="宋体" w:hAnsi="宋体"/>
                <w:color w:val="auto"/>
                <w:highlight w:val="none"/>
              </w:rPr>
            </w:pPr>
          </w:p>
        </w:tc>
        <w:tc>
          <w:tcPr>
            <w:tcW w:w="1142" w:type="dxa"/>
            <w:vAlign w:val="center"/>
          </w:tcPr>
          <w:p w14:paraId="188D65E0">
            <w:pPr>
              <w:ind w:firstLine="12"/>
              <w:jc w:val="center"/>
              <w:rPr>
                <w:rFonts w:ascii="宋体" w:hAnsi="宋体"/>
                <w:color w:val="auto"/>
                <w:highlight w:val="none"/>
              </w:rPr>
            </w:pPr>
          </w:p>
        </w:tc>
      </w:tr>
      <w:tr w14:paraId="2E02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06B3A7B">
            <w:pPr>
              <w:jc w:val="center"/>
              <w:rPr>
                <w:rFonts w:ascii="宋体" w:hAnsi="宋体"/>
                <w:color w:val="auto"/>
                <w:highlight w:val="none"/>
              </w:rPr>
            </w:pPr>
            <w:r>
              <w:rPr>
                <w:rFonts w:hint="eastAsia" w:ascii="宋体" w:hAnsi="宋体"/>
                <w:color w:val="auto"/>
                <w:highlight w:val="none"/>
              </w:rPr>
              <w:t>其他人员</w:t>
            </w:r>
          </w:p>
        </w:tc>
        <w:tc>
          <w:tcPr>
            <w:tcW w:w="1183" w:type="dxa"/>
            <w:vAlign w:val="center"/>
          </w:tcPr>
          <w:p w14:paraId="65F110E5">
            <w:pPr>
              <w:jc w:val="center"/>
              <w:rPr>
                <w:rFonts w:ascii="宋体" w:hAnsi="宋体"/>
                <w:color w:val="auto"/>
                <w:highlight w:val="none"/>
              </w:rPr>
            </w:pPr>
          </w:p>
        </w:tc>
        <w:tc>
          <w:tcPr>
            <w:tcW w:w="945" w:type="dxa"/>
            <w:vAlign w:val="center"/>
          </w:tcPr>
          <w:p w14:paraId="441FAB4E">
            <w:pPr>
              <w:jc w:val="center"/>
              <w:rPr>
                <w:rFonts w:ascii="宋体" w:hAnsi="宋体"/>
                <w:color w:val="auto"/>
                <w:highlight w:val="none"/>
              </w:rPr>
            </w:pPr>
          </w:p>
        </w:tc>
        <w:tc>
          <w:tcPr>
            <w:tcW w:w="1137" w:type="dxa"/>
            <w:vAlign w:val="center"/>
          </w:tcPr>
          <w:p w14:paraId="32179233">
            <w:pPr>
              <w:jc w:val="center"/>
              <w:rPr>
                <w:rFonts w:ascii="宋体" w:hAnsi="宋体"/>
                <w:color w:val="auto"/>
                <w:highlight w:val="none"/>
              </w:rPr>
            </w:pPr>
          </w:p>
        </w:tc>
        <w:tc>
          <w:tcPr>
            <w:tcW w:w="1359" w:type="dxa"/>
            <w:vAlign w:val="center"/>
          </w:tcPr>
          <w:p w14:paraId="5459A23D">
            <w:pPr>
              <w:jc w:val="center"/>
              <w:rPr>
                <w:rFonts w:ascii="宋体" w:hAnsi="宋体"/>
                <w:color w:val="auto"/>
                <w:highlight w:val="none"/>
              </w:rPr>
            </w:pPr>
          </w:p>
        </w:tc>
        <w:tc>
          <w:tcPr>
            <w:tcW w:w="1142" w:type="dxa"/>
            <w:vAlign w:val="center"/>
          </w:tcPr>
          <w:p w14:paraId="56586230">
            <w:pPr>
              <w:jc w:val="center"/>
              <w:rPr>
                <w:rFonts w:ascii="宋体" w:hAnsi="宋体"/>
                <w:color w:val="auto"/>
                <w:highlight w:val="none"/>
              </w:rPr>
            </w:pPr>
          </w:p>
        </w:tc>
      </w:tr>
      <w:tr w14:paraId="290D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3066BE27">
            <w:pPr>
              <w:jc w:val="center"/>
              <w:rPr>
                <w:rFonts w:ascii="宋体" w:hAnsi="宋体"/>
                <w:color w:val="auto"/>
                <w:highlight w:val="none"/>
              </w:rPr>
            </w:pPr>
          </w:p>
        </w:tc>
        <w:tc>
          <w:tcPr>
            <w:tcW w:w="1183" w:type="dxa"/>
            <w:vAlign w:val="center"/>
          </w:tcPr>
          <w:p w14:paraId="5B3E2743">
            <w:pPr>
              <w:jc w:val="center"/>
              <w:rPr>
                <w:rFonts w:ascii="宋体" w:hAnsi="宋体"/>
                <w:color w:val="auto"/>
                <w:highlight w:val="none"/>
              </w:rPr>
            </w:pPr>
          </w:p>
        </w:tc>
        <w:tc>
          <w:tcPr>
            <w:tcW w:w="945" w:type="dxa"/>
            <w:vAlign w:val="center"/>
          </w:tcPr>
          <w:p w14:paraId="267B95D9">
            <w:pPr>
              <w:jc w:val="center"/>
              <w:rPr>
                <w:rFonts w:ascii="宋体" w:hAnsi="宋体"/>
                <w:color w:val="auto"/>
                <w:highlight w:val="none"/>
              </w:rPr>
            </w:pPr>
          </w:p>
        </w:tc>
        <w:tc>
          <w:tcPr>
            <w:tcW w:w="1137" w:type="dxa"/>
            <w:vAlign w:val="center"/>
          </w:tcPr>
          <w:p w14:paraId="0D0156C5">
            <w:pPr>
              <w:jc w:val="center"/>
              <w:rPr>
                <w:rFonts w:ascii="宋体" w:hAnsi="宋体"/>
                <w:color w:val="auto"/>
                <w:highlight w:val="none"/>
              </w:rPr>
            </w:pPr>
          </w:p>
        </w:tc>
        <w:tc>
          <w:tcPr>
            <w:tcW w:w="1359" w:type="dxa"/>
            <w:vAlign w:val="center"/>
          </w:tcPr>
          <w:p w14:paraId="70516374">
            <w:pPr>
              <w:jc w:val="center"/>
              <w:rPr>
                <w:rFonts w:ascii="宋体" w:hAnsi="宋体"/>
                <w:color w:val="auto"/>
                <w:highlight w:val="none"/>
              </w:rPr>
            </w:pPr>
          </w:p>
        </w:tc>
        <w:tc>
          <w:tcPr>
            <w:tcW w:w="1142" w:type="dxa"/>
            <w:vAlign w:val="center"/>
          </w:tcPr>
          <w:p w14:paraId="4E0BDE6A">
            <w:pPr>
              <w:jc w:val="center"/>
              <w:rPr>
                <w:rFonts w:ascii="宋体" w:hAnsi="宋体"/>
                <w:color w:val="auto"/>
                <w:highlight w:val="none"/>
              </w:rPr>
            </w:pPr>
          </w:p>
        </w:tc>
      </w:tr>
      <w:tr w14:paraId="6B54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1A34B03">
            <w:pPr>
              <w:jc w:val="center"/>
              <w:rPr>
                <w:rFonts w:ascii="宋体" w:hAnsi="宋体"/>
                <w:color w:val="auto"/>
                <w:highlight w:val="none"/>
              </w:rPr>
            </w:pPr>
          </w:p>
        </w:tc>
        <w:tc>
          <w:tcPr>
            <w:tcW w:w="1183" w:type="dxa"/>
            <w:vAlign w:val="center"/>
          </w:tcPr>
          <w:p w14:paraId="60AFA1B2">
            <w:pPr>
              <w:jc w:val="center"/>
              <w:rPr>
                <w:rFonts w:ascii="宋体" w:hAnsi="宋体"/>
                <w:color w:val="auto"/>
                <w:highlight w:val="none"/>
              </w:rPr>
            </w:pPr>
          </w:p>
        </w:tc>
        <w:tc>
          <w:tcPr>
            <w:tcW w:w="945" w:type="dxa"/>
            <w:vAlign w:val="center"/>
          </w:tcPr>
          <w:p w14:paraId="6D2FA127">
            <w:pPr>
              <w:jc w:val="center"/>
              <w:rPr>
                <w:rFonts w:ascii="宋体" w:hAnsi="宋体"/>
                <w:color w:val="auto"/>
                <w:highlight w:val="none"/>
              </w:rPr>
            </w:pPr>
          </w:p>
        </w:tc>
        <w:tc>
          <w:tcPr>
            <w:tcW w:w="1137" w:type="dxa"/>
            <w:vAlign w:val="center"/>
          </w:tcPr>
          <w:p w14:paraId="4F70C38A">
            <w:pPr>
              <w:jc w:val="center"/>
              <w:rPr>
                <w:rFonts w:ascii="宋体" w:hAnsi="宋体"/>
                <w:color w:val="auto"/>
                <w:highlight w:val="none"/>
              </w:rPr>
            </w:pPr>
          </w:p>
        </w:tc>
        <w:tc>
          <w:tcPr>
            <w:tcW w:w="1359" w:type="dxa"/>
            <w:vAlign w:val="center"/>
          </w:tcPr>
          <w:p w14:paraId="5ED7B695">
            <w:pPr>
              <w:jc w:val="center"/>
              <w:rPr>
                <w:rFonts w:ascii="宋体" w:hAnsi="宋体"/>
                <w:color w:val="auto"/>
                <w:highlight w:val="none"/>
              </w:rPr>
            </w:pPr>
          </w:p>
        </w:tc>
        <w:tc>
          <w:tcPr>
            <w:tcW w:w="1142" w:type="dxa"/>
            <w:vAlign w:val="center"/>
          </w:tcPr>
          <w:p w14:paraId="4A16EDA1">
            <w:pPr>
              <w:jc w:val="center"/>
              <w:rPr>
                <w:rFonts w:ascii="宋体" w:hAnsi="宋体"/>
                <w:color w:val="auto"/>
                <w:highlight w:val="none"/>
              </w:rPr>
            </w:pPr>
          </w:p>
        </w:tc>
      </w:tr>
      <w:tr w14:paraId="69DA2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5EA07E2">
            <w:pPr>
              <w:jc w:val="center"/>
              <w:rPr>
                <w:rFonts w:ascii="宋体" w:hAnsi="宋体"/>
                <w:color w:val="auto"/>
                <w:highlight w:val="none"/>
              </w:rPr>
            </w:pPr>
          </w:p>
        </w:tc>
        <w:tc>
          <w:tcPr>
            <w:tcW w:w="1183" w:type="dxa"/>
            <w:vAlign w:val="center"/>
          </w:tcPr>
          <w:p w14:paraId="51549EA7">
            <w:pPr>
              <w:jc w:val="center"/>
              <w:rPr>
                <w:rFonts w:ascii="宋体" w:hAnsi="宋体"/>
                <w:color w:val="auto"/>
                <w:highlight w:val="none"/>
              </w:rPr>
            </w:pPr>
          </w:p>
        </w:tc>
        <w:tc>
          <w:tcPr>
            <w:tcW w:w="945" w:type="dxa"/>
            <w:vAlign w:val="center"/>
          </w:tcPr>
          <w:p w14:paraId="479E9DD2">
            <w:pPr>
              <w:jc w:val="center"/>
              <w:rPr>
                <w:rFonts w:ascii="宋体" w:hAnsi="宋体"/>
                <w:color w:val="auto"/>
                <w:highlight w:val="none"/>
              </w:rPr>
            </w:pPr>
          </w:p>
        </w:tc>
        <w:tc>
          <w:tcPr>
            <w:tcW w:w="1137" w:type="dxa"/>
            <w:vAlign w:val="center"/>
          </w:tcPr>
          <w:p w14:paraId="6D6DB29B">
            <w:pPr>
              <w:jc w:val="center"/>
              <w:rPr>
                <w:rFonts w:ascii="宋体" w:hAnsi="宋体"/>
                <w:color w:val="auto"/>
                <w:highlight w:val="none"/>
              </w:rPr>
            </w:pPr>
          </w:p>
        </w:tc>
        <w:tc>
          <w:tcPr>
            <w:tcW w:w="1359" w:type="dxa"/>
            <w:vAlign w:val="center"/>
          </w:tcPr>
          <w:p w14:paraId="3A38203A">
            <w:pPr>
              <w:jc w:val="center"/>
              <w:rPr>
                <w:rFonts w:ascii="宋体" w:hAnsi="宋体"/>
                <w:color w:val="auto"/>
                <w:highlight w:val="none"/>
              </w:rPr>
            </w:pPr>
          </w:p>
        </w:tc>
        <w:tc>
          <w:tcPr>
            <w:tcW w:w="1142" w:type="dxa"/>
            <w:vAlign w:val="center"/>
          </w:tcPr>
          <w:p w14:paraId="5C651645">
            <w:pPr>
              <w:jc w:val="center"/>
              <w:rPr>
                <w:rFonts w:ascii="宋体" w:hAnsi="宋体"/>
                <w:color w:val="auto"/>
                <w:highlight w:val="none"/>
              </w:rPr>
            </w:pPr>
          </w:p>
        </w:tc>
      </w:tr>
      <w:tr w14:paraId="74AC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A1E996E">
            <w:pPr>
              <w:jc w:val="center"/>
              <w:rPr>
                <w:rFonts w:ascii="宋体" w:hAnsi="宋体"/>
                <w:color w:val="auto"/>
                <w:highlight w:val="none"/>
              </w:rPr>
            </w:pPr>
          </w:p>
        </w:tc>
        <w:tc>
          <w:tcPr>
            <w:tcW w:w="1183" w:type="dxa"/>
            <w:vAlign w:val="center"/>
          </w:tcPr>
          <w:p w14:paraId="7B008FE9">
            <w:pPr>
              <w:jc w:val="center"/>
              <w:rPr>
                <w:rFonts w:ascii="宋体" w:hAnsi="宋体"/>
                <w:color w:val="auto"/>
                <w:highlight w:val="none"/>
              </w:rPr>
            </w:pPr>
          </w:p>
        </w:tc>
        <w:tc>
          <w:tcPr>
            <w:tcW w:w="945" w:type="dxa"/>
            <w:vAlign w:val="center"/>
          </w:tcPr>
          <w:p w14:paraId="4E223871">
            <w:pPr>
              <w:jc w:val="center"/>
              <w:rPr>
                <w:rFonts w:ascii="宋体" w:hAnsi="宋体"/>
                <w:color w:val="auto"/>
                <w:highlight w:val="none"/>
              </w:rPr>
            </w:pPr>
          </w:p>
        </w:tc>
        <w:tc>
          <w:tcPr>
            <w:tcW w:w="1137" w:type="dxa"/>
            <w:vAlign w:val="center"/>
          </w:tcPr>
          <w:p w14:paraId="05DEB3F4">
            <w:pPr>
              <w:jc w:val="center"/>
              <w:rPr>
                <w:rFonts w:ascii="宋体" w:hAnsi="宋体"/>
                <w:color w:val="auto"/>
                <w:highlight w:val="none"/>
              </w:rPr>
            </w:pPr>
          </w:p>
        </w:tc>
        <w:tc>
          <w:tcPr>
            <w:tcW w:w="1359" w:type="dxa"/>
            <w:vAlign w:val="center"/>
          </w:tcPr>
          <w:p w14:paraId="78918EAA">
            <w:pPr>
              <w:jc w:val="center"/>
              <w:rPr>
                <w:rFonts w:ascii="宋体" w:hAnsi="宋体"/>
                <w:color w:val="auto"/>
                <w:highlight w:val="none"/>
              </w:rPr>
            </w:pPr>
          </w:p>
        </w:tc>
        <w:tc>
          <w:tcPr>
            <w:tcW w:w="1142" w:type="dxa"/>
            <w:vAlign w:val="center"/>
          </w:tcPr>
          <w:p w14:paraId="0BE56230">
            <w:pPr>
              <w:jc w:val="center"/>
              <w:rPr>
                <w:rFonts w:ascii="宋体" w:hAnsi="宋体"/>
                <w:color w:val="auto"/>
                <w:highlight w:val="none"/>
              </w:rPr>
            </w:pPr>
          </w:p>
        </w:tc>
      </w:tr>
      <w:tr w14:paraId="5674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D1C4806">
            <w:pPr>
              <w:jc w:val="center"/>
              <w:rPr>
                <w:rFonts w:ascii="宋体" w:hAnsi="宋体"/>
                <w:color w:val="auto"/>
                <w:highlight w:val="none"/>
              </w:rPr>
            </w:pPr>
          </w:p>
        </w:tc>
        <w:tc>
          <w:tcPr>
            <w:tcW w:w="1183" w:type="dxa"/>
            <w:vAlign w:val="center"/>
          </w:tcPr>
          <w:p w14:paraId="6DB4A3FE">
            <w:pPr>
              <w:jc w:val="center"/>
              <w:rPr>
                <w:rFonts w:ascii="宋体" w:hAnsi="宋体"/>
                <w:color w:val="auto"/>
                <w:highlight w:val="none"/>
              </w:rPr>
            </w:pPr>
          </w:p>
        </w:tc>
        <w:tc>
          <w:tcPr>
            <w:tcW w:w="945" w:type="dxa"/>
            <w:vAlign w:val="center"/>
          </w:tcPr>
          <w:p w14:paraId="5AE826F4">
            <w:pPr>
              <w:jc w:val="center"/>
              <w:rPr>
                <w:rFonts w:ascii="宋体" w:hAnsi="宋体"/>
                <w:color w:val="auto"/>
                <w:highlight w:val="none"/>
              </w:rPr>
            </w:pPr>
          </w:p>
        </w:tc>
        <w:tc>
          <w:tcPr>
            <w:tcW w:w="1137" w:type="dxa"/>
            <w:vAlign w:val="center"/>
          </w:tcPr>
          <w:p w14:paraId="0ABA1C3C">
            <w:pPr>
              <w:jc w:val="center"/>
              <w:rPr>
                <w:rFonts w:ascii="宋体" w:hAnsi="宋体"/>
                <w:color w:val="auto"/>
                <w:highlight w:val="none"/>
              </w:rPr>
            </w:pPr>
          </w:p>
        </w:tc>
        <w:tc>
          <w:tcPr>
            <w:tcW w:w="1359" w:type="dxa"/>
            <w:vAlign w:val="center"/>
          </w:tcPr>
          <w:p w14:paraId="6DC4B52B">
            <w:pPr>
              <w:jc w:val="center"/>
              <w:rPr>
                <w:rFonts w:ascii="宋体" w:hAnsi="宋体"/>
                <w:color w:val="auto"/>
                <w:highlight w:val="none"/>
              </w:rPr>
            </w:pPr>
          </w:p>
        </w:tc>
        <w:tc>
          <w:tcPr>
            <w:tcW w:w="1142" w:type="dxa"/>
            <w:vAlign w:val="center"/>
          </w:tcPr>
          <w:p w14:paraId="42BE62D5">
            <w:pPr>
              <w:jc w:val="center"/>
              <w:rPr>
                <w:rFonts w:ascii="宋体" w:hAnsi="宋体"/>
                <w:color w:val="auto"/>
                <w:highlight w:val="none"/>
              </w:rPr>
            </w:pPr>
          </w:p>
        </w:tc>
      </w:tr>
      <w:tr w14:paraId="5AF5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41024295">
            <w:pPr>
              <w:jc w:val="center"/>
              <w:rPr>
                <w:rFonts w:ascii="宋体" w:hAnsi="宋体"/>
                <w:color w:val="auto"/>
                <w:highlight w:val="none"/>
              </w:rPr>
            </w:pPr>
          </w:p>
        </w:tc>
        <w:tc>
          <w:tcPr>
            <w:tcW w:w="1183" w:type="dxa"/>
            <w:tcBorders>
              <w:bottom w:val="single" w:color="auto" w:sz="4" w:space="0"/>
            </w:tcBorders>
            <w:vAlign w:val="center"/>
          </w:tcPr>
          <w:p w14:paraId="72F1A56D">
            <w:pPr>
              <w:jc w:val="center"/>
              <w:rPr>
                <w:rFonts w:ascii="宋体" w:hAnsi="宋体"/>
                <w:color w:val="auto"/>
                <w:highlight w:val="none"/>
              </w:rPr>
            </w:pPr>
          </w:p>
        </w:tc>
        <w:tc>
          <w:tcPr>
            <w:tcW w:w="945" w:type="dxa"/>
            <w:vAlign w:val="center"/>
          </w:tcPr>
          <w:p w14:paraId="6D84AB68">
            <w:pPr>
              <w:jc w:val="center"/>
              <w:rPr>
                <w:rFonts w:ascii="宋体" w:hAnsi="宋体"/>
                <w:color w:val="auto"/>
                <w:highlight w:val="none"/>
              </w:rPr>
            </w:pPr>
          </w:p>
        </w:tc>
        <w:tc>
          <w:tcPr>
            <w:tcW w:w="1137" w:type="dxa"/>
            <w:vAlign w:val="center"/>
          </w:tcPr>
          <w:p w14:paraId="50D73BA1">
            <w:pPr>
              <w:jc w:val="center"/>
              <w:rPr>
                <w:rFonts w:ascii="宋体" w:hAnsi="宋体"/>
                <w:color w:val="auto"/>
                <w:highlight w:val="none"/>
              </w:rPr>
            </w:pPr>
          </w:p>
        </w:tc>
        <w:tc>
          <w:tcPr>
            <w:tcW w:w="1359" w:type="dxa"/>
            <w:vAlign w:val="center"/>
          </w:tcPr>
          <w:p w14:paraId="363A53FE">
            <w:pPr>
              <w:jc w:val="center"/>
              <w:rPr>
                <w:rFonts w:ascii="宋体" w:hAnsi="宋体"/>
                <w:color w:val="auto"/>
                <w:highlight w:val="none"/>
              </w:rPr>
            </w:pPr>
          </w:p>
        </w:tc>
        <w:tc>
          <w:tcPr>
            <w:tcW w:w="1142" w:type="dxa"/>
            <w:vAlign w:val="center"/>
          </w:tcPr>
          <w:p w14:paraId="59C6AB6A">
            <w:pPr>
              <w:jc w:val="center"/>
              <w:rPr>
                <w:rFonts w:ascii="宋体" w:hAnsi="宋体"/>
                <w:color w:val="auto"/>
                <w:highlight w:val="none"/>
              </w:rPr>
            </w:pPr>
          </w:p>
        </w:tc>
      </w:tr>
    </w:tbl>
    <w:p w14:paraId="677DE7AC">
      <w:pPr>
        <w:spacing w:line="400" w:lineRule="exact"/>
        <w:rPr>
          <w:rFonts w:ascii="宋体" w:hAnsi="宋体"/>
          <w:color w:val="auto"/>
          <w:highlight w:val="none"/>
        </w:rPr>
      </w:pPr>
    </w:p>
    <w:p w14:paraId="61C9563F">
      <w:pPr>
        <w:spacing w:line="400" w:lineRule="exact"/>
        <w:rPr>
          <w:rFonts w:ascii="宋体" w:hAnsi="宋体"/>
          <w:color w:val="auto"/>
          <w:highlight w:val="none"/>
        </w:rPr>
      </w:pPr>
      <w:r>
        <w:rPr>
          <w:rFonts w:ascii="宋体" w:hAnsi="宋体"/>
          <w:color w:val="auto"/>
          <w:highlight w:val="none"/>
        </w:rPr>
        <w:t xml:space="preserve"> </w:t>
      </w:r>
    </w:p>
    <w:p w14:paraId="5D6F88A9">
      <w:pPr>
        <w:spacing w:line="400" w:lineRule="exact"/>
        <w:rPr>
          <w:rFonts w:ascii="宋体" w:hAnsi="宋体"/>
          <w:color w:val="auto"/>
          <w:highlight w:val="none"/>
        </w:rPr>
      </w:pPr>
    </w:p>
    <w:p w14:paraId="3C37A59E">
      <w:pPr>
        <w:spacing w:line="400" w:lineRule="exact"/>
        <w:rPr>
          <w:rFonts w:ascii="宋体" w:hAnsi="宋体"/>
          <w:color w:val="auto"/>
          <w:highlight w:val="none"/>
        </w:rPr>
      </w:pPr>
    </w:p>
    <w:p w14:paraId="132E4D49">
      <w:pPr>
        <w:spacing w:line="400" w:lineRule="exact"/>
        <w:rPr>
          <w:rFonts w:ascii="宋体" w:hAnsi="宋体"/>
          <w:color w:val="auto"/>
          <w:highlight w:val="none"/>
        </w:rPr>
      </w:pPr>
    </w:p>
    <w:p w14:paraId="1EE8A5C3">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901443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F5F558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7137E27">
      <w:pPr>
        <w:spacing w:line="400" w:lineRule="exact"/>
        <w:rPr>
          <w:rFonts w:ascii="宋体" w:hAnsi="宋体"/>
          <w:color w:val="auto"/>
          <w:highlight w:val="none"/>
        </w:rPr>
      </w:pPr>
    </w:p>
    <w:p w14:paraId="760035C2">
      <w:pPr>
        <w:spacing w:line="400" w:lineRule="exact"/>
        <w:rPr>
          <w:rFonts w:ascii="宋体" w:hAnsi="宋体"/>
          <w:color w:val="auto"/>
          <w:highlight w:val="none"/>
        </w:rPr>
      </w:pPr>
    </w:p>
    <w:p w14:paraId="3E4318AC">
      <w:pPr>
        <w:adjustRightInd w:val="0"/>
        <w:snapToGrid w:val="0"/>
        <w:spacing w:line="360" w:lineRule="auto"/>
        <w:rPr>
          <w:rFonts w:ascii="宋体" w:hAnsi="宋体"/>
          <w:bCs/>
          <w:color w:val="auto"/>
          <w:sz w:val="24"/>
          <w:highlight w:val="none"/>
        </w:rPr>
      </w:pPr>
      <w:r>
        <w:rPr>
          <w:rFonts w:ascii="宋体" w:hAnsi="宋体"/>
          <w:bCs/>
          <w:color w:val="auto"/>
          <w:highlight w:val="none"/>
        </w:rPr>
        <w:br w:type="page"/>
      </w:r>
      <w:r>
        <w:rPr>
          <w:rFonts w:hint="eastAsia" w:ascii="宋体" w:hAnsi="宋体"/>
          <w:bCs/>
          <w:color w:val="auto"/>
          <w:sz w:val="24"/>
          <w:highlight w:val="none"/>
        </w:rPr>
        <w:t>附件15</w:t>
      </w:r>
    </w:p>
    <w:p w14:paraId="5474A0E2">
      <w:pPr>
        <w:pStyle w:val="24"/>
        <w:snapToGrid w:val="0"/>
        <w:spacing w:before="295" w:after="295"/>
        <w:jc w:val="center"/>
        <w:rPr>
          <w:rFonts w:ascii="宋体" w:hAnsi="宋体"/>
          <w:b/>
          <w:color w:val="auto"/>
          <w:szCs w:val="24"/>
          <w:highlight w:val="none"/>
        </w:rPr>
      </w:pPr>
      <w:r>
        <w:rPr>
          <w:rFonts w:hint="eastAsia" w:ascii="宋体" w:hAnsi="宋体"/>
          <w:b/>
          <w:color w:val="auto"/>
          <w:szCs w:val="24"/>
          <w:highlight w:val="none"/>
        </w:rPr>
        <w:t>服务附表</w:t>
      </w:r>
    </w:p>
    <w:tbl>
      <w:tblPr>
        <w:tblStyle w:val="47"/>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3F844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5EE9315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公司名称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B1C1B2D">
            <w:pPr>
              <w:snapToGrid w:val="0"/>
              <w:spacing w:before="50" w:after="120" w:afterLines="50" w:line="400" w:lineRule="exact"/>
              <w:jc w:val="center"/>
              <w:rPr>
                <w:rFonts w:ascii="宋体" w:hAnsi="宋体"/>
                <w:color w:val="auto"/>
                <w:szCs w:val="21"/>
                <w:highlight w:val="none"/>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2A3166D3">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备注</w:t>
            </w:r>
          </w:p>
        </w:tc>
      </w:tr>
      <w:tr w14:paraId="4DDD1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0F417684">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1CD8B99">
            <w:pPr>
              <w:snapToGrid w:val="0"/>
              <w:spacing w:before="50" w:after="120" w:afterLines="50" w:line="400" w:lineRule="exact"/>
              <w:jc w:val="center"/>
              <w:rPr>
                <w:rFonts w:ascii="宋体" w:hAnsi="宋体"/>
                <w:color w:val="auto"/>
                <w:szCs w:val="21"/>
                <w:highlight w:val="none"/>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65F60A8E">
            <w:pPr>
              <w:jc w:val="center"/>
              <w:rPr>
                <w:rFonts w:ascii="宋体" w:hAnsi="宋体"/>
                <w:color w:val="auto"/>
                <w:szCs w:val="21"/>
                <w:highlight w:val="none"/>
              </w:rPr>
            </w:pPr>
          </w:p>
        </w:tc>
      </w:tr>
      <w:tr w14:paraId="06F5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327F20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注册资本金</w:t>
            </w:r>
          </w:p>
        </w:tc>
        <w:tc>
          <w:tcPr>
            <w:tcW w:w="1440" w:type="dxa"/>
            <w:tcBorders>
              <w:top w:val="single" w:color="auto" w:sz="4" w:space="0"/>
              <w:left w:val="single" w:color="auto" w:sz="4" w:space="0"/>
              <w:bottom w:val="single" w:color="auto" w:sz="4" w:space="0"/>
              <w:right w:val="single" w:color="auto" w:sz="4" w:space="0"/>
            </w:tcBorders>
          </w:tcPr>
          <w:p w14:paraId="0CF27481">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06F17411">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64CEA7C3">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4B20F92">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提供相关证明材料（如：营业执照或租房合同等）</w:t>
            </w:r>
          </w:p>
        </w:tc>
      </w:tr>
      <w:tr w14:paraId="1F971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7D5AC5FC">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员工总人数</w:t>
            </w:r>
          </w:p>
        </w:tc>
        <w:tc>
          <w:tcPr>
            <w:tcW w:w="1440" w:type="dxa"/>
            <w:tcBorders>
              <w:top w:val="single" w:color="auto" w:sz="4" w:space="0"/>
              <w:left w:val="single" w:color="auto" w:sz="4" w:space="0"/>
              <w:bottom w:val="single" w:color="auto" w:sz="4" w:space="0"/>
              <w:right w:val="single" w:color="auto" w:sz="4" w:space="0"/>
            </w:tcBorders>
          </w:tcPr>
          <w:p w14:paraId="19C95400">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174283A5">
            <w:pPr>
              <w:snapToGrid w:val="0"/>
              <w:spacing w:before="50" w:after="120" w:afterLines="50" w:line="400" w:lineRule="exact"/>
              <w:ind w:left="60"/>
              <w:jc w:val="left"/>
              <w:rPr>
                <w:rFonts w:ascii="宋体" w:hAnsi="宋体"/>
                <w:color w:val="auto"/>
                <w:szCs w:val="21"/>
                <w:highlight w:val="none"/>
              </w:rPr>
            </w:pPr>
            <w:r>
              <w:rPr>
                <w:rFonts w:hint="eastAsia" w:ascii="宋体" w:hAnsi="宋体"/>
                <w:color w:val="auto"/>
                <w:szCs w:val="21"/>
                <w:highlight w:val="none"/>
              </w:rPr>
              <w:t>其中：技术人员数</w:t>
            </w:r>
          </w:p>
        </w:tc>
        <w:tc>
          <w:tcPr>
            <w:tcW w:w="1196" w:type="dxa"/>
            <w:tcBorders>
              <w:top w:val="single" w:color="auto" w:sz="4" w:space="0"/>
              <w:left w:val="single" w:color="auto" w:sz="4" w:space="0"/>
              <w:bottom w:val="single" w:color="auto" w:sz="4" w:space="0"/>
              <w:right w:val="single" w:color="auto" w:sz="4" w:space="0"/>
            </w:tcBorders>
          </w:tcPr>
          <w:p w14:paraId="44FA34AC">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right w:val="single" w:color="auto" w:sz="4" w:space="0"/>
            </w:tcBorders>
            <w:vAlign w:val="center"/>
          </w:tcPr>
          <w:p w14:paraId="3D82155E">
            <w:pPr>
              <w:snapToGrid w:val="0"/>
              <w:spacing w:before="50" w:after="120" w:afterLines="50" w:line="400" w:lineRule="exact"/>
              <w:rPr>
                <w:rFonts w:ascii="宋体" w:hAnsi="宋体"/>
                <w:color w:val="auto"/>
                <w:szCs w:val="21"/>
                <w:highlight w:val="none"/>
              </w:rPr>
            </w:pPr>
          </w:p>
        </w:tc>
      </w:tr>
      <w:tr w14:paraId="5DD6A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AFE3F8D">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56FDCCB2">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7AB5550D">
            <w:pPr>
              <w:snapToGrid w:val="0"/>
              <w:spacing w:before="50" w:after="120" w:afterLines="50" w:line="400" w:lineRule="exact"/>
              <w:rPr>
                <w:rFonts w:ascii="宋体" w:hAnsi="宋体"/>
                <w:color w:val="auto"/>
                <w:szCs w:val="21"/>
                <w:highlight w:val="none"/>
              </w:rPr>
            </w:pPr>
          </w:p>
        </w:tc>
      </w:tr>
      <w:tr w14:paraId="5CD1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5D64FCA">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53259197">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6E8D15F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B325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9F0227E">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0DB0E3DD">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F94DA95">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此部分内容做附件进行详细说明</w:t>
            </w:r>
          </w:p>
        </w:tc>
      </w:tr>
      <w:tr w14:paraId="2D4AD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0426EB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66A737B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4B978E53">
            <w:pPr>
              <w:snapToGrid w:val="0"/>
              <w:spacing w:before="50" w:after="120" w:afterLines="50" w:line="400" w:lineRule="exact"/>
              <w:rPr>
                <w:rFonts w:ascii="宋体" w:hAnsi="宋体"/>
                <w:color w:val="auto"/>
                <w:szCs w:val="21"/>
                <w:highlight w:val="none"/>
              </w:rPr>
            </w:pPr>
          </w:p>
        </w:tc>
      </w:tr>
      <w:tr w14:paraId="34497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49C312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60E050D8">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52345EC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1255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904211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咨询电话</w:t>
            </w:r>
          </w:p>
        </w:tc>
        <w:tc>
          <w:tcPr>
            <w:tcW w:w="1631" w:type="dxa"/>
            <w:gridSpan w:val="2"/>
            <w:tcBorders>
              <w:top w:val="single" w:color="auto" w:sz="4" w:space="0"/>
              <w:left w:val="single" w:color="auto" w:sz="4" w:space="0"/>
              <w:bottom w:val="single" w:color="auto" w:sz="4" w:space="0"/>
              <w:right w:val="single" w:color="auto" w:sz="2" w:space="0"/>
            </w:tcBorders>
          </w:tcPr>
          <w:p w14:paraId="1ACAB483">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11D45CB0">
            <w:pPr>
              <w:snapToGrid w:val="0"/>
              <w:spacing w:before="50" w:after="120" w:afterLines="50" w:line="400" w:lineRule="exact"/>
              <w:ind w:firstLine="210" w:firstLineChars="100"/>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9D36B00">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2" w:space="0"/>
              <w:right w:val="single" w:color="auto" w:sz="4" w:space="0"/>
            </w:tcBorders>
            <w:vAlign w:val="center"/>
          </w:tcPr>
          <w:p w14:paraId="4F2C096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附人员身份证等相关证件</w:t>
            </w:r>
          </w:p>
        </w:tc>
      </w:tr>
      <w:tr w14:paraId="139C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2A1783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02F261D8">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CCF6A98">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24EE990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2" w:space="0"/>
              <w:bottom w:val="single" w:color="auto" w:sz="4" w:space="0"/>
              <w:right w:val="single" w:color="auto" w:sz="4" w:space="0"/>
            </w:tcBorders>
          </w:tcPr>
          <w:p w14:paraId="2732026E">
            <w:pPr>
              <w:snapToGrid w:val="0"/>
              <w:spacing w:before="50" w:after="120" w:afterLines="50" w:line="400" w:lineRule="exact"/>
              <w:jc w:val="left"/>
              <w:rPr>
                <w:rFonts w:ascii="宋体" w:hAnsi="宋体"/>
                <w:color w:val="auto"/>
                <w:szCs w:val="21"/>
                <w:highlight w:val="none"/>
              </w:rPr>
            </w:pPr>
          </w:p>
        </w:tc>
      </w:tr>
    </w:tbl>
    <w:p w14:paraId="0626369D">
      <w:pPr>
        <w:spacing w:line="440" w:lineRule="exact"/>
        <w:jc w:val="right"/>
        <w:rPr>
          <w:rFonts w:ascii="宋体" w:hAnsi="宋体"/>
          <w:color w:val="auto"/>
          <w:szCs w:val="21"/>
          <w:highlight w:val="none"/>
        </w:rPr>
      </w:pPr>
    </w:p>
    <w:p w14:paraId="4172083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AFBD87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EF8D50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29DBAA7">
      <w:pPr>
        <w:pStyle w:val="4"/>
        <w:jc w:val="center"/>
        <w:rPr>
          <w:rFonts w:ascii="宋体" w:hAnsi="宋体"/>
          <w:color w:val="auto"/>
          <w:highlight w:val="none"/>
        </w:rPr>
      </w:pPr>
      <w:r>
        <w:rPr>
          <w:rFonts w:ascii="宋体" w:hAnsi="宋体"/>
          <w:color w:val="auto"/>
          <w:szCs w:val="21"/>
          <w:highlight w:val="none"/>
        </w:rPr>
        <w:br w:type="page"/>
      </w:r>
      <w:bookmarkEnd w:id="67"/>
      <w:bookmarkStart w:id="71" w:name="_Toc161933902"/>
      <w:bookmarkStart w:id="72" w:name="_Toc439149570"/>
      <w:r>
        <w:rPr>
          <w:rFonts w:hint="eastAsia" w:ascii="宋体" w:hAnsi="宋体"/>
          <w:color w:val="auto"/>
          <w:highlight w:val="none"/>
        </w:rPr>
        <w:t>七、响应/偏离表</w:t>
      </w:r>
      <w:bookmarkEnd w:id="71"/>
    </w:p>
    <w:p w14:paraId="7B3C4FA7">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288"/>
        <w:gridCol w:w="840"/>
      </w:tblGrid>
      <w:tr w14:paraId="7D8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217CD69C">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序号</w:t>
            </w:r>
          </w:p>
        </w:tc>
        <w:tc>
          <w:tcPr>
            <w:tcW w:w="1332" w:type="dxa"/>
            <w:vAlign w:val="center"/>
          </w:tcPr>
          <w:p w14:paraId="08D6FBA5">
            <w:pPr>
              <w:adjustRightInd w:val="0"/>
              <w:snapToGrid w:val="0"/>
              <w:ind w:left="-88" w:leftChars="-42"/>
              <w:jc w:val="center"/>
              <w:rPr>
                <w:rFonts w:ascii="宋体" w:hAnsi="宋体"/>
                <w:color w:val="auto"/>
                <w:szCs w:val="21"/>
                <w:highlight w:val="none"/>
              </w:rPr>
            </w:pPr>
            <w:r>
              <w:rPr>
                <w:rFonts w:hint="eastAsia" w:ascii="宋体" w:hAnsi="宋体"/>
                <w:color w:val="auto"/>
                <w:szCs w:val="21"/>
                <w:highlight w:val="none"/>
              </w:rPr>
              <w:t>文件条目号</w:t>
            </w:r>
          </w:p>
        </w:tc>
        <w:tc>
          <w:tcPr>
            <w:tcW w:w="1948" w:type="dxa"/>
            <w:vAlign w:val="center"/>
          </w:tcPr>
          <w:p w14:paraId="44202A72">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采购规格/条款</w:t>
            </w:r>
          </w:p>
        </w:tc>
        <w:tc>
          <w:tcPr>
            <w:tcW w:w="2600" w:type="dxa"/>
            <w:vAlign w:val="center"/>
          </w:tcPr>
          <w:p w14:paraId="689E5E3D">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投标文件的规格/条款</w:t>
            </w:r>
          </w:p>
        </w:tc>
        <w:tc>
          <w:tcPr>
            <w:tcW w:w="1288" w:type="dxa"/>
            <w:vAlign w:val="center"/>
          </w:tcPr>
          <w:p w14:paraId="160DA61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响应与偏离</w:t>
            </w:r>
          </w:p>
        </w:tc>
        <w:tc>
          <w:tcPr>
            <w:tcW w:w="840" w:type="dxa"/>
            <w:vAlign w:val="center"/>
          </w:tcPr>
          <w:p w14:paraId="7D7FE46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说明</w:t>
            </w:r>
          </w:p>
        </w:tc>
      </w:tr>
      <w:tr w14:paraId="5F3B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89FF113">
            <w:pPr>
              <w:adjustRightInd w:val="0"/>
              <w:snapToGrid w:val="0"/>
              <w:ind w:left="-88" w:leftChars="-42"/>
              <w:jc w:val="center"/>
              <w:rPr>
                <w:rFonts w:ascii="宋体" w:hAnsi="宋体"/>
                <w:color w:val="auto"/>
                <w:szCs w:val="21"/>
                <w:highlight w:val="none"/>
              </w:rPr>
            </w:pPr>
          </w:p>
        </w:tc>
        <w:tc>
          <w:tcPr>
            <w:tcW w:w="1332" w:type="dxa"/>
            <w:vAlign w:val="center"/>
          </w:tcPr>
          <w:p w14:paraId="1E6E09B3">
            <w:pPr>
              <w:adjustRightInd w:val="0"/>
              <w:snapToGrid w:val="0"/>
              <w:ind w:left="-88" w:leftChars="-42"/>
              <w:jc w:val="center"/>
              <w:rPr>
                <w:rFonts w:ascii="宋体" w:hAnsi="宋体"/>
                <w:color w:val="auto"/>
                <w:szCs w:val="21"/>
                <w:highlight w:val="none"/>
              </w:rPr>
            </w:pPr>
          </w:p>
        </w:tc>
        <w:tc>
          <w:tcPr>
            <w:tcW w:w="1948" w:type="dxa"/>
            <w:vAlign w:val="center"/>
          </w:tcPr>
          <w:p w14:paraId="561DCB0F">
            <w:pPr>
              <w:adjustRightInd w:val="0"/>
              <w:snapToGrid w:val="0"/>
              <w:ind w:left="-88" w:leftChars="-42"/>
              <w:jc w:val="center"/>
              <w:rPr>
                <w:rFonts w:ascii="宋体" w:hAnsi="宋体"/>
                <w:bCs/>
                <w:color w:val="auto"/>
                <w:szCs w:val="21"/>
                <w:highlight w:val="none"/>
              </w:rPr>
            </w:pPr>
          </w:p>
        </w:tc>
        <w:tc>
          <w:tcPr>
            <w:tcW w:w="2600" w:type="dxa"/>
            <w:vAlign w:val="center"/>
          </w:tcPr>
          <w:p w14:paraId="1D960E91">
            <w:pPr>
              <w:adjustRightInd w:val="0"/>
              <w:snapToGrid w:val="0"/>
              <w:ind w:left="-88" w:leftChars="-42"/>
              <w:jc w:val="center"/>
              <w:rPr>
                <w:rFonts w:ascii="宋体" w:hAnsi="宋体"/>
                <w:bCs/>
                <w:color w:val="auto"/>
                <w:szCs w:val="21"/>
                <w:highlight w:val="none"/>
              </w:rPr>
            </w:pPr>
          </w:p>
        </w:tc>
        <w:tc>
          <w:tcPr>
            <w:tcW w:w="1288" w:type="dxa"/>
            <w:vAlign w:val="center"/>
          </w:tcPr>
          <w:p w14:paraId="4BD28F90">
            <w:pPr>
              <w:adjustRightInd w:val="0"/>
              <w:snapToGrid w:val="0"/>
              <w:ind w:left="-88" w:leftChars="-42"/>
              <w:jc w:val="center"/>
              <w:rPr>
                <w:rFonts w:ascii="宋体" w:hAnsi="宋体"/>
                <w:bCs/>
                <w:color w:val="auto"/>
                <w:szCs w:val="21"/>
                <w:highlight w:val="none"/>
              </w:rPr>
            </w:pPr>
          </w:p>
        </w:tc>
        <w:tc>
          <w:tcPr>
            <w:tcW w:w="840" w:type="dxa"/>
            <w:vAlign w:val="center"/>
          </w:tcPr>
          <w:p w14:paraId="5B1D9170">
            <w:pPr>
              <w:adjustRightInd w:val="0"/>
              <w:snapToGrid w:val="0"/>
              <w:ind w:left="-88" w:leftChars="-42"/>
              <w:jc w:val="center"/>
              <w:rPr>
                <w:rFonts w:ascii="宋体" w:hAnsi="宋体"/>
                <w:bCs/>
                <w:color w:val="auto"/>
                <w:szCs w:val="21"/>
                <w:highlight w:val="none"/>
              </w:rPr>
            </w:pPr>
          </w:p>
        </w:tc>
      </w:tr>
      <w:tr w14:paraId="2B8E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4CD5116">
            <w:pPr>
              <w:adjustRightInd w:val="0"/>
              <w:snapToGrid w:val="0"/>
              <w:ind w:left="-88" w:leftChars="-42"/>
              <w:jc w:val="center"/>
              <w:rPr>
                <w:rFonts w:ascii="宋体" w:hAnsi="宋体"/>
                <w:color w:val="auto"/>
                <w:szCs w:val="21"/>
                <w:highlight w:val="none"/>
              </w:rPr>
            </w:pPr>
          </w:p>
        </w:tc>
        <w:tc>
          <w:tcPr>
            <w:tcW w:w="1332" w:type="dxa"/>
            <w:vAlign w:val="center"/>
          </w:tcPr>
          <w:p w14:paraId="43C0FCE8">
            <w:pPr>
              <w:adjustRightInd w:val="0"/>
              <w:snapToGrid w:val="0"/>
              <w:ind w:left="-88" w:leftChars="-42"/>
              <w:jc w:val="center"/>
              <w:rPr>
                <w:rFonts w:ascii="宋体" w:hAnsi="宋体"/>
                <w:color w:val="auto"/>
                <w:szCs w:val="21"/>
                <w:highlight w:val="none"/>
              </w:rPr>
            </w:pPr>
          </w:p>
        </w:tc>
        <w:tc>
          <w:tcPr>
            <w:tcW w:w="1948" w:type="dxa"/>
            <w:vAlign w:val="center"/>
          </w:tcPr>
          <w:p w14:paraId="06F8A244">
            <w:pPr>
              <w:adjustRightInd w:val="0"/>
              <w:snapToGrid w:val="0"/>
              <w:ind w:left="-88" w:leftChars="-42"/>
              <w:jc w:val="center"/>
              <w:rPr>
                <w:rFonts w:ascii="宋体" w:hAnsi="宋体"/>
                <w:color w:val="auto"/>
                <w:szCs w:val="21"/>
                <w:highlight w:val="none"/>
              </w:rPr>
            </w:pPr>
          </w:p>
        </w:tc>
        <w:tc>
          <w:tcPr>
            <w:tcW w:w="2600" w:type="dxa"/>
            <w:vAlign w:val="center"/>
          </w:tcPr>
          <w:p w14:paraId="115A763F">
            <w:pPr>
              <w:adjustRightInd w:val="0"/>
              <w:snapToGrid w:val="0"/>
              <w:ind w:left="-88" w:leftChars="-42"/>
              <w:jc w:val="center"/>
              <w:rPr>
                <w:rFonts w:ascii="宋体" w:hAnsi="宋体"/>
                <w:color w:val="auto"/>
                <w:szCs w:val="21"/>
                <w:highlight w:val="none"/>
              </w:rPr>
            </w:pPr>
          </w:p>
        </w:tc>
        <w:tc>
          <w:tcPr>
            <w:tcW w:w="1288" w:type="dxa"/>
            <w:vAlign w:val="center"/>
          </w:tcPr>
          <w:p w14:paraId="12506804">
            <w:pPr>
              <w:adjustRightInd w:val="0"/>
              <w:snapToGrid w:val="0"/>
              <w:ind w:left="-88" w:leftChars="-42"/>
              <w:jc w:val="center"/>
              <w:rPr>
                <w:rFonts w:ascii="宋体" w:hAnsi="宋体"/>
                <w:color w:val="auto"/>
                <w:szCs w:val="21"/>
                <w:highlight w:val="none"/>
              </w:rPr>
            </w:pPr>
          </w:p>
        </w:tc>
        <w:tc>
          <w:tcPr>
            <w:tcW w:w="840" w:type="dxa"/>
            <w:vAlign w:val="center"/>
          </w:tcPr>
          <w:p w14:paraId="54793565">
            <w:pPr>
              <w:adjustRightInd w:val="0"/>
              <w:snapToGrid w:val="0"/>
              <w:ind w:left="-88" w:leftChars="-42"/>
              <w:jc w:val="center"/>
              <w:rPr>
                <w:rFonts w:ascii="宋体" w:hAnsi="宋体"/>
                <w:color w:val="auto"/>
                <w:szCs w:val="21"/>
                <w:highlight w:val="none"/>
              </w:rPr>
            </w:pPr>
          </w:p>
        </w:tc>
      </w:tr>
      <w:tr w14:paraId="71EB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F0D4E2E">
            <w:pPr>
              <w:adjustRightInd w:val="0"/>
              <w:snapToGrid w:val="0"/>
              <w:ind w:left="-88" w:leftChars="-42"/>
              <w:jc w:val="center"/>
              <w:rPr>
                <w:rFonts w:ascii="宋体" w:hAnsi="宋体"/>
                <w:color w:val="auto"/>
                <w:szCs w:val="21"/>
                <w:highlight w:val="none"/>
              </w:rPr>
            </w:pPr>
          </w:p>
        </w:tc>
        <w:tc>
          <w:tcPr>
            <w:tcW w:w="1332" w:type="dxa"/>
            <w:vAlign w:val="center"/>
          </w:tcPr>
          <w:p w14:paraId="609CD00B">
            <w:pPr>
              <w:adjustRightInd w:val="0"/>
              <w:snapToGrid w:val="0"/>
              <w:ind w:left="-88" w:leftChars="-42"/>
              <w:jc w:val="center"/>
              <w:rPr>
                <w:rFonts w:ascii="宋体" w:hAnsi="宋体"/>
                <w:color w:val="auto"/>
                <w:szCs w:val="21"/>
                <w:highlight w:val="none"/>
              </w:rPr>
            </w:pPr>
          </w:p>
        </w:tc>
        <w:tc>
          <w:tcPr>
            <w:tcW w:w="1948" w:type="dxa"/>
            <w:vAlign w:val="center"/>
          </w:tcPr>
          <w:p w14:paraId="04B486F4">
            <w:pPr>
              <w:adjustRightInd w:val="0"/>
              <w:snapToGrid w:val="0"/>
              <w:ind w:left="-88" w:leftChars="-42"/>
              <w:jc w:val="center"/>
              <w:rPr>
                <w:rFonts w:ascii="宋体" w:hAnsi="宋体"/>
                <w:color w:val="auto"/>
                <w:szCs w:val="21"/>
                <w:highlight w:val="none"/>
              </w:rPr>
            </w:pPr>
          </w:p>
        </w:tc>
        <w:tc>
          <w:tcPr>
            <w:tcW w:w="2600" w:type="dxa"/>
            <w:vAlign w:val="center"/>
          </w:tcPr>
          <w:p w14:paraId="56DB1447">
            <w:pPr>
              <w:adjustRightInd w:val="0"/>
              <w:snapToGrid w:val="0"/>
              <w:ind w:left="-88" w:leftChars="-42"/>
              <w:jc w:val="center"/>
              <w:rPr>
                <w:rFonts w:ascii="宋体" w:hAnsi="宋体"/>
                <w:color w:val="auto"/>
                <w:szCs w:val="21"/>
                <w:highlight w:val="none"/>
              </w:rPr>
            </w:pPr>
          </w:p>
        </w:tc>
        <w:tc>
          <w:tcPr>
            <w:tcW w:w="1288" w:type="dxa"/>
            <w:vAlign w:val="center"/>
          </w:tcPr>
          <w:p w14:paraId="568574BA">
            <w:pPr>
              <w:adjustRightInd w:val="0"/>
              <w:snapToGrid w:val="0"/>
              <w:ind w:left="-88" w:leftChars="-42"/>
              <w:jc w:val="center"/>
              <w:rPr>
                <w:rFonts w:ascii="宋体" w:hAnsi="宋体"/>
                <w:color w:val="auto"/>
                <w:szCs w:val="21"/>
                <w:highlight w:val="none"/>
              </w:rPr>
            </w:pPr>
          </w:p>
        </w:tc>
        <w:tc>
          <w:tcPr>
            <w:tcW w:w="840" w:type="dxa"/>
            <w:vAlign w:val="center"/>
          </w:tcPr>
          <w:p w14:paraId="58C0C67F">
            <w:pPr>
              <w:adjustRightInd w:val="0"/>
              <w:snapToGrid w:val="0"/>
              <w:ind w:left="-88" w:leftChars="-42"/>
              <w:jc w:val="center"/>
              <w:rPr>
                <w:rFonts w:ascii="宋体" w:hAnsi="宋体"/>
                <w:color w:val="auto"/>
                <w:szCs w:val="21"/>
                <w:highlight w:val="none"/>
              </w:rPr>
            </w:pPr>
          </w:p>
        </w:tc>
      </w:tr>
      <w:tr w14:paraId="5168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48F87AE">
            <w:pPr>
              <w:adjustRightInd w:val="0"/>
              <w:snapToGrid w:val="0"/>
              <w:ind w:left="-88" w:leftChars="-42"/>
              <w:jc w:val="center"/>
              <w:rPr>
                <w:rFonts w:ascii="宋体" w:hAnsi="宋体"/>
                <w:color w:val="auto"/>
                <w:szCs w:val="21"/>
                <w:highlight w:val="none"/>
              </w:rPr>
            </w:pPr>
          </w:p>
        </w:tc>
        <w:tc>
          <w:tcPr>
            <w:tcW w:w="1332" w:type="dxa"/>
            <w:vAlign w:val="center"/>
          </w:tcPr>
          <w:p w14:paraId="2D1B2303">
            <w:pPr>
              <w:adjustRightInd w:val="0"/>
              <w:snapToGrid w:val="0"/>
              <w:ind w:left="-88" w:leftChars="-42"/>
              <w:jc w:val="center"/>
              <w:rPr>
                <w:rFonts w:ascii="宋体" w:hAnsi="宋体"/>
                <w:color w:val="auto"/>
                <w:szCs w:val="21"/>
                <w:highlight w:val="none"/>
              </w:rPr>
            </w:pPr>
          </w:p>
        </w:tc>
        <w:tc>
          <w:tcPr>
            <w:tcW w:w="1948" w:type="dxa"/>
            <w:vAlign w:val="center"/>
          </w:tcPr>
          <w:p w14:paraId="72E902CD">
            <w:pPr>
              <w:adjustRightInd w:val="0"/>
              <w:snapToGrid w:val="0"/>
              <w:ind w:left="-88" w:leftChars="-42"/>
              <w:jc w:val="center"/>
              <w:rPr>
                <w:rFonts w:ascii="宋体" w:hAnsi="宋体"/>
                <w:color w:val="auto"/>
                <w:szCs w:val="21"/>
                <w:highlight w:val="none"/>
              </w:rPr>
            </w:pPr>
          </w:p>
        </w:tc>
        <w:tc>
          <w:tcPr>
            <w:tcW w:w="2600" w:type="dxa"/>
            <w:vAlign w:val="center"/>
          </w:tcPr>
          <w:p w14:paraId="1133687B">
            <w:pPr>
              <w:adjustRightInd w:val="0"/>
              <w:snapToGrid w:val="0"/>
              <w:ind w:left="-88" w:leftChars="-42"/>
              <w:jc w:val="center"/>
              <w:rPr>
                <w:rFonts w:ascii="宋体" w:hAnsi="宋体"/>
                <w:color w:val="auto"/>
                <w:szCs w:val="21"/>
                <w:highlight w:val="none"/>
              </w:rPr>
            </w:pPr>
          </w:p>
        </w:tc>
        <w:tc>
          <w:tcPr>
            <w:tcW w:w="1288" w:type="dxa"/>
            <w:vAlign w:val="center"/>
          </w:tcPr>
          <w:p w14:paraId="5E49D19E">
            <w:pPr>
              <w:adjustRightInd w:val="0"/>
              <w:snapToGrid w:val="0"/>
              <w:ind w:left="-88" w:leftChars="-42"/>
              <w:jc w:val="center"/>
              <w:rPr>
                <w:rFonts w:ascii="宋体" w:hAnsi="宋体"/>
                <w:color w:val="auto"/>
                <w:szCs w:val="21"/>
                <w:highlight w:val="none"/>
              </w:rPr>
            </w:pPr>
          </w:p>
        </w:tc>
        <w:tc>
          <w:tcPr>
            <w:tcW w:w="840" w:type="dxa"/>
            <w:vAlign w:val="center"/>
          </w:tcPr>
          <w:p w14:paraId="5036C025">
            <w:pPr>
              <w:adjustRightInd w:val="0"/>
              <w:snapToGrid w:val="0"/>
              <w:ind w:left="-88" w:leftChars="-42"/>
              <w:jc w:val="center"/>
              <w:rPr>
                <w:rFonts w:ascii="宋体" w:hAnsi="宋体"/>
                <w:color w:val="auto"/>
                <w:szCs w:val="21"/>
                <w:highlight w:val="none"/>
              </w:rPr>
            </w:pPr>
          </w:p>
        </w:tc>
      </w:tr>
      <w:tr w14:paraId="3BC8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0107E8F">
            <w:pPr>
              <w:adjustRightInd w:val="0"/>
              <w:snapToGrid w:val="0"/>
              <w:ind w:left="-88" w:leftChars="-42"/>
              <w:jc w:val="center"/>
              <w:rPr>
                <w:rFonts w:ascii="宋体" w:hAnsi="宋体"/>
                <w:color w:val="auto"/>
                <w:szCs w:val="21"/>
                <w:highlight w:val="none"/>
              </w:rPr>
            </w:pPr>
          </w:p>
        </w:tc>
        <w:tc>
          <w:tcPr>
            <w:tcW w:w="1332" w:type="dxa"/>
            <w:vAlign w:val="center"/>
          </w:tcPr>
          <w:p w14:paraId="549962FE">
            <w:pPr>
              <w:adjustRightInd w:val="0"/>
              <w:snapToGrid w:val="0"/>
              <w:ind w:left="-88" w:leftChars="-42"/>
              <w:jc w:val="center"/>
              <w:rPr>
                <w:rFonts w:ascii="宋体" w:hAnsi="宋体"/>
                <w:color w:val="auto"/>
                <w:szCs w:val="21"/>
                <w:highlight w:val="none"/>
              </w:rPr>
            </w:pPr>
          </w:p>
        </w:tc>
        <w:tc>
          <w:tcPr>
            <w:tcW w:w="1948" w:type="dxa"/>
            <w:vAlign w:val="center"/>
          </w:tcPr>
          <w:p w14:paraId="33353229">
            <w:pPr>
              <w:adjustRightInd w:val="0"/>
              <w:snapToGrid w:val="0"/>
              <w:ind w:left="-88" w:leftChars="-42"/>
              <w:jc w:val="center"/>
              <w:rPr>
                <w:rFonts w:ascii="宋体" w:hAnsi="宋体"/>
                <w:color w:val="auto"/>
                <w:szCs w:val="21"/>
                <w:highlight w:val="none"/>
              </w:rPr>
            </w:pPr>
          </w:p>
        </w:tc>
        <w:tc>
          <w:tcPr>
            <w:tcW w:w="2600" w:type="dxa"/>
            <w:vAlign w:val="center"/>
          </w:tcPr>
          <w:p w14:paraId="5880741A">
            <w:pPr>
              <w:adjustRightInd w:val="0"/>
              <w:snapToGrid w:val="0"/>
              <w:ind w:left="-88" w:leftChars="-42"/>
              <w:jc w:val="center"/>
              <w:rPr>
                <w:rFonts w:ascii="宋体" w:hAnsi="宋体"/>
                <w:color w:val="auto"/>
                <w:szCs w:val="21"/>
                <w:highlight w:val="none"/>
              </w:rPr>
            </w:pPr>
          </w:p>
        </w:tc>
        <w:tc>
          <w:tcPr>
            <w:tcW w:w="1288" w:type="dxa"/>
            <w:vAlign w:val="center"/>
          </w:tcPr>
          <w:p w14:paraId="20A960B8">
            <w:pPr>
              <w:adjustRightInd w:val="0"/>
              <w:snapToGrid w:val="0"/>
              <w:ind w:left="-88" w:leftChars="-42"/>
              <w:jc w:val="center"/>
              <w:rPr>
                <w:rFonts w:ascii="宋体" w:hAnsi="宋体"/>
                <w:color w:val="auto"/>
                <w:szCs w:val="21"/>
                <w:highlight w:val="none"/>
              </w:rPr>
            </w:pPr>
          </w:p>
        </w:tc>
        <w:tc>
          <w:tcPr>
            <w:tcW w:w="840" w:type="dxa"/>
            <w:vAlign w:val="center"/>
          </w:tcPr>
          <w:p w14:paraId="36EAC563">
            <w:pPr>
              <w:adjustRightInd w:val="0"/>
              <w:snapToGrid w:val="0"/>
              <w:ind w:left="-88" w:leftChars="-42"/>
              <w:jc w:val="center"/>
              <w:rPr>
                <w:rFonts w:ascii="宋体" w:hAnsi="宋体"/>
                <w:color w:val="auto"/>
                <w:szCs w:val="21"/>
                <w:highlight w:val="none"/>
              </w:rPr>
            </w:pPr>
          </w:p>
        </w:tc>
      </w:tr>
      <w:tr w14:paraId="40D3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330F58A">
            <w:pPr>
              <w:adjustRightInd w:val="0"/>
              <w:snapToGrid w:val="0"/>
              <w:ind w:left="-88" w:leftChars="-42"/>
              <w:jc w:val="center"/>
              <w:rPr>
                <w:rFonts w:ascii="宋体" w:hAnsi="宋体"/>
                <w:color w:val="auto"/>
                <w:szCs w:val="21"/>
                <w:highlight w:val="none"/>
              </w:rPr>
            </w:pPr>
          </w:p>
        </w:tc>
        <w:tc>
          <w:tcPr>
            <w:tcW w:w="1332" w:type="dxa"/>
            <w:vAlign w:val="center"/>
          </w:tcPr>
          <w:p w14:paraId="52F50187">
            <w:pPr>
              <w:adjustRightInd w:val="0"/>
              <w:snapToGrid w:val="0"/>
              <w:ind w:left="-88" w:leftChars="-42"/>
              <w:jc w:val="center"/>
              <w:rPr>
                <w:rFonts w:ascii="宋体" w:hAnsi="宋体"/>
                <w:color w:val="auto"/>
                <w:szCs w:val="21"/>
                <w:highlight w:val="none"/>
              </w:rPr>
            </w:pPr>
          </w:p>
        </w:tc>
        <w:tc>
          <w:tcPr>
            <w:tcW w:w="1948" w:type="dxa"/>
            <w:vAlign w:val="center"/>
          </w:tcPr>
          <w:p w14:paraId="74C4231B">
            <w:pPr>
              <w:adjustRightInd w:val="0"/>
              <w:snapToGrid w:val="0"/>
              <w:ind w:left="-88" w:leftChars="-42"/>
              <w:jc w:val="center"/>
              <w:rPr>
                <w:rFonts w:ascii="宋体" w:hAnsi="宋体"/>
                <w:color w:val="auto"/>
                <w:szCs w:val="21"/>
                <w:highlight w:val="none"/>
              </w:rPr>
            </w:pPr>
          </w:p>
        </w:tc>
        <w:tc>
          <w:tcPr>
            <w:tcW w:w="2600" w:type="dxa"/>
            <w:vAlign w:val="center"/>
          </w:tcPr>
          <w:p w14:paraId="118B8B53">
            <w:pPr>
              <w:adjustRightInd w:val="0"/>
              <w:snapToGrid w:val="0"/>
              <w:ind w:left="-88" w:leftChars="-42"/>
              <w:jc w:val="center"/>
              <w:rPr>
                <w:rFonts w:ascii="宋体" w:hAnsi="宋体"/>
                <w:color w:val="auto"/>
                <w:szCs w:val="21"/>
                <w:highlight w:val="none"/>
              </w:rPr>
            </w:pPr>
          </w:p>
        </w:tc>
        <w:tc>
          <w:tcPr>
            <w:tcW w:w="1288" w:type="dxa"/>
            <w:vAlign w:val="center"/>
          </w:tcPr>
          <w:p w14:paraId="245DB256">
            <w:pPr>
              <w:adjustRightInd w:val="0"/>
              <w:snapToGrid w:val="0"/>
              <w:ind w:left="-88" w:leftChars="-42"/>
              <w:jc w:val="center"/>
              <w:rPr>
                <w:rFonts w:ascii="宋体" w:hAnsi="宋体"/>
                <w:color w:val="auto"/>
                <w:szCs w:val="21"/>
                <w:highlight w:val="none"/>
              </w:rPr>
            </w:pPr>
          </w:p>
        </w:tc>
        <w:tc>
          <w:tcPr>
            <w:tcW w:w="840" w:type="dxa"/>
            <w:vAlign w:val="center"/>
          </w:tcPr>
          <w:p w14:paraId="408E2DFF">
            <w:pPr>
              <w:adjustRightInd w:val="0"/>
              <w:snapToGrid w:val="0"/>
              <w:ind w:left="-88" w:leftChars="-42"/>
              <w:jc w:val="center"/>
              <w:rPr>
                <w:rFonts w:ascii="宋体" w:hAnsi="宋体"/>
                <w:color w:val="auto"/>
                <w:szCs w:val="21"/>
                <w:highlight w:val="none"/>
              </w:rPr>
            </w:pPr>
          </w:p>
        </w:tc>
      </w:tr>
      <w:tr w14:paraId="578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FB788E4">
            <w:pPr>
              <w:adjustRightInd w:val="0"/>
              <w:snapToGrid w:val="0"/>
              <w:ind w:left="-88" w:leftChars="-42"/>
              <w:jc w:val="center"/>
              <w:rPr>
                <w:rFonts w:ascii="宋体" w:hAnsi="宋体"/>
                <w:color w:val="auto"/>
                <w:szCs w:val="21"/>
                <w:highlight w:val="none"/>
              </w:rPr>
            </w:pPr>
          </w:p>
        </w:tc>
        <w:tc>
          <w:tcPr>
            <w:tcW w:w="1332" w:type="dxa"/>
            <w:vAlign w:val="center"/>
          </w:tcPr>
          <w:p w14:paraId="3F9886FE">
            <w:pPr>
              <w:adjustRightInd w:val="0"/>
              <w:snapToGrid w:val="0"/>
              <w:ind w:left="-88" w:leftChars="-42"/>
              <w:jc w:val="center"/>
              <w:rPr>
                <w:rFonts w:ascii="宋体" w:hAnsi="宋体"/>
                <w:color w:val="auto"/>
                <w:szCs w:val="21"/>
                <w:highlight w:val="none"/>
              </w:rPr>
            </w:pPr>
          </w:p>
        </w:tc>
        <w:tc>
          <w:tcPr>
            <w:tcW w:w="1948" w:type="dxa"/>
            <w:vAlign w:val="center"/>
          </w:tcPr>
          <w:p w14:paraId="04A42EE0">
            <w:pPr>
              <w:adjustRightInd w:val="0"/>
              <w:snapToGrid w:val="0"/>
              <w:ind w:left="-88" w:leftChars="-42"/>
              <w:jc w:val="center"/>
              <w:rPr>
                <w:rFonts w:ascii="宋体" w:hAnsi="宋体"/>
                <w:color w:val="auto"/>
                <w:szCs w:val="21"/>
                <w:highlight w:val="none"/>
              </w:rPr>
            </w:pPr>
          </w:p>
        </w:tc>
        <w:tc>
          <w:tcPr>
            <w:tcW w:w="2600" w:type="dxa"/>
            <w:vAlign w:val="center"/>
          </w:tcPr>
          <w:p w14:paraId="38CD43AE">
            <w:pPr>
              <w:adjustRightInd w:val="0"/>
              <w:snapToGrid w:val="0"/>
              <w:ind w:left="-88" w:leftChars="-42"/>
              <w:jc w:val="center"/>
              <w:rPr>
                <w:rFonts w:ascii="宋体" w:hAnsi="宋体"/>
                <w:color w:val="auto"/>
                <w:szCs w:val="21"/>
                <w:highlight w:val="none"/>
              </w:rPr>
            </w:pPr>
          </w:p>
        </w:tc>
        <w:tc>
          <w:tcPr>
            <w:tcW w:w="1288" w:type="dxa"/>
            <w:vAlign w:val="center"/>
          </w:tcPr>
          <w:p w14:paraId="4280820A">
            <w:pPr>
              <w:adjustRightInd w:val="0"/>
              <w:snapToGrid w:val="0"/>
              <w:ind w:left="-88" w:leftChars="-42"/>
              <w:jc w:val="center"/>
              <w:rPr>
                <w:rFonts w:ascii="宋体" w:hAnsi="宋体"/>
                <w:color w:val="auto"/>
                <w:szCs w:val="21"/>
                <w:highlight w:val="none"/>
              </w:rPr>
            </w:pPr>
          </w:p>
        </w:tc>
        <w:tc>
          <w:tcPr>
            <w:tcW w:w="840" w:type="dxa"/>
            <w:vAlign w:val="center"/>
          </w:tcPr>
          <w:p w14:paraId="62930FAC">
            <w:pPr>
              <w:adjustRightInd w:val="0"/>
              <w:snapToGrid w:val="0"/>
              <w:ind w:left="-88" w:leftChars="-42"/>
              <w:jc w:val="center"/>
              <w:rPr>
                <w:rFonts w:ascii="宋体" w:hAnsi="宋体"/>
                <w:color w:val="auto"/>
                <w:szCs w:val="21"/>
                <w:highlight w:val="none"/>
              </w:rPr>
            </w:pPr>
          </w:p>
        </w:tc>
      </w:tr>
    </w:tbl>
    <w:p w14:paraId="717B9748">
      <w:pPr>
        <w:adjustRightInd w:val="0"/>
        <w:snapToGrid w:val="0"/>
        <w:spacing w:before="50"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说明： “响应与偏离”应注明“响应”或“偏离”。  </w:t>
      </w:r>
    </w:p>
    <w:p w14:paraId="1D50AE92">
      <w:pPr>
        <w:adjustRightInd w:val="0"/>
        <w:snapToGrid w:val="0"/>
        <w:spacing w:before="50" w:line="360" w:lineRule="auto"/>
        <w:ind w:firstLine="315" w:firstLineChars="150"/>
        <w:rPr>
          <w:rFonts w:ascii="宋体" w:hAnsi="宋体"/>
          <w:color w:val="auto"/>
          <w:szCs w:val="21"/>
          <w:highlight w:val="none"/>
        </w:rPr>
      </w:pPr>
    </w:p>
    <w:p w14:paraId="57EA0B03">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 xml:space="preserve">        </w:t>
      </w:r>
    </w:p>
    <w:p w14:paraId="5FD423A2">
      <w:pPr>
        <w:pStyle w:val="26"/>
        <w:adjustRightInd w:val="0"/>
        <w:snapToGrid w:val="0"/>
        <w:spacing w:line="360" w:lineRule="auto"/>
        <w:rPr>
          <w:rFonts w:ascii="宋体" w:hAnsi="宋体"/>
          <w:color w:val="auto"/>
          <w:sz w:val="21"/>
          <w:szCs w:val="21"/>
          <w:highlight w:val="none"/>
        </w:rPr>
      </w:pPr>
    </w:p>
    <w:p w14:paraId="444C2696">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3B7A80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6C125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51251B6">
      <w:pPr>
        <w:pStyle w:val="26"/>
        <w:adjustRightInd w:val="0"/>
        <w:snapToGrid w:val="0"/>
        <w:spacing w:line="360" w:lineRule="auto"/>
        <w:rPr>
          <w:rFonts w:ascii="宋体" w:hAnsi="宋体"/>
          <w:color w:val="auto"/>
          <w:sz w:val="21"/>
          <w:szCs w:val="21"/>
          <w:highlight w:val="none"/>
          <w:u w:val="single"/>
        </w:rPr>
      </w:pPr>
    </w:p>
    <w:p w14:paraId="039D5F88">
      <w:pPr>
        <w:pStyle w:val="26"/>
        <w:adjustRightInd w:val="0"/>
        <w:snapToGrid w:val="0"/>
        <w:spacing w:line="360" w:lineRule="auto"/>
        <w:rPr>
          <w:rFonts w:ascii="宋体" w:hAnsi="宋体"/>
          <w:color w:val="auto"/>
          <w:sz w:val="21"/>
          <w:szCs w:val="21"/>
          <w:highlight w:val="none"/>
          <w:u w:val="single"/>
        </w:rPr>
      </w:pPr>
    </w:p>
    <w:p w14:paraId="3542D50F">
      <w:pPr>
        <w:pStyle w:val="26"/>
        <w:adjustRightInd w:val="0"/>
        <w:snapToGrid w:val="0"/>
        <w:spacing w:line="360" w:lineRule="auto"/>
        <w:rPr>
          <w:rFonts w:ascii="宋体" w:hAnsi="宋体"/>
          <w:color w:val="auto"/>
          <w:sz w:val="21"/>
          <w:szCs w:val="21"/>
          <w:highlight w:val="none"/>
          <w:u w:val="single"/>
        </w:rPr>
      </w:pPr>
      <w:bookmarkStart w:id="73" w:name="_Toc12906832"/>
    </w:p>
    <w:p w14:paraId="1A7E9356">
      <w:pPr>
        <w:pStyle w:val="26"/>
        <w:adjustRightInd w:val="0"/>
        <w:snapToGrid w:val="0"/>
        <w:spacing w:line="360" w:lineRule="auto"/>
        <w:rPr>
          <w:rFonts w:ascii="宋体" w:hAnsi="宋体"/>
          <w:color w:val="auto"/>
          <w:sz w:val="21"/>
          <w:szCs w:val="21"/>
          <w:highlight w:val="none"/>
          <w:u w:val="single"/>
        </w:rPr>
      </w:pPr>
    </w:p>
    <w:p w14:paraId="4FEF53A6">
      <w:pPr>
        <w:pStyle w:val="26"/>
        <w:adjustRightInd w:val="0"/>
        <w:snapToGrid w:val="0"/>
        <w:spacing w:line="360" w:lineRule="auto"/>
        <w:rPr>
          <w:rFonts w:ascii="宋体" w:hAnsi="宋体"/>
          <w:color w:val="auto"/>
          <w:sz w:val="21"/>
          <w:szCs w:val="21"/>
          <w:highlight w:val="none"/>
          <w:u w:val="single"/>
        </w:rPr>
      </w:pPr>
    </w:p>
    <w:bookmarkEnd w:id="73"/>
    <w:p w14:paraId="51198F3D">
      <w:pPr>
        <w:adjustRightInd w:val="0"/>
        <w:snapToGrid w:val="0"/>
        <w:spacing w:line="360" w:lineRule="auto"/>
        <w:outlineLvl w:val="1"/>
        <w:rPr>
          <w:rFonts w:ascii="宋体" w:hAnsi="宋体"/>
          <w:color w:val="auto"/>
          <w:szCs w:val="21"/>
          <w:highlight w:val="none"/>
          <w:u w:val="single"/>
        </w:rPr>
        <w:sectPr>
          <w:footerReference r:id="rId9" w:type="even"/>
          <w:pgSz w:w="11906" w:h="16838"/>
          <w:pgMar w:top="1440" w:right="1797" w:bottom="1440" w:left="1797" w:header="851" w:footer="992" w:gutter="0"/>
          <w:pgNumType w:fmt="decimal"/>
          <w:cols w:space="720" w:num="1"/>
          <w:docGrid w:linePitch="312" w:charSpace="0"/>
        </w:sectPr>
      </w:pPr>
    </w:p>
    <w:p w14:paraId="50A4F32D">
      <w:pPr>
        <w:pStyle w:val="4"/>
        <w:jc w:val="center"/>
        <w:rPr>
          <w:rFonts w:ascii="宋体" w:hAnsi="宋体"/>
          <w:color w:val="auto"/>
          <w:sz w:val="28"/>
          <w:szCs w:val="28"/>
          <w:highlight w:val="none"/>
        </w:rPr>
      </w:pPr>
      <w:bookmarkStart w:id="74" w:name="_Toc161933903"/>
      <w:r>
        <w:rPr>
          <w:rFonts w:hint="eastAsia" w:ascii="宋体" w:hAnsi="宋体"/>
          <w:color w:val="auto"/>
          <w:sz w:val="28"/>
          <w:szCs w:val="28"/>
          <w:highlight w:val="none"/>
        </w:rPr>
        <w:t>八、投标人认为需要提供的其它资料</w:t>
      </w:r>
      <w:bookmarkEnd w:id="72"/>
      <w:bookmarkEnd w:id="74"/>
    </w:p>
    <w:p w14:paraId="2A943E28">
      <w:pPr>
        <w:rPr>
          <w:rFonts w:ascii="宋体" w:hAnsi="宋体"/>
          <w:color w:val="auto"/>
          <w:highlight w:val="none"/>
        </w:rPr>
      </w:pPr>
    </w:p>
    <w:bookmarkEnd w:id="0"/>
    <w:p w14:paraId="1A4C5199">
      <w:pPr>
        <w:spacing w:line="360" w:lineRule="exact"/>
        <w:rPr>
          <w:rFonts w:ascii="宋体" w:hAnsi="宋体"/>
          <w:color w:val="auto"/>
          <w:highlight w:val="none"/>
        </w:rPr>
      </w:pPr>
    </w:p>
    <w:p w14:paraId="34E664FC">
      <w:pPr>
        <w:rPr>
          <w:color w:val="auto"/>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il">
    <w:altName w:val="Courier New"/>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auto"/>
    <w:pitch w:val="default"/>
    <w:sig w:usb0="00000000" w:usb1="00000000" w:usb2="00000000" w:usb3="00000000" w:csb0="FFFFFFFF"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inheri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BD1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7303">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23B21">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523B21">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61A2">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232C">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31DF">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500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6DCC">
    <w:pPr>
      <w:pStyle w:val="30"/>
      <w:pBdr>
        <w:bottom w:val="none" w:color="auto" w:sz="0" w:space="0"/>
      </w:pBdr>
      <w:jc w:val="right"/>
    </w:pPr>
    <w:r>
      <w:rPr>
        <w:rFonts w:hint="eastAsia"/>
      </w:rPr>
      <w:t xml:space="preserve"> </w:t>
    </w:r>
    <w:r>
      <w:t xml:space="preserve">   </w:t>
    </w:r>
    <w:r>
      <w:drawing>
        <wp:anchor distT="0" distB="0" distL="114300" distR="114300" simplePos="0" relativeHeight="251659264" behindDoc="0" locked="0" layoutInCell="1" allowOverlap="1">
          <wp:simplePos x="0" y="0"/>
          <wp:positionH relativeFrom="margin">
            <wp:posOffset>-657225</wp:posOffset>
          </wp:positionH>
          <wp:positionV relativeFrom="margin">
            <wp:posOffset>-333375</wp:posOffset>
          </wp:positionV>
          <wp:extent cx="3009900" cy="2857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09900" cy="285750"/>
                  </a:xfrm>
                  <a:prstGeom prst="rect">
                    <a:avLst/>
                  </a:prstGeom>
                  <a:noFill/>
                  <a:ln>
                    <a:noFill/>
                  </a:ln>
                </pic:spPr>
              </pic:pic>
            </a:graphicData>
          </a:graphic>
        </wp:anchor>
      </w:drawing>
    </w:r>
    <w:r>
      <w:rPr>
        <w:rFonts w:hint="eastAsia"/>
        <w:sz w:val="24"/>
        <w:szCs w:val="24"/>
      </w:rPr>
      <w:t>采购文件</w:t>
    </w:r>
  </w:p>
  <w:p w14:paraId="7553FF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85750"/>
    <w:multiLevelType w:val="multilevel"/>
    <w:tmpl w:val="5E385750"/>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74E0B265"/>
    <w:multiLevelType w:val="singleLevel"/>
    <w:tmpl w:val="74E0B26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MDI3MzIwNjFlZGFiYzIyNmUwMDcwZWVjOWJiMjkifQ=="/>
  </w:docVars>
  <w:rsids>
    <w:rsidRoot w:val="002A5EDF"/>
    <w:rsid w:val="00003597"/>
    <w:rsid w:val="00007FB8"/>
    <w:rsid w:val="0002460D"/>
    <w:rsid w:val="00036F53"/>
    <w:rsid w:val="000404A1"/>
    <w:rsid w:val="000416F9"/>
    <w:rsid w:val="000469F9"/>
    <w:rsid w:val="0007600A"/>
    <w:rsid w:val="00093240"/>
    <w:rsid w:val="000B7E10"/>
    <w:rsid w:val="000C0101"/>
    <w:rsid w:val="000E519E"/>
    <w:rsid w:val="000E5559"/>
    <w:rsid w:val="00116183"/>
    <w:rsid w:val="001175E8"/>
    <w:rsid w:val="00130E68"/>
    <w:rsid w:val="001423F5"/>
    <w:rsid w:val="001676DA"/>
    <w:rsid w:val="001953EE"/>
    <w:rsid w:val="001A3BD2"/>
    <w:rsid w:val="001F1D1C"/>
    <w:rsid w:val="00211658"/>
    <w:rsid w:val="00213308"/>
    <w:rsid w:val="00232740"/>
    <w:rsid w:val="002765C6"/>
    <w:rsid w:val="00294BA3"/>
    <w:rsid w:val="002A5EDF"/>
    <w:rsid w:val="002B4591"/>
    <w:rsid w:val="002C009D"/>
    <w:rsid w:val="002C651E"/>
    <w:rsid w:val="002C7D74"/>
    <w:rsid w:val="002D4DB4"/>
    <w:rsid w:val="003061C7"/>
    <w:rsid w:val="003151CA"/>
    <w:rsid w:val="003214D8"/>
    <w:rsid w:val="003303D3"/>
    <w:rsid w:val="00337B1F"/>
    <w:rsid w:val="00346936"/>
    <w:rsid w:val="00351E9D"/>
    <w:rsid w:val="00354245"/>
    <w:rsid w:val="003547CC"/>
    <w:rsid w:val="00362D5A"/>
    <w:rsid w:val="00373CC3"/>
    <w:rsid w:val="00382664"/>
    <w:rsid w:val="003B2056"/>
    <w:rsid w:val="003D574A"/>
    <w:rsid w:val="003E4124"/>
    <w:rsid w:val="003E78AB"/>
    <w:rsid w:val="003F63A2"/>
    <w:rsid w:val="00406BB9"/>
    <w:rsid w:val="0042027B"/>
    <w:rsid w:val="004249FE"/>
    <w:rsid w:val="00427E02"/>
    <w:rsid w:val="0047631F"/>
    <w:rsid w:val="004B1D96"/>
    <w:rsid w:val="004C1D86"/>
    <w:rsid w:val="004F12ED"/>
    <w:rsid w:val="00502FD9"/>
    <w:rsid w:val="005060EB"/>
    <w:rsid w:val="00511045"/>
    <w:rsid w:val="00516EBB"/>
    <w:rsid w:val="00522B02"/>
    <w:rsid w:val="005231B4"/>
    <w:rsid w:val="005275C4"/>
    <w:rsid w:val="00535DAF"/>
    <w:rsid w:val="005377A8"/>
    <w:rsid w:val="0056030E"/>
    <w:rsid w:val="0056592C"/>
    <w:rsid w:val="00566340"/>
    <w:rsid w:val="0057035E"/>
    <w:rsid w:val="005B13DC"/>
    <w:rsid w:val="00603058"/>
    <w:rsid w:val="0061064F"/>
    <w:rsid w:val="0062612F"/>
    <w:rsid w:val="006461EC"/>
    <w:rsid w:val="006505FE"/>
    <w:rsid w:val="0065412B"/>
    <w:rsid w:val="006545EE"/>
    <w:rsid w:val="006612B5"/>
    <w:rsid w:val="00667C4A"/>
    <w:rsid w:val="0067383B"/>
    <w:rsid w:val="00676114"/>
    <w:rsid w:val="006829A3"/>
    <w:rsid w:val="00692BC8"/>
    <w:rsid w:val="006957EB"/>
    <w:rsid w:val="006B7012"/>
    <w:rsid w:val="006C7F68"/>
    <w:rsid w:val="006D2C40"/>
    <w:rsid w:val="006D5EA4"/>
    <w:rsid w:val="006E2D30"/>
    <w:rsid w:val="006E66B0"/>
    <w:rsid w:val="00707CFA"/>
    <w:rsid w:val="00714E89"/>
    <w:rsid w:val="00720B2A"/>
    <w:rsid w:val="00736C12"/>
    <w:rsid w:val="00764DFD"/>
    <w:rsid w:val="00786959"/>
    <w:rsid w:val="007B29B2"/>
    <w:rsid w:val="007C14FF"/>
    <w:rsid w:val="007C2A22"/>
    <w:rsid w:val="00810CA7"/>
    <w:rsid w:val="00810F5E"/>
    <w:rsid w:val="008141A2"/>
    <w:rsid w:val="00842342"/>
    <w:rsid w:val="00854060"/>
    <w:rsid w:val="00862B69"/>
    <w:rsid w:val="00863C24"/>
    <w:rsid w:val="00867932"/>
    <w:rsid w:val="008701D8"/>
    <w:rsid w:val="00890986"/>
    <w:rsid w:val="00891F8B"/>
    <w:rsid w:val="008A5F9A"/>
    <w:rsid w:val="008B5C3F"/>
    <w:rsid w:val="008B7423"/>
    <w:rsid w:val="008C6987"/>
    <w:rsid w:val="008D005C"/>
    <w:rsid w:val="008F6850"/>
    <w:rsid w:val="00901231"/>
    <w:rsid w:val="009018B5"/>
    <w:rsid w:val="009022E7"/>
    <w:rsid w:val="009054FE"/>
    <w:rsid w:val="00922053"/>
    <w:rsid w:val="0093148D"/>
    <w:rsid w:val="00947564"/>
    <w:rsid w:val="0095038B"/>
    <w:rsid w:val="0096277E"/>
    <w:rsid w:val="00963D60"/>
    <w:rsid w:val="00993F0B"/>
    <w:rsid w:val="009B354A"/>
    <w:rsid w:val="009B577C"/>
    <w:rsid w:val="009B7901"/>
    <w:rsid w:val="009C4AA1"/>
    <w:rsid w:val="009D4C35"/>
    <w:rsid w:val="00A07E0D"/>
    <w:rsid w:val="00A14B5B"/>
    <w:rsid w:val="00A217CF"/>
    <w:rsid w:val="00A45422"/>
    <w:rsid w:val="00A467B8"/>
    <w:rsid w:val="00A51D8D"/>
    <w:rsid w:val="00A77480"/>
    <w:rsid w:val="00A86090"/>
    <w:rsid w:val="00A94ABF"/>
    <w:rsid w:val="00AA0706"/>
    <w:rsid w:val="00AA192C"/>
    <w:rsid w:val="00AA640F"/>
    <w:rsid w:val="00AB6E5B"/>
    <w:rsid w:val="00AB75AE"/>
    <w:rsid w:val="00AB7A1E"/>
    <w:rsid w:val="00AD2FB3"/>
    <w:rsid w:val="00AF63EF"/>
    <w:rsid w:val="00B3664D"/>
    <w:rsid w:val="00B40055"/>
    <w:rsid w:val="00B4535E"/>
    <w:rsid w:val="00B471C9"/>
    <w:rsid w:val="00B605F4"/>
    <w:rsid w:val="00BB62A5"/>
    <w:rsid w:val="00BC36B5"/>
    <w:rsid w:val="00C0149C"/>
    <w:rsid w:val="00C04B3D"/>
    <w:rsid w:val="00C04E3E"/>
    <w:rsid w:val="00C051D6"/>
    <w:rsid w:val="00C117F7"/>
    <w:rsid w:val="00C24B2E"/>
    <w:rsid w:val="00C31C2C"/>
    <w:rsid w:val="00C6342E"/>
    <w:rsid w:val="00C95693"/>
    <w:rsid w:val="00CA4A29"/>
    <w:rsid w:val="00CD0C95"/>
    <w:rsid w:val="00CF3291"/>
    <w:rsid w:val="00D02ADD"/>
    <w:rsid w:val="00D0748B"/>
    <w:rsid w:val="00D10862"/>
    <w:rsid w:val="00D14004"/>
    <w:rsid w:val="00D211D7"/>
    <w:rsid w:val="00D32381"/>
    <w:rsid w:val="00D51CFF"/>
    <w:rsid w:val="00D56F3D"/>
    <w:rsid w:val="00D60D62"/>
    <w:rsid w:val="00D70E9E"/>
    <w:rsid w:val="00D8123A"/>
    <w:rsid w:val="00DA741A"/>
    <w:rsid w:val="00DB25AB"/>
    <w:rsid w:val="00DD27D8"/>
    <w:rsid w:val="00DE2902"/>
    <w:rsid w:val="00E001A8"/>
    <w:rsid w:val="00E03CFD"/>
    <w:rsid w:val="00E13D8B"/>
    <w:rsid w:val="00E264F8"/>
    <w:rsid w:val="00E33BF5"/>
    <w:rsid w:val="00E44B18"/>
    <w:rsid w:val="00E51BF3"/>
    <w:rsid w:val="00E54EDC"/>
    <w:rsid w:val="00E62EEB"/>
    <w:rsid w:val="00E775BC"/>
    <w:rsid w:val="00EA2A25"/>
    <w:rsid w:val="00EC3B2B"/>
    <w:rsid w:val="00F4193B"/>
    <w:rsid w:val="00F9447F"/>
    <w:rsid w:val="00F9472C"/>
    <w:rsid w:val="00FC7028"/>
    <w:rsid w:val="011A470B"/>
    <w:rsid w:val="018A58CB"/>
    <w:rsid w:val="02BE3A7E"/>
    <w:rsid w:val="05E50700"/>
    <w:rsid w:val="079774EB"/>
    <w:rsid w:val="0837460B"/>
    <w:rsid w:val="09643EED"/>
    <w:rsid w:val="0A4C7BC2"/>
    <w:rsid w:val="0AE24082"/>
    <w:rsid w:val="0C286A0F"/>
    <w:rsid w:val="0D3A63F7"/>
    <w:rsid w:val="0DC37150"/>
    <w:rsid w:val="0EF33DD5"/>
    <w:rsid w:val="0F6E2388"/>
    <w:rsid w:val="104A4BA3"/>
    <w:rsid w:val="111F21DD"/>
    <w:rsid w:val="11F748B7"/>
    <w:rsid w:val="12511942"/>
    <w:rsid w:val="126C2810"/>
    <w:rsid w:val="146B6E96"/>
    <w:rsid w:val="1597143B"/>
    <w:rsid w:val="15F01D49"/>
    <w:rsid w:val="17876149"/>
    <w:rsid w:val="1942722A"/>
    <w:rsid w:val="19A8735C"/>
    <w:rsid w:val="1AA44EB0"/>
    <w:rsid w:val="1B7E6D29"/>
    <w:rsid w:val="1C4807FE"/>
    <w:rsid w:val="202C00F5"/>
    <w:rsid w:val="205B22B2"/>
    <w:rsid w:val="222D01DC"/>
    <w:rsid w:val="227402E9"/>
    <w:rsid w:val="22AD4B1E"/>
    <w:rsid w:val="25C738C2"/>
    <w:rsid w:val="25E736F3"/>
    <w:rsid w:val="25F25669"/>
    <w:rsid w:val="27862B69"/>
    <w:rsid w:val="2858580E"/>
    <w:rsid w:val="28DF55E9"/>
    <w:rsid w:val="2AA9206F"/>
    <w:rsid w:val="2DC02177"/>
    <w:rsid w:val="2F21159B"/>
    <w:rsid w:val="2F6242E5"/>
    <w:rsid w:val="2F8C006E"/>
    <w:rsid w:val="2FDD18E2"/>
    <w:rsid w:val="312A43D2"/>
    <w:rsid w:val="32110C25"/>
    <w:rsid w:val="32481BE1"/>
    <w:rsid w:val="33AC3D18"/>
    <w:rsid w:val="35571045"/>
    <w:rsid w:val="35A80B15"/>
    <w:rsid w:val="36013076"/>
    <w:rsid w:val="3A8414FA"/>
    <w:rsid w:val="3B412E66"/>
    <w:rsid w:val="3BF4487B"/>
    <w:rsid w:val="3C853D0C"/>
    <w:rsid w:val="3CF35A33"/>
    <w:rsid w:val="3D107C99"/>
    <w:rsid w:val="3D8D40E0"/>
    <w:rsid w:val="3E0C23F2"/>
    <w:rsid w:val="3E316E87"/>
    <w:rsid w:val="3F450160"/>
    <w:rsid w:val="3FEF145E"/>
    <w:rsid w:val="45764C38"/>
    <w:rsid w:val="45B778DE"/>
    <w:rsid w:val="479D35E9"/>
    <w:rsid w:val="47DA5636"/>
    <w:rsid w:val="483F3FB3"/>
    <w:rsid w:val="4E7B76FB"/>
    <w:rsid w:val="4FBB0836"/>
    <w:rsid w:val="51BD7ED9"/>
    <w:rsid w:val="51E27E6A"/>
    <w:rsid w:val="542B4A38"/>
    <w:rsid w:val="57DF519E"/>
    <w:rsid w:val="58263061"/>
    <w:rsid w:val="59F32D2E"/>
    <w:rsid w:val="5A644857"/>
    <w:rsid w:val="5B117C88"/>
    <w:rsid w:val="5B69000D"/>
    <w:rsid w:val="5D5757D7"/>
    <w:rsid w:val="5F3C390C"/>
    <w:rsid w:val="5F4973A1"/>
    <w:rsid w:val="61250CEA"/>
    <w:rsid w:val="63371354"/>
    <w:rsid w:val="665B1146"/>
    <w:rsid w:val="67B348FD"/>
    <w:rsid w:val="68064D12"/>
    <w:rsid w:val="6902505D"/>
    <w:rsid w:val="69327182"/>
    <w:rsid w:val="69E34873"/>
    <w:rsid w:val="6ACD7CE2"/>
    <w:rsid w:val="6C0A1E4A"/>
    <w:rsid w:val="6E2C7516"/>
    <w:rsid w:val="72A3472B"/>
    <w:rsid w:val="73F024A5"/>
    <w:rsid w:val="77CA4EC1"/>
    <w:rsid w:val="788928EB"/>
    <w:rsid w:val="79341F69"/>
    <w:rsid w:val="799803B4"/>
    <w:rsid w:val="7B0F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autoRedefine/>
    <w:qFormat/>
    <w:uiPriority w:val="0"/>
    <w:pPr>
      <w:keepNext/>
      <w:spacing w:line="360" w:lineRule="auto"/>
      <w:jc w:val="center"/>
      <w:outlineLvl w:val="0"/>
    </w:pPr>
    <w:rPr>
      <w:b/>
      <w:bCs/>
      <w:sz w:val="28"/>
      <w:szCs w:val="20"/>
    </w:rPr>
  </w:style>
  <w:style w:type="paragraph" w:styleId="4">
    <w:name w:val="heading 2"/>
    <w:basedOn w:val="1"/>
    <w:next w:val="1"/>
    <w:link w:val="64"/>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link w:val="65"/>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6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7"/>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68"/>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69"/>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70"/>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7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2"/>
    <w:autoRedefine/>
    <w:qFormat/>
    <w:uiPriority w:val="99"/>
    <w:pPr>
      <w:spacing w:after="120"/>
      <w:jc w:val="center"/>
    </w:pPr>
    <w:rPr>
      <w:b/>
    </w:rPr>
  </w:style>
  <w:style w:type="paragraph" w:styleId="12">
    <w:name w:val="toc 7"/>
    <w:basedOn w:val="1"/>
    <w:next w:val="1"/>
    <w:autoRedefine/>
    <w:qFormat/>
    <w:uiPriority w:val="0"/>
    <w:pPr>
      <w:ind w:left="2520" w:leftChars="1200"/>
    </w:pPr>
    <w:rPr>
      <w:rFonts w:ascii="Calibri" w:hAnsi="Calibri"/>
      <w:szCs w:val="22"/>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link w:val="72"/>
    <w:autoRedefine/>
    <w:semiHidden/>
    <w:qFormat/>
    <w:uiPriority w:val="0"/>
    <w:pPr>
      <w:shd w:val="clear" w:color="auto" w:fill="000080"/>
    </w:pPr>
  </w:style>
  <w:style w:type="paragraph" w:styleId="15">
    <w:name w:val="toa heading"/>
    <w:basedOn w:val="1"/>
    <w:next w:val="1"/>
    <w:autoRedefine/>
    <w:qFormat/>
    <w:uiPriority w:val="99"/>
    <w:pPr>
      <w:spacing w:before="120"/>
    </w:pPr>
    <w:rPr>
      <w:rFonts w:ascii="Cambria" w:hAnsi="Cambria"/>
      <w:sz w:val="24"/>
    </w:rPr>
  </w:style>
  <w:style w:type="paragraph" w:styleId="16">
    <w:name w:val="annotation text"/>
    <w:basedOn w:val="1"/>
    <w:link w:val="73"/>
    <w:autoRedefine/>
    <w:semiHidden/>
    <w:qFormat/>
    <w:uiPriority w:val="0"/>
    <w:pPr>
      <w:jc w:val="left"/>
    </w:pPr>
  </w:style>
  <w:style w:type="paragraph" w:styleId="17">
    <w:name w:val="Salutation"/>
    <w:basedOn w:val="1"/>
    <w:next w:val="1"/>
    <w:link w:val="74"/>
    <w:autoRedefine/>
    <w:qFormat/>
    <w:uiPriority w:val="0"/>
    <w:rPr>
      <w:rFonts w:ascii="仿宋_GB2312" w:eastAsia="仿宋_GB2312"/>
      <w:sz w:val="24"/>
    </w:rPr>
  </w:style>
  <w:style w:type="paragraph" w:styleId="18">
    <w:name w:val="Body Text 3"/>
    <w:basedOn w:val="1"/>
    <w:link w:val="75"/>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Indent"/>
    <w:basedOn w:val="1"/>
    <w:next w:val="13"/>
    <w:link w:val="76"/>
    <w:autoRedefine/>
    <w:qFormat/>
    <w:uiPriority w:val="0"/>
    <w:pPr>
      <w:spacing w:after="120"/>
      <w:ind w:left="420" w:leftChars="200"/>
    </w:pPr>
  </w:style>
  <w:style w:type="paragraph" w:styleId="20">
    <w:name w:val="Block Text"/>
    <w:basedOn w:val="1"/>
    <w:autoRedefine/>
    <w:qFormat/>
    <w:uiPriority w:val="0"/>
    <w:pPr>
      <w:ind w:left="1171" w:right="91" w:hanging="1080"/>
    </w:pPr>
    <w:rPr>
      <w:rFonts w:eastAsia="楷体_GB2312"/>
      <w:szCs w:val="20"/>
    </w:rPr>
  </w:style>
  <w:style w:type="paragraph" w:styleId="21">
    <w:name w:val="index 4"/>
    <w:basedOn w:val="1"/>
    <w:next w:val="1"/>
    <w:autoRedefine/>
    <w:unhideWhenUsed/>
    <w:qFormat/>
    <w:uiPriority w:val="99"/>
    <w:pPr>
      <w:ind w:left="600" w:leftChars="600"/>
    </w:pPr>
    <w:rPr>
      <w:rFonts w:ascii="Calibri" w:hAnsi="Calibri"/>
    </w:rPr>
  </w:style>
  <w:style w:type="paragraph" w:styleId="22">
    <w:name w:val="toc 5"/>
    <w:basedOn w:val="1"/>
    <w:next w:val="1"/>
    <w:autoRedefine/>
    <w:qFormat/>
    <w:uiPriority w:val="0"/>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link w:val="77"/>
    <w:autoRedefine/>
    <w:qFormat/>
    <w:uiPriority w:val="99"/>
    <w:rPr>
      <w:sz w:val="24"/>
      <w:szCs w:val="20"/>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8"/>
    <w:autoRedefine/>
    <w:qFormat/>
    <w:uiPriority w:val="0"/>
    <w:rPr>
      <w:sz w:val="24"/>
      <w:szCs w:val="20"/>
    </w:rPr>
  </w:style>
  <w:style w:type="paragraph" w:styleId="27">
    <w:name w:val="Body Text Indent 2"/>
    <w:basedOn w:val="1"/>
    <w:link w:val="79"/>
    <w:autoRedefine/>
    <w:qFormat/>
    <w:uiPriority w:val="0"/>
    <w:pPr>
      <w:spacing w:after="120" w:line="480" w:lineRule="auto"/>
      <w:ind w:left="420" w:leftChars="200"/>
    </w:pPr>
  </w:style>
  <w:style w:type="paragraph" w:styleId="28">
    <w:name w:val="Balloon Text"/>
    <w:basedOn w:val="1"/>
    <w:link w:val="80"/>
    <w:autoRedefine/>
    <w:qFormat/>
    <w:uiPriority w:val="0"/>
    <w:rPr>
      <w:rFonts w:ascii="Calibri" w:hAnsi="Calibri"/>
      <w:sz w:val="18"/>
      <w:szCs w:val="18"/>
    </w:rPr>
  </w:style>
  <w:style w:type="paragraph" w:styleId="29">
    <w:name w:val="footer"/>
    <w:basedOn w:val="1"/>
    <w:link w:val="81"/>
    <w:autoRedefine/>
    <w:qFormat/>
    <w:uiPriority w:val="99"/>
    <w:pPr>
      <w:tabs>
        <w:tab w:val="center" w:pos="4153"/>
        <w:tab w:val="right" w:pos="8306"/>
      </w:tabs>
      <w:snapToGrid w:val="0"/>
      <w:jc w:val="left"/>
    </w:pPr>
    <w:rPr>
      <w:sz w:val="18"/>
      <w:szCs w:val="18"/>
    </w:rPr>
  </w:style>
  <w:style w:type="paragraph" w:styleId="30">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line="500" w:lineRule="exact"/>
    </w:pPr>
    <w:rPr>
      <w:rFonts w:ascii="黑体"/>
      <w:b/>
      <w:sz w:val="24"/>
    </w:rPr>
  </w:style>
  <w:style w:type="paragraph" w:styleId="32">
    <w:name w:val="toc 4"/>
    <w:basedOn w:val="1"/>
    <w:next w:val="1"/>
    <w:autoRedefine/>
    <w:qFormat/>
    <w:uiPriority w:val="0"/>
    <w:pPr>
      <w:ind w:left="1260" w:leftChars="600"/>
    </w:pPr>
  </w:style>
  <w:style w:type="paragraph" w:styleId="33">
    <w:name w:val="index heading"/>
    <w:basedOn w:val="1"/>
    <w:next w:val="34"/>
    <w:autoRedefine/>
    <w:semiHidden/>
    <w:qFormat/>
    <w:uiPriority w:val="0"/>
  </w:style>
  <w:style w:type="paragraph" w:styleId="34">
    <w:name w:val="index 1"/>
    <w:basedOn w:val="1"/>
    <w:next w:val="1"/>
    <w:autoRedefine/>
    <w:unhideWhenUsed/>
    <w:qFormat/>
    <w:uiPriority w:val="0"/>
  </w:style>
  <w:style w:type="paragraph" w:styleId="35">
    <w:name w:val="List"/>
    <w:basedOn w:val="1"/>
    <w:autoRedefine/>
    <w:qFormat/>
    <w:uiPriority w:val="0"/>
    <w:pPr>
      <w:ind w:left="200" w:hanging="200" w:hangingChars="200"/>
    </w:pPr>
    <w:rPr>
      <w:sz w:val="28"/>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3"/>
    <w:autoRedefine/>
    <w:qFormat/>
    <w:uiPriority w:val="0"/>
    <w:pPr>
      <w:spacing w:after="120"/>
      <w:ind w:left="420" w:leftChars="200"/>
    </w:pPr>
    <w:rPr>
      <w:sz w:val="16"/>
      <w:szCs w:val="16"/>
    </w:rPr>
  </w:style>
  <w:style w:type="paragraph" w:styleId="38">
    <w:name w:val="toc 2"/>
    <w:basedOn w:val="1"/>
    <w:next w:val="1"/>
    <w:autoRedefine/>
    <w:qFormat/>
    <w:uiPriority w:val="39"/>
    <w:pPr>
      <w:tabs>
        <w:tab w:val="right" w:leader="dot" w:pos="8302"/>
      </w:tabs>
      <w:spacing w:line="500" w:lineRule="exact"/>
      <w:ind w:left="420" w:leftChars="200"/>
    </w:pPr>
    <w:rPr>
      <w:rFonts w:ascii="宋体" w:hAnsi="宋体" w:cs="宋体"/>
    </w:rPr>
  </w:style>
  <w:style w:type="paragraph" w:styleId="39">
    <w:name w:val="toc 9"/>
    <w:basedOn w:val="1"/>
    <w:next w:val="1"/>
    <w:autoRedefine/>
    <w:qFormat/>
    <w:uiPriority w:val="0"/>
    <w:pPr>
      <w:ind w:left="3360" w:leftChars="1600"/>
    </w:pPr>
    <w:rPr>
      <w:rFonts w:ascii="Calibri" w:hAnsi="Calibri"/>
      <w:szCs w:val="22"/>
    </w:rPr>
  </w:style>
  <w:style w:type="paragraph" w:styleId="40">
    <w:name w:val="Body Text 2"/>
    <w:basedOn w:val="1"/>
    <w:link w:val="84"/>
    <w:autoRedefine/>
    <w:qFormat/>
    <w:uiPriority w:val="0"/>
    <w:pPr>
      <w:spacing w:after="120" w:line="480" w:lineRule="auto"/>
    </w:p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3">
    <w:name w:val="Title"/>
    <w:basedOn w:val="1"/>
    <w:next w:val="1"/>
    <w:link w:val="86"/>
    <w:autoRedefine/>
    <w:qFormat/>
    <w:uiPriority w:val="0"/>
    <w:pPr>
      <w:spacing w:before="240" w:after="60"/>
      <w:jc w:val="center"/>
      <w:outlineLvl w:val="0"/>
    </w:pPr>
    <w:rPr>
      <w:rFonts w:ascii="Cambria" w:hAnsi="Cambria"/>
      <w:b/>
      <w:sz w:val="32"/>
    </w:rPr>
  </w:style>
  <w:style w:type="paragraph" w:styleId="44">
    <w:name w:val="annotation subject"/>
    <w:basedOn w:val="16"/>
    <w:next w:val="16"/>
    <w:link w:val="87"/>
    <w:autoRedefine/>
    <w:qFormat/>
    <w:uiPriority w:val="0"/>
    <w:rPr>
      <w:b/>
      <w:bCs/>
    </w:rPr>
  </w:style>
  <w:style w:type="paragraph" w:styleId="45">
    <w:name w:val="Body Text First Indent"/>
    <w:basedOn w:val="2"/>
    <w:link w:val="88"/>
    <w:autoRedefine/>
    <w:qFormat/>
    <w:uiPriority w:val="0"/>
    <w:pPr>
      <w:ind w:firstLine="420" w:firstLineChars="100"/>
    </w:pPr>
  </w:style>
  <w:style w:type="paragraph" w:styleId="46">
    <w:name w:val="Body Text First Indent 2"/>
    <w:basedOn w:val="19"/>
    <w:next w:val="1"/>
    <w:autoRedefine/>
    <w:unhideWhenUsed/>
    <w:qFormat/>
    <w:uiPriority w:val="99"/>
    <w:pPr>
      <w:ind w:firstLine="420" w:firstLineChars="2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rFonts w:ascii="Times New Roman" w:hAnsi="Times New Roman" w:eastAsia="宋体"/>
    </w:rPr>
  </w:style>
  <w:style w:type="character" w:styleId="54">
    <w:name w:val="HTML Definition"/>
    <w:autoRedefine/>
    <w:qFormat/>
    <w:uiPriority w:val="0"/>
    <w:rPr>
      <w:rFonts w:ascii="Times New Roman" w:hAnsi="Times New Roman" w:eastAsia="宋体"/>
    </w:rPr>
  </w:style>
  <w:style w:type="character" w:styleId="55">
    <w:name w:val="HTML Variable"/>
    <w:autoRedefine/>
    <w:qFormat/>
    <w:uiPriority w:val="0"/>
    <w:rPr>
      <w:rFonts w:ascii="Times New Roman" w:hAnsi="Times New Roman" w:eastAsia="宋体"/>
    </w:rPr>
  </w:style>
  <w:style w:type="character" w:styleId="56">
    <w:name w:val="Hyperlink"/>
    <w:autoRedefine/>
    <w:qFormat/>
    <w:uiPriority w:val="99"/>
    <w:rPr>
      <w:color w:val="136EC2"/>
      <w:u w:val="single"/>
    </w:rPr>
  </w:style>
  <w:style w:type="character" w:styleId="57">
    <w:name w:val="HTML Code"/>
    <w:autoRedefine/>
    <w:qFormat/>
    <w:uiPriority w:val="0"/>
    <w:rPr>
      <w:rFonts w:ascii="Courier New" w:hAnsi="Courier New" w:eastAsia="Courier New" w:cs="Courier New"/>
      <w:sz w:val="20"/>
    </w:rPr>
  </w:style>
  <w:style w:type="character" w:styleId="58">
    <w:name w:val="annotation reference"/>
    <w:autoRedefine/>
    <w:qFormat/>
    <w:uiPriority w:val="0"/>
    <w:rPr>
      <w:sz w:val="21"/>
      <w:szCs w:val="21"/>
    </w:rPr>
  </w:style>
  <w:style w:type="character" w:styleId="59">
    <w:name w:val="HTML Cite"/>
    <w:autoRedefine/>
    <w:qFormat/>
    <w:uiPriority w:val="0"/>
    <w:rPr>
      <w:rFonts w:ascii="Times New Roman" w:hAnsi="Times New Roman" w:eastAsia="宋体"/>
    </w:rPr>
  </w:style>
  <w:style w:type="character" w:styleId="60">
    <w:name w:val="HTML Keyboard"/>
    <w:autoRedefine/>
    <w:qFormat/>
    <w:uiPriority w:val="0"/>
    <w:rPr>
      <w:rFonts w:ascii="Courier New" w:hAnsi="Courier New" w:eastAsia="Courier New" w:cs="Courier New"/>
      <w:sz w:val="20"/>
    </w:rPr>
  </w:style>
  <w:style w:type="character" w:styleId="61">
    <w:name w:val="HTML Sample"/>
    <w:basedOn w:val="49"/>
    <w:autoRedefine/>
    <w:qFormat/>
    <w:uiPriority w:val="0"/>
    <w:rPr>
      <w:rFonts w:ascii="Courier New" w:hAnsi="Courier New" w:eastAsia="Courier New" w:cs="Courier New"/>
    </w:rPr>
  </w:style>
  <w:style w:type="character" w:customStyle="1" w:styleId="62">
    <w:name w:val="正文文本 字符"/>
    <w:basedOn w:val="49"/>
    <w:link w:val="2"/>
    <w:autoRedefine/>
    <w:qFormat/>
    <w:uiPriority w:val="99"/>
    <w:rPr>
      <w:b/>
      <w:kern w:val="2"/>
      <w:sz w:val="21"/>
      <w:szCs w:val="24"/>
    </w:rPr>
  </w:style>
  <w:style w:type="character" w:customStyle="1" w:styleId="63">
    <w:name w:val="标题 1 字符"/>
    <w:basedOn w:val="49"/>
    <w:link w:val="3"/>
    <w:autoRedefine/>
    <w:qFormat/>
    <w:uiPriority w:val="0"/>
    <w:rPr>
      <w:rFonts w:ascii="Times New Roman" w:hAnsi="Times New Roman" w:eastAsia="宋体" w:cs="Times New Roman"/>
      <w:b/>
      <w:bCs/>
      <w:sz w:val="28"/>
      <w:szCs w:val="20"/>
    </w:rPr>
  </w:style>
  <w:style w:type="character" w:customStyle="1" w:styleId="64">
    <w:name w:val="标题 2 字符"/>
    <w:basedOn w:val="49"/>
    <w:link w:val="4"/>
    <w:autoRedefine/>
    <w:qFormat/>
    <w:uiPriority w:val="0"/>
    <w:rPr>
      <w:rFonts w:ascii="Arial" w:hAnsi="Arial" w:eastAsia="宋体" w:cs="Times New Roman"/>
      <w:b/>
      <w:bCs/>
      <w:sz w:val="24"/>
      <w:szCs w:val="32"/>
    </w:rPr>
  </w:style>
  <w:style w:type="character" w:customStyle="1" w:styleId="65">
    <w:name w:val="标题 3 字符"/>
    <w:basedOn w:val="49"/>
    <w:link w:val="5"/>
    <w:autoRedefine/>
    <w:qFormat/>
    <w:uiPriority w:val="0"/>
    <w:rPr>
      <w:rFonts w:ascii="Times New Roman" w:hAnsi="Times New Roman" w:eastAsia="宋体" w:cs="Times New Roman"/>
      <w:b/>
      <w:bCs/>
      <w:sz w:val="32"/>
      <w:szCs w:val="32"/>
    </w:rPr>
  </w:style>
  <w:style w:type="character" w:customStyle="1" w:styleId="66">
    <w:name w:val="标题 4 字符"/>
    <w:basedOn w:val="49"/>
    <w:link w:val="6"/>
    <w:autoRedefine/>
    <w:qFormat/>
    <w:uiPriority w:val="0"/>
    <w:rPr>
      <w:rFonts w:ascii="Arial" w:hAnsi="Arial" w:eastAsia="黑体" w:cs="Times New Roman"/>
      <w:b/>
      <w:bCs/>
      <w:sz w:val="28"/>
      <w:szCs w:val="28"/>
    </w:rPr>
  </w:style>
  <w:style w:type="character" w:customStyle="1" w:styleId="67">
    <w:name w:val="标题 5 字符"/>
    <w:basedOn w:val="49"/>
    <w:link w:val="7"/>
    <w:autoRedefine/>
    <w:qFormat/>
    <w:uiPriority w:val="0"/>
    <w:rPr>
      <w:rFonts w:ascii="Times New Roman" w:hAnsi="Times New Roman" w:eastAsia="宋体" w:cs="Times New Roman"/>
      <w:b/>
      <w:bCs/>
      <w:kern w:val="0"/>
      <w:sz w:val="28"/>
      <w:szCs w:val="28"/>
    </w:rPr>
  </w:style>
  <w:style w:type="character" w:customStyle="1" w:styleId="68">
    <w:name w:val="标题 6 字符"/>
    <w:basedOn w:val="49"/>
    <w:link w:val="8"/>
    <w:autoRedefine/>
    <w:qFormat/>
    <w:uiPriority w:val="0"/>
    <w:rPr>
      <w:rFonts w:ascii="Arial" w:hAnsi="Arial" w:eastAsia="黑体" w:cs="Times New Roman"/>
      <w:b/>
      <w:bCs/>
      <w:kern w:val="0"/>
      <w:sz w:val="24"/>
      <w:szCs w:val="24"/>
    </w:rPr>
  </w:style>
  <w:style w:type="character" w:customStyle="1" w:styleId="69">
    <w:name w:val="标题 7 字符"/>
    <w:basedOn w:val="49"/>
    <w:link w:val="9"/>
    <w:autoRedefine/>
    <w:qFormat/>
    <w:uiPriority w:val="0"/>
    <w:rPr>
      <w:rFonts w:ascii="Times New Roman" w:hAnsi="Times New Roman" w:eastAsia="宋体" w:cs="Times New Roman"/>
      <w:b/>
      <w:bCs/>
      <w:kern w:val="0"/>
      <w:sz w:val="24"/>
      <w:szCs w:val="24"/>
    </w:rPr>
  </w:style>
  <w:style w:type="character" w:customStyle="1" w:styleId="70">
    <w:name w:val="标题 8 字符"/>
    <w:basedOn w:val="49"/>
    <w:link w:val="10"/>
    <w:autoRedefine/>
    <w:qFormat/>
    <w:uiPriority w:val="0"/>
    <w:rPr>
      <w:rFonts w:ascii="Arial" w:hAnsi="Arial" w:eastAsia="黑体" w:cs="Times New Roman"/>
      <w:kern w:val="0"/>
      <w:sz w:val="24"/>
      <w:szCs w:val="24"/>
    </w:rPr>
  </w:style>
  <w:style w:type="character" w:customStyle="1" w:styleId="71">
    <w:name w:val="标题 9 字符"/>
    <w:basedOn w:val="49"/>
    <w:link w:val="11"/>
    <w:autoRedefine/>
    <w:qFormat/>
    <w:uiPriority w:val="0"/>
    <w:rPr>
      <w:rFonts w:ascii="Arial" w:hAnsi="Arial" w:eastAsia="黑体" w:cs="Times New Roman"/>
      <w:kern w:val="0"/>
      <w:szCs w:val="21"/>
    </w:rPr>
  </w:style>
  <w:style w:type="character" w:customStyle="1" w:styleId="72">
    <w:name w:val="文档结构图 字符"/>
    <w:basedOn w:val="49"/>
    <w:link w:val="14"/>
    <w:autoRedefine/>
    <w:semiHidden/>
    <w:qFormat/>
    <w:uiPriority w:val="0"/>
    <w:rPr>
      <w:rFonts w:ascii="Times New Roman" w:hAnsi="Times New Roman" w:eastAsia="宋体" w:cs="Times New Roman"/>
      <w:szCs w:val="24"/>
      <w:shd w:val="clear" w:color="auto" w:fill="000080"/>
    </w:rPr>
  </w:style>
  <w:style w:type="character" w:customStyle="1" w:styleId="73">
    <w:name w:val="批注文字 字符"/>
    <w:basedOn w:val="49"/>
    <w:link w:val="16"/>
    <w:autoRedefine/>
    <w:semiHidden/>
    <w:qFormat/>
    <w:uiPriority w:val="0"/>
    <w:rPr>
      <w:rFonts w:ascii="Times New Roman" w:hAnsi="Times New Roman" w:eastAsia="宋体" w:cs="Times New Roman"/>
      <w:szCs w:val="24"/>
    </w:rPr>
  </w:style>
  <w:style w:type="character" w:customStyle="1" w:styleId="74">
    <w:name w:val="称呼 字符"/>
    <w:basedOn w:val="49"/>
    <w:link w:val="17"/>
    <w:autoRedefine/>
    <w:qFormat/>
    <w:uiPriority w:val="0"/>
    <w:rPr>
      <w:rFonts w:ascii="仿宋_GB2312" w:hAnsi="Times New Roman" w:eastAsia="仿宋_GB2312" w:cs="Times New Roman"/>
      <w:sz w:val="24"/>
      <w:szCs w:val="24"/>
    </w:rPr>
  </w:style>
  <w:style w:type="character" w:customStyle="1" w:styleId="75">
    <w:name w:val="正文文本 3 字符"/>
    <w:basedOn w:val="49"/>
    <w:link w:val="18"/>
    <w:autoRedefine/>
    <w:qFormat/>
    <w:uiPriority w:val="0"/>
    <w:rPr>
      <w:rFonts w:ascii="宋体" w:hAnsi="Times New Roman" w:eastAsia="宋体" w:cs="Times New Roman"/>
      <w:color w:val="000000"/>
      <w:kern w:val="0"/>
      <w:sz w:val="24"/>
      <w:szCs w:val="20"/>
    </w:rPr>
  </w:style>
  <w:style w:type="character" w:customStyle="1" w:styleId="76">
    <w:name w:val="正文文本缩进 字符"/>
    <w:basedOn w:val="49"/>
    <w:link w:val="19"/>
    <w:autoRedefine/>
    <w:qFormat/>
    <w:uiPriority w:val="0"/>
    <w:rPr>
      <w:rFonts w:ascii="Times New Roman" w:hAnsi="Times New Roman" w:eastAsia="宋体" w:cs="Times New Roman"/>
      <w:szCs w:val="24"/>
    </w:rPr>
  </w:style>
  <w:style w:type="character" w:customStyle="1" w:styleId="77">
    <w:name w:val="纯文本 字符"/>
    <w:basedOn w:val="49"/>
    <w:link w:val="24"/>
    <w:autoRedefine/>
    <w:qFormat/>
    <w:uiPriority w:val="99"/>
    <w:rPr>
      <w:rFonts w:ascii="Times New Roman" w:hAnsi="Times New Roman" w:eastAsia="宋体" w:cs="Times New Roman"/>
      <w:sz w:val="24"/>
      <w:szCs w:val="20"/>
    </w:rPr>
  </w:style>
  <w:style w:type="character" w:customStyle="1" w:styleId="78">
    <w:name w:val="日期 字符"/>
    <w:basedOn w:val="49"/>
    <w:link w:val="26"/>
    <w:autoRedefine/>
    <w:qFormat/>
    <w:uiPriority w:val="0"/>
    <w:rPr>
      <w:rFonts w:ascii="Times New Roman" w:hAnsi="Times New Roman" w:eastAsia="宋体" w:cs="Times New Roman"/>
      <w:sz w:val="24"/>
      <w:szCs w:val="20"/>
    </w:rPr>
  </w:style>
  <w:style w:type="character" w:customStyle="1" w:styleId="79">
    <w:name w:val="正文文本缩进 2 字符"/>
    <w:basedOn w:val="49"/>
    <w:link w:val="27"/>
    <w:autoRedefine/>
    <w:qFormat/>
    <w:uiPriority w:val="0"/>
    <w:rPr>
      <w:rFonts w:ascii="Times New Roman" w:hAnsi="Times New Roman" w:eastAsia="宋体" w:cs="Times New Roman"/>
      <w:szCs w:val="24"/>
    </w:rPr>
  </w:style>
  <w:style w:type="character" w:customStyle="1" w:styleId="80">
    <w:name w:val="批注框文本 字符"/>
    <w:basedOn w:val="49"/>
    <w:link w:val="28"/>
    <w:autoRedefine/>
    <w:qFormat/>
    <w:uiPriority w:val="0"/>
    <w:rPr>
      <w:rFonts w:ascii="Calibri" w:hAnsi="Calibri" w:eastAsia="宋体" w:cs="Times New Roman"/>
      <w:sz w:val="18"/>
      <w:szCs w:val="18"/>
    </w:rPr>
  </w:style>
  <w:style w:type="character" w:customStyle="1" w:styleId="81">
    <w:name w:val="页脚 字符"/>
    <w:basedOn w:val="49"/>
    <w:link w:val="29"/>
    <w:autoRedefine/>
    <w:qFormat/>
    <w:uiPriority w:val="99"/>
    <w:rPr>
      <w:rFonts w:ascii="Times New Roman" w:hAnsi="Times New Roman" w:eastAsia="宋体" w:cs="Times New Roman"/>
      <w:sz w:val="18"/>
      <w:szCs w:val="18"/>
    </w:rPr>
  </w:style>
  <w:style w:type="character" w:customStyle="1" w:styleId="82">
    <w:name w:val="页眉 字符"/>
    <w:basedOn w:val="49"/>
    <w:link w:val="30"/>
    <w:autoRedefine/>
    <w:qFormat/>
    <w:uiPriority w:val="0"/>
    <w:rPr>
      <w:rFonts w:ascii="Times New Roman" w:hAnsi="Times New Roman" w:eastAsia="宋体" w:cs="Times New Roman"/>
      <w:sz w:val="18"/>
      <w:szCs w:val="18"/>
    </w:rPr>
  </w:style>
  <w:style w:type="character" w:customStyle="1" w:styleId="83">
    <w:name w:val="正文文本缩进 3 字符"/>
    <w:basedOn w:val="49"/>
    <w:link w:val="37"/>
    <w:autoRedefine/>
    <w:qFormat/>
    <w:uiPriority w:val="0"/>
    <w:rPr>
      <w:rFonts w:ascii="Times New Roman" w:hAnsi="Times New Roman" w:eastAsia="宋体" w:cs="Times New Roman"/>
      <w:sz w:val="16"/>
      <w:szCs w:val="16"/>
    </w:rPr>
  </w:style>
  <w:style w:type="character" w:customStyle="1" w:styleId="84">
    <w:name w:val="正文文本 2 字符"/>
    <w:basedOn w:val="49"/>
    <w:link w:val="40"/>
    <w:autoRedefine/>
    <w:qFormat/>
    <w:uiPriority w:val="0"/>
    <w:rPr>
      <w:rFonts w:ascii="Times New Roman" w:hAnsi="Times New Roman" w:eastAsia="宋体" w:cs="Times New Roman"/>
      <w:szCs w:val="24"/>
    </w:rPr>
  </w:style>
  <w:style w:type="character" w:customStyle="1" w:styleId="85">
    <w:name w:val="HTML 预设格式 字符"/>
    <w:basedOn w:val="49"/>
    <w:link w:val="41"/>
    <w:autoRedefine/>
    <w:qFormat/>
    <w:uiPriority w:val="0"/>
    <w:rPr>
      <w:rFonts w:ascii="Arial" w:hAnsi="Arial" w:eastAsia="宋体" w:cs="Arial"/>
      <w:kern w:val="0"/>
      <w:sz w:val="24"/>
      <w:szCs w:val="24"/>
    </w:rPr>
  </w:style>
  <w:style w:type="character" w:customStyle="1" w:styleId="86">
    <w:name w:val="标题 字符"/>
    <w:basedOn w:val="49"/>
    <w:link w:val="43"/>
    <w:autoRedefine/>
    <w:qFormat/>
    <w:uiPriority w:val="0"/>
    <w:rPr>
      <w:rFonts w:ascii="Cambria" w:hAnsi="Cambria" w:eastAsia="宋体" w:cs="Times New Roman"/>
      <w:b/>
      <w:sz w:val="32"/>
      <w:szCs w:val="24"/>
    </w:rPr>
  </w:style>
  <w:style w:type="character" w:customStyle="1" w:styleId="87">
    <w:name w:val="批注主题 字符"/>
    <w:basedOn w:val="73"/>
    <w:link w:val="44"/>
    <w:autoRedefine/>
    <w:qFormat/>
    <w:uiPriority w:val="0"/>
    <w:rPr>
      <w:rFonts w:ascii="Times New Roman" w:hAnsi="Times New Roman" w:eastAsia="宋体" w:cs="Times New Roman"/>
      <w:b/>
      <w:bCs/>
      <w:szCs w:val="24"/>
    </w:rPr>
  </w:style>
  <w:style w:type="character" w:customStyle="1" w:styleId="88">
    <w:name w:val="正文首行缩进 字符"/>
    <w:basedOn w:val="62"/>
    <w:link w:val="45"/>
    <w:autoRedefine/>
    <w:qFormat/>
    <w:uiPriority w:val="0"/>
    <w:rPr>
      <w:rFonts w:ascii="Times New Roman" w:hAnsi="Times New Roman" w:eastAsia="宋体" w:cs="Times New Roman"/>
      <w:kern w:val="2"/>
      <w:sz w:val="21"/>
      <w:szCs w:val="24"/>
    </w:rPr>
  </w:style>
  <w:style w:type="character" w:customStyle="1" w:styleId="89">
    <w:name w:val="Font Style122"/>
    <w:autoRedefine/>
    <w:unhideWhenUsed/>
    <w:qFormat/>
    <w:uiPriority w:val="0"/>
    <w:rPr>
      <w:rFonts w:hint="eastAsia" w:ascii="宋体" w:hAnsi="宋体" w:eastAsia="宋体"/>
      <w:spacing w:val="20"/>
      <w:sz w:val="24"/>
    </w:rPr>
  </w:style>
  <w:style w:type="character" w:customStyle="1" w:styleId="90">
    <w:name w:val="标题 4 Char Char"/>
    <w:autoRedefine/>
    <w:qFormat/>
    <w:uiPriority w:val="0"/>
    <w:rPr>
      <w:rFonts w:ascii="Arial" w:hAnsi="Arial" w:eastAsia="宋体"/>
      <w:b/>
      <w:bCs/>
      <w:kern w:val="2"/>
      <w:sz w:val="21"/>
      <w:szCs w:val="28"/>
      <w:lang w:val="en-US" w:eastAsia="zh-CN" w:bidi="ar-SA"/>
    </w:rPr>
  </w:style>
  <w:style w:type="character" w:customStyle="1" w:styleId="91">
    <w:name w:val="标题 1 Char"/>
    <w:autoRedefine/>
    <w:qFormat/>
    <w:uiPriority w:val="0"/>
    <w:rPr>
      <w:rFonts w:ascii="Cambria" w:hAnsi="Cambria"/>
      <w:b/>
      <w:bCs/>
      <w:kern w:val="32"/>
      <w:sz w:val="32"/>
      <w:szCs w:val="32"/>
    </w:rPr>
  </w:style>
  <w:style w:type="character" w:customStyle="1" w:styleId="92">
    <w:name w:val="Font Style116"/>
    <w:autoRedefine/>
    <w:unhideWhenUsed/>
    <w:qFormat/>
    <w:uiPriority w:val="0"/>
    <w:rPr>
      <w:rFonts w:hint="eastAsia" w:ascii="宋体" w:hAnsi="宋体" w:eastAsia="宋体"/>
      <w:spacing w:val="-20"/>
      <w:sz w:val="24"/>
    </w:rPr>
  </w:style>
  <w:style w:type="character" w:customStyle="1" w:styleId="93">
    <w:name w:val="标题 6 Char"/>
    <w:autoRedefine/>
    <w:qFormat/>
    <w:uiPriority w:val="0"/>
    <w:rPr>
      <w:rFonts w:ascii="Arial" w:hAnsi="Arial" w:eastAsia="黑体"/>
      <w:b/>
      <w:bCs/>
      <w:sz w:val="24"/>
      <w:szCs w:val="24"/>
    </w:rPr>
  </w:style>
  <w:style w:type="character" w:customStyle="1" w:styleId="94">
    <w:name w:val="Font Style127"/>
    <w:autoRedefine/>
    <w:unhideWhenUsed/>
    <w:qFormat/>
    <w:uiPriority w:val="0"/>
    <w:rPr>
      <w:rFonts w:hint="eastAsia" w:ascii="Times New Roman" w:hAnsi="Times New Roman" w:eastAsia="Times New Roman"/>
      <w:sz w:val="20"/>
    </w:rPr>
  </w:style>
  <w:style w:type="character" w:customStyle="1" w:styleId="95">
    <w:name w:val="Font Style121"/>
    <w:autoRedefine/>
    <w:unhideWhenUsed/>
    <w:qFormat/>
    <w:uiPriority w:val="0"/>
    <w:rPr>
      <w:rFonts w:hint="eastAsia" w:ascii="宋体" w:hAnsi="宋体" w:eastAsia="宋体"/>
      <w:spacing w:val="-10"/>
      <w:sz w:val="30"/>
    </w:rPr>
  </w:style>
  <w:style w:type="character" w:customStyle="1" w:styleId="96">
    <w:name w:val="bds_nopic2"/>
    <w:autoRedefine/>
    <w:qFormat/>
    <w:uiPriority w:val="0"/>
    <w:rPr>
      <w:rFonts w:ascii="Times New Roman" w:hAnsi="Times New Roman" w:eastAsia="宋体"/>
    </w:rPr>
  </w:style>
  <w:style w:type="character" w:customStyle="1" w:styleId="97">
    <w:name w:val="param-name"/>
    <w:autoRedefine/>
    <w:qFormat/>
    <w:uiPriority w:val="0"/>
  </w:style>
  <w:style w:type="character" w:customStyle="1" w:styleId="98">
    <w:name w:val="bookmark-item"/>
    <w:autoRedefine/>
    <w:qFormat/>
    <w:uiPriority w:val="0"/>
  </w:style>
  <w:style w:type="character" w:customStyle="1" w:styleId="99">
    <w:name w:val="标题 5 Char"/>
    <w:autoRedefine/>
    <w:qFormat/>
    <w:uiPriority w:val="0"/>
    <w:rPr>
      <w:b/>
      <w:bCs/>
      <w:kern w:val="2"/>
      <w:sz w:val="28"/>
      <w:szCs w:val="28"/>
    </w:rPr>
  </w:style>
  <w:style w:type="character" w:customStyle="1" w:styleId="100">
    <w:name w:val="Font Style119"/>
    <w:autoRedefine/>
    <w:unhideWhenUsed/>
    <w:qFormat/>
    <w:uiPriority w:val="0"/>
    <w:rPr>
      <w:rFonts w:hint="eastAsia" w:ascii="宋体" w:hAnsi="宋体" w:eastAsia="宋体"/>
      <w:sz w:val="24"/>
    </w:rPr>
  </w:style>
  <w:style w:type="character" w:customStyle="1" w:styleId="101">
    <w:name w:val="批注文字 Char"/>
    <w:autoRedefine/>
    <w:qFormat/>
    <w:uiPriority w:val="0"/>
    <w:rPr>
      <w:kern w:val="2"/>
      <w:sz w:val="21"/>
      <w:szCs w:val="24"/>
    </w:rPr>
  </w:style>
  <w:style w:type="character" w:customStyle="1" w:styleId="102">
    <w:name w:val="bds_more7"/>
    <w:autoRedefine/>
    <w:qFormat/>
    <w:uiPriority w:val="0"/>
    <w:rPr>
      <w:rFonts w:ascii="Times New Roman" w:hAnsi="Times New Roman" w:eastAsia="宋体"/>
    </w:rPr>
  </w:style>
  <w:style w:type="character" w:customStyle="1" w:styleId="103">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104">
    <w:name w:val="sidecatalog-index2"/>
    <w:autoRedefine/>
    <w:qFormat/>
    <w:uiPriority w:val="0"/>
    <w:rPr>
      <w:rFonts w:ascii="Arail" w:hAnsi="Arail" w:eastAsia="Arail" w:cs="Arail"/>
      <w:color w:val="999999"/>
      <w:sz w:val="21"/>
      <w:szCs w:val="21"/>
    </w:rPr>
  </w:style>
  <w:style w:type="character" w:customStyle="1" w:styleId="105">
    <w:name w:val="批注框文本 Char"/>
    <w:autoRedefine/>
    <w:qFormat/>
    <w:uiPriority w:val="0"/>
    <w:rPr>
      <w:kern w:val="2"/>
      <w:sz w:val="18"/>
      <w:szCs w:val="18"/>
    </w:rPr>
  </w:style>
  <w:style w:type="character" w:customStyle="1" w:styleId="106">
    <w:name w:val="apple-converted-space"/>
    <w:autoRedefine/>
    <w:qFormat/>
    <w:uiPriority w:val="0"/>
    <w:rPr>
      <w:rFonts w:ascii="Tahoma" w:hAnsi="Tahoma" w:cs="仿宋_GB2312"/>
      <w:sz w:val="24"/>
      <w:szCs w:val="28"/>
    </w:rPr>
  </w:style>
  <w:style w:type="character" w:customStyle="1" w:styleId="107">
    <w:name w:val="Char Char17"/>
    <w:autoRedefine/>
    <w:qFormat/>
    <w:uiPriority w:val="0"/>
    <w:rPr>
      <w:rFonts w:ascii="宋体" w:hAnsi="Times New Roman" w:eastAsia="宋体"/>
      <w:b/>
      <w:sz w:val="28"/>
      <w:lang w:val="en-US" w:eastAsia="zh-CN" w:bidi="ar-SA"/>
    </w:rPr>
  </w:style>
  <w:style w:type="character" w:customStyle="1" w:styleId="108">
    <w:name w:val="标题 9 Char"/>
    <w:autoRedefine/>
    <w:qFormat/>
    <w:uiPriority w:val="0"/>
    <w:rPr>
      <w:rFonts w:ascii="Arial" w:hAnsi="Arial" w:eastAsia="黑体"/>
      <w:sz w:val="21"/>
      <w:szCs w:val="21"/>
    </w:rPr>
  </w:style>
  <w:style w:type="character" w:customStyle="1" w:styleId="109">
    <w:name w:val="Font Style126"/>
    <w:autoRedefine/>
    <w:unhideWhenUsed/>
    <w:qFormat/>
    <w:uiPriority w:val="0"/>
    <w:rPr>
      <w:rFonts w:hint="eastAsia" w:ascii="宋体" w:hAnsi="宋体" w:eastAsia="宋体"/>
      <w:b/>
      <w:spacing w:val="-30"/>
      <w:sz w:val="28"/>
    </w:rPr>
  </w:style>
  <w:style w:type="character" w:customStyle="1" w:styleId="110">
    <w:name w:val="Char Char15"/>
    <w:autoRedefine/>
    <w:qFormat/>
    <w:uiPriority w:val="0"/>
    <w:rPr>
      <w:b/>
      <w:bCs/>
      <w:sz w:val="24"/>
      <w:szCs w:val="24"/>
    </w:rPr>
  </w:style>
  <w:style w:type="character" w:customStyle="1" w:styleId="111">
    <w:name w:val="Font Style94"/>
    <w:autoRedefine/>
    <w:unhideWhenUsed/>
    <w:qFormat/>
    <w:uiPriority w:val="0"/>
    <w:rPr>
      <w:rFonts w:hint="eastAsia" w:ascii="Times New Roman" w:hAnsi="Times New Roman" w:eastAsia="Times New Roman"/>
      <w:sz w:val="28"/>
    </w:rPr>
  </w:style>
  <w:style w:type="character" w:customStyle="1" w:styleId="112">
    <w:name w:val="Char Char14"/>
    <w:autoRedefine/>
    <w:qFormat/>
    <w:uiPriority w:val="0"/>
    <w:rPr>
      <w:rFonts w:ascii="Arial" w:hAnsi="Arial" w:eastAsia="黑体"/>
      <w:b/>
      <w:bCs/>
      <w:sz w:val="28"/>
      <w:szCs w:val="28"/>
      <w:lang w:val="en-US" w:eastAsia="zh-CN" w:bidi="ar-SA"/>
    </w:rPr>
  </w:style>
  <w:style w:type="character" w:customStyle="1" w:styleId="113">
    <w:name w:val="p0 Char"/>
    <w:link w:val="114"/>
    <w:autoRedefine/>
    <w:qFormat/>
    <w:uiPriority w:val="0"/>
    <w:rPr>
      <w:rFonts w:eastAsia="宋体"/>
      <w:szCs w:val="21"/>
    </w:rPr>
  </w:style>
  <w:style w:type="paragraph" w:customStyle="1" w:styleId="114">
    <w:name w:val="p0"/>
    <w:basedOn w:val="1"/>
    <w:link w:val="113"/>
    <w:autoRedefine/>
    <w:qFormat/>
    <w:uiPriority w:val="0"/>
    <w:pPr>
      <w:widowControl/>
    </w:pPr>
    <w:rPr>
      <w:rFonts w:asciiTheme="minorHAnsi" w:hAnsiTheme="minorHAnsi" w:cstheme="minorBidi"/>
      <w:szCs w:val="21"/>
    </w:rPr>
  </w:style>
  <w:style w:type="character" w:customStyle="1" w:styleId="115">
    <w:name w:val="Char Char16"/>
    <w:autoRedefine/>
    <w:qFormat/>
    <w:uiPriority w:val="0"/>
    <w:rPr>
      <w:rFonts w:ascii="宋体" w:hAnsi="Times New Roman" w:eastAsia="宋体"/>
      <w:b/>
      <w:sz w:val="24"/>
      <w:lang w:val="en-US" w:eastAsia="zh-CN" w:bidi="ar-SA"/>
    </w:rPr>
  </w:style>
  <w:style w:type="character" w:customStyle="1" w:styleId="116">
    <w:name w:val="bds_more9"/>
    <w:autoRedefine/>
    <w:qFormat/>
    <w:uiPriority w:val="0"/>
    <w:rPr>
      <w:rFonts w:ascii="Times New Roman" w:hAnsi="Times New Roman" w:eastAsia="宋体"/>
    </w:rPr>
  </w:style>
  <w:style w:type="character" w:customStyle="1" w:styleId="117">
    <w:name w:val="sidecatalog-index1"/>
    <w:autoRedefine/>
    <w:qFormat/>
    <w:uiPriority w:val="0"/>
    <w:rPr>
      <w:rFonts w:ascii="Arial" w:hAnsi="Arial" w:eastAsia="宋体" w:cs="Arial"/>
      <w:b/>
      <w:color w:val="999999"/>
      <w:sz w:val="21"/>
      <w:szCs w:val="21"/>
    </w:rPr>
  </w:style>
  <w:style w:type="character" w:customStyle="1" w:styleId="118">
    <w:name w:val="Font Style104"/>
    <w:autoRedefine/>
    <w:unhideWhenUsed/>
    <w:qFormat/>
    <w:uiPriority w:val="0"/>
    <w:rPr>
      <w:rFonts w:hint="eastAsia" w:ascii="宋体" w:hAnsi="宋体" w:eastAsia="宋体"/>
      <w:spacing w:val="30"/>
      <w:sz w:val="18"/>
    </w:rPr>
  </w:style>
  <w:style w:type="character" w:customStyle="1" w:styleId="119">
    <w:name w:val="sidecatalog-dot"/>
    <w:autoRedefine/>
    <w:qFormat/>
    <w:uiPriority w:val="0"/>
    <w:rPr>
      <w:rFonts w:ascii="Times New Roman" w:hAnsi="Times New Roman" w:eastAsia="宋体"/>
    </w:rPr>
  </w:style>
  <w:style w:type="character" w:customStyle="1" w:styleId="120">
    <w:name w:val="bds_more8"/>
    <w:autoRedefine/>
    <w:qFormat/>
    <w:uiPriority w:val="0"/>
    <w:rPr>
      <w:rFonts w:ascii="Times New Roman" w:hAnsi="Times New Roman" w:eastAsia="宋体"/>
    </w:rPr>
  </w:style>
  <w:style w:type="character" w:customStyle="1" w:styleId="121">
    <w:name w:val="plus"/>
    <w:autoRedefine/>
    <w:qFormat/>
    <w:uiPriority w:val="0"/>
    <w:rPr>
      <w:rFonts w:ascii="Times New Roman" w:hAnsi="Times New Roman" w:eastAsia="宋体"/>
      <w:b/>
      <w:vanish/>
      <w:color w:val="1F8DEF"/>
      <w:sz w:val="24"/>
      <w:szCs w:val="24"/>
    </w:rPr>
  </w:style>
  <w:style w:type="character" w:customStyle="1" w:styleId="122">
    <w:name w:val="polysemyred"/>
    <w:autoRedefine/>
    <w:qFormat/>
    <w:uiPriority w:val="0"/>
    <w:rPr>
      <w:rFonts w:ascii="Times New Roman" w:hAnsi="Times New Roman" w:eastAsia="宋体"/>
      <w:color w:val="FF6666"/>
      <w:sz w:val="18"/>
      <w:szCs w:val="18"/>
    </w:rPr>
  </w:style>
  <w:style w:type="character" w:customStyle="1" w:styleId="123">
    <w:name w:val="lemmatitleh12"/>
    <w:autoRedefine/>
    <w:qFormat/>
    <w:uiPriority w:val="0"/>
    <w:rPr>
      <w:rFonts w:ascii="Times New Roman" w:hAnsi="Times New Roman" w:eastAsia="宋体"/>
    </w:rPr>
  </w:style>
  <w:style w:type="character" w:customStyle="1" w:styleId="124">
    <w:name w:val="页脚 Char"/>
    <w:autoRedefine/>
    <w:qFormat/>
    <w:uiPriority w:val="99"/>
    <w:rPr>
      <w:kern w:val="2"/>
      <w:sz w:val="18"/>
      <w:szCs w:val="18"/>
    </w:rPr>
  </w:style>
  <w:style w:type="character" w:customStyle="1" w:styleId="125">
    <w:name w:val="批注文字 Char Char"/>
    <w:autoRedefine/>
    <w:qFormat/>
    <w:uiPriority w:val="0"/>
    <w:rPr>
      <w:kern w:val="2"/>
      <w:sz w:val="21"/>
      <w:szCs w:val="24"/>
      <w:lang w:bidi="ar-SA"/>
    </w:rPr>
  </w:style>
  <w:style w:type="character" w:customStyle="1" w:styleId="126">
    <w:name w:val="p0 Char Char"/>
    <w:autoRedefine/>
    <w:qFormat/>
    <w:uiPriority w:val="0"/>
    <w:rPr>
      <w:rFonts w:eastAsia="宋体"/>
      <w:kern w:val="2"/>
      <w:sz w:val="21"/>
      <w:szCs w:val="21"/>
      <w:lang w:val="en-US" w:eastAsia="zh-CN" w:bidi="ar-SA"/>
    </w:rPr>
  </w:style>
  <w:style w:type="character" w:customStyle="1" w:styleId="127">
    <w:name w:val="Font Style128"/>
    <w:autoRedefine/>
    <w:unhideWhenUsed/>
    <w:qFormat/>
    <w:uiPriority w:val="0"/>
    <w:rPr>
      <w:rFonts w:hint="eastAsia" w:ascii="Times New Roman" w:hAnsi="Times New Roman" w:eastAsia="Times New Roman"/>
      <w:sz w:val="16"/>
    </w:rPr>
  </w:style>
  <w:style w:type="character" w:customStyle="1" w:styleId="128">
    <w:name w:val="desc"/>
    <w:autoRedefine/>
    <w:qFormat/>
    <w:uiPriority w:val="0"/>
    <w:rPr>
      <w:rFonts w:ascii="Times New Roman" w:hAnsi="Times New Roman" w:eastAsia="宋体"/>
      <w:color w:val="000000"/>
      <w:sz w:val="18"/>
      <w:szCs w:val="18"/>
    </w:rPr>
  </w:style>
  <w:style w:type="character" w:customStyle="1" w:styleId="129">
    <w:name w:val="Font Style117"/>
    <w:autoRedefine/>
    <w:unhideWhenUsed/>
    <w:qFormat/>
    <w:uiPriority w:val="0"/>
    <w:rPr>
      <w:rFonts w:hint="eastAsia" w:ascii="宋体" w:hAnsi="宋体" w:eastAsia="宋体"/>
      <w:spacing w:val="20"/>
      <w:sz w:val="24"/>
    </w:rPr>
  </w:style>
  <w:style w:type="character" w:customStyle="1" w:styleId="130">
    <w:name w:val="Font Style90"/>
    <w:autoRedefine/>
    <w:unhideWhenUsed/>
    <w:qFormat/>
    <w:uiPriority w:val="0"/>
    <w:rPr>
      <w:rFonts w:hint="eastAsia" w:ascii="宋体" w:hAnsi="宋体" w:eastAsia="宋体"/>
      <w:b/>
      <w:spacing w:val="-20"/>
      <w:sz w:val="40"/>
    </w:rPr>
  </w:style>
  <w:style w:type="character" w:customStyle="1" w:styleId="131">
    <w:name w:val="批注主题 Char"/>
    <w:autoRedefine/>
    <w:qFormat/>
    <w:uiPriority w:val="0"/>
    <w:rPr>
      <w:b/>
      <w:bCs/>
      <w:kern w:val="2"/>
      <w:sz w:val="21"/>
      <w:szCs w:val="24"/>
    </w:rPr>
  </w:style>
  <w:style w:type="character" w:customStyle="1" w:styleId="132">
    <w:name w:val="标题 Char1"/>
    <w:autoRedefine/>
    <w:qFormat/>
    <w:uiPriority w:val="0"/>
    <w:rPr>
      <w:rFonts w:ascii="Cambria" w:hAnsi="Cambria" w:eastAsia="宋体" w:cs="Times New Roman"/>
      <w:b/>
      <w:bCs/>
      <w:sz w:val="32"/>
      <w:szCs w:val="32"/>
    </w:rPr>
  </w:style>
  <w:style w:type="character" w:customStyle="1" w:styleId="133">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134">
    <w:name w:val="Font Style131"/>
    <w:autoRedefine/>
    <w:unhideWhenUsed/>
    <w:qFormat/>
    <w:uiPriority w:val="0"/>
    <w:rPr>
      <w:rFonts w:hint="eastAsia" w:ascii="Times New Roman" w:hAnsi="Times New Roman" w:eastAsia="Times New Roman"/>
      <w:sz w:val="18"/>
    </w:rPr>
  </w:style>
  <w:style w:type="character" w:customStyle="1" w:styleId="135">
    <w:name w:val="morelink-item"/>
    <w:autoRedefine/>
    <w:qFormat/>
    <w:uiPriority w:val="0"/>
    <w:rPr>
      <w:rFonts w:ascii="Times New Roman" w:hAnsi="Times New Roman" w:eastAsia="宋体"/>
    </w:rPr>
  </w:style>
  <w:style w:type="character" w:customStyle="1" w:styleId="136">
    <w:name w:val="apple-style-span"/>
    <w:autoRedefine/>
    <w:qFormat/>
    <w:uiPriority w:val="0"/>
    <w:rPr>
      <w:rFonts w:ascii="Tahoma" w:hAnsi="Tahoma" w:cs="仿宋_GB2312"/>
      <w:sz w:val="24"/>
      <w:szCs w:val="28"/>
    </w:rPr>
  </w:style>
  <w:style w:type="character" w:customStyle="1" w:styleId="137">
    <w:name w:val="bds_more10"/>
    <w:autoRedefine/>
    <w:qFormat/>
    <w:uiPriority w:val="0"/>
    <w:rPr>
      <w:rFonts w:ascii="Times New Roman" w:hAnsi="Times New Roman" w:eastAsia="宋体"/>
    </w:rPr>
  </w:style>
  <w:style w:type="character" w:customStyle="1" w:styleId="138">
    <w:name w:val="普通文字1 Char"/>
    <w:autoRedefine/>
    <w:qFormat/>
    <w:uiPriority w:val="0"/>
    <w:rPr>
      <w:rFonts w:ascii="宋体" w:hAnsi="Courier New" w:eastAsia="宋体" w:cs="Courier New"/>
      <w:kern w:val="2"/>
      <w:sz w:val="21"/>
      <w:szCs w:val="21"/>
      <w:lang w:val="en-US" w:eastAsia="zh-CN" w:bidi="ar-SA"/>
    </w:rPr>
  </w:style>
  <w:style w:type="character" w:customStyle="1" w:styleId="139">
    <w:name w:val="bds_nopic1"/>
    <w:autoRedefine/>
    <w:qFormat/>
    <w:uiPriority w:val="0"/>
    <w:rPr>
      <w:rFonts w:ascii="Times New Roman" w:hAnsi="Times New Roman" w:eastAsia="宋体"/>
    </w:rPr>
  </w:style>
  <w:style w:type="character" w:customStyle="1" w:styleId="140">
    <w:name w:val="标题 3 Char"/>
    <w:autoRedefine/>
    <w:qFormat/>
    <w:uiPriority w:val="0"/>
    <w:rPr>
      <w:b/>
      <w:bCs/>
      <w:sz w:val="24"/>
      <w:szCs w:val="24"/>
    </w:rPr>
  </w:style>
  <w:style w:type="character" w:customStyle="1" w:styleId="141">
    <w:name w:val="Font Style124"/>
    <w:autoRedefine/>
    <w:unhideWhenUsed/>
    <w:qFormat/>
    <w:uiPriority w:val="0"/>
    <w:rPr>
      <w:rFonts w:hint="eastAsia" w:ascii="宋体" w:hAnsi="宋体" w:eastAsia="宋体"/>
      <w:spacing w:val="30"/>
      <w:sz w:val="24"/>
    </w:rPr>
  </w:style>
  <w:style w:type="character" w:customStyle="1" w:styleId="142">
    <w:name w:val="正文文本缩进 3 Char"/>
    <w:autoRedefine/>
    <w:qFormat/>
    <w:uiPriority w:val="0"/>
    <w:rPr>
      <w:rFonts w:ascii="宋体" w:hAnsi="MS Sans Serif"/>
      <w:color w:val="000000"/>
      <w:sz w:val="24"/>
    </w:rPr>
  </w:style>
  <w:style w:type="character" w:customStyle="1" w:styleId="143">
    <w:name w:val="font21"/>
    <w:autoRedefine/>
    <w:qFormat/>
    <w:uiPriority w:val="0"/>
    <w:rPr>
      <w:rFonts w:hint="eastAsia" w:ascii="宋体" w:hAnsi="宋体" w:eastAsia="宋体" w:cs="宋体"/>
      <w:color w:val="333333"/>
      <w:sz w:val="18"/>
      <w:szCs w:val="18"/>
      <w:u w:val="none"/>
      <w:vertAlign w:val="superscript"/>
    </w:rPr>
  </w:style>
  <w:style w:type="character" w:customStyle="1" w:styleId="144">
    <w:name w:val="zzi1"/>
    <w:autoRedefine/>
    <w:qFormat/>
    <w:uiPriority w:val="0"/>
    <w:rPr>
      <w:rFonts w:ascii="Tahoma" w:hAnsi="Tahoma" w:cs="仿宋_GB2312"/>
      <w:sz w:val="22"/>
      <w:szCs w:val="22"/>
    </w:rPr>
  </w:style>
  <w:style w:type="character" w:customStyle="1" w:styleId="145">
    <w:name w:val="Font Style125"/>
    <w:autoRedefine/>
    <w:unhideWhenUsed/>
    <w:qFormat/>
    <w:uiPriority w:val="0"/>
    <w:rPr>
      <w:rFonts w:hint="eastAsia" w:ascii="宋体" w:hAnsi="宋体" w:eastAsia="宋体"/>
      <w:b/>
      <w:sz w:val="26"/>
    </w:rPr>
  </w:style>
  <w:style w:type="character" w:customStyle="1" w:styleId="146">
    <w:name w:val="font11"/>
    <w:autoRedefine/>
    <w:qFormat/>
    <w:uiPriority w:val="0"/>
    <w:rPr>
      <w:rFonts w:hint="default" w:ascii="Times New Roman" w:hAnsi="Times New Roman" w:cs="Times New Roman"/>
      <w:b/>
      <w:color w:val="000000"/>
      <w:sz w:val="21"/>
      <w:szCs w:val="21"/>
      <w:u w:val="none"/>
    </w:rPr>
  </w:style>
  <w:style w:type="character" w:customStyle="1" w:styleId="147">
    <w:name w:val="polysemyexp"/>
    <w:autoRedefine/>
    <w:qFormat/>
    <w:uiPriority w:val="0"/>
    <w:rPr>
      <w:rFonts w:ascii="Times New Roman" w:hAnsi="Times New Roman" w:eastAsia="宋体"/>
      <w:color w:val="AAAAAA"/>
      <w:sz w:val="18"/>
      <w:szCs w:val="18"/>
    </w:rPr>
  </w:style>
  <w:style w:type="character" w:customStyle="1" w:styleId="148">
    <w:name w:val="Font Style115"/>
    <w:autoRedefine/>
    <w:unhideWhenUsed/>
    <w:qFormat/>
    <w:uiPriority w:val="0"/>
    <w:rPr>
      <w:rFonts w:hint="eastAsia" w:ascii="Times New Roman" w:hAnsi="Times New Roman" w:eastAsia="Times New Roman"/>
      <w:sz w:val="16"/>
    </w:rPr>
  </w:style>
  <w:style w:type="character" w:customStyle="1" w:styleId="149">
    <w:name w:val="Font Style123"/>
    <w:autoRedefine/>
    <w:unhideWhenUsed/>
    <w:qFormat/>
    <w:uiPriority w:val="0"/>
    <w:rPr>
      <w:rFonts w:hint="eastAsia" w:ascii="宋体" w:hAnsi="宋体" w:eastAsia="宋体"/>
      <w:b/>
      <w:sz w:val="32"/>
    </w:rPr>
  </w:style>
  <w:style w:type="character" w:customStyle="1" w:styleId="150">
    <w:name w:val="标题 4 Char"/>
    <w:autoRedefine/>
    <w:qFormat/>
    <w:uiPriority w:val="0"/>
    <w:rPr>
      <w:rFonts w:ascii="Arial" w:hAnsi="Arial" w:eastAsia="宋体" w:cs="Times New Roman"/>
      <w:b/>
      <w:bCs/>
      <w:szCs w:val="28"/>
    </w:rPr>
  </w:style>
  <w:style w:type="character" w:customStyle="1" w:styleId="151">
    <w:name w:val="日期 Char"/>
    <w:autoRedefine/>
    <w:qFormat/>
    <w:uiPriority w:val="0"/>
    <w:rPr>
      <w:kern w:val="2"/>
      <w:sz w:val="21"/>
      <w:szCs w:val="24"/>
    </w:rPr>
  </w:style>
  <w:style w:type="character" w:customStyle="1" w:styleId="152">
    <w:name w:val="Heading 2 Hidden Char"/>
    <w:autoRedefine/>
    <w:qFormat/>
    <w:uiPriority w:val="0"/>
    <w:rPr>
      <w:rFonts w:ascii="Arial" w:hAnsi="Arial" w:eastAsia="宋体"/>
      <w:b/>
      <w:bCs/>
      <w:kern w:val="2"/>
      <w:sz w:val="24"/>
      <w:szCs w:val="32"/>
      <w:lang w:val="en-US" w:eastAsia="zh-CN" w:bidi="ar-SA"/>
    </w:rPr>
  </w:style>
  <w:style w:type="character" w:customStyle="1" w:styleId="153">
    <w:name w:val="标题 Char"/>
    <w:autoRedefine/>
    <w:qFormat/>
    <w:uiPriority w:val="0"/>
    <w:rPr>
      <w:rFonts w:ascii="Cambria" w:hAnsi="Cambria"/>
      <w:b/>
      <w:kern w:val="2"/>
      <w:sz w:val="32"/>
      <w:szCs w:val="24"/>
    </w:rPr>
  </w:style>
  <w:style w:type="character" w:customStyle="1" w:styleId="154">
    <w:name w:val="Font Style105"/>
    <w:autoRedefine/>
    <w:unhideWhenUsed/>
    <w:qFormat/>
    <w:uiPriority w:val="0"/>
    <w:rPr>
      <w:rFonts w:hint="eastAsia" w:ascii="Times New Roman" w:hAnsi="Times New Roman" w:eastAsia="Times New Roman"/>
      <w:w w:val="60"/>
      <w:sz w:val="26"/>
    </w:rPr>
  </w:style>
  <w:style w:type="character" w:customStyle="1" w:styleId="155">
    <w:name w:val="标题 2 Char"/>
    <w:autoRedefine/>
    <w:qFormat/>
    <w:uiPriority w:val="0"/>
    <w:rPr>
      <w:rFonts w:ascii="Cambria" w:hAnsi="Cambria" w:eastAsia="宋体" w:cs="Times New Roman"/>
      <w:b/>
      <w:bCs/>
      <w:kern w:val="2"/>
      <w:sz w:val="32"/>
      <w:szCs w:val="32"/>
    </w:rPr>
  </w:style>
  <w:style w:type="character" w:customStyle="1" w:styleId="156">
    <w:name w:val="sidecatalog-dot1"/>
    <w:autoRedefine/>
    <w:qFormat/>
    <w:uiPriority w:val="0"/>
    <w:rPr>
      <w:rFonts w:ascii="Times New Roman" w:hAnsi="Times New Roman" w:eastAsia="宋体"/>
    </w:rPr>
  </w:style>
  <w:style w:type="character" w:customStyle="1" w:styleId="157">
    <w:name w:val="Font Style133"/>
    <w:autoRedefine/>
    <w:unhideWhenUsed/>
    <w:qFormat/>
    <w:uiPriority w:val="0"/>
    <w:rPr>
      <w:rFonts w:hint="eastAsia" w:ascii="宋体" w:hAnsi="宋体" w:eastAsia="宋体"/>
      <w:spacing w:val="30"/>
      <w:sz w:val="24"/>
    </w:rPr>
  </w:style>
  <w:style w:type="character" w:customStyle="1" w:styleId="158">
    <w:name w:val="标题 8 Char"/>
    <w:autoRedefine/>
    <w:qFormat/>
    <w:uiPriority w:val="0"/>
    <w:rPr>
      <w:rFonts w:ascii="Arial" w:hAnsi="Arial" w:eastAsia="黑体"/>
      <w:sz w:val="24"/>
      <w:szCs w:val="24"/>
    </w:rPr>
  </w:style>
  <w:style w:type="character" w:customStyle="1" w:styleId="159">
    <w:name w:val="bds_nopic"/>
    <w:autoRedefine/>
    <w:qFormat/>
    <w:uiPriority w:val="0"/>
    <w:rPr>
      <w:rFonts w:ascii="Times New Roman" w:hAnsi="Times New Roman" w:eastAsia="宋体"/>
    </w:rPr>
  </w:style>
  <w:style w:type="character" w:customStyle="1" w:styleId="160">
    <w:name w:val="sort1"/>
    <w:autoRedefine/>
    <w:qFormat/>
    <w:uiPriority w:val="0"/>
    <w:rPr>
      <w:rFonts w:ascii="Times New Roman" w:hAnsi="Times New Roman" w:eastAsia="宋体"/>
    </w:rPr>
  </w:style>
  <w:style w:type="character" w:customStyle="1" w:styleId="161">
    <w:name w:val="font61"/>
    <w:autoRedefine/>
    <w:qFormat/>
    <w:uiPriority w:val="0"/>
    <w:rPr>
      <w:rFonts w:hint="eastAsia" w:ascii="宋体" w:hAnsi="宋体" w:eastAsia="宋体" w:cs="宋体"/>
      <w:color w:val="333333"/>
      <w:sz w:val="18"/>
      <w:szCs w:val="18"/>
      <w:u w:val="none"/>
    </w:rPr>
  </w:style>
  <w:style w:type="character" w:customStyle="1" w:styleId="162">
    <w:name w:val="Char Char6"/>
    <w:autoRedefine/>
    <w:qFormat/>
    <w:uiPriority w:val="0"/>
    <w:rPr>
      <w:rFonts w:ascii="Arial" w:hAnsi="Arial" w:eastAsia="黑体"/>
      <w:sz w:val="24"/>
      <w:szCs w:val="24"/>
      <w:lang w:val="en-US" w:eastAsia="zh-CN" w:bidi="ar-SA"/>
    </w:rPr>
  </w:style>
  <w:style w:type="character" w:customStyle="1" w:styleId="163">
    <w:name w:val="Font Style86"/>
    <w:autoRedefine/>
    <w:unhideWhenUsed/>
    <w:qFormat/>
    <w:uiPriority w:val="0"/>
    <w:rPr>
      <w:rFonts w:hint="eastAsia" w:ascii="黑体" w:hAnsi="黑体" w:eastAsia="黑体"/>
      <w:spacing w:val="10"/>
      <w:sz w:val="30"/>
    </w:rPr>
  </w:style>
  <w:style w:type="character" w:customStyle="1" w:styleId="164">
    <w:name w:val="10_2_2"/>
    <w:autoRedefine/>
    <w:qFormat/>
    <w:uiPriority w:val="0"/>
    <w:rPr>
      <w:rFonts w:hint="default" w:ascii="Times New Roman" w:hAnsi="Times New Roman" w:cs="Times New Roman"/>
      <w:sz w:val="20"/>
      <w:szCs w:val="20"/>
    </w:rPr>
  </w:style>
  <w:style w:type="character" w:customStyle="1" w:styleId="165">
    <w:name w:val="sort"/>
    <w:autoRedefine/>
    <w:qFormat/>
    <w:uiPriority w:val="0"/>
    <w:rPr>
      <w:rFonts w:ascii="Times New Roman" w:hAnsi="Times New Roman" w:eastAsia="宋体"/>
      <w:color w:val="FFFFFF"/>
      <w:bdr w:val="single" w:color="auto" w:sz="24" w:space="0"/>
    </w:rPr>
  </w:style>
  <w:style w:type="character" w:customStyle="1" w:styleId="166">
    <w:name w:val="标题 7 Char"/>
    <w:autoRedefine/>
    <w:qFormat/>
    <w:uiPriority w:val="0"/>
    <w:rPr>
      <w:b/>
      <w:bCs/>
      <w:sz w:val="24"/>
      <w:szCs w:val="24"/>
    </w:rPr>
  </w:style>
  <w:style w:type="character" w:customStyle="1" w:styleId="167">
    <w:name w:val="纯文本 字符1"/>
    <w:autoRedefine/>
    <w:semiHidden/>
    <w:qFormat/>
    <w:locked/>
    <w:uiPriority w:val="0"/>
    <w:rPr>
      <w:kern w:val="2"/>
      <w:sz w:val="24"/>
    </w:rPr>
  </w:style>
  <w:style w:type="character" w:customStyle="1" w:styleId="168">
    <w:name w:val="bds_more6"/>
    <w:autoRedefine/>
    <w:qFormat/>
    <w:uiPriority w:val="0"/>
    <w:rPr>
      <w:rFonts w:hint="eastAsia" w:ascii="宋体" w:hAnsi="宋体" w:eastAsia="宋体" w:cs="宋体"/>
    </w:rPr>
  </w:style>
  <w:style w:type="character" w:customStyle="1" w:styleId="169">
    <w:name w:val="页眉 Char"/>
    <w:autoRedefine/>
    <w:qFormat/>
    <w:uiPriority w:val="0"/>
    <w:rPr>
      <w:kern w:val="2"/>
      <w:sz w:val="18"/>
      <w:szCs w:val="18"/>
    </w:rPr>
  </w:style>
  <w:style w:type="character" w:customStyle="1" w:styleId="170">
    <w:name w:val="样式2 Char Char"/>
    <w:autoRedefine/>
    <w:qFormat/>
    <w:uiPriority w:val="0"/>
    <w:rPr>
      <w:rFonts w:eastAsia="宋体"/>
      <w:kern w:val="2"/>
      <w:sz w:val="18"/>
      <w:szCs w:val="18"/>
      <w:lang w:val="en-US" w:eastAsia="zh-CN" w:bidi="ar-SA"/>
    </w:rPr>
  </w:style>
  <w:style w:type="character" w:customStyle="1" w:styleId="171">
    <w:name w:val="Font Style134"/>
    <w:autoRedefine/>
    <w:unhideWhenUsed/>
    <w:qFormat/>
    <w:uiPriority w:val="0"/>
    <w:rPr>
      <w:rFonts w:hint="eastAsia" w:ascii="宋体" w:hAnsi="宋体" w:eastAsia="宋体"/>
      <w:spacing w:val="20"/>
      <w:sz w:val="22"/>
    </w:rPr>
  </w:style>
  <w:style w:type="paragraph" w:customStyle="1" w:styleId="172">
    <w:name w:val="Char1 Char Char Char"/>
    <w:basedOn w:val="1"/>
    <w:autoRedefine/>
    <w:qFormat/>
    <w:uiPriority w:val="0"/>
    <w:pPr>
      <w:widowControl/>
      <w:spacing w:after="160" w:line="240" w:lineRule="exact"/>
      <w:jc w:val="left"/>
    </w:pPr>
    <w:rPr>
      <w:kern w:val="0"/>
      <w:sz w:val="24"/>
      <w:szCs w:val="20"/>
    </w:rPr>
  </w:style>
  <w:style w:type="paragraph" w:customStyle="1" w:styleId="17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74">
    <w:name w:val="Char Char1 Char Char Char Char Char1 Char Char Char Char"/>
    <w:basedOn w:val="14"/>
    <w:autoRedefine/>
    <w:qFormat/>
    <w:uiPriority w:val="0"/>
    <w:rPr>
      <w:rFonts w:ascii="Tahoma" w:hAnsi="Tahoma"/>
    </w:rPr>
  </w:style>
  <w:style w:type="paragraph" w:customStyle="1" w:styleId="175">
    <w:name w:val="Style26"/>
    <w:basedOn w:val="1"/>
    <w:autoRedefine/>
    <w:unhideWhenUsed/>
    <w:qFormat/>
    <w:uiPriority w:val="0"/>
  </w:style>
  <w:style w:type="paragraph" w:customStyle="1" w:styleId="176">
    <w:name w:val="1"/>
    <w:basedOn w:val="1"/>
    <w:autoRedefine/>
    <w:qFormat/>
    <w:uiPriority w:val="0"/>
    <w:pPr>
      <w:spacing w:after="156" w:afterLines="50" w:line="360" w:lineRule="auto"/>
    </w:pPr>
    <w:rPr>
      <w:rFonts w:ascii="宋体" w:hAnsi="宋体"/>
      <w:b/>
      <w:sz w:val="30"/>
      <w:szCs w:val="21"/>
    </w:rPr>
  </w:style>
  <w:style w:type="paragraph" w:customStyle="1" w:styleId="17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8">
    <w:name w:val="Style11"/>
    <w:basedOn w:val="1"/>
    <w:autoRedefine/>
    <w:unhideWhenUsed/>
    <w:qFormat/>
    <w:uiPriority w:val="0"/>
    <w:pPr>
      <w:spacing w:line="559" w:lineRule="exact"/>
      <w:ind w:firstLine="590"/>
    </w:pPr>
  </w:style>
  <w:style w:type="paragraph" w:customStyle="1" w:styleId="179">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180">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181">
    <w:name w:val="Char1 Char Char Char 字元 Char Char 字元 Char 字元 Char1 Char Char Char"/>
    <w:basedOn w:val="1"/>
    <w:autoRedefine/>
    <w:qFormat/>
    <w:uiPriority w:val="0"/>
    <w:rPr>
      <w:szCs w:val="20"/>
    </w:rPr>
  </w:style>
  <w:style w:type="paragraph" w:customStyle="1" w:styleId="182">
    <w:name w:val="Style48"/>
    <w:basedOn w:val="1"/>
    <w:autoRedefine/>
    <w:unhideWhenUsed/>
    <w:qFormat/>
    <w:uiPriority w:val="0"/>
    <w:pPr>
      <w:spacing w:line="542" w:lineRule="exact"/>
      <w:jc w:val="right"/>
    </w:pPr>
  </w:style>
  <w:style w:type="paragraph" w:customStyle="1" w:styleId="183">
    <w:name w:val="Style64"/>
    <w:basedOn w:val="1"/>
    <w:autoRedefine/>
    <w:unhideWhenUsed/>
    <w:qFormat/>
    <w:uiPriority w:val="0"/>
  </w:style>
  <w:style w:type="paragraph" w:customStyle="1" w:styleId="184">
    <w:name w:val="Style73"/>
    <w:basedOn w:val="1"/>
    <w:autoRedefine/>
    <w:unhideWhenUsed/>
    <w:qFormat/>
    <w:uiPriority w:val="0"/>
    <w:pPr>
      <w:spacing w:line="538" w:lineRule="exact"/>
      <w:ind w:firstLine="533"/>
    </w:pPr>
  </w:style>
  <w:style w:type="paragraph" w:customStyle="1" w:styleId="185">
    <w:name w:val="Style58"/>
    <w:basedOn w:val="1"/>
    <w:autoRedefine/>
    <w:unhideWhenUsed/>
    <w:qFormat/>
    <w:uiPriority w:val="0"/>
    <w:pPr>
      <w:spacing w:line="413" w:lineRule="exact"/>
    </w:pPr>
  </w:style>
  <w:style w:type="paragraph" w:customStyle="1" w:styleId="186">
    <w:name w:val="p18_1_2"/>
    <w:basedOn w:val="1"/>
    <w:autoRedefine/>
    <w:qFormat/>
    <w:uiPriority w:val="0"/>
    <w:pPr>
      <w:widowControl/>
    </w:pPr>
    <w:rPr>
      <w:kern w:val="0"/>
      <w:szCs w:val="21"/>
    </w:rPr>
  </w:style>
  <w:style w:type="paragraph" w:customStyle="1" w:styleId="187">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8">
    <w:name w:val="Style70"/>
    <w:basedOn w:val="1"/>
    <w:autoRedefine/>
    <w:unhideWhenUsed/>
    <w:qFormat/>
    <w:uiPriority w:val="0"/>
    <w:pPr>
      <w:spacing w:line="549" w:lineRule="exact"/>
      <w:ind w:firstLine="686"/>
    </w:pPr>
  </w:style>
  <w:style w:type="paragraph" w:customStyle="1" w:styleId="189">
    <w:name w:val="表格内容"/>
    <w:basedOn w:val="2"/>
    <w:autoRedefine/>
    <w:qFormat/>
    <w:uiPriority w:val="0"/>
    <w:pPr>
      <w:suppressLineNumbers/>
      <w:suppressAutoHyphens/>
      <w:jc w:val="left"/>
    </w:pPr>
    <w:rPr>
      <w:rFonts w:cs="Tahoma"/>
      <w:kern w:val="0"/>
      <w:sz w:val="24"/>
    </w:rPr>
  </w:style>
  <w:style w:type="paragraph" w:customStyle="1" w:styleId="190">
    <w:name w:val="Style56"/>
    <w:basedOn w:val="1"/>
    <w:autoRedefine/>
    <w:unhideWhenUsed/>
    <w:qFormat/>
    <w:uiPriority w:val="0"/>
  </w:style>
  <w:style w:type="paragraph" w:customStyle="1" w:styleId="191">
    <w:name w:val="Style21"/>
    <w:basedOn w:val="1"/>
    <w:autoRedefine/>
    <w:unhideWhenUsed/>
    <w:qFormat/>
    <w:uiPriority w:val="0"/>
    <w:pPr>
      <w:spacing w:line="566" w:lineRule="exact"/>
      <w:ind w:firstLine="682"/>
    </w:pPr>
  </w:style>
  <w:style w:type="paragraph" w:customStyle="1" w:styleId="192">
    <w:name w:val="附录标识"/>
    <w:basedOn w:val="193"/>
    <w:autoRedefine/>
    <w:qFormat/>
    <w:uiPriority w:val="0"/>
    <w:pPr>
      <w:tabs>
        <w:tab w:val="left" w:pos="360"/>
        <w:tab w:val="left" w:pos="720"/>
        <w:tab w:val="left" w:pos="6405"/>
      </w:tabs>
      <w:spacing w:after="200"/>
    </w:pPr>
    <w:rPr>
      <w:sz w:val="21"/>
    </w:rPr>
  </w:style>
  <w:style w:type="paragraph" w:customStyle="1" w:styleId="193">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94">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5">
    <w:name w:val="Style53"/>
    <w:basedOn w:val="1"/>
    <w:autoRedefine/>
    <w:unhideWhenUsed/>
    <w:qFormat/>
    <w:uiPriority w:val="0"/>
    <w:pPr>
      <w:spacing w:line="533" w:lineRule="exact"/>
      <w:ind w:firstLine="581"/>
    </w:pPr>
  </w:style>
  <w:style w:type="paragraph" w:customStyle="1" w:styleId="196">
    <w:name w:val="Style52"/>
    <w:basedOn w:val="1"/>
    <w:autoRedefine/>
    <w:unhideWhenUsed/>
    <w:qFormat/>
    <w:uiPriority w:val="0"/>
    <w:pPr>
      <w:spacing w:line="682" w:lineRule="exact"/>
      <w:ind w:firstLine="557"/>
    </w:pPr>
  </w:style>
  <w:style w:type="paragraph" w:customStyle="1" w:styleId="197">
    <w:name w:val="Style81"/>
    <w:basedOn w:val="1"/>
    <w:autoRedefine/>
    <w:unhideWhenUsed/>
    <w:qFormat/>
    <w:uiPriority w:val="0"/>
    <w:pPr>
      <w:spacing w:line="547" w:lineRule="exact"/>
    </w:pPr>
  </w:style>
  <w:style w:type="paragraph" w:customStyle="1" w:styleId="198">
    <w:name w:val="Char Char Char"/>
    <w:basedOn w:val="1"/>
    <w:autoRedefine/>
    <w:qFormat/>
    <w:uiPriority w:val="0"/>
    <w:rPr>
      <w:rFonts w:ascii="宋体" w:hAnsi="宋体"/>
      <w:b/>
      <w:sz w:val="28"/>
      <w:szCs w:val="28"/>
    </w:rPr>
  </w:style>
  <w:style w:type="paragraph" w:customStyle="1" w:styleId="199">
    <w:name w:val="默认段落字体 Para Char Char Char Char Char Char Char Char Char1 Char Char Char Char"/>
    <w:basedOn w:val="1"/>
    <w:autoRedefine/>
    <w:qFormat/>
    <w:uiPriority w:val="0"/>
    <w:rPr>
      <w:rFonts w:ascii="Tahoma" w:hAnsi="Tahoma"/>
      <w:sz w:val="24"/>
      <w:szCs w:val="20"/>
    </w:rPr>
  </w:style>
  <w:style w:type="paragraph" w:customStyle="1" w:styleId="200">
    <w:name w:val="Style36"/>
    <w:basedOn w:val="1"/>
    <w:autoRedefine/>
    <w:unhideWhenUsed/>
    <w:qFormat/>
    <w:uiPriority w:val="0"/>
  </w:style>
  <w:style w:type="paragraph" w:customStyle="1" w:styleId="2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2">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3">
    <w:name w:val="Style46"/>
    <w:basedOn w:val="1"/>
    <w:autoRedefine/>
    <w:unhideWhenUsed/>
    <w:qFormat/>
    <w:uiPriority w:val="0"/>
    <w:pPr>
      <w:spacing w:line="672" w:lineRule="exact"/>
    </w:pPr>
  </w:style>
  <w:style w:type="paragraph" w:customStyle="1" w:styleId="204">
    <w:name w:val="1 Char Char Char Char"/>
    <w:basedOn w:val="1"/>
    <w:autoRedefine/>
    <w:qFormat/>
    <w:uiPriority w:val="0"/>
  </w:style>
  <w:style w:type="paragraph" w:customStyle="1" w:styleId="205">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206">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207">
    <w:name w:val="Style13"/>
    <w:basedOn w:val="1"/>
    <w:autoRedefine/>
    <w:unhideWhenUsed/>
    <w:qFormat/>
    <w:uiPriority w:val="0"/>
  </w:style>
  <w:style w:type="paragraph" w:customStyle="1" w:styleId="208">
    <w:name w:val="NO3"/>
    <w:basedOn w:val="1"/>
    <w:autoRedefine/>
    <w:qFormat/>
    <w:uiPriority w:val="0"/>
    <w:pPr>
      <w:tabs>
        <w:tab w:val="left" w:pos="907"/>
      </w:tabs>
      <w:spacing w:line="360" w:lineRule="auto"/>
    </w:pPr>
    <w:rPr>
      <w:rFonts w:ascii="宋体" w:hAnsi="宋体"/>
      <w:sz w:val="24"/>
    </w:rPr>
  </w:style>
  <w:style w:type="paragraph" w:customStyle="1" w:styleId="209">
    <w:name w:val="Style72"/>
    <w:basedOn w:val="1"/>
    <w:autoRedefine/>
    <w:unhideWhenUsed/>
    <w:qFormat/>
    <w:uiPriority w:val="0"/>
  </w:style>
  <w:style w:type="paragraph" w:customStyle="1" w:styleId="210">
    <w:name w:val="Style16"/>
    <w:basedOn w:val="1"/>
    <w:autoRedefine/>
    <w:unhideWhenUsed/>
    <w:qFormat/>
    <w:uiPriority w:val="0"/>
    <w:pPr>
      <w:jc w:val="right"/>
    </w:pPr>
  </w:style>
  <w:style w:type="paragraph" w:customStyle="1" w:styleId="211">
    <w:name w:val="Style24"/>
    <w:basedOn w:val="1"/>
    <w:autoRedefine/>
    <w:unhideWhenUsed/>
    <w:qFormat/>
    <w:uiPriority w:val="0"/>
  </w:style>
  <w:style w:type="paragraph" w:customStyle="1" w:styleId="212">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13">
    <w:name w:val="标题2"/>
    <w:basedOn w:val="43"/>
    <w:autoRedefine/>
    <w:qFormat/>
    <w:uiPriority w:val="0"/>
    <w:pPr>
      <w:spacing w:after="240"/>
      <w:jc w:val="left"/>
    </w:pPr>
    <w:rPr>
      <w:sz w:val="30"/>
    </w:rPr>
  </w:style>
  <w:style w:type="paragraph" w:customStyle="1" w:styleId="21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Style29"/>
    <w:basedOn w:val="1"/>
    <w:autoRedefine/>
    <w:unhideWhenUsed/>
    <w:qFormat/>
    <w:uiPriority w:val="0"/>
    <w:pPr>
      <w:spacing w:line="547" w:lineRule="exact"/>
      <w:ind w:firstLine="547"/>
    </w:pPr>
  </w:style>
  <w:style w:type="paragraph" w:customStyle="1" w:styleId="216">
    <w:name w:val="Char Char1 Char Char Char Char Char Char Char"/>
    <w:basedOn w:val="1"/>
    <w:autoRedefine/>
    <w:qFormat/>
    <w:uiPriority w:val="0"/>
    <w:pPr>
      <w:widowControl/>
      <w:spacing w:after="160" w:line="240" w:lineRule="exact"/>
      <w:jc w:val="left"/>
    </w:pPr>
  </w:style>
  <w:style w:type="paragraph" w:customStyle="1" w:styleId="217">
    <w:name w:val="列表段落1"/>
    <w:basedOn w:val="1"/>
    <w:autoRedefine/>
    <w:qFormat/>
    <w:uiPriority w:val="0"/>
    <w:pPr>
      <w:ind w:firstLine="420" w:firstLineChars="200"/>
    </w:pPr>
    <w:rPr>
      <w:rFonts w:ascii="Calibri" w:hAnsi="Calibri" w:cs="Calibri"/>
      <w:szCs w:val="21"/>
    </w:rPr>
  </w:style>
  <w:style w:type="paragraph" w:customStyle="1" w:styleId="218">
    <w:name w:val="Style61"/>
    <w:basedOn w:val="1"/>
    <w:autoRedefine/>
    <w:unhideWhenUsed/>
    <w:qFormat/>
    <w:uiPriority w:val="0"/>
  </w:style>
  <w:style w:type="paragraph" w:customStyle="1" w:styleId="219">
    <w:name w:val="Style42"/>
    <w:basedOn w:val="1"/>
    <w:autoRedefine/>
    <w:unhideWhenUsed/>
    <w:qFormat/>
    <w:uiPriority w:val="0"/>
    <w:pPr>
      <w:spacing w:line="542" w:lineRule="exact"/>
      <w:ind w:firstLine="547"/>
    </w:pPr>
  </w:style>
  <w:style w:type="paragraph" w:customStyle="1" w:styleId="220">
    <w:name w:val="Char1 Char Char Char Char Char Char Char Char Char"/>
    <w:basedOn w:val="1"/>
    <w:autoRedefine/>
    <w:qFormat/>
    <w:uiPriority w:val="0"/>
    <w:rPr>
      <w:szCs w:val="20"/>
    </w:rPr>
  </w:style>
  <w:style w:type="paragraph" w:customStyle="1" w:styleId="221">
    <w:name w:val="Style44"/>
    <w:basedOn w:val="1"/>
    <w:autoRedefine/>
    <w:unhideWhenUsed/>
    <w:qFormat/>
    <w:uiPriority w:val="0"/>
  </w:style>
  <w:style w:type="paragraph" w:customStyle="1" w:styleId="222">
    <w:name w:val="Style10"/>
    <w:basedOn w:val="1"/>
    <w:autoRedefine/>
    <w:unhideWhenUsed/>
    <w:qFormat/>
    <w:uiPriority w:val="0"/>
    <w:pPr>
      <w:spacing w:line="538" w:lineRule="exact"/>
    </w:pPr>
  </w:style>
  <w:style w:type="paragraph" w:customStyle="1" w:styleId="223">
    <w:name w:val="Style63"/>
    <w:basedOn w:val="1"/>
    <w:autoRedefine/>
    <w:unhideWhenUsed/>
    <w:qFormat/>
    <w:uiPriority w:val="0"/>
    <w:pPr>
      <w:spacing w:line="564" w:lineRule="exact"/>
      <w:ind w:firstLine="682"/>
    </w:pPr>
  </w:style>
  <w:style w:type="paragraph" w:customStyle="1" w:styleId="224">
    <w:name w:val="Style41"/>
    <w:basedOn w:val="1"/>
    <w:autoRedefine/>
    <w:unhideWhenUsed/>
    <w:qFormat/>
    <w:uiPriority w:val="0"/>
    <w:pPr>
      <w:spacing w:line="542" w:lineRule="exact"/>
      <w:ind w:firstLine="125"/>
    </w:pPr>
  </w:style>
  <w:style w:type="paragraph" w:customStyle="1" w:styleId="22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Style27"/>
    <w:basedOn w:val="1"/>
    <w:autoRedefine/>
    <w:unhideWhenUsed/>
    <w:qFormat/>
    <w:uiPriority w:val="0"/>
  </w:style>
  <w:style w:type="paragraph" w:customStyle="1" w:styleId="227">
    <w:name w:val="Style45"/>
    <w:basedOn w:val="1"/>
    <w:autoRedefine/>
    <w:unhideWhenUsed/>
    <w:qFormat/>
    <w:uiPriority w:val="0"/>
  </w:style>
  <w:style w:type="paragraph" w:customStyle="1" w:styleId="228">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9">
    <w:name w:val="Style71"/>
    <w:basedOn w:val="1"/>
    <w:autoRedefine/>
    <w:unhideWhenUsed/>
    <w:qFormat/>
    <w:uiPriority w:val="0"/>
    <w:pPr>
      <w:spacing w:line="538" w:lineRule="exact"/>
      <w:ind w:firstLine="101"/>
    </w:pPr>
  </w:style>
  <w:style w:type="paragraph" w:customStyle="1" w:styleId="230">
    <w:name w:val="Style5"/>
    <w:basedOn w:val="1"/>
    <w:autoRedefine/>
    <w:unhideWhenUsed/>
    <w:qFormat/>
    <w:uiPriority w:val="0"/>
  </w:style>
  <w:style w:type="paragraph" w:customStyle="1" w:styleId="231">
    <w:name w:val="Style76"/>
    <w:basedOn w:val="1"/>
    <w:autoRedefine/>
    <w:unhideWhenUsed/>
    <w:qFormat/>
    <w:uiPriority w:val="0"/>
  </w:style>
  <w:style w:type="paragraph" w:customStyle="1" w:styleId="232">
    <w:name w:val="Style50"/>
    <w:basedOn w:val="1"/>
    <w:autoRedefine/>
    <w:unhideWhenUsed/>
    <w:qFormat/>
    <w:uiPriority w:val="0"/>
  </w:style>
  <w:style w:type="paragraph" w:customStyle="1" w:styleId="233">
    <w:name w:val="Char Char Char Char Char Char Char Char Char Char"/>
    <w:basedOn w:val="1"/>
    <w:autoRedefine/>
    <w:qFormat/>
    <w:uiPriority w:val="0"/>
    <w:rPr>
      <w:kern w:val="16"/>
    </w:rPr>
  </w:style>
  <w:style w:type="paragraph" w:styleId="234">
    <w:name w:val="List Paragraph"/>
    <w:basedOn w:val="1"/>
    <w:link w:val="235"/>
    <w:autoRedefine/>
    <w:qFormat/>
    <w:uiPriority w:val="34"/>
    <w:pPr>
      <w:ind w:firstLine="420" w:firstLineChars="200"/>
    </w:pPr>
    <w:rPr>
      <w:rFonts w:ascii="Calibri" w:hAnsi="Calibri"/>
      <w:szCs w:val="22"/>
    </w:rPr>
  </w:style>
  <w:style w:type="character" w:customStyle="1" w:styleId="235">
    <w:name w:val="列出段落 字符"/>
    <w:link w:val="234"/>
    <w:autoRedefine/>
    <w:qFormat/>
    <w:uiPriority w:val="34"/>
    <w:rPr>
      <w:rFonts w:ascii="Calibri" w:hAnsi="Calibri" w:eastAsia="宋体" w:cs="Times New Roman"/>
    </w:rPr>
  </w:style>
  <w:style w:type="paragraph" w:customStyle="1" w:styleId="236">
    <w:name w:val="Style54"/>
    <w:basedOn w:val="1"/>
    <w:autoRedefine/>
    <w:unhideWhenUsed/>
    <w:qFormat/>
    <w:uiPriority w:val="0"/>
  </w:style>
  <w:style w:type="paragraph" w:styleId="23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39">
    <w:name w:val="Char1"/>
    <w:basedOn w:val="1"/>
    <w:autoRedefine/>
    <w:semiHidden/>
    <w:qFormat/>
    <w:uiPriority w:val="0"/>
    <w:rPr>
      <w:rFonts w:ascii="Tahoma" w:hAnsi="Tahoma" w:cs="仿宋_GB2312"/>
      <w:sz w:val="24"/>
      <w:szCs w:val="28"/>
    </w:rPr>
  </w:style>
  <w:style w:type="paragraph" w:customStyle="1" w:styleId="240">
    <w:name w:val="Style59"/>
    <w:basedOn w:val="1"/>
    <w:autoRedefine/>
    <w:unhideWhenUsed/>
    <w:qFormat/>
    <w:uiPriority w:val="0"/>
  </w:style>
  <w:style w:type="paragraph" w:customStyle="1" w:styleId="241">
    <w:name w:val="Style69"/>
    <w:basedOn w:val="1"/>
    <w:autoRedefine/>
    <w:unhideWhenUsed/>
    <w:qFormat/>
    <w:uiPriority w:val="0"/>
    <w:pPr>
      <w:spacing w:line="557" w:lineRule="exact"/>
      <w:ind w:firstLine="1666"/>
    </w:pPr>
  </w:style>
  <w:style w:type="paragraph" w:customStyle="1" w:styleId="242">
    <w:name w:val="Char Char1 Char Char Char"/>
    <w:basedOn w:val="1"/>
    <w:autoRedefine/>
    <w:qFormat/>
    <w:uiPriority w:val="0"/>
    <w:rPr>
      <w:kern w:val="0"/>
      <w:sz w:val="20"/>
      <w:szCs w:val="20"/>
    </w:rPr>
  </w:style>
  <w:style w:type="paragraph" w:customStyle="1" w:styleId="243">
    <w:name w:val="Style12"/>
    <w:basedOn w:val="1"/>
    <w:autoRedefine/>
    <w:unhideWhenUsed/>
    <w:qFormat/>
    <w:uiPriority w:val="0"/>
    <w:pPr>
      <w:spacing w:line="564" w:lineRule="exact"/>
      <w:ind w:hanging="115"/>
    </w:pPr>
  </w:style>
  <w:style w:type="paragraph" w:customStyle="1" w:styleId="244">
    <w:name w:val="标题3"/>
    <w:basedOn w:val="3"/>
    <w:autoRedefine/>
    <w:qFormat/>
    <w:uiPriority w:val="0"/>
    <w:pPr>
      <w:spacing w:before="156" w:beforeLines="50" w:after="156" w:afterLines="50" w:line="400" w:lineRule="exact"/>
      <w:jc w:val="both"/>
    </w:pPr>
    <w:rPr>
      <w:rFonts w:ascii="宋体" w:hAnsi="宋体"/>
      <w:kern w:val="32"/>
      <w:szCs w:val="32"/>
    </w:rPr>
  </w:style>
  <w:style w:type="paragraph" w:customStyle="1" w:styleId="245">
    <w:name w:val="Style67"/>
    <w:basedOn w:val="1"/>
    <w:autoRedefine/>
    <w:unhideWhenUsed/>
    <w:qFormat/>
    <w:uiPriority w:val="0"/>
    <w:pPr>
      <w:spacing w:line="566" w:lineRule="exact"/>
      <w:ind w:firstLine="552"/>
    </w:pPr>
  </w:style>
  <w:style w:type="paragraph" w:customStyle="1" w:styleId="246">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7">
    <w:name w:val="Style28"/>
    <w:basedOn w:val="1"/>
    <w:autoRedefine/>
    <w:unhideWhenUsed/>
    <w:qFormat/>
    <w:uiPriority w:val="0"/>
    <w:pPr>
      <w:spacing w:line="552" w:lineRule="exact"/>
      <w:ind w:firstLine="547"/>
    </w:pPr>
  </w:style>
  <w:style w:type="paragraph" w:customStyle="1" w:styleId="248">
    <w:name w:val="Style8"/>
    <w:basedOn w:val="1"/>
    <w:autoRedefine/>
    <w:unhideWhenUsed/>
    <w:qFormat/>
    <w:uiPriority w:val="0"/>
    <w:pPr>
      <w:spacing w:line="566" w:lineRule="exact"/>
      <w:jc w:val="center"/>
    </w:pPr>
  </w:style>
  <w:style w:type="paragraph" w:customStyle="1" w:styleId="249">
    <w:name w:val="Style62"/>
    <w:basedOn w:val="1"/>
    <w:autoRedefine/>
    <w:unhideWhenUsed/>
    <w:qFormat/>
    <w:uiPriority w:val="0"/>
  </w:style>
  <w:style w:type="paragraph" w:customStyle="1" w:styleId="250">
    <w:name w:val="Style60"/>
    <w:basedOn w:val="1"/>
    <w:autoRedefine/>
    <w:unhideWhenUsed/>
    <w:qFormat/>
    <w:uiPriority w:val="0"/>
    <w:pPr>
      <w:spacing w:line="566" w:lineRule="exact"/>
    </w:pPr>
  </w:style>
  <w:style w:type="paragraph" w:customStyle="1" w:styleId="251">
    <w:name w:val="Style15"/>
    <w:basedOn w:val="1"/>
    <w:autoRedefine/>
    <w:unhideWhenUsed/>
    <w:qFormat/>
    <w:uiPriority w:val="0"/>
    <w:pPr>
      <w:spacing w:line="557" w:lineRule="exact"/>
      <w:ind w:firstLine="672"/>
    </w:pPr>
  </w:style>
  <w:style w:type="paragraph" w:customStyle="1" w:styleId="252">
    <w:name w:val="Style74"/>
    <w:basedOn w:val="1"/>
    <w:autoRedefine/>
    <w:unhideWhenUsed/>
    <w:qFormat/>
    <w:uiPriority w:val="0"/>
    <w:pPr>
      <w:spacing w:line="437" w:lineRule="exact"/>
    </w:pPr>
  </w:style>
  <w:style w:type="paragraph" w:customStyle="1" w:styleId="253">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Style9"/>
    <w:basedOn w:val="1"/>
    <w:autoRedefine/>
    <w:unhideWhenUsed/>
    <w:qFormat/>
    <w:uiPriority w:val="0"/>
  </w:style>
  <w:style w:type="paragraph" w:customStyle="1" w:styleId="25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6">
    <w:name w:val="Style68"/>
    <w:basedOn w:val="1"/>
    <w:autoRedefine/>
    <w:unhideWhenUsed/>
    <w:qFormat/>
    <w:uiPriority w:val="0"/>
    <w:pPr>
      <w:spacing w:line="547" w:lineRule="exact"/>
    </w:pPr>
  </w:style>
  <w:style w:type="paragraph" w:customStyle="1" w:styleId="257">
    <w:name w:val="Style47"/>
    <w:basedOn w:val="1"/>
    <w:autoRedefine/>
    <w:unhideWhenUsed/>
    <w:qFormat/>
    <w:uiPriority w:val="0"/>
  </w:style>
  <w:style w:type="paragraph" w:customStyle="1" w:styleId="25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5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0">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61">
    <w:name w:val="_Style 39"/>
    <w:basedOn w:val="214"/>
    <w:autoRedefine/>
    <w:qFormat/>
    <w:uiPriority w:val="0"/>
  </w:style>
  <w:style w:type="paragraph" w:customStyle="1" w:styleId="262">
    <w:name w:val="Style23"/>
    <w:basedOn w:val="1"/>
    <w:autoRedefine/>
    <w:unhideWhenUsed/>
    <w:qFormat/>
    <w:uiPriority w:val="0"/>
  </w:style>
  <w:style w:type="paragraph" w:customStyle="1" w:styleId="263">
    <w:name w:val="默认段落字体 Para Char Char Char Char Char Char Char Char Char Char Char Char Char Char Char Char Char Char Char"/>
    <w:basedOn w:val="1"/>
    <w:autoRedefine/>
    <w:qFormat/>
    <w:uiPriority w:val="0"/>
  </w:style>
  <w:style w:type="paragraph" w:customStyle="1" w:styleId="264">
    <w:name w:val="p16"/>
    <w:basedOn w:val="1"/>
    <w:autoRedefine/>
    <w:qFormat/>
    <w:uiPriority w:val="0"/>
    <w:pPr>
      <w:widowControl/>
      <w:jc w:val="left"/>
    </w:pPr>
    <w:rPr>
      <w:kern w:val="0"/>
      <w:szCs w:val="21"/>
    </w:rPr>
  </w:style>
  <w:style w:type="paragraph" w:customStyle="1" w:styleId="265">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6">
    <w:name w:val="Style78"/>
    <w:basedOn w:val="1"/>
    <w:autoRedefine/>
    <w:unhideWhenUsed/>
    <w:qFormat/>
    <w:uiPriority w:val="0"/>
  </w:style>
  <w:style w:type="paragraph" w:customStyle="1" w:styleId="267">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268">
    <w:name w:val="Char2"/>
    <w:basedOn w:val="1"/>
    <w:autoRedefine/>
    <w:qFormat/>
    <w:uiPriority w:val="0"/>
    <w:pPr>
      <w:tabs>
        <w:tab w:val="left" w:pos="360"/>
      </w:tabs>
      <w:ind w:left="360" w:hanging="360" w:hangingChars="200"/>
    </w:pPr>
    <w:rPr>
      <w:sz w:val="24"/>
    </w:rPr>
  </w:style>
  <w:style w:type="paragraph" w:customStyle="1" w:styleId="269">
    <w:name w:val="Style4"/>
    <w:basedOn w:val="1"/>
    <w:autoRedefine/>
    <w:unhideWhenUsed/>
    <w:qFormat/>
    <w:uiPriority w:val="0"/>
  </w:style>
  <w:style w:type="paragraph" w:customStyle="1" w:styleId="270">
    <w:name w:val="Style65"/>
    <w:basedOn w:val="1"/>
    <w:autoRedefine/>
    <w:unhideWhenUsed/>
    <w:qFormat/>
    <w:uiPriority w:val="0"/>
  </w:style>
  <w:style w:type="paragraph" w:customStyle="1" w:styleId="271">
    <w:name w:val="标题 1 +"/>
    <w:basedOn w:val="3"/>
    <w:next w:val="1"/>
    <w:autoRedefine/>
    <w:qFormat/>
    <w:uiPriority w:val="0"/>
    <w:pPr>
      <w:keepLines/>
      <w:spacing w:line="600" w:lineRule="auto"/>
    </w:pPr>
    <w:rPr>
      <w:rFonts w:eastAsia="黑体"/>
      <w:kern w:val="0"/>
      <w:sz w:val="32"/>
      <w:szCs w:val="32"/>
    </w:rPr>
  </w:style>
  <w:style w:type="paragraph" w:customStyle="1" w:styleId="272">
    <w:name w:val="Style77"/>
    <w:basedOn w:val="1"/>
    <w:autoRedefine/>
    <w:unhideWhenUsed/>
    <w:qFormat/>
    <w:uiPriority w:val="0"/>
  </w:style>
  <w:style w:type="paragraph" w:customStyle="1" w:styleId="273">
    <w:name w:val="Style34"/>
    <w:basedOn w:val="1"/>
    <w:autoRedefine/>
    <w:unhideWhenUsed/>
    <w:qFormat/>
    <w:uiPriority w:val="0"/>
    <w:pPr>
      <w:spacing w:line="375" w:lineRule="exact"/>
    </w:pPr>
  </w:style>
  <w:style w:type="paragraph" w:customStyle="1" w:styleId="274">
    <w:name w:val="Style80"/>
    <w:basedOn w:val="1"/>
    <w:autoRedefine/>
    <w:unhideWhenUsed/>
    <w:qFormat/>
    <w:uiPriority w:val="0"/>
  </w:style>
  <w:style w:type="paragraph" w:customStyle="1" w:styleId="2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7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8">
    <w:name w:val="Table Paragraph"/>
    <w:basedOn w:val="1"/>
    <w:autoRedefine/>
    <w:qFormat/>
    <w:uiPriority w:val="1"/>
    <w:rPr>
      <w:rFonts w:ascii="宋体" w:hAnsi="宋体" w:cs="宋体"/>
      <w:lang w:val="ja-JP" w:eastAsia="ja-JP" w:bidi="ja-JP"/>
    </w:rPr>
  </w:style>
  <w:style w:type="paragraph" w:customStyle="1" w:styleId="279">
    <w:name w:val="列出段落1"/>
    <w:basedOn w:val="1"/>
    <w:autoRedefine/>
    <w:qFormat/>
    <w:uiPriority w:val="34"/>
    <w:pPr>
      <w:ind w:firstLine="420" w:firstLineChars="200"/>
    </w:pPr>
  </w:style>
  <w:style w:type="paragraph" w:customStyle="1" w:styleId="280">
    <w:name w:val="1."/>
    <w:basedOn w:val="1"/>
    <w:autoRedefine/>
    <w:qFormat/>
    <w:uiPriority w:val="0"/>
    <w:pPr>
      <w:tabs>
        <w:tab w:val="left" w:pos="420"/>
      </w:tabs>
      <w:spacing w:line="360" w:lineRule="auto"/>
      <w:ind w:left="420" w:hanging="420"/>
    </w:pPr>
    <w:rPr>
      <w:rFonts w:ascii="Calibri" w:hAnsi="Calibri"/>
      <w:sz w:val="24"/>
    </w:rPr>
  </w:style>
  <w:style w:type="paragraph" w:customStyle="1" w:styleId="281">
    <w:name w:val="tc"/>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2">
    <w:name w:val="displayarti"/>
    <w:basedOn w:val="49"/>
    <w:autoRedefine/>
    <w:qFormat/>
    <w:uiPriority w:val="0"/>
  </w:style>
  <w:style w:type="table" w:customStyle="1" w:styleId="283">
    <w:name w:val="Table Normal"/>
    <w:basedOn w:val="47"/>
    <w:autoRedefine/>
    <w:qFormat/>
    <w:uiPriority w:val="0"/>
    <w:rPr>
      <w:rFonts w:eastAsia="Times New Roman"/>
    </w:rPr>
    <w:tblPr>
      <w:tblCellMar>
        <w:left w:w="0" w:type="dxa"/>
        <w:right w:w="0" w:type="dxa"/>
      </w:tblCellMar>
    </w:tblPr>
  </w:style>
  <w:style w:type="character" w:customStyle="1" w:styleId="284">
    <w:name w:val="正文缩进 Char1"/>
    <w:link w:val="285"/>
    <w:autoRedefine/>
    <w:qFormat/>
    <w:uiPriority w:val="0"/>
    <w:rPr>
      <w:rFonts w:ascii="宋体"/>
      <w:sz w:val="24"/>
    </w:rPr>
  </w:style>
  <w:style w:type="paragraph" w:customStyle="1" w:styleId="285">
    <w:name w:val="正文缩进1"/>
    <w:basedOn w:val="1"/>
    <w:link w:val="284"/>
    <w:autoRedefine/>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28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7">
    <w:name w:val="font31"/>
    <w:basedOn w:val="49"/>
    <w:autoRedefine/>
    <w:qFormat/>
    <w:uiPriority w:val="0"/>
    <w:rPr>
      <w:rFonts w:hint="eastAsia" w:ascii="方正仿宋_GBK" w:hAnsi="方正仿宋_GBK" w:eastAsia="方正仿宋_GBK"/>
      <w:color w:val="000000"/>
      <w:sz w:val="24"/>
      <w:szCs w:val="24"/>
      <w:u w:val="none"/>
    </w:rPr>
  </w:style>
  <w:style w:type="character" w:customStyle="1" w:styleId="288">
    <w:name w:val="font41"/>
    <w:basedOn w:val="49"/>
    <w:autoRedefine/>
    <w:qFormat/>
    <w:uiPriority w:val="0"/>
    <w:rPr>
      <w:rFonts w:hint="eastAsia" w:ascii="方正仿宋_GBK" w:hAnsi="方正仿宋_GBK" w:eastAsia="方正仿宋_GBK"/>
      <w:color w:val="000000"/>
      <w:sz w:val="24"/>
      <w:szCs w:val="24"/>
      <w:u w:val="none"/>
    </w:rPr>
  </w:style>
  <w:style w:type="character" w:customStyle="1" w:styleId="289">
    <w:name w:val="font51"/>
    <w:basedOn w:val="49"/>
    <w:autoRedefine/>
    <w:qFormat/>
    <w:uiPriority w:val="0"/>
    <w:rPr>
      <w:rFonts w:hint="eastAsia" w:ascii="方正仿宋_GBK" w:hAnsi="方正仿宋_GBK" w:eastAsia="方正仿宋_GBK"/>
      <w:color w:val="000000"/>
      <w:sz w:val="22"/>
      <w:szCs w:val="22"/>
      <w:u w:val="none"/>
    </w:rPr>
  </w:style>
  <w:style w:type="character" w:customStyle="1" w:styleId="290">
    <w:name w:val="font71"/>
    <w:basedOn w:val="49"/>
    <w:autoRedefine/>
    <w:qFormat/>
    <w:uiPriority w:val="0"/>
    <w:rPr>
      <w:rFonts w:hint="default" w:ascii="Times New Roman" w:hAnsi="Times New Roman" w:cs="Times New Roman"/>
      <w:color w:val="000000"/>
      <w:sz w:val="24"/>
      <w:szCs w:val="24"/>
      <w:u w:val="none"/>
    </w:rPr>
  </w:style>
  <w:style w:type="paragraph" w:customStyle="1" w:styleId="29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3">
    <w:name w:val="font1"/>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4">
    <w:name w:val="font2"/>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5">
    <w:name w:val="font3"/>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6">
    <w:name w:val="font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7">
    <w:name w:val="font5"/>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8">
    <w:name w:val="font6"/>
    <w:basedOn w:val="1"/>
    <w:autoRedefine/>
    <w:qFormat/>
    <w:uiPriority w:val="0"/>
    <w:pPr>
      <w:widowControl/>
      <w:spacing w:before="100" w:beforeAutospacing="1" w:after="100" w:afterAutospacing="1"/>
      <w:jc w:val="left"/>
    </w:pPr>
    <w:rPr>
      <w:rFonts w:ascii="宋体" w:hAnsi="宋体" w:cs="宋体"/>
      <w:color w:val="000000"/>
      <w:kern w:val="0"/>
      <w:sz w:val="22"/>
      <w:szCs w:val="22"/>
      <w:vertAlign w:val="subscript"/>
    </w:rPr>
  </w:style>
  <w:style w:type="paragraph" w:customStyle="1" w:styleId="299">
    <w:name w:val="et3"/>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00">
    <w:name w:val="et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01">
    <w:name w:val="et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02">
    <w:name w:val="et7"/>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3">
    <w:name w:val="et8"/>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4">
    <w:name w:val="et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05">
    <w:name w:val="et1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6">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7">
    <w:name w:val="et12"/>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8">
    <w:name w:val="et1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9">
    <w:name w:val="et14"/>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10">
    <w:name w:val="et1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311">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12">
    <w:name w:val="et17"/>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13">
    <w:name w:val="et1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14">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15">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rPr>
  </w:style>
  <w:style w:type="paragraph" w:customStyle="1" w:styleId="316">
    <w:name w:val="et2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24"/>
    </w:rPr>
  </w:style>
  <w:style w:type="paragraph" w:customStyle="1" w:styleId="317">
    <w:name w:val="et2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rPr>
  </w:style>
  <w:style w:type="character" w:customStyle="1" w:styleId="318">
    <w:name w:val="font01"/>
    <w:basedOn w:val="49"/>
    <w:autoRedefine/>
    <w:qFormat/>
    <w:uiPriority w:val="0"/>
    <w:rPr>
      <w:rFonts w:hint="eastAsia" w:ascii="宋体" w:hAnsi="宋体" w:eastAsia="宋体"/>
      <w:color w:val="000000"/>
      <w:sz w:val="22"/>
      <w:szCs w:val="22"/>
      <w:u w:val="none"/>
    </w:rPr>
  </w:style>
  <w:style w:type="paragraph" w:customStyle="1" w:styleId="319">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20">
    <w:name w:val="et2"/>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21">
    <w:name w:val="et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22">
    <w:name w:val="et23"/>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23">
    <w:name w:val="et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4">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25">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26">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7">
    <w:name w:val="et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8">
    <w:name w:val="et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9">
    <w:name w:val="et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30">
    <w:name w:val="et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31">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character" w:customStyle="1" w:styleId="332">
    <w:name w:val="font91"/>
    <w:basedOn w:val="49"/>
    <w:autoRedefine/>
    <w:qFormat/>
    <w:uiPriority w:val="0"/>
    <w:rPr>
      <w:rFonts w:hint="default" w:ascii="Arial" w:hAnsi="Arial" w:cs="Arial"/>
      <w:color w:val="000000"/>
      <w:sz w:val="22"/>
      <w:szCs w:val="22"/>
      <w:u w:val="none"/>
    </w:rPr>
  </w:style>
  <w:style w:type="paragraph" w:customStyle="1" w:styleId="333">
    <w:name w:val="报告正文"/>
    <w:basedOn w:val="1"/>
    <w:autoRedefine/>
    <w:qFormat/>
    <w:uiPriority w:val="0"/>
    <w:pPr>
      <w:spacing w:line="360" w:lineRule="auto"/>
      <w:ind w:firstLine="560" w:firstLineChars="200"/>
    </w:pPr>
    <w:rPr>
      <w:rFonts w:ascii="宋体" w:hAnsi="宋体"/>
      <w:snapToGrid w:val="0"/>
      <w:kern w:val="0"/>
      <w:sz w:val="28"/>
      <w:szCs w:val="28"/>
    </w:rPr>
  </w:style>
  <w:style w:type="paragraph" w:customStyle="1" w:styleId="33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93E7A-9A8C-432A-A237-112FBC244F58}">
  <ds:schemaRefs/>
</ds:datastoreItem>
</file>

<file path=docProps/app.xml><?xml version="1.0" encoding="utf-8"?>
<Properties xmlns="http://schemas.openxmlformats.org/officeDocument/2006/extended-properties" xmlns:vt="http://schemas.openxmlformats.org/officeDocument/2006/docPropsVTypes">
  <Template>Normal</Template>
  <Pages>56</Pages>
  <Words>8930</Words>
  <Characters>9842</Characters>
  <Lines>564</Lines>
  <Paragraphs>158</Paragraphs>
  <TotalTime>2</TotalTime>
  <ScaleCrop>false</ScaleCrop>
  <LinksUpToDate>false</LinksUpToDate>
  <CharactersWithSpaces>10126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2024-03-21T09:49:00Z</dcterms:created>
  <dc:creator>xie</dc:creator>
  <cp:lastModifiedBy>谢二狗</cp:lastModifiedBy>
  <cp:lastPrinted>2023-09-21T03:57:00Z</cp:lastPrinted>
  <dcterms:modified xsi:type="dcterms:W3CDTF">2025-06-27T02:22:45Z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B79D47B22810421D80AB75A5FBFA5D1C_13</vt:lpwstr>
  </property>
  <property fmtid="{D5CDD505-2E9C-101B-9397-08002B2CF9AE}" pid="4" name="KSOTemplateDocerSaveRecord">
    <vt:lpwstr>eyJoZGlkIjoiNzJmZjJhNWFkY2NjYzAxYWZkMjFmNzNkN2FhZjZjNjAiLCJ1c2VySWQiOiIzNzczMjE0NzAifQ==</vt:lpwstr>
  </property>
</Properties>
</file>