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A9AA6">
      <w:pPr>
        <w:pStyle w:val="25"/>
        <w:adjustRightInd w:val="0"/>
        <w:snapToGrid w:val="0"/>
        <w:spacing w:line="360" w:lineRule="auto"/>
        <w:jc w:val="center"/>
        <w:rPr>
          <w:rFonts w:ascii="宋体" w:hAnsi="宋体"/>
          <w:b/>
          <w:color w:val="auto"/>
          <w:sz w:val="44"/>
          <w:szCs w:val="44"/>
          <w:highlight w:val="none"/>
        </w:rPr>
      </w:pPr>
      <w:bookmarkStart w:id="0" w:name="第二部分第六章"/>
    </w:p>
    <w:p w14:paraId="10390E86">
      <w:pPr>
        <w:pStyle w:val="25"/>
        <w:adjustRightInd w:val="0"/>
        <w:snapToGrid w:val="0"/>
        <w:spacing w:line="360" w:lineRule="auto"/>
        <w:jc w:val="center"/>
        <w:rPr>
          <w:rFonts w:hint="eastAsia" w:ascii="宋体" w:hAnsi="宋体" w:eastAsia="宋体"/>
          <w:b/>
          <w:bCs/>
          <w:color w:val="auto"/>
          <w:sz w:val="44"/>
          <w:szCs w:val="44"/>
          <w:highlight w:val="none"/>
          <w:lang w:eastAsia="zh-CN"/>
        </w:rPr>
      </w:pPr>
      <w:bookmarkStart w:id="1" w:name="_Hlk126255332"/>
      <w:r>
        <w:rPr>
          <w:rFonts w:hint="eastAsia" w:ascii="宋体" w:hAnsi="宋体"/>
          <w:b/>
          <w:bCs/>
          <w:color w:val="auto"/>
          <w:sz w:val="44"/>
          <w:szCs w:val="44"/>
          <w:highlight w:val="none"/>
          <w:lang w:eastAsia="zh-CN"/>
        </w:rPr>
        <w:t>和田地区人民医院CT维保项目</w:t>
      </w:r>
    </w:p>
    <w:bookmarkEnd w:id="1"/>
    <w:p w14:paraId="3CF5BBF1">
      <w:pPr>
        <w:pStyle w:val="25"/>
        <w:adjustRightInd w:val="0"/>
        <w:snapToGrid w:val="0"/>
        <w:spacing w:line="360" w:lineRule="auto"/>
        <w:jc w:val="center"/>
        <w:rPr>
          <w:rFonts w:ascii="宋体" w:hAnsi="宋体"/>
          <w:color w:val="auto"/>
          <w:szCs w:val="24"/>
          <w:highlight w:val="none"/>
        </w:rPr>
      </w:pPr>
    </w:p>
    <w:p w14:paraId="55FE0EAC">
      <w:pPr>
        <w:pStyle w:val="25"/>
        <w:adjustRightInd w:val="0"/>
        <w:snapToGrid w:val="0"/>
        <w:spacing w:line="360" w:lineRule="auto"/>
        <w:jc w:val="center"/>
        <w:rPr>
          <w:rFonts w:ascii="宋体" w:hAnsi="宋体"/>
          <w:color w:val="auto"/>
          <w:szCs w:val="24"/>
          <w:highlight w:val="none"/>
        </w:rPr>
      </w:pPr>
    </w:p>
    <w:p w14:paraId="2C96F455">
      <w:pPr>
        <w:pStyle w:val="25"/>
        <w:adjustRightInd w:val="0"/>
        <w:snapToGrid w:val="0"/>
        <w:spacing w:line="360" w:lineRule="auto"/>
        <w:jc w:val="center"/>
        <w:rPr>
          <w:rFonts w:ascii="宋体" w:hAnsi="宋体"/>
          <w:color w:val="auto"/>
          <w:szCs w:val="24"/>
          <w:highlight w:val="none"/>
        </w:rPr>
      </w:pPr>
    </w:p>
    <w:p w14:paraId="754EE0F0">
      <w:pPr>
        <w:pStyle w:val="25"/>
        <w:adjustRightInd w:val="0"/>
        <w:snapToGrid w:val="0"/>
        <w:spacing w:line="360" w:lineRule="auto"/>
        <w:jc w:val="center"/>
        <w:rPr>
          <w:rFonts w:ascii="宋体" w:hAnsi="宋体"/>
          <w:color w:val="auto"/>
          <w:szCs w:val="24"/>
          <w:highlight w:val="none"/>
        </w:rPr>
      </w:pPr>
    </w:p>
    <w:p w14:paraId="3274C5EA">
      <w:pPr>
        <w:pStyle w:val="25"/>
        <w:adjustRightInd w:val="0"/>
        <w:snapToGrid w:val="0"/>
        <w:spacing w:line="360" w:lineRule="auto"/>
        <w:jc w:val="center"/>
        <w:rPr>
          <w:rFonts w:ascii="宋体" w:hAnsi="宋体"/>
          <w:color w:val="auto"/>
          <w:szCs w:val="24"/>
          <w:highlight w:val="none"/>
        </w:rPr>
      </w:pPr>
    </w:p>
    <w:p w14:paraId="3A9E7677">
      <w:pPr>
        <w:pStyle w:val="25"/>
        <w:adjustRightInd w:val="0"/>
        <w:snapToGrid w:val="0"/>
        <w:spacing w:line="360" w:lineRule="auto"/>
        <w:jc w:val="center"/>
        <w:rPr>
          <w:rFonts w:ascii="宋体" w:hAnsi="宋体"/>
          <w:color w:val="auto"/>
          <w:szCs w:val="24"/>
          <w:highlight w:val="none"/>
        </w:rPr>
      </w:pPr>
    </w:p>
    <w:p w14:paraId="0A412E82">
      <w:pPr>
        <w:pStyle w:val="25"/>
        <w:adjustRightInd w:val="0"/>
        <w:snapToGrid w:val="0"/>
        <w:spacing w:line="360" w:lineRule="auto"/>
        <w:jc w:val="center"/>
        <w:rPr>
          <w:rFonts w:ascii="宋体" w:hAnsi="宋体"/>
          <w:color w:val="auto"/>
          <w:szCs w:val="24"/>
          <w:highlight w:val="none"/>
        </w:rPr>
      </w:pPr>
    </w:p>
    <w:p w14:paraId="248612D7">
      <w:pPr>
        <w:pStyle w:val="25"/>
        <w:adjustRightInd w:val="0"/>
        <w:snapToGrid w:val="0"/>
        <w:spacing w:line="360" w:lineRule="auto"/>
        <w:jc w:val="center"/>
        <w:rPr>
          <w:rFonts w:ascii="宋体" w:hAnsi="宋体"/>
          <w:b/>
          <w:color w:val="auto"/>
          <w:szCs w:val="24"/>
          <w:highlight w:val="none"/>
        </w:rPr>
      </w:pPr>
    </w:p>
    <w:p w14:paraId="5886818B">
      <w:pPr>
        <w:pStyle w:val="25"/>
        <w:adjustRightInd w:val="0"/>
        <w:snapToGrid w:val="0"/>
        <w:spacing w:line="360" w:lineRule="auto"/>
        <w:jc w:val="center"/>
        <w:rPr>
          <w:rFonts w:ascii="宋体" w:hAnsi="宋体"/>
          <w:b/>
          <w:color w:val="auto"/>
          <w:sz w:val="62"/>
          <w:szCs w:val="84"/>
          <w:highlight w:val="none"/>
        </w:rPr>
      </w:pPr>
      <w:r>
        <w:rPr>
          <w:rFonts w:hint="eastAsia" w:ascii="宋体" w:hAnsi="宋体"/>
          <w:b/>
          <w:color w:val="auto"/>
          <w:sz w:val="52"/>
          <w:szCs w:val="56"/>
          <w:highlight w:val="none"/>
        </w:rPr>
        <w:t>公开招标文件</w:t>
      </w:r>
    </w:p>
    <w:p w14:paraId="3C4178E8">
      <w:pPr>
        <w:pStyle w:val="25"/>
        <w:adjustRightInd w:val="0"/>
        <w:snapToGrid w:val="0"/>
        <w:spacing w:before="120" w:beforeLines="50" w:line="360" w:lineRule="auto"/>
        <w:ind w:left="846" w:leftChars="403" w:firstLine="157" w:firstLineChars="49"/>
        <w:rPr>
          <w:rFonts w:ascii="宋体" w:hAnsi="宋体"/>
          <w:b/>
          <w:color w:val="auto"/>
          <w:sz w:val="32"/>
          <w:szCs w:val="32"/>
          <w:highlight w:val="none"/>
        </w:rPr>
      </w:pPr>
    </w:p>
    <w:p w14:paraId="6DA79034">
      <w:pPr>
        <w:pStyle w:val="25"/>
        <w:adjustRightInd w:val="0"/>
        <w:snapToGrid w:val="0"/>
        <w:spacing w:before="120" w:beforeLines="50" w:line="360" w:lineRule="auto"/>
        <w:ind w:left="846" w:leftChars="403" w:firstLine="157" w:firstLineChars="49"/>
        <w:rPr>
          <w:rFonts w:ascii="宋体" w:hAnsi="宋体"/>
          <w:b/>
          <w:color w:val="auto"/>
          <w:sz w:val="32"/>
          <w:szCs w:val="32"/>
          <w:highlight w:val="none"/>
        </w:rPr>
      </w:pPr>
    </w:p>
    <w:p w14:paraId="26A6A0C7">
      <w:pPr>
        <w:pStyle w:val="25"/>
        <w:adjustRightInd w:val="0"/>
        <w:snapToGrid w:val="0"/>
        <w:spacing w:line="360" w:lineRule="auto"/>
        <w:ind w:firstLine="948" w:firstLineChars="295"/>
        <w:rPr>
          <w:rFonts w:ascii="宋体" w:hAnsi="宋体"/>
          <w:b/>
          <w:color w:val="auto"/>
          <w:sz w:val="32"/>
          <w:szCs w:val="32"/>
          <w:highlight w:val="none"/>
        </w:rPr>
      </w:pPr>
    </w:p>
    <w:p w14:paraId="1F509F3F">
      <w:pPr>
        <w:pStyle w:val="25"/>
        <w:adjustRightInd w:val="0"/>
        <w:snapToGrid w:val="0"/>
        <w:spacing w:line="360" w:lineRule="auto"/>
        <w:rPr>
          <w:rFonts w:ascii="宋体" w:hAnsi="宋体"/>
          <w:b/>
          <w:color w:val="auto"/>
          <w:sz w:val="32"/>
          <w:szCs w:val="32"/>
          <w:highlight w:val="none"/>
        </w:rPr>
      </w:pPr>
    </w:p>
    <w:p w14:paraId="1AEC86C5">
      <w:pPr>
        <w:pStyle w:val="25"/>
        <w:adjustRightInd w:val="0"/>
        <w:snapToGrid w:val="0"/>
        <w:spacing w:line="360" w:lineRule="auto"/>
        <w:rPr>
          <w:rFonts w:ascii="宋体" w:hAnsi="宋体"/>
          <w:b/>
          <w:color w:val="auto"/>
          <w:sz w:val="32"/>
          <w:szCs w:val="32"/>
          <w:highlight w:val="none"/>
        </w:rPr>
      </w:pPr>
    </w:p>
    <w:p w14:paraId="61B1425C">
      <w:pPr>
        <w:spacing w:line="360" w:lineRule="auto"/>
        <w:ind w:firstLine="562" w:firstLineChars="200"/>
        <w:jc w:val="left"/>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采 购 人：</w:t>
      </w:r>
      <w:r>
        <w:rPr>
          <w:rFonts w:hint="eastAsia" w:ascii="宋体" w:hAnsi="宋体"/>
          <w:b/>
          <w:color w:val="auto"/>
          <w:sz w:val="28"/>
          <w:szCs w:val="28"/>
          <w:highlight w:val="none"/>
          <w:lang w:eastAsia="zh-CN"/>
        </w:rPr>
        <w:t>和田地区人民医院</w:t>
      </w:r>
    </w:p>
    <w:p w14:paraId="48BEA3E8">
      <w:pPr>
        <w:spacing w:line="360" w:lineRule="auto"/>
        <w:ind w:firstLine="562" w:firstLineChars="200"/>
        <w:jc w:val="left"/>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 xml:space="preserve">代理机构: </w:t>
      </w:r>
      <w:r>
        <w:rPr>
          <w:rFonts w:hint="eastAsia" w:ascii="宋体" w:hAnsi="宋体"/>
          <w:b/>
          <w:color w:val="auto"/>
          <w:sz w:val="28"/>
          <w:szCs w:val="28"/>
          <w:highlight w:val="none"/>
          <w:lang w:eastAsia="zh-CN"/>
        </w:rPr>
        <w:t>中益招标有限公司</w:t>
      </w:r>
    </w:p>
    <w:p w14:paraId="31E18AB1">
      <w:pPr>
        <w:spacing w:line="360" w:lineRule="auto"/>
        <w:ind w:firstLine="562" w:firstLineChars="200"/>
        <w:jc w:val="left"/>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采购内容：</w:t>
      </w:r>
      <w:r>
        <w:rPr>
          <w:rFonts w:hint="eastAsia" w:ascii="宋体" w:hAnsi="宋体"/>
          <w:b/>
          <w:color w:val="auto"/>
          <w:sz w:val="28"/>
          <w:szCs w:val="28"/>
          <w:highlight w:val="none"/>
          <w:lang w:eastAsia="zh-CN"/>
        </w:rPr>
        <w:t>CT维保</w:t>
      </w:r>
    </w:p>
    <w:p w14:paraId="3F4C626D">
      <w:pPr>
        <w:spacing w:line="360" w:lineRule="auto"/>
        <w:ind w:firstLine="562" w:firstLineChars="200"/>
        <w:jc w:val="left"/>
        <w:rPr>
          <w:rFonts w:hint="default" w:ascii="宋体" w:hAnsi="宋体" w:eastAsia="宋体"/>
          <w:b/>
          <w:color w:val="auto"/>
          <w:sz w:val="32"/>
          <w:szCs w:val="40"/>
          <w:highlight w:val="none"/>
          <w:lang w:val="en-US" w:eastAsia="zh-CN"/>
        </w:rPr>
      </w:pPr>
      <w:r>
        <w:rPr>
          <w:rFonts w:hint="eastAsia" w:ascii="宋体" w:hAnsi="宋体"/>
          <w:b/>
          <w:color w:val="auto"/>
          <w:sz w:val="28"/>
          <w:szCs w:val="28"/>
          <w:highlight w:val="none"/>
        </w:rPr>
        <w:t>项目编号：</w:t>
      </w:r>
      <w:bookmarkStart w:id="2" w:name="_Hlk99472014"/>
      <w:r>
        <w:rPr>
          <w:rFonts w:hint="eastAsia" w:ascii="宋体" w:hAnsi="宋体"/>
          <w:b/>
          <w:color w:val="auto"/>
          <w:sz w:val="32"/>
          <w:szCs w:val="40"/>
          <w:highlight w:val="none"/>
          <w:lang w:eastAsia="zh-CN"/>
        </w:rPr>
        <w:t>ZYZB-2025-Z-0</w:t>
      </w:r>
      <w:r>
        <w:rPr>
          <w:rFonts w:hint="eastAsia" w:ascii="宋体" w:hAnsi="宋体"/>
          <w:b/>
          <w:color w:val="auto"/>
          <w:sz w:val="32"/>
          <w:szCs w:val="40"/>
          <w:highlight w:val="none"/>
          <w:lang w:val="en-US" w:eastAsia="zh-CN"/>
        </w:rPr>
        <w:t>53</w:t>
      </w:r>
    </w:p>
    <w:p w14:paraId="7F0D13CE">
      <w:pPr>
        <w:spacing w:line="360" w:lineRule="auto"/>
        <w:ind w:firstLine="643" w:firstLineChars="200"/>
        <w:jc w:val="left"/>
        <w:rPr>
          <w:rFonts w:ascii="宋体" w:hAnsi="宋体"/>
          <w:b/>
          <w:color w:val="auto"/>
          <w:sz w:val="28"/>
          <w:szCs w:val="28"/>
          <w:highlight w:val="none"/>
        </w:rPr>
      </w:pPr>
      <w:r>
        <w:rPr>
          <w:rFonts w:ascii="宋体" w:hAnsi="宋体"/>
          <w:b/>
          <w:color w:val="auto"/>
          <w:sz w:val="32"/>
          <w:szCs w:val="40"/>
          <w:highlight w:val="none"/>
        </w:rPr>
        <w:br w:type="page"/>
      </w:r>
    </w:p>
    <w:bookmarkEnd w:id="2"/>
    <w:p w14:paraId="0E5810EC">
      <w:pPr>
        <w:pStyle w:val="25"/>
        <w:adjustRightInd w:val="0"/>
        <w:snapToGrid w:val="0"/>
        <w:spacing w:line="360" w:lineRule="auto"/>
        <w:jc w:val="center"/>
        <w:rPr>
          <w:rFonts w:ascii="宋体" w:hAnsi="宋体"/>
          <w:b/>
          <w:color w:val="auto"/>
          <w:spacing w:val="160"/>
          <w:sz w:val="36"/>
          <w:szCs w:val="36"/>
          <w:highlight w:val="none"/>
        </w:rPr>
      </w:pPr>
      <w:r>
        <w:rPr>
          <w:rFonts w:hint="eastAsia" w:ascii="宋体" w:hAnsi="宋体"/>
          <w:b/>
          <w:color w:val="auto"/>
          <w:spacing w:val="160"/>
          <w:sz w:val="36"/>
          <w:szCs w:val="36"/>
          <w:highlight w:val="none"/>
        </w:rPr>
        <w:t>目录</w:t>
      </w:r>
    </w:p>
    <w:p w14:paraId="56B108CB">
      <w:pPr>
        <w:pStyle w:val="32"/>
        <w:tabs>
          <w:tab w:val="right" w:leader="dot" w:pos="8302"/>
        </w:tabs>
        <w:rPr>
          <w:rFonts w:asciiTheme="minorHAnsi" w:hAnsiTheme="minorHAnsi" w:eastAsiaTheme="minorEastAsia" w:cstheme="minorBidi"/>
          <w:b w:val="0"/>
          <w:color w:val="auto"/>
          <w:sz w:val="21"/>
          <w:szCs w:val="22"/>
          <w:highlight w:val="none"/>
        </w:rPr>
      </w:pPr>
      <w:bookmarkStart w:id="3" w:name="_Toc419219410"/>
      <w:bookmarkStart w:id="4" w:name="_Toc419219645"/>
      <w:bookmarkStart w:id="5" w:name="_Toc419219491"/>
      <w:bookmarkStart w:id="6" w:name="_Toc420948005"/>
      <w:r>
        <w:rPr>
          <w:rFonts w:ascii="宋体" w:hAnsi="宋体"/>
          <w:b w:val="0"/>
          <w:color w:val="auto"/>
          <w:sz w:val="21"/>
          <w:szCs w:val="21"/>
          <w:highlight w:val="none"/>
        </w:rPr>
        <w:fldChar w:fldCharType="begin"/>
      </w:r>
      <w:r>
        <w:rPr>
          <w:rFonts w:ascii="宋体" w:hAnsi="宋体"/>
          <w:b w:val="0"/>
          <w:color w:val="auto"/>
          <w:sz w:val="21"/>
          <w:szCs w:val="21"/>
          <w:highlight w:val="none"/>
        </w:rPr>
        <w:instrText xml:space="preserve"> TOC \o "1-3" \h \z \u </w:instrText>
      </w:r>
      <w:r>
        <w:rPr>
          <w:rFonts w:ascii="宋体" w:hAnsi="宋体"/>
          <w:b w:val="0"/>
          <w:color w:val="auto"/>
          <w:sz w:val="21"/>
          <w:szCs w:val="21"/>
          <w:highlight w:val="none"/>
        </w:rPr>
        <w:fldChar w:fldCharType="separate"/>
      </w:r>
      <w:r>
        <w:rPr>
          <w:color w:val="auto"/>
          <w:highlight w:val="none"/>
        </w:rPr>
        <w:fldChar w:fldCharType="begin"/>
      </w:r>
      <w:r>
        <w:rPr>
          <w:color w:val="auto"/>
          <w:highlight w:val="none"/>
        </w:rPr>
        <w:instrText xml:space="preserve"> HYPERLINK \l "_Toc161933882" </w:instrText>
      </w:r>
      <w:r>
        <w:rPr>
          <w:color w:val="auto"/>
          <w:highlight w:val="none"/>
        </w:rPr>
        <w:fldChar w:fldCharType="separate"/>
      </w:r>
      <w:r>
        <w:rPr>
          <w:rStyle w:val="56"/>
          <w:color w:val="auto"/>
          <w:highlight w:val="none"/>
        </w:rPr>
        <w:t>第一章  公开招标公告</w:t>
      </w:r>
      <w:r>
        <w:rPr>
          <w:color w:val="auto"/>
          <w:highlight w:val="none"/>
        </w:rPr>
        <w:tab/>
      </w:r>
      <w:r>
        <w:rPr>
          <w:color w:val="auto"/>
          <w:highlight w:val="none"/>
        </w:rPr>
        <w:fldChar w:fldCharType="begin"/>
      </w:r>
      <w:r>
        <w:rPr>
          <w:color w:val="auto"/>
          <w:highlight w:val="none"/>
        </w:rPr>
        <w:instrText xml:space="preserve"> PAGEREF _Toc161933882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4E7028D8">
      <w:pPr>
        <w:pStyle w:val="32"/>
        <w:tabs>
          <w:tab w:val="right" w:leader="dot" w:pos="8302"/>
        </w:tabs>
        <w:rPr>
          <w:rFonts w:asciiTheme="minorHAnsi" w:hAnsiTheme="minorHAnsi" w:eastAsiaTheme="minorEastAsia" w:cstheme="minorBidi"/>
          <w:b w:val="0"/>
          <w:color w:val="auto"/>
          <w:sz w:val="21"/>
          <w:szCs w:val="22"/>
          <w:highlight w:val="none"/>
        </w:rPr>
      </w:pPr>
      <w:r>
        <w:rPr>
          <w:color w:val="auto"/>
          <w:highlight w:val="none"/>
        </w:rPr>
        <w:fldChar w:fldCharType="begin"/>
      </w:r>
      <w:r>
        <w:rPr>
          <w:color w:val="auto"/>
          <w:highlight w:val="none"/>
        </w:rPr>
        <w:instrText xml:space="preserve"> HYPERLINK \l "_Toc161933884" </w:instrText>
      </w:r>
      <w:r>
        <w:rPr>
          <w:color w:val="auto"/>
          <w:highlight w:val="none"/>
        </w:rPr>
        <w:fldChar w:fldCharType="separate"/>
      </w:r>
      <w:r>
        <w:rPr>
          <w:rStyle w:val="56"/>
          <w:color w:val="auto"/>
          <w:highlight w:val="none"/>
        </w:rPr>
        <w:t>第二章  投标须知</w:t>
      </w:r>
      <w:r>
        <w:rPr>
          <w:color w:val="auto"/>
          <w:highlight w:val="none"/>
        </w:rPr>
        <w:tab/>
      </w:r>
      <w:r>
        <w:rPr>
          <w:color w:val="auto"/>
          <w:highlight w:val="none"/>
        </w:rPr>
        <w:fldChar w:fldCharType="begin"/>
      </w:r>
      <w:r>
        <w:rPr>
          <w:color w:val="auto"/>
          <w:highlight w:val="none"/>
        </w:rPr>
        <w:instrText xml:space="preserve"> PAGEREF _Toc161933884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021E90D3">
      <w:pPr>
        <w:pStyle w:val="3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"_Toc161933885" </w:instrText>
      </w:r>
      <w:r>
        <w:rPr>
          <w:color w:val="auto"/>
          <w:highlight w:val="none"/>
        </w:rPr>
        <w:fldChar w:fldCharType="separate"/>
      </w:r>
      <w:r>
        <w:rPr>
          <w:rStyle w:val="56"/>
          <w:color w:val="auto"/>
          <w:highlight w:val="none"/>
        </w:rPr>
        <w:t>投标须知前附表</w:t>
      </w:r>
      <w:r>
        <w:rPr>
          <w:color w:val="auto"/>
          <w:highlight w:val="none"/>
        </w:rPr>
        <w:tab/>
      </w:r>
      <w:r>
        <w:rPr>
          <w:color w:val="auto"/>
          <w:highlight w:val="none"/>
        </w:rPr>
        <w:fldChar w:fldCharType="begin"/>
      </w:r>
      <w:r>
        <w:rPr>
          <w:color w:val="auto"/>
          <w:highlight w:val="none"/>
        </w:rPr>
        <w:instrText xml:space="preserve"> PAGEREF _Toc161933885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5E819176">
      <w:pPr>
        <w:pStyle w:val="3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"_Toc161933886" </w:instrText>
      </w:r>
      <w:r>
        <w:rPr>
          <w:color w:val="auto"/>
          <w:highlight w:val="none"/>
        </w:rPr>
        <w:fldChar w:fldCharType="separate"/>
      </w:r>
      <w:r>
        <w:rPr>
          <w:rStyle w:val="56"/>
          <w:color w:val="auto"/>
          <w:highlight w:val="none"/>
        </w:rPr>
        <w:t>投标须知正文</w:t>
      </w:r>
      <w:r>
        <w:rPr>
          <w:color w:val="auto"/>
          <w:highlight w:val="none"/>
        </w:rPr>
        <w:tab/>
      </w:r>
      <w:r>
        <w:rPr>
          <w:color w:val="auto"/>
          <w:highlight w:val="none"/>
        </w:rPr>
        <w:fldChar w:fldCharType="begin"/>
      </w:r>
      <w:r>
        <w:rPr>
          <w:color w:val="auto"/>
          <w:highlight w:val="none"/>
        </w:rPr>
        <w:instrText xml:space="preserve"> PAGEREF _Toc161933886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0455C529">
      <w:pPr>
        <w:pStyle w:val="3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"_Toc161933887" </w:instrText>
      </w:r>
      <w:r>
        <w:rPr>
          <w:color w:val="auto"/>
          <w:highlight w:val="none"/>
        </w:rPr>
        <w:fldChar w:fldCharType="separate"/>
      </w:r>
      <w:r>
        <w:rPr>
          <w:rStyle w:val="56"/>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_Toc161933887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30479F8E">
      <w:pPr>
        <w:pStyle w:val="3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"_Toc161933888" </w:instrText>
      </w:r>
      <w:r>
        <w:rPr>
          <w:color w:val="auto"/>
          <w:highlight w:val="none"/>
        </w:rPr>
        <w:fldChar w:fldCharType="separate"/>
      </w:r>
      <w:r>
        <w:rPr>
          <w:rStyle w:val="56"/>
          <w:color w:val="auto"/>
          <w:highlight w:val="none"/>
        </w:rPr>
        <w:t>二、采购文件</w:t>
      </w:r>
      <w:r>
        <w:rPr>
          <w:color w:val="auto"/>
          <w:highlight w:val="none"/>
        </w:rPr>
        <w:tab/>
      </w:r>
      <w:r>
        <w:rPr>
          <w:color w:val="auto"/>
          <w:highlight w:val="none"/>
        </w:rPr>
        <w:fldChar w:fldCharType="begin"/>
      </w:r>
      <w:r>
        <w:rPr>
          <w:color w:val="auto"/>
          <w:highlight w:val="none"/>
        </w:rPr>
        <w:instrText xml:space="preserve"> PAGEREF _Toc161933888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1A579BC6">
      <w:pPr>
        <w:pStyle w:val="3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"_Toc161933889" </w:instrText>
      </w:r>
      <w:r>
        <w:rPr>
          <w:color w:val="auto"/>
          <w:highlight w:val="none"/>
        </w:rPr>
        <w:fldChar w:fldCharType="separate"/>
      </w:r>
      <w:r>
        <w:rPr>
          <w:rStyle w:val="56"/>
          <w:color w:val="auto"/>
          <w:highlight w:val="none"/>
        </w:rPr>
        <w:t>三、投标文件</w:t>
      </w:r>
      <w:r>
        <w:rPr>
          <w:color w:val="auto"/>
          <w:highlight w:val="none"/>
        </w:rPr>
        <w:tab/>
      </w:r>
      <w:r>
        <w:rPr>
          <w:color w:val="auto"/>
          <w:highlight w:val="none"/>
        </w:rPr>
        <w:fldChar w:fldCharType="begin"/>
      </w:r>
      <w:r>
        <w:rPr>
          <w:color w:val="auto"/>
          <w:highlight w:val="none"/>
        </w:rPr>
        <w:instrText xml:space="preserve"> PAGEREF _Toc161933889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79FE6CF6">
      <w:pPr>
        <w:pStyle w:val="3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"_Toc161933890" </w:instrText>
      </w:r>
      <w:r>
        <w:rPr>
          <w:color w:val="auto"/>
          <w:highlight w:val="none"/>
        </w:rPr>
        <w:fldChar w:fldCharType="separate"/>
      </w:r>
      <w:r>
        <w:rPr>
          <w:rStyle w:val="56"/>
          <w:color w:val="auto"/>
          <w:highlight w:val="none"/>
        </w:rPr>
        <w:t>五、投标文件的评审</w:t>
      </w:r>
      <w:r>
        <w:rPr>
          <w:color w:val="auto"/>
          <w:highlight w:val="none"/>
        </w:rPr>
        <w:tab/>
      </w:r>
      <w:r>
        <w:rPr>
          <w:color w:val="auto"/>
          <w:highlight w:val="none"/>
        </w:rPr>
        <w:fldChar w:fldCharType="begin"/>
      </w:r>
      <w:r>
        <w:rPr>
          <w:color w:val="auto"/>
          <w:highlight w:val="none"/>
        </w:rPr>
        <w:instrText xml:space="preserve"> PAGEREF _Toc161933890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5F7A0863">
      <w:pPr>
        <w:pStyle w:val="3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"_Toc161933891" </w:instrText>
      </w:r>
      <w:r>
        <w:rPr>
          <w:color w:val="auto"/>
          <w:highlight w:val="none"/>
        </w:rPr>
        <w:fldChar w:fldCharType="separate"/>
      </w:r>
      <w:r>
        <w:rPr>
          <w:rStyle w:val="56"/>
          <w:color w:val="auto"/>
          <w:highlight w:val="none"/>
        </w:rPr>
        <w:t>六、中标结果信息公布与授予合同</w:t>
      </w:r>
      <w:r>
        <w:rPr>
          <w:color w:val="auto"/>
          <w:highlight w:val="none"/>
        </w:rPr>
        <w:tab/>
      </w:r>
      <w:r>
        <w:rPr>
          <w:color w:val="auto"/>
          <w:highlight w:val="none"/>
        </w:rPr>
        <w:fldChar w:fldCharType="begin"/>
      </w:r>
      <w:r>
        <w:rPr>
          <w:color w:val="auto"/>
          <w:highlight w:val="none"/>
        </w:rPr>
        <w:instrText xml:space="preserve"> PAGEREF _Toc161933891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79AE0D5B">
      <w:pPr>
        <w:pStyle w:val="3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"_Toc161933892" </w:instrText>
      </w:r>
      <w:r>
        <w:rPr>
          <w:color w:val="auto"/>
          <w:highlight w:val="none"/>
        </w:rPr>
        <w:fldChar w:fldCharType="separate"/>
      </w:r>
      <w:r>
        <w:rPr>
          <w:rStyle w:val="56"/>
          <w:color w:val="auto"/>
          <w:highlight w:val="none"/>
        </w:rPr>
        <w:t>七、其他规定</w:t>
      </w:r>
      <w:r>
        <w:rPr>
          <w:color w:val="auto"/>
          <w:highlight w:val="none"/>
        </w:rPr>
        <w:tab/>
      </w:r>
      <w:r>
        <w:rPr>
          <w:color w:val="auto"/>
          <w:highlight w:val="none"/>
        </w:rPr>
        <w:fldChar w:fldCharType="begin"/>
      </w:r>
      <w:r>
        <w:rPr>
          <w:color w:val="auto"/>
          <w:highlight w:val="none"/>
        </w:rPr>
        <w:instrText xml:space="preserve"> PAGEREF _Toc161933892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29A7F7DE">
      <w:pPr>
        <w:pStyle w:val="32"/>
        <w:tabs>
          <w:tab w:val="right" w:leader="dot" w:pos="8302"/>
        </w:tabs>
        <w:rPr>
          <w:rFonts w:asciiTheme="minorHAnsi" w:hAnsiTheme="minorHAnsi" w:eastAsiaTheme="minorEastAsia" w:cstheme="minorBidi"/>
          <w:b w:val="0"/>
          <w:color w:val="auto"/>
          <w:sz w:val="21"/>
          <w:szCs w:val="22"/>
          <w:highlight w:val="none"/>
        </w:rPr>
      </w:pPr>
      <w:r>
        <w:rPr>
          <w:color w:val="auto"/>
          <w:highlight w:val="none"/>
        </w:rPr>
        <w:fldChar w:fldCharType="begin"/>
      </w:r>
      <w:r>
        <w:rPr>
          <w:color w:val="auto"/>
          <w:highlight w:val="none"/>
        </w:rPr>
        <w:instrText xml:space="preserve"> HYPERLINK \l "_Toc161933893" </w:instrText>
      </w:r>
      <w:r>
        <w:rPr>
          <w:color w:val="auto"/>
          <w:highlight w:val="none"/>
        </w:rPr>
        <w:fldChar w:fldCharType="separate"/>
      </w:r>
      <w:r>
        <w:rPr>
          <w:rStyle w:val="56"/>
          <w:color w:val="auto"/>
          <w:highlight w:val="none"/>
        </w:rPr>
        <w:t>第三章  合同协议书</w:t>
      </w:r>
      <w:r>
        <w:rPr>
          <w:color w:val="auto"/>
          <w:highlight w:val="none"/>
        </w:rPr>
        <w:tab/>
      </w:r>
      <w:r>
        <w:rPr>
          <w:color w:val="auto"/>
          <w:highlight w:val="none"/>
        </w:rPr>
        <w:fldChar w:fldCharType="begin"/>
      </w:r>
      <w:r>
        <w:rPr>
          <w:color w:val="auto"/>
          <w:highlight w:val="none"/>
        </w:rPr>
        <w:instrText xml:space="preserve"> PAGEREF _Toc161933893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0593989A">
      <w:pPr>
        <w:pStyle w:val="32"/>
        <w:tabs>
          <w:tab w:val="right" w:leader="dot" w:pos="8302"/>
        </w:tabs>
        <w:rPr>
          <w:rFonts w:asciiTheme="minorHAnsi" w:hAnsiTheme="minorHAnsi" w:eastAsiaTheme="minorEastAsia" w:cstheme="minorBidi"/>
          <w:b w:val="0"/>
          <w:color w:val="auto"/>
          <w:sz w:val="21"/>
          <w:szCs w:val="22"/>
          <w:highlight w:val="none"/>
        </w:rPr>
      </w:pPr>
      <w:r>
        <w:rPr>
          <w:color w:val="auto"/>
          <w:highlight w:val="none"/>
        </w:rPr>
        <w:fldChar w:fldCharType="begin"/>
      </w:r>
      <w:r>
        <w:rPr>
          <w:color w:val="auto"/>
          <w:highlight w:val="none"/>
        </w:rPr>
        <w:instrText xml:space="preserve"> HYPERLINK \l "_Toc161933894" </w:instrText>
      </w:r>
      <w:r>
        <w:rPr>
          <w:color w:val="auto"/>
          <w:highlight w:val="none"/>
        </w:rPr>
        <w:fldChar w:fldCharType="separate"/>
      </w:r>
      <w:r>
        <w:rPr>
          <w:rStyle w:val="56"/>
          <w:color w:val="auto"/>
          <w:highlight w:val="none"/>
        </w:rPr>
        <w:t>第四章  采购需求</w:t>
      </w:r>
      <w:r>
        <w:rPr>
          <w:color w:val="auto"/>
          <w:highlight w:val="none"/>
        </w:rPr>
        <w:tab/>
      </w:r>
      <w:r>
        <w:rPr>
          <w:color w:val="auto"/>
          <w:highlight w:val="none"/>
        </w:rPr>
        <w:fldChar w:fldCharType="begin"/>
      </w:r>
      <w:r>
        <w:rPr>
          <w:color w:val="auto"/>
          <w:highlight w:val="none"/>
        </w:rPr>
        <w:instrText xml:space="preserve"> PAGEREF _Toc161933894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5A365A29">
      <w:pPr>
        <w:pStyle w:val="32"/>
        <w:tabs>
          <w:tab w:val="right" w:leader="dot" w:pos="8302"/>
        </w:tabs>
        <w:rPr>
          <w:rFonts w:asciiTheme="minorHAnsi" w:hAnsiTheme="minorHAnsi" w:eastAsiaTheme="minorEastAsia" w:cstheme="minorBidi"/>
          <w:b w:val="0"/>
          <w:color w:val="auto"/>
          <w:sz w:val="21"/>
          <w:szCs w:val="22"/>
          <w:highlight w:val="none"/>
        </w:rPr>
      </w:pPr>
      <w:r>
        <w:rPr>
          <w:color w:val="auto"/>
          <w:highlight w:val="none"/>
        </w:rPr>
        <w:fldChar w:fldCharType="begin"/>
      </w:r>
      <w:r>
        <w:rPr>
          <w:color w:val="auto"/>
          <w:highlight w:val="none"/>
        </w:rPr>
        <w:instrText xml:space="preserve"> HYPERLINK \l "_Toc161933895" </w:instrText>
      </w:r>
      <w:r>
        <w:rPr>
          <w:color w:val="auto"/>
          <w:highlight w:val="none"/>
        </w:rPr>
        <w:fldChar w:fldCharType="separate"/>
      </w:r>
      <w:r>
        <w:rPr>
          <w:rStyle w:val="56"/>
          <w:rFonts w:ascii="宋体" w:hAnsi="宋体"/>
          <w:color w:val="auto"/>
          <w:highlight w:val="none"/>
        </w:rPr>
        <w:t>第五章  投标文件格式</w:t>
      </w:r>
      <w:r>
        <w:rPr>
          <w:color w:val="auto"/>
          <w:highlight w:val="none"/>
        </w:rPr>
        <w:tab/>
      </w:r>
      <w:r>
        <w:rPr>
          <w:color w:val="auto"/>
          <w:highlight w:val="none"/>
        </w:rPr>
        <w:fldChar w:fldCharType="begin"/>
      </w:r>
      <w:r>
        <w:rPr>
          <w:color w:val="auto"/>
          <w:highlight w:val="none"/>
        </w:rPr>
        <w:instrText xml:space="preserve"> PAGEREF _Toc161933895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68ADFC47">
      <w:pPr>
        <w:pStyle w:val="3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"_Toc161933896" </w:instrText>
      </w:r>
      <w:r>
        <w:rPr>
          <w:color w:val="auto"/>
          <w:highlight w:val="none"/>
        </w:rPr>
        <w:fldChar w:fldCharType="separate"/>
      </w:r>
      <w:r>
        <w:rPr>
          <w:rStyle w:val="56"/>
          <w:b/>
          <w:color w:val="auto"/>
          <w:highlight w:val="none"/>
        </w:rPr>
        <w:t>一、资格性自查表</w:t>
      </w:r>
      <w:r>
        <w:rPr>
          <w:color w:val="auto"/>
          <w:highlight w:val="none"/>
        </w:rPr>
        <w:tab/>
      </w:r>
      <w:r>
        <w:rPr>
          <w:color w:val="auto"/>
          <w:highlight w:val="none"/>
        </w:rPr>
        <w:fldChar w:fldCharType="begin"/>
      </w:r>
      <w:r>
        <w:rPr>
          <w:color w:val="auto"/>
          <w:highlight w:val="none"/>
        </w:rPr>
        <w:instrText xml:space="preserve"> PAGEREF _Toc161933896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4AADD7A4">
      <w:pPr>
        <w:pStyle w:val="3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"_Toc161933897" </w:instrText>
      </w:r>
      <w:r>
        <w:rPr>
          <w:color w:val="auto"/>
          <w:highlight w:val="none"/>
        </w:rPr>
        <w:fldChar w:fldCharType="separate"/>
      </w:r>
      <w:r>
        <w:rPr>
          <w:rStyle w:val="56"/>
          <w:color w:val="auto"/>
          <w:highlight w:val="none"/>
        </w:rPr>
        <w:t>二、投标函</w:t>
      </w:r>
      <w:r>
        <w:rPr>
          <w:color w:val="auto"/>
          <w:highlight w:val="none"/>
        </w:rPr>
        <w:tab/>
      </w:r>
      <w:r>
        <w:rPr>
          <w:color w:val="auto"/>
          <w:highlight w:val="none"/>
        </w:rPr>
        <w:fldChar w:fldCharType="begin"/>
      </w:r>
      <w:r>
        <w:rPr>
          <w:color w:val="auto"/>
          <w:highlight w:val="none"/>
        </w:rPr>
        <w:instrText xml:space="preserve"> PAGEREF _Toc161933897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76B32573">
      <w:pPr>
        <w:pStyle w:val="3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"_Toc161933898" </w:instrText>
      </w:r>
      <w:r>
        <w:rPr>
          <w:color w:val="auto"/>
          <w:highlight w:val="none"/>
        </w:rPr>
        <w:fldChar w:fldCharType="separate"/>
      </w:r>
      <w:r>
        <w:rPr>
          <w:rStyle w:val="56"/>
          <w:color w:val="auto"/>
          <w:highlight w:val="none"/>
        </w:rPr>
        <w:t>三、投标保证金</w:t>
      </w:r>
      <w:r>
        <w:rPr>
          <w:color w:val="auto"/>
          <w:highlight w:val="none"/>
        </w:rPr>
        <w:tab/>
      </w:r>
      <w:r>
        <w:rPr>
          <w:color w:val="auto"/>
          <w:highlight w:val="none"/>
        </w:rPr>
        <w:fldChar w:fldCharType="begin"/>
      </w:r>
      <w:r>
        <w:rPr>
          <w:color w:val="auto"/>
          <w:highlight w:val="none"/>
        </w:rPr>
        <w:instrText xml:space="preserve"> PAGEREF _Toc161933898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4757B7A1">
      <w:pPr>
        <w:pStyle w:val="3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"_Toc161933899" </w:instrText>
      </w:r>
      <w:r>
        <w:rPr>
          <w:color w:val="auto"/>
          <w:highlight w:val="none"/>
        </w:rPr>
        <w:fldChar w:fldCharType="separate"/>
      </w:r>
      <w:r>
        <w:rPr>
          <w:rStyle w:val="56"/>
          <w:color w:val="auto"/>
          <w:highlight w:val="none"/>
        </w:rPr>
        <w:t>四、报价一览表及报价明细表</w:t>
      </w:r>
      <w:r>
        <w:rPr>
          <w:color w:val="auto"/>
          <w:highlight w:val="none"/>
        </w:rPr>
        <w:tab/>
      </w:r>
      <w:r>
        <w:rPr>
          <w:color w:val="auto"/>
          <w:highlight w:val="none"/>
        </w:rPr>
        <w:fldChar w:fldCharType="begin"/>
      </w:r>
      <w:r>
        <w:rPr>
          <w:color w:val="auto"/>
          <w:highlight w:val="none"/>
        </w:rPr>
        <w:instrText xml:space="preserve"> PAGEREF _Toc161933899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0CB2594A">
      <w:pPr>
        <w:pStyle w:val="3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"_Toc161933900" </w:instrText>
      </w:r>
      <w:r>
        <w:rPr>
          <w:color w:val="auto"/>
          <w:highlight w:val="none"/>
        </w:rPr>
        <w:fldChar w:fldCharType="separate"/>
      </w:r>
      <w:r>
        <w:rPr>
          <w:rStyle w:val="56"/>
          <w:color w:val="auto"/>
          <w:highlight w:val="none"/>
        </w:rPr>
        <w:t>五、投标人的资格证明材料</w:t>
      </w:r>
      <w:r>
        <w:rPr>
          <w:color w:val="auto"/>
          <w:highlight w:val="none"/>
        </w:rPr>
        <w:tab/>
      </w:r>
      <w:r>
        <w:rPr>
          <w:color w:val="auto"/>
          <w:highlight w:val="none"/>
        </w:rPr>
        <w:fldChar w:fldCharType="begin"/>
      </w:r>
      <w:r>
        <w:rPr>
          <w:color w:val="auto"/>
          <w:highlight w:val="none"/>
        </w:rPr>
        <w:instrText xml:space="preserve"> PAGEREF _Toc161933900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477BDE49">
      <w:pPr>
        <w:pStyle w:val="3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"_Toc161933901" </w:instrText>
      </w:r>
      <w:r>
        <w:rPr>
          <w:color w:val="auto"/>
          <w:highlight w:val="none"/>
        </w:rPr>
        <w:fldChar w:fldCharType="separate"/>
      </w:r>
      <w:r>
        <w:rPr>
          <w:rStyle w:val="56"/>
          <w:color w:val="auto"/>
          <w:highlight w:val="none"/>
        </w:rPr>
        <w:t>六、项目方案</w:t>
      </w:r>
      <w:r>
        <w:rPr>
          <w:color w:val="auto"/>
          <w:highlight w:val="none"/>
        </w:rPr>
        <w:tab/>
      </w:r>
      <w:r>
        <w:rPr>
          <w:color w:val="auto"/>
          <w:highlight w:val="none"/>
        </w:rPr>
        <w:fldChar w:fldCharType="begin"/>
      </w:r>
      <w:r>
        <w:rPr>
          <w:color w:val="auto"/>
          <w:highlight w:val="none"/>
        </w:rPr>
        <w:instrText xml:space="preserve"> PAGEREF _Toc161933901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00987B8C">
      <w:pPr>
        <w:pStyle w:val="3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"_Toc161933902" </w:instrText>
      </w:r>
      <w:r>
        <w:rPr>
          <w:color w:val="auto"/>
          <w:highlight w:val="none"/>
        </w:rPr>
        <w:fldChar w:fldCharType="separate"/>
      </w:r>
      <w:r>
        <w:rPr>
          <w:rStyle w:val="56"/>
          <w:color w:val="auto"/>
          <w:highlight w:val="none"/>
        </w:rPr>
        <w:t>七、响应/偏离表</w:t>
      </w:r>
      <w:r>
        <w:rPr>
          <w:color w:val="auto"/>
          <w:highlight w:val="none"/>
        </w:rPr>
        <w:tab/>
      </w:r>
      <w:r>
        <w:rPr>
          <w:color w:val="auto"/>
          <w:highlight w:val="none"/>
        </w:rPr>
        <w:fldChar w:fldCharType="begin"/>
      </w:r>
      <w:r>
        <w:rPr>
          <w:color w:val="auto"/>
          <w:highlight w:val="none"/>
        </w:rPr>
        <w:instrText xml:space="preserve"> PAGEREF _Toc161933902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1CECF3CD">
      <w:pPr>
        <w:pStyle w:val="3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"_Toc161933903" </w:instrText>
      </w:r>
      <w:r>
        <w:rPr>
          <w:color w:val="auto"/>
          <w:highlight w:val="none"/>
        </w:rPr>
        <w:fldChar w:fldCharType="separate"/>
      </w:r>
      <w:r>
        <w:rPr>
          <w:rStyle w:val="56"/>
          <w:color w:val="auto"/>
          <w:highlight w:val="none"/>
        </w:rPr>
        <w:t>八、投标人认为需要提供的其它资料</w:t>
      </w:r>
      <w:r>
        <w:rPr>
          <w:color w:val="auto"/>
          <w:highlight w:val="none"/>
        </w:rPr>
        <w:tab/>
      </w:r>
      <w:r>
        <w:rPr>
          <w:color w:val="auto"/>
          <w:highlight w:val="none"/>
        </w:rPr>
        <w:fldChar w:fldCharType="begin"/>
      </w:r>
      <w:r>
        <w:rPr>
          <w:color w:val="auto"/>
          <w:highlight w:val="none"/>
        </w:rPr>
        <w:instrText xml:space="preserve"> PAGEREF _Toc161933903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597F3D9B">
      <w:pPr>
        <w:spacing w:line="360" w:lineRule="auto"/>
        <w:jc w:val="center"/>
        <w:rPr>
          <w:rFonts w:ascii="宋体" w:hAnsi="宋体"/>
          <w:color w:val="auto"/>
          <w:szCs w:val="21"/>
          <w:highlight w:val="none"/>
        </w:rPr>
      </w:pPr>
      <w:r>
        <w:rPr>
          <w:rFonts w:ascii="宋体" w:hAnsi="宋体"/>
          <w:color w:val="auto"/>
          <w:szCs w:val="21"/>
          <w:highlight w:val="none"/>
        </w:rPr>
        <w:fldChar w:fldCharType="end"/>
      </w:r>
      <w:bookmarkStart w:id="7" w:name="_Toc433113174"/>
    </w:p>
    <w:p w14:paraId="6783C37F">
      <w:pPr>
        <w:pStyle w:val="18"/>
        <w:rPr>
          <w:color w:val="auto"/>
          <w:highlight w:val="none"/>
        </w:rPr>
        <w:sectPr>
          <w:headerReference r:id="rId4" w:type="first"/>
          <w:headerReference r:id="rId3" w:type="default"/>
          <w:pgSz w:w="11906" w:h="16838"/>
          <w:pgMar w:top="1440" w:right="1797" w:bottom="1440" w:left="1797" w:header="851" w:footer="992" w:gutter="0"/>
          <w:cols w:space="720" w:num="1"/>
          <w:docGrid w:linePitch="312" w:charSpace="0"/>
        </w:sectPr>
      </w:pPr>
    </w:p>
    <w:p w14:paraId="4E9F981D">
      <w:pPr>
        <w:pStyle w:val="18"/>
        <w:rPr>
          <w:color w:val="auto"/>
          <w:highlight w:val="none"/>
        </w:rPr>
      </w:pPr>
    </w:p>
    <w:p w14:paraId="040E0F78">
      <w:pPr>
        <w:pStyle w:val="18"/>
        <w:rPr>
          <w:color w:val="auto"/>
          <w:highlight w:val="none"/>
        </w:rPr>
      </w:pPr>
      <w:r>
        <w:rPr>
          <w:color w:val="auto"/>
          <w:highlight w:val="none"/>
        </w:rPr>
        <w:br w:type="page"/>
      </w:r>
    </w:p>
    <w:p w14:paraId="090F398F">
      <w:pPr>
        <w:pStyle w:val="2"/>
        <w:rPr>
          <w:color w:val="auto"/>
          <w:highlight w:val="none"/>
        </w:rPr>
        <w:sectPr>
          <w:footerReference r:id="rId5" w:type="default"/>
          <w:type w:val="continuous"/>
          <w:pgSz w:w="11906" w:h="16838"/>
          <w:pgMar w:top="1440" w:right="1797" w:bottom="1440" w:left="1797" w:header="851" w:footer="992" w:gutter="0"/>
          <w:pgNumType w:start="1"/>
          <w:cols w:space="720" w:num="1"/>
          <w:docGrid w:linePitch="312" w:charSpace="0"/>
        </w:sectPr>
      </w:pPr>
    </w:p>
    <w:p w14:paraId="01C79FCA">
      <w:pPr>
        <w:pStyle w:val="2"/>
        <w:rPr>
          <w:color w:val="auto"/>
          <w:sz w:val="24"/>
          <w:szCs w:val="24"/>
          <w:highlight w:val="none"/>
        </w:rPr>
      </w:pPr>
      <w:bookmarkStart w:id="8" w:name="_Toc161933882"/>
      <w:r>
        <w:rPr>
          <w:rFonts w:hint="eastAsia"/>
          <w:color w:val="auto"/>
          <w:highlight w:val="none"/>
        </w:rPr>
        <w:t>第一</w:t>
      </w:r>
      <w:r>
        <w:rPr>
          <w:color w:val="auto"/>
          <w:highlight w:val="none"/>
        </w:rPr>
        <w:t xml:space="preserve">章  </w:t>
      </w:r>
      <w:r>
        <w:rPr>
          <w:rFonts w:hint="eastAsia"/>
          <w:color w:val="auto"/>
          <w:highlight w:val="none"/>
        </w:rPr>
        <w:t>公开招标公告</w:t>
      </w:r>
      <w:bookmarkEnd w:id="3"/>
      <w:bookmarkEnd w:id="4"/>
      <w:bookmarkEnd w:id="5"/>
      <w:bookmarkEnd w:id="6"/>
      <w:bookmarkEnd w:id="7"/>
      <w:bookmarkEnd w:id="8"/>
      <w:bookmarkStart w:id="9" w:name="_Toc420948006"/>
      <w:bookmarkStart w:id="10" w:name="_Toc433113175"/>
    </w:p>
    <w:p w14:paraId="661344D8">
      <w:pPr>
        <w:pStyle w:val="3"/>
        <w:shd w:val="clear" w:color="auto" w:fill="FFFFFF"/>
        <w:spacing w:before="450" w:after="300" w:line="540" w:lineRule="atLeast"/>
        <w:jc w:val="center"/>
        <w:textAlignment w:val="baseline"/>
        <w:rPr>
          <w:rFonts w:hint="eastAsia" w:ascii="inherit" w:hAnsi="inherit" w:eastAsia="微软雅黑"/>
          <w:color w:val="auto"/>
          <w:kern w:val="0"/>
          <w:sz w:val="39"/>
          <w:szCs w:val="39"/>
          <w:highlight w:val="none"/>
        </w:rPr>
      </w:pPr>
      <w:bookmarkStart w:id="11" w:name="_Toc161933883"/>
      <w:r>
        <w:rPr>
          <w:rFonts w:hint="eastAsia" w:ascii="inherit" w:hAnsi="inherit" w:eastAsia="微软雅黑"/>
          <w:color w:val="auto"/>
          <w:sz w:val="39"/>
          <w:szCs w:val="39"/>
          <w:highlight w:val="none"/>
          <w:lang w:eastAsia="zh-CN"/>
        </w:rPr>
        <w:t>和田地区人民医院CT维保项目</w:t>
      </w:r>
      <w:r>
        <w:rPr>
          <w:rFonts w:ascii="inherit" w:hAnsi="inherit" w:eastAsia="微软雅黑"/>
          <w:color w:val="auto"/>
          <w:sz w:val="39"/>
          <w:szCs w:val="39"/>
          <w:highlight w:val="none"/>
        </w:rPr>
        <w:t>公开招标公告</w:t>
      </w:r>
      <w:bookmarkEnd w:id="11"/>
    </w:p>
    <w:p w14:paraId="42627572">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5E39EF48">
      <w:pPr>
        <w:pStyle w:val="43"/>
        <w:keepNext w:val="0"/>
        <w:keepLines w:val="0"/>
        <w:pageBreakBefore w:val="0"/>
        <w:widowControl/>
        <w:shd w:val="clear" w:color="auto" w:fill="FFFFFF"/>
        <w:kinsoku/>
        <w:wordWrap/>
        <w:overflowPunct/>
        <w:topLinePunct w:val="0"/>
        <w:autoSpaceDE/>
        <w:autoSpaceDN/>
        <w:bidi w:val="0"/>
        <w:adjustRightInd/>
        <w:snapToGrid/>
        <w:spacing w:before="75" w:beforeAutospacing="0" w:after="330" w:afterAutospacing="0" w:line="360" w:lineRule="auto"/>
        <w:ind w:firstLine="420" w:firstLineChars="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和田地区人民医院CT维保项目</w:t>
      </w:r>
      <w:r>
        <w:rPr>
          <w:rFonts w:hint="eastAsia" w:ascii="仿宋" w:hAnsi="仿宋" w:eastAsia="仿宋" w:cs="仿宋"/>
          <w:color w:val="auto"/>
          <w:sz w:val="24"/>
          <w:szCs w:val="24"/>
          <w:highlight w:val="none"/>
        </w:rPr>
        <w:t>的潜在投标人应在政采云平台http://www.zcygov.cn获取招标文件，并于</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日 11:00（</w:t>
      </w:r>
      <w:r>
        <w:rPr>
          <w:rFonts w:hint="eastAsia" w:ascii="仿宋" w:hAnsi="仿宋" w:eastAsia="仿宋" w:cs="仿宋"/>
          <w:color w:val="auto"/>
          <w:sz w:val="24"/>
          <w:szCs w:val="24"/>
          <w:highlight w:val="none"/>
        </w:rPr>
        <w:t>北京时间）前递交投标文件。</w:t>
      </w:r>
    </w:p>
    <w:p w14:paraId="4E119AF3">
      <w:pPr>
        <w:pStyle w:val="43"/>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360" w:lineRule="auto"/>
        <w:textAlignment w:val="baseline"/>
        <w:rPr>
          <w:rFonts w:hint="eastAsia" w:ascii="仿宋" w:hAnsi="仿宋" w:eastAsia="仿宋" w:cs="仿宋"/>
          <w:color w:val="auto"/>
          <w:sz w:val="24"/>
          <w:szCs w:val="24"/>
          <w:highlight w:val="none"/>
        </w:rPr>
      </w:pPr>
      <w:r>
        <w:rPr>
          <w:rStyle w:val="50"/>
          <w:rFonts w:hint="eastAsia" w:ascii="仿宋" w:hAnsi="仿宋" w:eastAsia="仿宋" w:cs="仿宋"/>
          <w:color w:val="auto"/>
          <w:sz w:val="24"/>
          <w:szCs w:val="24"/>
          <w:highlight w:val="none"/>
        </w:rPr>
        <w:t>一、项目基本情况</w:t>
      </w:r>
    </w:p>
    <w:p w14:paraId="5A83523D">
      <w:pPr>
        <w:pStyle w:val="43"/>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ZYZB-2025-Z-0</w:t>
      </w:r>
      <w:r>
        <w:rPr>
          <w:rFonts w:hint="eastAsia" w:ascii="仿宋" w:hAnsi="仿宋" w:eastAsia="仿宋" w:cs="仿宋"/>
          <w:color w:val="auto"/>
          <w:sz w:val="24"/>
          <w:szCs w:val="24"/>
          <w:highlight w:val="none"/>
          <w:lang w:val="en-US" w:eastAsia="zh-CN"/>
        </w:rPr>
        <w:t>53</w:t>
      </w:r>
    </w:p>
    <w:p w14:paraId="2AA05E04">
      <w:pPr>
        <w:pStyle w:val="43"/>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和田地区人民医院CT维保项目</w:t>
      </w:r>
    </w:p>
    <w:p w14:paraId="1DB8144F">
      <w:pPr>
        <w:pStyle w:val="43"/>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14:paraId="403C33CB">
      <w:pPr>
        <w:pStyle w:val="43"/>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val="en-US" w:eastAsia="zh-CN"/>
        </w:rPr>
        <w:t>4700000.00</w:t>
      </w:r>
      <w:r>
        <w:rPr>
          <w:rFonts w:hint="eastAsia" w:ascii="仿宋" w:hAnsi="仿宋" w:eastAsia="仿宋" w:cs="仿宋"/>
          <w:color w:val="auto"/>
          <w:sz w:val="24"/>
          <w:szCs w:val="24"/>
          <w:highlight w:val="none"/>
        </w:rPr>
        <w:t>元（人民币）</w:t>
      </w:r>
    </w:p>
    <w:p w14:paraId="3ABD5740">
      <w:pPr>
        <w:pStyle w:val="43"/>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bookmarkStart w:id="74" w:name="_GoBack"/>
      <w:bookmarkEnd w:id="74"/>
    </w:p>
    <w:p w14:paraId="1695F5D9">
      <w:pPr>
        <w:pStyle w:val="43"/>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标项一</w:t>
      </w:r>
    </w:p>
    <w:p w14:paraId="6F6EC649">
      <w:pPr>
        <w:pStyle w:val="43"/>
        <w:keepNext w:val="0"/>
        <w:keepLines w:val="0"/>
        <w:pageBreakBefore w:val="0"/>
        <w:widowControl/>
        <w:shd w:val="clear" w:color="auto" w:fill="FFFFFF"/>
        <w:kinsoku/>
        <w:wordWrap/>
        <w:overflowPunct/>
        <w:topLinePunct w:val="0"/>
        <w:autoSpaceDE/>
        <w:autoSpaceDN/>
        <w:bidi w:val="0"/>
        <w:adjustRightInd/>
        <w:snapToGrid/>
        <w:spacing w:before="75" w:beforeAutospacing="0" w:after="330" w:afterAutospacing="0" w:line="360" w:lineRule="auto"/>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标项名称:多排螺旋CT（宝石CT)球管维保</w:t>
      </w:r>
    </w:p>
    <w:p w14:paraId="4DE19AA4">
      <w:pPr>
        <w:pStyle w:val="43"/>
        <w:keepNext w:val="0"/>
        <w:keepLines w:val="0"/>
        <w:pageBreakBefore w:val="0"/>
        <w:widowControl/>
        <w:shd w:val="clear" w:color="auto" w:fill="FFFFFF"/>
        <w:kinsoku/>
        <w:wordWrap/>
        <w:overflowPunct/>
        <w:topLinePunct w:val="0"/>
        <w:autoSpaceDE/>
        <w:autoSpaceDN/>
        <w:bidi w:val="0"/>
        <w:adjustRightInd/>
        <w:snapToGrid/>
        <w:spacing w:before="75" w:beforeAutospacing="0" w:after="330" w:afterAutospacing="0" w:line="360" w:lineRule="auto"/>
        <w:jc w:val="both"/>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数量：不限</w:t>
      </w:r>
    </w:p>
    <w:p w14:paraId="5631B00F">
      <w:pPr>
        <w:pStyle w:val="43"/>
        <w:keepNext w:val="0"/>
        <w:keepLines w:val="0"/>
        <w:pageBreakBefore w:val="0"/>
        <w:widowControl/>
        <w:shd w:val="clear" w:color="auto" w:fill="FFFFFF"/>
        <w:kinsoku/>
        <w:wordWrap/>
        <w:overflowPunct/>
        <w:topLinePunct w:val="0"/>
        <w:autoSpaceDE/>
        <w:autoSpaceDN/>
        <w:bidi w:val="0"/>
        <w:adjustRightInd/>
        <w:snapToGrid/>
        <w:spacing w:before="75" w:beforeAutospacing="0" w:after="330" w:afterAutospacing="0" w:line="360" w:lineRule="auto"/>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val="en-US" w:eastAsia="zh-CN"/>
        </w:rPr>
        <w:t>2100000</w:t>
      </w:r>
      <w:r>
        <w:rPr>
          <w:rFonts w:hint="eastAsia" w:ascii="仿宋" w:hAnsi="仿宋" w:eastAsia="仿宋" w:cs="仿宋"/>
          <w:color w:val="auto"/>
          <w:sz w:val="24"/>
          <w:szCs w:val="24"/>
          <w:highlight w:val="none"/>
        </w:rPr>
        <w:t>元（人民币）</w:t>
      </w:r>
    </w:p>
    <w:p w14:paraId="3D301039">
      <w:pPr>
        <w:pStyle w:val="43"/>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单位： 项 </w:t>
      </w:r>
    </w:p>
    <w:p w14:paraId="02AD6B48">
      <w:pPr>
        <w:pStyle w:val="43"/>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简要规格描述或项目基本概况介绍、用途：球管维保</w:t>
      </w:r>
    </w:p>
    <w:p w14:paraId="44C9360F">
      <w:pPr>
        <w:pStyle w:val="43"/>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2E333AAF">
      <w:pPr>
        <w:pStyle w:val="43"/>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lang w:val="en-US" w:eastAsia="zh-CN"/>
        </w:rPr>
        <w:t>二</w:t>
      </w:r>
    </w:p>
    <w:p w14:paraId="15F5CCF9">
      <w:pPr>
        <w:pStyle w:val="43"/>
        <w:keepNext w:val="0"/>
        <w:keepLines w:val="0"/>
        <w:pageBreakBefore w:val="0"/>
        <w:widowControl/>
        <w:shd w:val="clear" w:color="auto" w:fill="FFFFFF"/>
        <w:kinsoku/>
        <w:wordWrap/>
        <w:overflowPunct/>
        <w:topLinePunct w:val="0"/>
        <w:autoSpaceDE/>
        <w:autoSpaceDN/>
        <w:bidi w:val="0"/>
        <w:adjustRightInd/>
        <w:snapToGrid/>
        <w:spacing w:before="75" w:beforeAutospacing="0" w:after="330" w:afterAutospacing="0" w:line="360" w:lineRule="auto"/>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标项名称:</w:t>
      </w:r>
      <w:r>
        <w:rPr>
          <w:rFonts w:hint="eastAsia" w:ascii="仿宋" w:hAnsi="仿宋" w:eastAsia="仿宋" w:cs="仿宋"/>
          <w:color w:val="auto"/>
          <w:sz w:val="24"/>
          <w:szCs w:val="24"/>
          <w:highlight w:val="none"/>
          <w:lang w:eastAsia="zh-CN"/>
        </w:rPr>
        <w:t>80排螺旋CT整机维保</w:t>
      </w:r>
    </w:p>
    <w:p w14:paraId="31CB4000">
      <w:pPr>
        <w:pStyle w:val="43"/>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数量:不限</w:t>
      </w:r>
    </w:p>
    <w:p w14:paraId="368A05F8">
      <w:pPr>
        <w:pStyle w:val="43"/>
        <w:keepNext w:val="0"/>
        <w:keepLines w:val="0"/>
        <w:pageBreakBefore w:val="0"/>
        <w:widowControl/>
        <w:shd w:val="clear" w:color="auto" w:fill="FFFFFF"/>
        <w:kinsoku/>
        <w:wordWrap/>
        <w:overflowPunct/>
        <w:topLinePunct w:val="0"/>
        <w:autoSpaceDE/>
        <w:autoSpaceDN/>
        <w:bidi w:val="0"/>
        <w:adjustRightInd/>
        <w:snapToGrid/>
        <w:spacing w:before="75" w:beforeAutospacing="0" w:after="330" w:afterAutospacing="0" w:line="360" w:lineRule="auto"/>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val="en-US" w:eastAsia="zh-CN"/>
        </w:rPr>
        <w:t>2600000</w:t>
      </w:r>
      <w:r>
        <w:rPr>
          <w:rFonts w:hint="eastAsia" w:ascii="仿宋" w:hAnsi="仿宋" w:eastAsia="仿宋" w:cs="仿宋"/>
          <w:color w:val="auto"/>
          <w:sz w:val="24"/>
          <w:szCs w:val="24"/>
          <w:highlight w:val="none"/>
        </w:rPr>
        <w:t>元（人民币）</w:t>
      </w:r>
    </w:p>
    <w:p w14:paraId="12C82E37">
      <w:pPr>
        <w:pStyle w:val="43"/>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单位： 项 </w:t>
      </w:r>
    </w:p>
    <w:p w14:paraId="5391E726">
      <w:pPr>
        <w:pStyle w:val="43"/>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简要规格描述或项目基本概况介绍、用途：</w:t>
      </w:r>
      <w:r>
        <w:rPr>
          <w:rFonts w:hint="eastAsia" w:ascii="仿宋" w:hAnsi="仿宋" w:eastAsia="仿宋" w:cs="仿宋"/>
          <w:color w:val="auto"/>
          <w:sz w:val="24"/>
          <w:szCs w:val="24"/>
          <w:highlight w:val="none"/>
          <w:lang w:eastAsia="zh-CN"/>
        </w:rPr>
        <w:t>整机维保</w:t>
      </w:r>
    </w:p>
    <w:p w14:paraId="2BEBB99F">
      <w:pPr>
        <w:pStyle w:val="43"/>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0B51506F">
      <w:pPr>
        <w:pStyle w:val="43"/>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合同履约期限：</w:t>
      </w:r>
    </w:p>
    <w:p w14:paraId="2588A300">
      <w:pPr>
        <w:pStyle w:val="43"/>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 xml:space="preserve">：3年（合同一年一签）。 </w:t>
      </w:r>
    </w:p>
    <w:p w14:paraId="05036BB8">
      <w:pPr>
        <w:pStyle w:val="43"/>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 不接受)联合体投标。</w:t>
      </w:r>
    </w:p>
    <w:p w14:paraId="3AAAB273">
      <w:pPr>
        <w:pStyle w:val="43"/>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360" w:lineRule="auto"/>
        <w:textAlignment w:val="baseline"/>
        <w:rPr>
          <w:rFonts w:hint="eastAsia" w:ascii="仿宋" w:hAnsi="仿宋" w:eastAsia="仿宋" w:cs="仿宋"/>
          <w:color w:val="auto"/>
          <w:sz w:val="24"/>
          <w:szCs w:val="24"/>
          <w:highlight w:val="none"/>
        </w:rPr>
      </w:pPr>
      <w:r>
        <w:rPr>
          <w:rStyle w:val="50"/>
          <w:rFonts w:hint="eastAsia" w:ascii="仿宋" w:hAnsi="仿宋" w:eastAsia="仿宋" w:cs="仿宋"/>
          <w:color w:val="auto"/>
          <w:sz w:val="24"/>
          <w:szCs w:val="24"/>
          <w:highlight w:val="none"/>
        </w:rPr>
        <w:t>二、申请人的资格要求：</w:t>
      </w:r>
    </w:p>
    <w:p w14:paraId="46E4FD63">
      <w:pPr>
        <w:pStyle w:val="43"/>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5DCDC75C">
      <w:pPr>
        <w:pStyle w:val="43"/>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2.落实政府采购政策需满足的资格要求：</w:t>
      </w:r>
      <w:r>
        <w:rPr>
          <w:rFonts w:hint="eastAsia" w:ascii="仿宋" w:hAnsi="仿宋" w:eastAsia="仿宋" w:cs="仿宋"/>
          <w:color w:val="auto"/>
          <w:sz w:val="24"/>
          <w:szCs w:val="24"/>
          <w:highlight w:val="none"/>
          <w:lang w:eastAsia="zh-CN"/>
        </w:rPr>
        <w:t>专门面向小微企业采购</w:t>
      </w:r>
    </w:p>
    <w:p w14:paraId="251F5B35">
      <w:pPr>
        <w:pStyle w:val="43"/>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3.本项目的特定资格要求：</w:t>
      </w:r>
      <w:r>
        <w:rPr>
          <w:rFonts w:hint="eastAsia" w:ascii="仿宋" w:hAnsi="仿宋" w:eastAsia="仿宋" w:cs="仿宋"/>
          <w:color w:val="auto"/>
          <w:sz w:val="24"/>
          <w:szCs w:val="24"/>
          <w:highlight w:val="none"/>
          <w:lang w:val="en-US" w:eastAsia="zh-CN"/>
        </w:rPr>
        <w:t>无</w:t>
      </w:r>
    </w:p>
    <w:p w14:paraId="6BD5A321">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color w:val="auto"/>
          <w:sz w:val="24"/>
          <w:szCs w:val="24"/>
          <w:highlight w:val="none"/>
        </w:rPr>
      </w:pPr>
      <w:r>
        <w:rPr>
          <w:rStyle w:val="50"/>
          <w:rFonts w:hint="eastAsia" w:ascii="仿宋" w:hAnsi="仿宋" w:eastAsia="仿宋" w:cs="仿宋"/>
          <w:color w:val="auto"/>
          <w:sz w:val="24"/>
          <w:szCs w:val="24"/>
          <w:highlight w:val="none"/>
        </w:rPr>
        <w:t>三、获取招标文件</w:t>
      </w:r>
    </w:p>
    <w:p w14:paraId="1B7E9A30">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时间：</w:t>
      </w:r>
      <w:r>
        <w:rPr>
          <w:rStyle w:val="50"/>
          <w:rFonts w:hint="eastAsia" w:ascii="仿宋" w:hAnsi="仿宋" w:eastAsia="仿宋" w:cs="仿宋"/>
          <w:b w:val="0"/>
          <w:bCs w:val="0"/>
          <w:color w:val="auto"/>
          <w:sz w:val="24"/>
          <w:szCs w:val="24"/>
          <w:highlight w:val="none"/>
        </w:rPr>
        <w:t>202</w:t>
      </w:r>
      <w:r>
        <w:rPr>
          <w:rStyle w:val="50"/>
          <w:rFonts w:hint="eastAsia" w:ascii="仿宋" w:hAnsi="仿宋" w:eastAsia="仿宋" w:cs="仿宋"/>
          <w:b w:val="0"/>
          <w:bCs w:val="0"/>
          <w:color w:val="auto"/>
          <w:sz w:val="24"/>
          <w:szCs w:val="24"/>
          <w:highlight w:val="none"/>
          <w:lang w:val="en-US" w:eastAsia="zh-CN"/>
        </w:rPr>
        <w:t>5</w:t>
      </w:r>
      <w:r>
        <w:rPr>
          <w:rStyle w:val="50"/>
          <w:rFonts w:hint="eastAsia" w:ascii="仿宋" w:hAnsi="仿宋" w:eastAsia="仿宋" w:cs="仿宋"/>
          <w:b w:val="0"/>
          <w:bCs w:val="0"/>
          <w:color w:val="auto"/>
          <w:sz w:val="24"/>
          <w:szCs w:val="24"/>
          <w:highlight w:val="none"/>
        </w:rPr>
        <w:t>年</w:t>
      </w:r>
      <w:r>
        <w:rPr>
          <w:rStyle w:val="50"/>
          <w:rFonts w:hint="eastAsia" w:ascii="仿宋" w:hAnsi="仿宋" w:eastAsia="仿宋" w:cs="仿宋"/>
          <w:b w:val="0"/>
          <w:bCs w:val="0"/>
          <w:color w:val="auto"/>
          <w:sz w:val="24"/>
          <w:szCs w:val="24"/>
          <w:highlight w:val="none"/>
          <w:lang w:val="en-US" w:eastAsia="zh-CN"/>
        </w:rPr>
        <w:t>06</w:t>
      </w:r>
      <w:r>
        <w:rPr>
          <w:rStyle w:val="50"/>
          <w:rFonts w:hint="eastAsia" w:ascii="仿宋" w:hAnsi="仿宋" w:eastAsia="仿宋" w:cs="仿宋"/>
          <w:b w:val="0"/>
          <w:bCs w:val="0"/>
          <w:color w:val="auto"/>
          <w:sz w:val="24"/>
          <w:szCs w:val="24"/>
          <w:highlight w:val="none"/>
        </w:rPr>
        <w:t>月</w:t>
      </w:r>
      <w:r>
        <w:rPr>
          <w:rStyle w:val="50"/>
          <w:rFonts w:hint="eastAsia" w:ascii="仿宋" w:hAnsi="仿宋" w:eastAsia="仿宋" w:cs="仿宋"/>
          <w:b w:val="0"/>
          <w:bCs w:val="0"/>
          <w:color w:val="auto"/>
          <w:sz w:val="24"/>
          <w:szCs w:val="24"/>
          <w:highlight w:val="none"/>
          <w:lang w:val="en-US" w:eastAsia="zh-CN"/>
        </w:rPr>
        <w:t>19</w:t>
      </w:r>
      <w:r>
        <w:rPr>
          <w:rStyle w:val="50"/>
          <w:rFonts w:hint="eastAsia" w:ascii="仿宋" w:hAnsi="仿宋" w:eastAsia="仿宋" w:cs="仿宋"/>
          <w:b w:val="0"/>
          <w:bCs w:val="0"/>
          <w:color w:val="auto"/>
          <w:sz w:val="24"/>
          <w:szCs w:val="24"/>
          <w:highlight w:val="none"/>
        </w:rPr>
        <w:t>日至202</w:t>
      </w:r>
      <w:r>
        <w:rPr>
          <w:rStyle w:val="50"/>
          <w:rFonts w:hint="eastAsia" w:ascii="仿宋" w:hAnsi="仿宋" w:eastAsia="仿宋" w:cs="仿宋"/>
          <w:b w:val="0"/>
          <w:bCs w:val="0"/>
          <w:color w:val="auto"/>
          <w:sz w:val="24"/>
          <w:szCs w:val="24"/>
          <w:highlight w:val="none"/>
          <w:lang w:val="en-US" w:eastAsia="zh-CN"/>
        </w:rPr>
        <w:t>5</w:t>
      </w:r>
      <w:r>
        <w:rPr>
          <w:rStyle w:val="50"/>
          <w:rFonts w:hint="eastAsia" w:ascii="仿宋" w:hAnsi="仿宋" w:eastAsia="仿宋" w:cs="仿宋"/>
          <w:b w:val="0"/>
          <w:bCs w:val="0"/>
          <w:color w:val="auto"/>
          <w:sz w:val="24"/>
          <w:szCs w:val="24"/>
          <w:highlight w:val="none"/>
        </w:rPr>
        <w:t>年0</w:t>
      </w:r>
      <w:r>
        <w:rPr>
          <w:rStyle w:val="50"/>
          <w:rFonts w:hint="eastAsia" w:ascii="仿宋" w:hAnsi="仿宋" w:eastAsia="仿宋" w:cs="仿宋"/>
          <w:b w:val="0"/>
          <w:bCs w:val="0"/>
          <w:color w:val="auto"/>
          <w:sz w:val="24"/>
          <w:szCs w:val="24"/>
          <w:highlight w:val="none"/>
          <w:lang w:val="en-US" w:eastAsia="zh-CN"/>
        </w:rPr>
        <w:t>6</w:t>
      </w:r>
      <w:r>
        <w:rPr>
          <w:rStyle w:val="50"/>
          <w:rFonts w:hint="eastAsia" w:ascii="仿宋" w:hAnsi="仿宋" w:eastAsia="仿宋" w:cs="仿宋"/>
          <w:b w:val="0"/>
          <w:bCs w:val="0"/>
          <w:color w:val="auto"/>
          <w:sz w:val="24"/>
          <w:szCs w:val="24"/>
          <w:highlight w:val="none"/>
        </w:rPr>
        <w:t>月</w:t>
      </w:r>
      <w:r>
        <w:rPr>
          <w:rStyle w:val="50"/>
          <w:rFonts w:hint="eastAsia" w:ascii="仿宋" w:hAnsi="仿宋" w:eastAsia="仿宋" w:cs="仿宋"/>
          <w:b w:val="0"/>
          <w:bCs w:val="0"/>
          <w:color w:val="auto"/>
          <w:sz w:val="24"/>
          <w:szCs w:val="24"/>
          <w:highlight w:val="none"/>
          <w:lang w:val="en-US" w:eastAsia="zh-CN"/>
        </w:rPr>
        <w:t>26</w:t>
      </w:r>
      <w:r>
        <w:rPr>
          <w:rStyle w:val="50"/>
          <w:rFonts w:hint="eastAsia" w:ascii="仿宋" w:hAnsi="仿宋" w:eastAsia="仿宋" w:cs="仿宋"/>
          <w:b w:val="0"/>
          <w:bCs w:val="0"/>
          <w:color w:val="auto"/>
          <w:sz w:val="24"/>
          <w:szCs w:val="24"/>
          <w:highlight w:val="none"/>
        </w:rPr>
        <w:t>日，每天上午00:00至12:00，下午12:00至23:59</w:t>
      </w:r>
      <w:r>
        <w:rPr>
          <w:rStyle w:val="50"/>
          <w:rFonts w:hint="eastAsia" w:ascii="仿宋" w:hAnsi="仿宋" w:eastAsia="仿宋" w:cs="仿宋"/>
          <w:b w:val="0"/>
          <w:bCs w:val="0"/>
          <w:color w:val="auto"/>
          <w:sz w:val="24"/>
          <w:szCs w:val="24"/>
          <w:highlight w:val="none"/>
        </w:rPr>
        <w:t>（北京时间，法定节假日除外）</w:t>
      </w:r>
    </w:p>
    <w:p w14:paraId="7DDE87BD">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地点：政采云平台http://www.zcygov.cn</w:t>
      </w:r>
    </w:p>
    <w:p w14:paraId="7A394E8A">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方式：免费获取，投标人登陆政采云账户（网址：https://www.zcygov.cn/）,在线申请获取招标文件（登录政府采购云平台→采购项目→获取采购文件→申请，审核通过后可下载招标文件，如有操作性问题，可与政采云在线客服进行咨询，咨询电话95763）</w:t>
      </w:r>
    </w:p>
    <w:p w14:paraId="56DE6F3D">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售价（元）：0</w:t>
      </w:r>
    </w:p>
    <w:p w14:paraId="76035326">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color w:val="auto"/>
          <w:sz w:val="24"/>
          <w:szCs w:val="24"/>
          <w:highlight w:val="none"/>
        </w:rPr>
      </w:pPr>
      <w:r>
        <w:rPr>
          <w:rStyle w:val="50"/>
          <w:rFonts w:hint="eastAsia" w:ascii="仿宋" w:hAnsi="仿宋" w:eastAsia="仿宋" w:cs="仿宋"/>
          <w:color w:val="auto"/>
          <w:sz w:val="24"/>
          <w:szCs w:val="24"/>
          <w:highlight w:val="none"/>
        </w:rPr>
        <w:t>四、提交投标文件截止时间、开标时间和地点</w:t>
      </w:r>
    </w:p>
    <w:p w14:paraId="4218EDA1">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提交投标文件截止时间</w:t>
      </w:r>
      <w:r>
        <w:rPr>
          <w:rStyle w:val="50"/>
          <w:rFonts w:hint="eastAsia" w:ascii="仿宋" w:hAnsi="仿宋" w:eastAsia="仿宋" w:cs="仿宋"/>
          <w:b w:val="0"/>
          <w:bCs w:val="0"/>
          <w:color w:val="auto"/>
          <w:sz w:val="24"/>
          <w:szCs w:val="24"/>
          <w:highlight w:val="none"/>
        </w:rPr>
        <w:t>：202</w:t>
      </w:r>
      <w:r>
        <w:rPr>
          <w:rStyle w:val="50"/>
          <w:rFonts w:hint="eastAsia" w:ascii="仿宋" w:hAnsi="仿宋" w:eastAsia="仿宋" w:cs="仿宋"/>
          <w:b w:val="0"/>
          <w:bCs w:val="0"/>
          <w:color w:val="auto"/>
          <w:sz w:val="24"/>
          <w:szCs w:val="24"/>
          <w:highlight w:val="none"/>
          <w:lang w:val="en-US" w:eastAsia="zh-CN"/>
        </w:rPr>
        <w:t>5</w:t>
      </w:r>
      <w:r>
        <w:rPr>
          <w:rStyle w:val="50"/>
          <w:rFonts w:hint="eastAsia" w:ascii="仿宋" w:hAnsi="仿宋" w:eastAsia="仿宋" w:cs="仿宋"/>
          <w:b w:val="0"/>
          <w:bCs w:val="0"/>
          <w:color w:val="auto"/>
          <w:sz w:val="24"/>
          <w:szCs w:val="24"/>
          <w:highlight w:val="none"/>
        </w:rPr>
        <w:t>年</w:t>
      </w:r>
      <w:r>
        <w:rPr>
          <w:rStyle w:val="50"/>
          <w:rFonts w:hint="eastAsia" w:ascii="仿宋" w:hAnsi="仿宋" w:eastAsia="仿宋" w:cs="仿宋"/>
          <w:b w:val="0"/>
          <w:bCs w:val="0"/>
          <w:color w:val="auto"/>
          <w:sz w:val="24"/>
          <w:szCs w:val="24"/>
          <w:highlight w:val="none"/>
          <w:lang w:val="en-US" w:eastAsia="zh-CN"/>
        </w:rPr>
        <w:t>07</w:t>
      </w:r>
      <w:r>
        <w:rPr>
          <w:rStyle w:val="50"/>
          <w:rFonts w:hint="eastAsia" w:ascii="仿宋" w:hAnsi="仿宋" w:eastAsia="仿宋" w:cs="仿宋"/>
          <w:b w:val="0"/>
          <w:bCs w:val="0"/>
          <w:color w:val="auto"/>
          <w:sz w:val="24"/>
          <w:szCs w:val="24"/>
          <w:highlight w:val="none"/>
        </w:rPr>
        <w:t>月</w:t>
      </w:r>
      <w:r>
        <w:rPr>
          <w:rStyle w:val="50"/>
          <w:rFonts w:hint="eastAsia" w:ascii="仿宋" w:hAnsi="仿宋" w:eastAsia="仿宋" w:cs="仿宋"/>
          <w:b w:val="0"/>
          <w:bCs w:val="0"/>
          <w:color w:val="auto"/>
          <w:sz w:val="24"/>
          <w:szCs w:val="24"/>
          <w:highlight w:val="none"/>
          <w:lang w:val="en-US" w:eastAsia="zh-CN"/>
        </w:rPr>
        <w:t>10</w:t>
      </w:r>
      <w:r>
        <w:rPr>
          <w:rStyle w:val="50"/>
          <w:rFonts w:hint="eastAsia" w:ascii="仿宋" w:hAnsi="仿宋" w:eastAsia="仿宋" w:cs="仿宋"/>
          <w:b w:val="0"/>
          <w:bCs w:val="0"/>
          <w:color w:val="auto"/>
          <w:sz w:val="24"/>
          <w:szCs w:val="24"/>
          <w:highlight w:val="none"/>
        </w:rPr>
        <w:t>日 11:00（</w:t>
      </w:r>
      <w:r>
        <w:rPr>
          <w:rStyle w:val="50"/>
          <w:rFonts w:hint="eastAsia" w:ascii="仿宋" w:hAnsi="仿宋" w:eastAsia="仿宋" w:cs="仿宋"/>
          <w:b w:val="0"/>
          <w:bCs w:val="0"/>
          <w:color w:val="auto"/>
          <w:sz w:val="24"/>
          <w:szCs w:val="24"/>
          <w:highlight w:val="none"/>
        </w:rPr>
        <w:t>北京时间）</w:t>
      </w:r>
    </w:p>
    <w:p w14:paraId="084A130C">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投标地点：将投标文件上传至政采云平台https://www.zcygov.cn/对应位置（逾期未上传的或不符合规定的投标文件将被拒绝接收）</w:t>
      </w:r>
    </w:p>
    <w:p w14:paraId="6898D5A3">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开标时间：</w:t>
      </w:r>
      <w:r>
        <w:rPr>
          <w:rStyle w:val="50"/>
          <w:rFonts w:hint="eastAsia" w:ascii="仿宋" w:hAnsi="仿宋" w:eastAsia="仿宋" w:cs="仿宋"/>
          <w:b w:val="0"/>
          <w:bCs w:val="0"/>
          <w:color w:val="auto"/>
          <w:sz w:val="24"/>
          <w:szCs w:val="24"/>
          <w:highlight w:val="none"/>
        </w:rPr>
        <w:t>202</w:t>
      </w:r>
      <w:r>
        <w:rPr>
          <w:rStyle w:val="50"/>
          <w:rFonts w:hint="eastAsia" w:ascii="仿宋" w:hAnsi="仿宋" w:eastAsia="仿宋" w:cs="仿宋"/>
          <w:b w:val="0"/>
          <w:bCs w:val="0"/>
          <w:color w:val="auto"/>
          <w:sz w:val="24"/>
          <w:szCs w:val="24"/>
          <w:highlight w:val="none"/>
          <w:lang w:val="en-US" w:eastAsia="zh-CN"/>
        </w:rPr>
        <w:t>5</w:t>
      </w:r>
      <w:r>
        <w:rPr>
          <w:rStyle w:val="50"/>
          <w:rFonts w:hint="eastAsia" w:ascii="仿宋" w:hAnsi="仿宋" w:eastAsia="仿宋" w:cs="仿宋"/>
          <w:b w:val="0"/>
          <w:bCs w:val="0"/>
          <w:color w:val="auto"/>
          <w:sz w:val="24"/>
          <w:szCs w:val="24"/>
          <w:highlight w:val="none"/>
        </w:rPr>
        <w:t>年0</w:t>
      </w:r>
      <w:r>
        <w:rPr>
          <w:rStyle w:val="50"/>
          <w:rFonts w:hint="eastAsia" w:ascii="仿宋" w:hAnsi="仿宋" w:eastAsia="仿宋" w:cs="仿宋"/>
          <w:b w:val="0"/>
          <w:bCs w:val="0"/>
          <w:color w:val="auto"/>
          <w:sz w:val="24"/>
          <w:szCs w:val="24"/>
          <w:highlight w:val="none"/>
          <w:lang w:val="en-US" w:eastAsia="zh-CN"/>
        </w:rPr>
        <w:t>7</w:t>
      </w:r>
      <w:r>
        <w:rPr>
          <w:rStyle w:val="50"/>
          <w:rFonts w:hint="eastAsia" w:ascii="仿宋" w:hAnsi="仿宋" w:eastAsia="仿宋" w:cs="仿宋"/>
          <w:b w:val="0"/>
          <w:bCs w:val="0"/>
          <w:color w:val="auto"/>
          <w:sz w:val="24"/>
          <w:szCs w:val="24"/>
          <w:highlight w:val="none"/>
        </w:rPr>
        <w:t>月</w:t>
      </w:r>
      <w:r>
        <w:rPr>
          <w:rStyle w:val="50"/>
          <w:rFonts w:hint="eastAsia" w:ascii="仿宋" w:hAnsi="仿宋" w:eastAsia="仿宋" w:cs="仿宋"/>
          <w:b w:val="0"/>
          <w:bCs w:val="0"/>
          <w:color w:val="auto"/>
          <w:sz w:val="24"/>
          <w:szCs w:val="24"/>
          <w:highlight w:val="none"/>
          <w:lang w:val="en-US" w:eastAsia="zh-CN"/>
        </w:rPr>
        <w:t>10</w:t>
      </w:r>
      <w:r>
        <w:rPr>
          <w:rStyle w:val="50"/>
          <w:rFonts w:hint="eastAsia" w:ascii="仿宋" w:hAnsi="仿宋" w:eastAsia="仿宋" w:cs="仿宋"/>
          <w:b w:val="0"/>
          <w:bCs w:val="0"/>
          <w:color w:val="auto"/>
          <w:sz w:val="24"/>
          <w:szCs w:val="24"/>
          <w:highlight w:val="none"/>
        </w:rPr>
        <w:t>日 11:00（北京时间）</w:t>
      </w:r>
    </w:p>
    <w:p w14:paraId="7D95C13D">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开标地点：投标人登录政采云平台https://www.zcygov.cn/，进入“项目采购开标评标-右边选择对应项目点击“进入项目”进入开标大厅。</w:t>
      </w:r>
    </w:p>
    <w:p w14:paraId="083754F1">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color w:val="auto"/>
          <w:sz w:val="24"/>
          <w:szCs w:val="24"/>
          <w:highlight w:val="none"/>
        </w:rPr>
      </w:pPr>
      <w:r>
        <w:rPr>
          <w:rStyle w:val="50"/>
          <w:rFonts w:hint="eastAsia" w:ascii="仿宋" w:hAnsi="仿宋" w:eastAsia="仿宋" w:cs="仿宋"/>
          <w:color w:val="auto"/>
          <w:sz w:val="24"/>
          <w:szCs w:val="24"/>
          <w:highlight w:val="none"/>
        </w:rPr>
        <w:t>五、公告期限</w:t>
      </w:r>
    </w:p>
    <w:p w14:paraId="26BE2480">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自本公告发布之日起5个工作日。</w:t>
      </w:r>
    </w:p>
    <w:p w14:paraId="491957F4">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color w:val="auto"/>
          <w:sz w:val="24"/>
          <w:szCs w:val="24"/>
          <w:highlight w:val="none"/>
        </w:rPr>
      </w:pPr>
      <w:r>
        <w:rPr>
          <w:rStyle w:val="50"/>
          <w:rFonts w:hint="eastAsia" w:ascii="仿宋" w:hAnsi="仿宋" w:eastAsia="仿宋" w:cs="仿宋"/>
          <w:color w:val="auto"/>
          <w:sz w:val="24"/>
          <w:szCs w:val="24"/>
          <w:highlight w:val="none"/>
        </w:rPr>
        <w:t>六、其他补充事宜</w:t>
      </w:r>
    </w:p>
    <w:p w14:paraId="5022E042">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无</w:t>
      </w:r>
    </w:p>
    <w:p w14:paraId="673DF053">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color w:val="auto"/>
          <w:sz w:val="24"/>
          <w:szCs w:val="24"/>
          <w:highlight w:val="none"/>
        </w:rPr>
      </w:pPr>
      <w:r>
        <w:rPr>
          <w:rStyle w:val="50"/>
          <w:rFonts w:hint="eastAsia" w:ascii="仿宋" w:hAnsi="仿宋" w:eastAsia="仿宋" w:cs="仿宋"/>
          <w:color w:val="auto"/>
          <w:sz w:val="24"/>
          <w:szCs w:val="24"/>
          <w:highlight w:val="none"/>
        </w:rPr>
        <w:t>七、对本次招标提出询问，请按以下方式联系。</w:t>
      </w:r>
    </w:p>
    <w:p w14:paraId="7E48C2A7">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1.采购人信息</w:t>
      </w:r>
    </w:p>
    <w:p w14:paraId="4ED412AB">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lang w:eastAsia="zh-CN"/>
        </w:rPr>
      </w:pPr>
      <w:r>
        <w:rPr>
          <w:rStyle w:val="50"/>
          <w:rFonts w:hint="eastAsia" w:ascii="仿宋" w:hAnsi="仿宋" w:eastAsia="仿宋" w:cs="仿宋"/>
          <w:b w:val="0"/>
          <w:bCs w:val="0"/>
          <w:color w:val="auto"/>
          <w:sz w:val="24"/>
          <w:szCs w:val="24"/>
          <w:highlight w:val="none"/>
        </w:rPr>
        <w:t>名 称：</w:t>
      </w:r>
      <w:r>
        <w:rPr>
          <w:rStyle w:val="50"/>
          <w:rFonts w:hint="eastAsia" w:ascii="仿宋" w:hAnsi="仿宋" w:eastAsia="仿宋" w:cs="仿宋"/>
          <w:b w:val="0"/>
          <w:bCs w:val="0"/>
          <w:color w:val="auto"/>
          <w:sz w:val="24"/>
          <w:szCs w:val="24"/>
          <w:highlight w:val="none"/>
          <w:lang w:eastAsia="zh-CN"/>
        </w:rPr>
        <w:t>和田地区人民医院</w:t>
      </w:r>
    </w:p>
    <w:p w14:paraId="263D3311">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lang w:eastAsia="zh-CN"/>
        </w:rPr>
      </w:pPr>
      <w:r>
        <w:rPr>
          <w:rStyle w:val="50"/>
          <w:rFonts w:hint="eastAsia" w:ascii="仿宋" w:hAnsi="仿宋" w:eastAsia="仿宋" w:cs="仿宋"/>
          <w:b w:val="0"/>
          <w:bCs w:val="0"/>
          <w:color w:val="auto"/>
          <w:sz w:val="24"/>
          <w:szCs w:val="24"/>
          <w:highlight w:val="none"/>
        </w:rPr>
        <w:t>地址：</w:t>
      </w:r>
      <w:r>
        <w:rPr>
          <w:rStyle w:val="50"/>
          <w:rFonts w:hint="eastAsia" w:ascii="仿宋" w:hAnsi="仿宋" w:eastAsia="仿宋" w:cs="仿宋"/>
          <w:b w:val="0"/>
          <w:bCs w:val="0"/>
          <w:color w:val="auto"/>
          <w:sz w:val="24"/>
          <w:szCs w:val="24"/>
          <w:highlight w:val="none"/>
          <w:lang w:eastAsia="zh-CN"/>
        </w:rPr>
        <w:t>和田市文化路103号</w:t>
      </w:r>
    </w:p>
    <w:p w14:paraId="150CABB8">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default" w:ascii="仿宋" w:hAnsi="仿宋" w:eastAsia="仿宋" w:cs="仿宋"/>
          <w:b w:val="0"/>
          <w:bCs w:val="0"/>
          <w:color w:val="auto"/>
          <w:sz w:val="24"/>
          <w:szCs w:val="24"/>
          <w:highlight w:val="none"/>
          <w:u w:val="single"/>
          <w:lang w:val="en-US" w:eastAsia="zh-CN"/>
        </w:rPr>
      </w:pPr>
      <w:r>
        <w:rPr>
          <w:rStyle w:val="50"/>
          <w:rFonts w:hint="eastAsia" w:ascii="仿宋" w:hAnsi="仿宋" w:eastAsia="仿宋" w:cs="仿宋"/>
          <w:b w:val="0"/>
          <w:bCs w:val="0"/>
          <w:color w:val="auto"/>
          <w:sz w:val="24"/>
          <w:szCs w:val="24"/>
          <w:highlight w:val="none"/>
        </w:rPr>
        <w:t>联系方式：闵玉婷</w:t>
      </w:r>
      <w:r>
        <w:rPr>
          <w:rStyle w:val="50"/>
          <w:rFonts w:hint="eastAsia" w:ascii="仿宋" w:hAnsi="仿宋" w:eastAsia="仿宋" w:cs="仿宋"/>
          <w:b w:val="0"/>
          <w:bCs w:val="0"/>
          <w:color w:val="auto"/>
          <w:sz w:val="24"/>
          <w:szCs w:val="24"/>
          <w:highlight w:val="none"/>
          <w:lang w:eastAsia="zh-CN"/>
        </w:rPr>
        <w:t>13565490888</w:t>
      </w:r>
    </w:p>
    <w:p w14:paraId="3359EDE4">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2.采购代理机构信息</w:t>
      </w:r>
    </w:p>
    <w:p w14:paraId="759E1025">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名 称：中益招标有限公司</w:t>
      </w:r>
    </w:p>
    <w:p w14:paraId="2250731B">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地　址：乌鲁木齐高新区（新市区）北京南路416号盈科国际中心30楼3001室</w:t>
      </w:r>
    </w:p>
    <w:p w14:paraId="5178B936">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联系方式：谢楠</w:t>
      </w:r>
      <w:r>
        <w:rPr>
          <w:rStyle w:val="50"/>
          <w:rFonts w:hint="eastAsia" w:ascii="仿宋" w:hAnsi="仿宋" w:eastAsia="仿宋" w:cs="仿宋"/>
          <w:b w:val="0"/>
          <w:bCs w:val="0"/>
          <w:color w:val="auto"/>
          <w:sz w:val="24"/>
          <w:szCs w:val="24"/>
          <w:highlight w:val="none"/>
          <w:lang w:val="en-US" w:eastAsia="zh-CN"/>
        </w:rPr>
        <w:t xml:space="preserve"> 罗雄雄 </w:t>
      </w:r>
      <w:r>
        <w:rPr>
          <w:rStyle w:val="50"/>
          <w:rFonts w:hint="eastAsia" w:ascii="仿宋" w:hAnsi="仿宋" w:eastAsia="仿宋" w:cs="仿宋"/>
          <w:b w:val="0"/>
          <w:bCs w:val="0"/>
          <w:color w:val="auto"/>
          <w:sz w:val="24"/>
          <w:szCs w:val="24"/>
          <w:highlight w:val="none"/>
        </w:rPr>
        <w:t xml:space="preserve"> 0991-3651985</w:t>
      </w:r>
    </w:p>
    <w:p w14:paraId="6F65323A">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3.项目联系方式</w:t>
      </w:r>
    </w:p>
    <w:p w14:paraId="42FB1D7C">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项目联系人：谢楠</w:t>
      </w:r>
      <w:r>
        <w:rPr>
          <w:rStyle w:val="50"/>
          <w:rFonts w:hint="eastAsia" w:ascii="仿宋" w:hAnsi="仿宋" w:eastAsia="仿宋" w:cs="仿宋"/>
          <w:b w:val="0"/>
          <w:bCs w:val="0"/>
          <w:color w:val="auto"/>
          <w:sz w:val="24"/>
          <w:szCs w:val="24"/>
          <w:highlight w:val="none"/>
          <w:lang w:val="en-US" w:eastAsia="zh-CN"/>
        </w:rPr>
        <w:t xml:space="preserve"> 罗雄雄 </w:t>
      </w:r>
    </w:p>
    <w:p w14:paraId="7CEB49AE">
      <w:pPr>
        <w:pStyle w:val="43"/>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lang w:val="en-US" w:eastAsia="zh-CN"/>
        </w:rPr>
      </w:pPr>
      <w:r>
        <w:rPr>
          <w:rStyle w:val="50"/>
          <w:rFonts w:hint="eastAsia" w:ascii="仿宋" w:hAnsi="仿宋" w:eastAsia="仿宋" w:cs="仿宋"/>
          <w:b w:val="0"/>
          <w:bCs w:val="0"/>
          <w:color w:val="auto"/>
          <w:sz w:val="24"/>
          <w:szCs w:val="24"/>
          <w:highlight w:val="none"/>
        </w:rPr>
        <w:t>电　话：</w:t>
      </w:r>
      <w:r>
        <w:rPr>
          <w:rStyle w:val="50"/>
          <w:rFonts w:hint="eastAsia" w:ascii="仿宋" w:hAnsi="仿宋" w:eastAsia="仿宋" w:cs="仿宋"/>
          <w:b w:val="0"/>
          <w:bCs w:val="0"/>
          <w:color w:val="auto"/>
          <w:sz w:val="24"/>
          <w:szCs w:val="24"/>
          <w:highlight w:val="none"/>
          <w:lang w:val="en-US" w:eastAsia="zh-CN"/>
        </w:rPr>
        <w:t xml:space="preserve">18599192565 18999960560 </w:t>
      </w:r>
    </w:p>
    <w:p w14:paraId="5E7B33F6">
      <w:pPr>
        <w:spacing w:line="360" w:lineRule="auto"/>
        <w:rPr>
          <w:rFonts w:ascii="宋体" w:hAnsi="宋体"/>
          <w:color w:val="auto"/>
          <w:szCs w:val="21"/>
          <w:highlight w:val="none"/>
        </w:rPr>
      </w:pPr>
      <w:r>
        <w:rPr>
          <w:rFonts w:hint="eastAsia" w:ascii="宋体" w:hAnsi="宋体" w:cs="宋体"/>
          <w:color w:val="auto"/>
          <w:highlight w:val="none"/>
        </w:rPr>
        <w:br w:type="page"/>
      </w:r>
      <w:r>
        <w:rPr>
          <w:rFonts w:hint="eastAsia" w:ascii="宋体" w:hAnsi="宋体"/>
          <w:color w:val="auto"/>
          <w:highlight w:val="none"/>
        </w:rPr>
        <w:t xml:space="preserve">                         </w:t>
      </w:r>
      <w:r>
        <w:rPr>
          <w:rStyle w:val="63"/>
          <w:rFonts w:hint="eastAsia"/>
          <w:color w:val="auto"/>
          <w:highlight w:val="none"/>
        </w:rPr>
        <w:t xml:space="preserve"> </w:t>
      </w:r>
      <w:bookmarkStart w:id="12" w:name="_Toc161933884"/>
      <w:r>
        <w:rPr>
          <w:rStyle w:val="63"/>
          <w:rFonts w:hint="eastAsia"/>
          <w:color w:val="auto"/>
          <w:highlight w:val="none"/>
        </w:rPr>
        <w:t>第二章  投标须知</w:t>
      </w:r>
      <w:bookmarkEnd w:id="9"/>
      <w:bookmarkEnd w:id="10"/>
      <w:bookmarkEnd w:id="12"/>
    </w:p>
    <w:p w14:paraId="2D4AA2D2">
      <w:pPr>
        <w:pStyle w:val="3"/>
        <w:jc w:val="center"/>
        <w:rPr>
          <w:rFonts w:ascii="宋体" w:hAnsi="宋体"/>
          <w:color w:val="auto"/>
          <w:highlight w:val="none"/>
        </w:rPr>
      </w:pPr>
      <w:bookmarkStart w:id="13" w:name="_Toc161933885"/>
      <w:r>
        <w:rPr>
          <w:rFonts w:hint="eastAsia" w:ascii="宋体" w:hAnsi="宋体"/>
          <w:color w:val="auto"/>
          <w:highlight w:val="none"/>
        </w:rPr>
        <w:t>投标须知前附表</w:t>
      </w:r>
      <w:bookmarkEnd w:id="13"/>
    </w:p>
    <w:tbl>
      <w:tblPr>
        <w:tblStyle w:val="4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1701"/>
        <w:gridCol w:w="4864"/>
      </w:tblGrid>
      <w:tr w14:paraId="42CE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2224" w:type="dxa"/>
            <w:vAlign w:val="center"/>
          </w:tcPr>
          <w:p w14:paraId="15503E2E">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条款号</w:t>
            </w:r>
          </w:p>
        </w:tc>
        <w:tc>
          <w:tcPr>
            <w:tcW w:w="1701" w:type="dxa"/>
            <w:vAlign w:val="center"/>
          </w:tcPr>
          <w:p w14:paraId="1A96EDD9">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条款名称</w:t>
            </w:r>
          </w:p>
        </w:tc>
        <w:tc>
          <w:tcPr>
            <w:tcW w:w="4864" w:type="dxa"/>
            <w:vAlign w:val="center"/>
          </w:tcPr>
          <w:p w14:paraId="219C5311">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编列内容规定</w:t>
            </w:r>
          </w:p>
        </w:tc>
      </w:tr>
      <w:tr w14:paraId="3BA3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8789" w:type="dxa"/>
            <w:gridSpan w:val="3"/>
            <w:vAlign w:val="center"/>
          </w:tcPr>
          <w:p w14:paraId="2A4C7ACA">
            <w:pPr>
              <w:adjustRightInd w:val="0"/>
              <w:snapToGrid w:val="0"/>
              <w:spacing w:line="400" w:lineRule="exact"/>
              <w:rPr>
                <w:rFonts w:ascii="宋体" w:hAnsi="宋体"/>
                <w:color w:val="auto"/>
                <w:szCs w:val="21"/>
                <w:highlight w:val="none"/>
              </w:rPr>
            </w:pPr>
            <w:r>
              <w:rPr>
                <w:rFonts w:hint="eastAsia" w:ascii="宋体" w:hAnsi="宋体"/>
                <w:b/>
                <w:color w:val="auto"/>
                <w:szCs w:val="21"/>
                <w:highlight w:val="none"/>
              </w:rPr>
              <w:t>一、说明</w:t>
            </w:r>
          </w:p>
        </w:tc>
      </w:tr>
      <w:tr w14:paraId="2E98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1D390FF7">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第二章第1.1款</w:t>
            </w:r>
          </w:p>
        </w:tc>
        <w:tc>
          <w:tcPr>
            <w:tcW w:w="1701" w:type="dxa"/>
            <w:vAlign w:val="center"/>
          </w:tcPr>
          <w:p w14:paraId="31C7D267">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项目名称</w:t>
            </w:r>
          </w:p>
        </w:tc>
        <w:tc>
          <w:tcPr>
            <w:tcW w:w="4864" w:type="dxa"/>
            <w:vAlign w:val="center"/>
          </w:tcPr>
          <w:p w14:paraId="41E12B33">
            <w:pPr>
              <w:spacing w:line="40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和田地区人民医院CT维保项目</w:t>
            </w:r>
          </w:p>
        </w:tc>
      </w:tr>
      <w:tr w14:paraId="52AB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224" w:type="dxa"/>
            <w:vAlign w:val="center"/>
          </w:tcPr>
          <w:p w14:paraId="54D391ED">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第二章第1.2款</w:t>
            </w:r>
          </w:p>
        </w:tc>
        <w:tc>
          <w:tcPr>
            <w:tcW w:w="1701" w:type="dxa"/>
            <w:vAlign w:val="center"/>
          </w:tcPr>
          <w:p w14:paraId="0E9EF88C">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采购内容</w:t>
            </w:r>
          </w:p>
        </w:tc>
        <w:tc>
          <w:tcPr>
            <w:tcW w:w="4864" w:type="dxa"/>
            <w:vAlign w:val="center"/>
          </w:tcPr>
          <w:p w14:paraId="344790EE">
            <w:pPr>
              <w:spacing w:line="400" w:lineRule="exact"/>
              <w:jc w:val="left"/>
              <w:rPr>
                <w:rFonts w:ascii="宋体" w:hAnsi="宋体"/>
                <w:color w:val="auto"/>
                <w:szCs w:val="21"/>
                <w:highlight w:val="none"/>
              </w:rPr>
            </w:pPr>
            <w:r>
              <w:rPr>
                <w:rFonts w:hint="eastAsia" w:ascii="宋体" w:hAnsi="宋体"/>
                <w:color w:val="auto"/>
                <w:szCs w:val="21"/>
                <w:highlight w:val="none"/>
                <w:lang w:eastAsia="zh-CN"/>
              </w:rPr>
              <w:t>CT维保</w:t>
            </w:r>
            <w:r>
              <w:rPr>
                <w:rFonts w:hint="eastAsia" w:ascii="宋体" w:hAnsi="宋体"/>
                <w:color w:val="auto"/>
                <w:szCs w:val="21"/>
                <w:highlight w:val="none"/>
              </w:rPr>
              <w:t>采购</w:t>
            </w:r>
          </w:p>
        </w:tc>
      </w:tr>
      <w:tr w14:paraId="3247E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30C29D91">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第二章第1.3款</w:t>
            </w:r>
          </w:p>
        </w:tc>
        <w:tc>
          <w:tcPr>
            <w:tcW w:w="1701" w:type="dxa"/>
            <w:vAlign w:val="center"/>
          </w:tcPr>
          <w:p w14:paraId="6249E6F2">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采购方式</w:t>
            </w:r>
          </w:p>
        </w:tc>
        <w:tc>
          <w:tcPr>
            <w:tcW w:w="4864" w:type="dxa"/>
            <w:vAlign w:val="center"/>
          </w:tcPr>
          <w:p w14:paraId="3CB9E787">
            <w:pPr>
              <w:spacing w:line="400" w:lineRule="exact"/>
              <w:jc w:val="left"/>
              <w:rPr>
                <w:rFonts w:ascii="宋体" w:hAnsi="宋体"/>
                <w:color w:val="auto"/>
                <w:szCs w:val="21"/>
                <w:highlight w:val="none"/>
              </w:rPr>
            </w:pPr>
            <w:r>
              <w:rPr>
                <w:rFonts w:hint="eastAsia" w:ascii="宋体" w:hAnsi="宋体"/>
                <w:color w:val="auto"/>
                <w:szCs w:val="21"/>
                <w:highlight w:val="none"/>
              </w:rPr>
              <w:t>公开招标</w:t>
            </w:r>
          </w:p>
        </w:tc>
      </w:tr>
      <w:tr w14:paraId="1247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348E6191">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第二章第1.4款</w:t>
            </w:r>
          </w:p>
        </w:tc>
        <w:tc>
          <w:tcPr>
            <w:tcW w:w="1701" w:type="dxa"/>
            <w:vAlign w:val="center"/>
          </w:tcPr>
          <w:p w14:paraId="4D229035">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项目地点</w:t>
            </w:r>
          </w:p>
        </w:tc>
        <w:tc>
          <w:tcPr>
            <w:tcW w:w="4864" w:type="dxa"/>
            <w:vAlign w:val="center"/>
          </w:tcPr>
          <w:p w14:paraId="13B6F6D3">
            <w:pPr>
              <w:spacing w:line="400" w:lineRule="exact"/>
              <w:jc w:val="left"/>
              <w:rPr>
                <w:rFonts w:ascii="宋体" w:hAnsi="宋体"/>
                <w:color w:val="auto"/>
                <w:szCs w:val="21"/>
                <w:highlight w:val="none"/>
              </w:rPr>
            </w:pPr>
            <w:r>
              <w:rPr>
                <w:rFonts w:hint="eastAsia" w:ascii="宋体" w:hAnsi="宋体" w:cs="宋体"/>
                <w:color w:val="auto"/>
                <w:kern w:val="0"/>
                <w:szCs w:val="21"/>
                <w:highlight w:val="none"/>
              </w:rPr>
              <w:t>采购人指定地点</w:t>
            </w:r>
          </w:p>
        </w:tc>
      </w:tr>
      <w:tr w14:paraId="44C9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67A1CCF7">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第二章第1.5款</w:t>
            </w:r>
          </w:p>
        </w:tc>
        <w:tc>
          <w:tcPr>
            <w:tcW w:w="1701" w:type="dxa"/>
            <w:vAlign w:val="center"/>
          </w:tcPr>
          <w:p w14:paraId="3E4C27B7">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合同履行期限</w:t>
            </w:r>
          </w:p>
        </w:tc>
        <w:tc>
          <w:tcPr>
            <w:tcW w:w="4864" w:type="dxa"/>
            <w:vAlign w:val="center"/>
          </w:tcPr>
          <w:p w14:paraId="1C2AC6D9">
            <w:pPr>
              <w:spacing w:line="400" w:lineRule="exact"/>
              <w:jc w:val="left"/>
              <w:rPr>
                <w:rFonts w:hint="default"/>
                <w:color w:val="auto"/>
                <w:highlight w:val="none"/>
                <w:lang w:val="en-US" w:eastAsia="zh-CN"/>
              </w:rPr>
            </w:pPr>
            <w:r>
              <w:rPr>
                <w:rFonts w:hint="default"/>
                <w:color w:val="auto"/>
                <w:highlight w:val="none"/>
                <w:lang w:val="en-US" w:eastAsia="zh-CN"/>
              </w:rPr>
              <w:t>标项</w:t>
            </w:r>
            <w:r>
              <w:rPr>
                <w:rFonts w:hint="eastAsia"/>
                <w:color w:val="auto"/>
                <w:highlight w:val="none"/>
                <w:lang w:val="en-US" w:eastAsia="zh-CN"/>
              </w:rPr>
              <w:t>一、二</w:t>
            </w:r>
            <w:r>
              <w:rPr>
                <w:rFonts w:hint="default"/>
                <w:color w:val="auto"/>
                <w:highlight w:val="none"/>
                <w:lang w:val="en-US" w:eastAsia="zh-CN"/>
              </w:rPr>
              <w:t>：3年（合同一年一签）</w:t>
            </w:r>
          </w:p>
        </w:tc>
      </w:tr>
      <w:tr w14:paraId="60CEF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224" w:type="dxa"/>
            <w:vAlign w:val="center"/>
          </w:tcPr>
          <w:p w14:paraId="471AB3D6">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第二章第2.1款</w:t>
            </w:r>
          </w:p>
        </w:tc>
        <w:tc>
          <w:tcPr>
            <w:tcW w:w="1701" w:type="dxa"/>
            <w:vAlign w:val="center"/>
          </w:tcPr>
          <w:p w14:paraId="0BEDE983">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采购人</w:t>
            </w:r>
          </w:p>
        </w:tc>
        <w:tc>
          <w:tcPr>
            <w:tcW w:w="4864" w:type="dxa"/>
            <w:vAlign w:val="center"/>
          </w:tcPr>
          <w:p w14:paraId="5AE80703">
            <w:pPr>
              <w:pStyle w:val="18"/>
              <w:jc w:val="left"/>
              <w:rPr>
                <w:rFonts w:hint="eastAsia" w:eastAsia="宋体"/>
                <w:b w:val="0"/>
                <w:bCs/>
                <w:color w:val="auto"/>
                <w:highlight w:val="none"/>
                <w:lang w:eastAsia="zh-CN"/>
              </w:rPr>
            </w:pPr>
            <w:r>
              <w:rPr>
                <w:rFonts w:hint="eastAsia"/>
                <w:b w:val="0"/>
                <w:bCs/>
                <w:color w:val="auto"/>
                <w:highlight w:val="none"/>
              </w:rPr>
              <w:t>名 称：</w:t>
            </w:r>
            <w:r>
              <w:rPr>
                <w:rFonts w:hint="eastAsia"/>
                <w:b w:val="0"/>
                <w:bCs/>
                <w:color w:val="auto"/>
                <w:highlight w:val="none"/>
                <w:lang w:eastAsia="zh-CN"/>
              </w:rPr>
              <w:t>和田地区人民医院</w:t>
            </w:r>
          </w:p>
          <w:p w14:paraId="1947DACD">
            <w:pPr>
              <w:pStyle w:val="18"/>
              <w:jc w:val="left"/>
              <w:rPr>
                <w:rFonts w:hint="eastAsia"/>
                <w:b w:val="0"/>
                <w:bCs/>
                <w:color w:val="auto"/>
                <w:highlight w:val="none"/>
                <w:lang w:eastAsia="zh-CN"/>
              </w:rPr>
            </w:pPr>
            <w:r>
              <w:rPr>
                <w:rFonts w:hint="eastAsia"/>
                <w:b w:val="0"/>
                <w:bCs/>
                <w:color w:val="auto"/>
                <w:highlight w:val="none"/>
              </w:rPr>
              <w:t>地址：</w:t>
            </w:r>
            <w:r>
              <w:rPr>
                <w:rFonts w:hint="eastAsia"/>
                <w:b w:val="0"/>
                <w:bCs/>
                <w:color w:val="auto"/>
                <w:highlight w:val="none"/>
                <w:lang w:eastAsia="zh-CN"/>
              </w:rPr>
              <w:t>和田市文化路103号</w:t>
            </w:r>
          </w:p>
          <w:p w14:paraId="43362B27">
            <w:pPr>
              <w:pStyle w:val="18"/>
              <w:jc w:val="left"/>
              <w:rPr>
                <w:color w:val="auto"/>
                <w:highlight w:val="none"/>
              </w:rPr>
            </w:pPr>
            <w:r>
              <w:rPr>
                <w:rFonts w:hint="eastAsia"/>
                <w:b w:val="0"/>
                <w:bCs/>
                <w:color w:val="auto"/>
                <w:highlight w:val="none"/>
                <w:lang w:eastAsia="zh-CN"/>
              </w:rPr>
              <w:t>联系方式：</w:t>
            </w:r>
            <w:r>
              <w:rPr>
                <w:rFonts w:hint="eastAsia"/>
                <w:b w:val="0"/>
                <w:bCs/>
                <w:color w:val="auto"/>
                <w:highlight w:val="none"/>
                <w:lang w:val="en-US" w:eastAsia="zh-CN"/>
              </w:rPr>
              <w:t xml:space="preserve"> </w:t>
            </w:r>
            <w:r>
              <w:rPr>
                <w:rFonts w:hint="eastAsia"/>
                <w:b w:val="0"/>
                <w:bCs/>
                <w:color w:val="auto"/>
                <w:highlight w:val="none"/>
                <w:lang w:eastAsia="zh-CN"/>
              </w:rPr>
              <w:t>闵玉婷13565490888</w:t>
            </w:r>
          </w:p>
        </w:tc>
      </w:tr>
      <w:tr w14:paraId="78FF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224" w:type="dxa"/>
            <w:vAlign w:val="center"/>
          </w:tcPr>
          <w:p w14:paraId="40830DEB">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第二章第2.2款</w:t>
            </w:r>
          </w:p>
        </w:tc>
        <w:tc>
          <w:tcPr>
            <w:tcW w:w="1701" w:type="dxa"/>
            <w:vAlign w:val="center"/>
          </w:tcPr>
          <w:p w14:paraId="10A1A65D">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采购代理机构</w:t>
            </w:r>
          </w:p>
        </w:tc>
        <w:tc>
          <w:tcPr>
            <w:tcW w:w="4864" w:type="dxa"/>
            <w:vAlign w:val="center"/>
          </w:tcPr>
          <w:p w14:paraId="0905D395">
            <w:pPr>
              <w:adjustRightInd w:val="0"/>
              <w:snapToGrid w:val="0"/>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名称：</w:t>
            </w:r>
            <w:r>
              <w:rPr>
                <w:rFonts w:hint="eastAsia" w:ascii="宋体" w:hAnsi="宋体"/>
                <w:color w:val="auto"/>
                <w:szCs w:val="21"/>
                <w:highlight w:val="none"/>
                <w:lang w:eastAsia="zh-CN"/>
              </w:rPr>
              <w:t>中益招标有限公司</w:t>
            </w:r>
          </w:p>
          <w:p w14:paraId="3010A7C0">
            <w:pPr>
              <w:adjustRightInd w:val="0"/>
              <w:snapToGrid w:val="0"/>
              <w:spacing w:line="400" w:lineRule="exact"/>
              <w:rPr>
                <w:rFonts w:ascii="宋体" w:hAnsi="宋体" w:cs="宋体"/>
                <w:color w:val="auto"/>
                <w:szCs w:val="21"/>
                <w:highlight w:val="none"/>
              </w:rPr>
            </w:pPr>
            <w:r>
              <w:rPr>
                <w:rFonts w:hint="eastAsia" w:ascii="宋体" w:hAnsi="宋体"/>
                <w:color w:val="auto"/>
                <w:szCs w:val="21"/>
                <w:highlight w:val="none"/>
              </w:rPr>
              <w:t>地址：</w:t>
            </w:r>
            <w:r>
              <w:rPr>
                <w:rFonts w:hint="eastAsia" w:ascii="宋体" w:hAnsi="宋体" w:cs="宋体"/>
                <w:color w:val="auto"/>
                <w:szCs w:val="21"/>
                <w:highlight w:val="none"/>
              </w:rPr>
              <w:t>新市区北京南路416号盈科国际中心30楼3001室</w:t>
            </w:r>
          </w:p>
          <w:p w14:paraId="2B8989FD">
            <w:pPr>
              <w:adjustRightInd w:val="0"/>
              <w:snapToGrid w:val="0"/>
              <w:spacing w:line="400" w:lineRule="exact"/>
              <w:rPr>
                <w:rFonts w:hint="eastAsia" w:ascii="宋体" w:hAnsi="宋体"/>
                <w:color w:val="auto"/>
                <w:szCs w:val="21"/>
                <w:highlight w:val="none"/>
              </w:rPr>
            </w:pPr>
            <w:r>
              <w:rPr>
                <w:rFonts w:hint="eastAsia" w:ascii="宋体" w:hAnsi="宋体"/>
                <w:color w:val="auto"/>
                <w:szCs w:val="21"/>
                <w:highlight w:val="none"/>
              </w:rPr>
              <w:t>项目联系人：谢楠</w:t>
            </w:r>
            <w:r>
              <w:rPr>
                <w:rFonts w:hint="eastAsia" w:ascii="宋体" w:hAnsi="宋体"/>
                <w:color w:val="auto"/>
                <w:szCs w:val="21"/>
                <w:highlight w:val="none"/>
                <w:lang w:val="en-US" w:eastAsia="zh-CN"/>
              </w:rPr>
              <w:t xml:space="preserve"> 罗雄雄 </w:t>
            </w:r>
          </w:p>
          <w:p w14:paraId="75680B50">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电　话：</w:t>
            </w:r>
            <w:r>
              <w:rPr>
                <w:rFonts w:hint="eastAsia" w:ascii="宋体" w:hAnsi="宋体"/>
                <w:color w:val="auto"/>
                <w:szCs w:val="21"/>
                <w:highlight w:val="none"/>
                <w:lang w:val="en-US" w:eastAsia="zh-CN"/>
              </w:rPr>
              <w:t xml:space="preserve">18599192565 18999960560 </w:t>
            </w:r>
          </w:p>
        </w:tc>
      </w:tr>
      <w:tr w14:paraId="37A5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224" w:type="dxa"/>
            <w:vAlign w:val="center"/>
          </w:tcPr>
          <w:p w14:paraId="11400A0A">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第二章第3.1款</w:t>
            </w:r>
          </w:p>
        </w:tc>
        <w:tc>
          <w:tcPr>
            <w:tcW w:w="1701" w:type="dxa"/>
            <w:vAlign w:val="center"/>
          </w:tcPr>
          <w:p w14:paraId="24C1B23D">
            <w:pPr>
              <w:adjustRightInd w:val="0"/>
              <w:snapToGrid w:val="0"/>
              <w:spacing w:line="400" w:lineRule="exact"/>
              <w:rPr>
                <w:rFonts w:ascii="宋体" w:hAnsi="宋体"/>
                <w:color w:val="auto"/>
                <w:szCs w:val="21"/>
                <w:highlight w:val="none"/>
              </w:rPr>
            </w:pPr>
            <w:r>
              <w:rPr>
                <w:rFonts w:hint="eastAsia" w:ascii="宋体" w:hAnsi="宋体"/>
                <w:bCs/>
                <w:color w:val="auto"/>
                <w:szCs w:val="21"/>
                <w:highlight w:val="none"/>
              </w:rPr>
              <w:t>投标人</w:t>
            </w:r>
            <w:r>
              <w:rPr>
                <w:rFonts w:hint="eastAsia" w:ascii="宋体" w:hAnsi="宋体"/>
                <w:color w:val="auto"/>
                <w:szCs w:val="21"/>
                <w:highlight w:val="none"/>
              </w:rPr>
              <w:t>资格条件</w:t>
            </w:r>
          </w:p>
        </w:tc>
        <w:tc>
          <w:tcPr>
            <w:tcW w:w="4864" w:type="dxa"/>
            <w:vAlign w:val="center"/>
          </w:tcPr>
          <w:p w14:paraId="3F4C7DB3">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1.满足《中华人民共和国政府采购法》第二十二条规定；</w:t>
            </w:r>
          </w:p>
          <w:p w14:paraId="13BEBF72">
            <w:pPr>
              <w:adjustRightInd w:val="0"/>
              <w:snapToGrid w:val="0"/>
              <w:spacing w:line="400" w:lineRule="exact"/>
              <w:jc w:val="left"/>
              <w:rPr>
                <w:rFonts w:hint="eastAsia" w:ascii="宋体" w:hAnsi="宋体" w:eastAsia="宋体"/>
                <w:color w:val="auto"/>
                <w:szCs w:val="21"/>
                <w:highlight w:val="none"/>
                <w:lang w:val="en-US" w:eastAsia="zh-CN"/>
              </w:rPr>
            </w:pPr>
            <w:r>
              <w:rPr>
                <w:rFonts w:hint="eastAsia" w:ascii="宋体" w:hAnsi="宋体"/>
                <w:color w:val="auto"/>
                <w:szCs w:val="21"/>
                <w:highlight w:val="none"/>
              </w:rPr>
              <w:t>2.落实政府采购政策需满足的资格要求：</w:t>
            </w:r>
            <w:r>
              <w:rPr>
                <w:rFonts w:hint="eastAsia" w:ascii="宋体" w:hAnsi="宋体"/>
                <w:color w:val="auto"/>
                <w:szCs w:val="21"/>
                <w:highlight w:val="none"/>
                <w:lang w:eastAsia="zh-CN"/>
              </w:rPr>
              <w:t>专门面向小微企业采购</w:t>
            </w:r>
          </w:p>
          <w:p w14:paraId="0EE7BF6C">
            <w:pPr>
              <w:spacing w:line="400" w:lineRule="atLeast"/>
              <w:rPr>
                <w:rFonts w:hint="eastAsia" w:ascii="宋体" w:hAnsi="宋体" w:eastAsia="宋体"/>
                <w:color w:val="auto"/>
                <w:szCs w:val="21"/>
                <w:highlight w:val="none"/>
                <w:lang w:eastAsia="zh-CN"/>
              </w:rPr>
            </w:pPr>
            <w:r>
              <w:rPr>
                <w:rFonts w:hint="eastAsia" w:ascii="宋体" w:hAnsi="宋体"/>
                <w:color w:val="auto"/>
                <w:szCs w:val="21"/>
                <w:highlight w:val="none"/>
              </w:rPr>
              <w:t>3.本项目的特定资格要求</w:t>
            </w:r>
            <w:r>
              <w:rPr>
                <w:rFonts w:hint="eastAsia" w:ascii="宋体" w:hAnsi="宋体"/>
                <w:color w:val="auto"/>
                <w:szCs w:val="21"/>
                <w:highlight w:val="none"/>
                <w:lang w:eastAsia="zh-CN"/>
              </w:rPr>
              <w:t>：无</w:t>
            </w:r>
          </w:p>
        </w:tc>
      </w:tr>
      <w:tr w14:paraId="1D0C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224" w:type="dxa"/>
            <w:vAlign w:val="center"/>
          </w:tcPr>
          <w:p w14:paraId="0F1799A2">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第二章第3.2款（4）</w:t>
            </w:r>
          </w:p>
        </w:tc>
        <w:tc>
          <w:tcPr>
            <w:tcW w:w="1701" w:type="dxa"/>
            <w:vAlign w:val="center"/>
          </w:tcPr>
          <w:p w14:paraId="06568DEE">
            <w:pPr>
              <w:adjustRightInd w:val="0"/>
              <w:snapToGrid w:val="0"/>
              <w:spacing w:line="280" w:lineRule="exact"/>
              <w:rPr>
                <w:rFonts w:ascii="宋体" w:hAnsi="宋体"/>
                <w:bCs/>
                <w:color w:val="auto"/>
                <w:szCs w:val="21"/>
                <w:highlight w:val="none"/>
              </w:rPr>
            </w:pPr>
            <w:r>
              <w:rPr>
                <w:rFonts w:hint="eastAsia" w:ascii="宋体" w:hAnsi="宋体"/>
                <w:bCs/>
                <w:color w:val="auto"/>
                <w:szCs w:val="21"/>
                <w:highlight w:val="none"/>
              </w:rPr>
              <w:t>信用查询时间</w:t>
            </w:r>
          </w:p>
        </w:tc>
        <w:tc>
          <w:tcPr>
            <w:tcW w:w="4864" w:type="dxa"/>
            <w:vAlign w:val="center"/>
          </w:tcPr>
          <w:p w14:paraId="6702BC9E">
            <w:pPr>
              <w:adjustRightInd w:val="0"/>
              <w:snapToGrid w:val="0"/>
              <w:spacing w:line="280" w:lineRule="exact"/>
              <w:jc w:val="left"/>
              <w:rPr>
                <w:rFonts w:ascii="宋体" w:hAnsi="宋体"/>
                <w:color w:val="auto"/>
                <w:szCs w:val="21"/>
                <w:highlight w:val="none"/>
              </w:rPr>
            </w:pPr>
            <w:r>
              <w:rPr>
                <w:rFonts w:hint="eastAsia" w:ascii="宋体" w:hAnsi="宋体"/>
                <w:color w:val="auto"/>
                <w:szCs w:val="21"/>
                <w:highlight w:val="none"/>
              </w:rPr>
              <w:t xml:space="preserve"> 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ascii="宋体" w:hAnsi="宋体"/>
                <w:color w:val="auto"/>
                <w:szCs w:val="21"/>
                <w:highlight w:val="none"/>
              </w:rPr>
              <w:t>0</w:t>
            </w:r>
            <w:r>
              <w:rPr>
                <w:rFonts w:hint="eastAsia" w:ascii="宋体" w:hAnsi="宋体"/>
                <w:color w:val="auto"/>
                <w:szCs w:val="21"/>
                <w:highlight w:val="none"/>
                <w:lang w:val="en-US" w:eastAsia="zh-CN"/>
              </w:rPr>
              <w:t>6</w:t>
            </w:r>
            <w:r>
              <w:rPr>
                <w:rFonts w:hint="eastAsia" w:ascii="宋体" w:hAnsi="宋体"/>
                <w:color w:val="auto"/>
                <w:szCs w:val="21"/>
                <w:highlight w:val="none"/>
              </w:rPr>
              <w:t>月</w:t>
            </w:r>
            <w:r>
              <w:rPr>
                <w:rFonts w:hint="eastAsia" w:ascii="宋体" w:hAnsi="宋体"/>
                <w:color w:val="auto"/>
                <w:szCs w:val="21"/>
                <w:highlight w:val="none"/>
                <w:lang w:val="en-US" w:eastAsia="zh-CN"/>
              </w:rPr>
              <w:t>19</w:t>
            </w:r>
            <w:r>
              <w:rPr>
                <w:rFonts w:hint="eastAsia" w:ascii="宋体" w:hAnsi="宋体"/>
                <w:color w:val="auto"/>
                <w:szCs w:val="21"/>
                <w:highlight w:val="none"/>
              </w:rPr>
              <w:t>日-202</w:t>
            </w:r>
            <w:r>
              <w:rPr>
                <w:rFonts w:hint="eastAsia" w:ascii="宋体" w:hAnsi="宋体"/>
                <w:color w:val="auto"/>
                <w:szCs w:val="21"/>
                <w:highlight w:val="none"/>
                <w:lang w:val="en-US" w:eastAsia="zh-CN"/>
              </w:rPr>
              <w:t>5</w:t>
            </w:r>
            <w:r>
              <w:rPr>
                <w:rFonts w:hint="eastAsia" w:ascii="宋体" w:hAnsi="宋体"/>
                <w:color w:val="auto"/>
                <w:szCs w:val="21"/>
                <w:highlight w:val="none"/>
              </w:rPr>
              <w:t>年0</w:t>
            </w:r>
            <w:r>
              <w:rPr>
                <w:rFonts w:hint="eastAsia" w:ascii="宋体" w:hAnsi="宋体"/>
                <w:color w:val="auto"/>
                <w:szCs w:val="21"/>
                <w:highlight w:val="none"/>
                <w:lang w:val="en-US" w:eastAsia="zh-CN"/>
              </w:rPr>
              <w:t>7</w:t>
            </w:r>
            <w:r>
              <w:rPr>
                <w:rFonts w:hint="eastAsia" w:ascii="宋体" w:hAnsi="宋体"/>
                <w:color w:val="auto"/>
                <w:szCs w:val="21"/>
                <w:highlight w:val="none"/>
              </w:rPr>
              <w:t>月</w:t>
            </w:r>
            <w:r>
              <w:rPr>
                <w:rFonts w:hint="eastAsia" w:ascii="宋体" w:hAnsi="宋体"/>
                <w:color w:val="auto"/>
                <w:szCs w:val="21"/>
                <w:highlight w:val="none"/>
                <w:lang w:val="en-US" w:eastAsia="zh-CN"/>
              </w:rPr>
              <w:t>10</w:t>
            </w:r>
            <w:r>
              <w:rPr>
                <w:rFonts w:hint="eastAsia" w:ascii="宋体" w:hAnsi="宋体"/>
                <w:color w:val="auto"/>
                <w:szCs w:val="21"/>
                <w:highlight w:val="none"/>
              </w:rPr>
              <w:t>日查询</w:t>
            </w:r>
          </w:p>
        </w:tc>
      </w:tr>
      <w:tr w14:paraId="6F99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5E576DE1">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第二章第6.1款</w:t>
            </w:r>
          </w:p>
        </w:tc>
        <w:tc>
          <w:tcPr>
            <w:tcW w:w="1701" w:type="dxa"/>
            <w:vAlign w:val="center"/>
          </w:tcPr>
          <w:p w14:paraId="66F30DA4">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联合体形式</w:t>
            </w:r>
          </w:p>
        </w:tc>
        <w:tc>
          <w:tcPr>
            <w:tcW w:w="4864" w:type="dxa"/>
            <w:vAlign w:val="center"/>
          </w:tcPr>
          <w:p w14:paraId="79BB468B">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不接受</w:t>
            </w:r>
          </w:p>
        </w:tc>
      </w:tr>
      <w:tr w14:paraId="76C1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5B9CD338">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第二章第6.2（3）款</w:t>
            </w:r>
          </w:p>
        </w:tc>
        <w:tc>
          <w:tcPr>
            <w:tcW w:w="1701" w:type="dxa"/>
            <w:vAlign w:val="center"/>
          </w:tcPr>
          <w:p w14:paraId="3BCB2AF2">
            <w:pPr>
              <w:spacing w:line="400" w:lineRule="exact"/>
              <w:rPr>
                <w:rFonts w:ascii="宋体" w:hAnsi="宋体"/>
                <w:color w:val="auto"/>
                <w:szCs w:val="21"/>
                <w:highlight w:val="none"/>
              </w:rPr>
            </w:pPr>
            <w:r>
              <w:rPr>
                <w:rFonts w:hint="eastAsia" w:ascii="宋体" w:hAnsi="宋体"/>
                <w:color w:val="auto"/>
                <w:szCs w:val="21"/>
                <w:highlight w:val="none"/>
              </w:rPr>
              <w:t>对联合体各方的要求</w:t>
            </w:r>
          </w:p>
        </w:tc>
        <w:tc>
          <w:tcPr>
            <w:tcW w:w="4864" w:type="dxa"/>
            <w:vAlign w:val="center"/>
          </w:tcPr>
          <w:p w14:paraId="58908283">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不接受</w:t>
            </w:r>
          </w:p>
        </w:tc>
      </w:tr>
      <w:tr w14:paraId="284A8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0040D459">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第二章第7.1款</w:t>
            </w:r>
          </w:p>
        </w:tc>
        <w:tc>
          <w:tcPr>
            <w:tcW w:w="1701" w:type="dxa"/>
            <w:vAlign w:val="center"/>
          </w:tcPr>
          <w:p w14:paraId="5F5C8290">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现场考察</w:t>
            </w:r>
          </w:p>
        </w:tc>
        <w:tc>
          <w:tcPr>
            <w:tcW w:w="4864" w:type="dxa"/>
            <w:vAlign w:val="center"/>
          </w:tcPr>
          <w:p w14:paraId="7A1CC5C0">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不组织，若需要勘察自行与甲方联系。</w:t>
            </w:r>
          </w:p>
        </w:tc>
      </w:tr>
      <w:tr w14:paraId="5F68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15FAEDF0">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第二章第8.1款</w:t>
            </w:r>
          </w:p>
        </w:tc>
        <w:tc>
          <w:tcPr>
            <w:tcW w:w="1701" w:type="dxa"/>
            <w:vAlign w:val="center"/>
          </w:tcPr>
          <w:p w14:paraId="44B11D43">
            <w:pPr>
              <w:spacing w:line="400" w:lineRule="exact"/>
              <w:rPr>
                <w:rFonts w:ascii="宋体" w:hAnsi="宋体"/>
                <w:color w:val="auto"/>
                <w:szCs w:val="21"/>
                <w:highlight w:val="none"/>
              </w:rPr>
            </w:pPr>
            <w:r>
              <w:rPr>
                <w:rFonts w:hint="eastAsia" w:ascii="宋体" w:hAnsi="宋体"/>
                <w:color w:val="auto"/>
                <w:szCs w:val="21"/>
                <w:highlight w:val="none"/>
              </w:rPr>
              <w:t>分包</w:t>
            </w:r>
          </w:p>
        </w:tc>
        <w:tc>
          <w:tcPr>
            <w:tcW w:w="4864" w:type="dxa"/>
            <w:vAlign w:val="center"/>
          </w:tcPr>
          <w:p w14:paraId="1E0119A9">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不允许</w:t>
            </w:r>
          </w:p>
        </w:tc>
      </w:tr>
      <w:tr w14:paraId="3EB7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Merge w:val="restart"/>
            <w:vAlign w:val="center"/>
          </w:tcPr>
          <w:p w14:paraId="66F84D5E">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第二章第9.1款</w:t>
            </w:r>
          </w:p>
        </w:tc>
        <w:tc>
          <w:tcPr>
            <w:tcW w:w="1701" w:type="dxa"/>
            <w:vAlign w:val="center"/>
          </w:tcPr>
          <w:p w14:paraId="3A7517C0">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政府采购</w:t>
            </w:r>
            <w:r>
              <w:rPr>
                <w:rFonts w:hint="eastAsia" w:ascii="宋体" w:hAnsi="宋体" w:cs="宋体"/>
                <w:bCs/>
                <w:color w:val="auto"/>
                <w:kern w:val="0"/>
                <w:szCs w:val="21"/>
                <w:highlight w:val="none"/>
              </w:rPr>
              <w:t>支持</w:t>
            </w:r>
            <w:r>
              <w:rPr>
                <w:rFonts w:hint="eastAsia" w:ascii="宋体" w:hAnsi="宋体"/>
                <w:color w:val="auto"/>
                <w:szCs w:val="21"/>
                <w:highlight w:val="none"/>
              </w:rPr>
              <w:t>中小企业发展</w:t>
            </w:r>
          </w:p>
        </w:tc>
        <w:tc>
          <w:tcPr>
            <w:tcW w:w="4864" w:type="dxa"/>
            <w:vAlign w:val="center"/>
          </w:tcPr>
          <w:p w14:paraId="252E59CB">
            <w:pPr>
              <w:pStyle w:val="25"/>
              <w:snapToGrid w:val="0"/>
              <w:spacing w:line="400" w:lineRule="exact"/>
              <w:rPr>
                <w:rFonts w:ascii="宋体" w:hAnsi="宋体" w:cs="宋体"/>
                <w:bCs/>
                <w:sz w:val="21"/>
                <w:szCs w:val="21"/>
                <w:highlight w:val="none"/>
              </w:rPr>
            </w:pPr>
            <w:r>
              <w:rPr>
                <w:rFonts w:hint="eastAsia" w:ascii="宋体" w:hAnsi="宋体" w:cs="宋体"/>
                <w:bCs/>
                <w:sz w:val="21"/>
                <w:szCs w:val="21"/>
                <w:highlight w:val="none"/>
              </w:rPr>
              <w:t>根据中华人民共和国财政部、中华人民共和国工业和信息化部《政府采购促进中小企业发展管理办法》（财库[2020]46号）文件及《关于落实好政府采购支持中小企业发展的通知》（新财购[2022]22号）的规定，属于中小企业评审优惠内容及幅度如下：</w:t>
            </w:r>
          </w:p>
          <w:p w14:paraId="68EA9CDC">
            <w:pPr>
              <w:pStyle w:val="25"/>
              <w:snapToGrid w:val="0"/>
              <w:spacing w:line="400" w:lineRule="exact"/>
              <w:rPr>
                <w:rFonts w:ascii="宋体" w:hAnsi="宋体" w:cs="宋体"/>
                <w:bCs/>
                <w:sz w:val="21"/>
                <w:szCs w:val="21"/>
                <w:highlight w:val="none"/>
              </w:rPr>
            </w:pPr>
            <w:r>
              <w:rPr>
                <w:rFonts w:hint="eastAsia" w:ascii="宋体" w:hAnsi="宋体" w:cs="宋体"/>
                <w:bCs/>
                <w:sz w:val="21"/>
                <w:szCs w:val="21"/>
                <w:highlight w:val="none"/>
              </w:rPr>
              <w:t>（一）中小企业（含中型、小型、微型企业）应当同时符合以下条件：</w:t>
            </w:r>
          </w:p>
          <w:p w14:paraId="6D8B7FEC">
            <w:pPr>
              <w:pStyle w:val="25"/>
              <w:snapToGrid w:val="0"/>
              <w:spacing w:line="400" w:lineRule="exact"/>
              <w:rPr>
                <w:rFonts w:ascii="宋体" w:hAnsi="宋体" w:cs="宋体"/>
                <w:bCs/>
                <w:sz w:val="21"/>
                <w:szCs w:val="21"/>
                <w:highlight w:val="none"/>
              </w:rPr>
            </w:pPr>
            <w:r>
              <w:rPr>
                <w:rFonts w:hint="eastAsia" w:ascii="宋体" w:hAnsi="宋体" w:cs="宋体"/>
                <w:bCs/>
                <w:sz w:val="21"/>
                <w:szCs w:val="21"/>
                <w:highlight w:val="none"/>
              </w:rPr>
              <w:t>①符合中小企业划分标准（按《关于印发中小企业划型标准规定的通知》（工信部联企业〔2011〕300号）执行）；</w:t>
            </w:r>
          </w:p>
          <w:p w14:paraId="068BF54F">
            <w:pPr>
              <w:pStyle w:val="25"/>
              <w:snapToGrid w:val="0"/>
              <w:spacing w:line="400" w:lineRule="exact"/>
              <w:rPr>
                <w:rFonts w:ascii="宋体" w:hAnsi="宋体" w:cs="宋体"/>
                <w:bCs/>
                <w:sz w:val="21"/>
                <w:szCs w:val="21"/>
                <w:highlight w:val="none"/>
              </w:rPr>
            </w:pPr>
            <w:r>
              <w:rPr>
                <w:rFonts w:hint="eastAsia" w:ascii="宋体" w:hAnsi="宋体" w:cs="宋体"/>
                <w:bCs/>
                <w:sz w:val="21"/>
                <w:szCs w:val="21"/>
                <w:highlight w:val="none"/>
              </w:rPr>
              <w:t>②提供本企业制造的货物、承担的项目或者服务，或者提供其他中小企业制造的货物。本项所称货物不包括使用大型企业注册商标的货物；</w:t>
            </w:r>
          </w:p>
          <w:p w14:paraId="3D71233C">
            <w:pPr>
              <w:pStyle w:val="25"/>
              <w:snapToGrid w:val="0"/>
              <w:spacing w:line="400" w:lineRule="exact"/>
              <w:rPr>
                <w:rFonts w:ascii="宋体" w:hAnsi="宋体" w:cs="宋体"/>
                <w:bCs/>
                <w:sz w:val="21"/>
                <w:szCs w:val="21"/>
                <w:highlight w:val="none"/>
              </w:rPr>
            </w:pPr>
            <w:r>
              <w:rPr>
                <w:rFonts w:hint="eastAsia" w:ascii="宋体" w:hAnsi="宋体" w:cs="宋体"/>
                <w:bCs/>
                <w:sz w:val="21"/>
                <w:szCs w:val="21"/>
                <w:highlight w:val="none"/>
              </w:rPr>
              <w:t>③小型、微型企业提供中型企业制造的货物的，视同为中型企业。</w:t>
            </w:r>
          </w:p>
          <w:p w14:paraId="4B0BF423">
            <w:pPr>
              <w:pStyle w:val="25"/>
              <w:snapToGrid w:val="0"/>
              <w:spacing w:line="400" w:lineRule="exact"/>
              <w:rPr>
                <w:rFonts w:ascii="宋体" w:hAnsi="宋体" w:cs="宋体"/>
                <w:bCs/>
                <w:sz w:val="21"/>
                <w:szCs w:val="21"/>
                <w:highlight w:val="none"/>
              </w:rPr>
            </w:pPr>
            <w:r>
              <w:rPr>
                <w:rFonts w:hint="eastAsia" w:ascii="宋体" w:hAnsi="宋体" w:cs="宋体"/>
                <w:bCs/>
                <w:sz w:val="21"/>
                <w:szCs w:val="21"/>
                <w:highlight w:val="none"/>
              </w:rPr>
              <w:t>监狱企业、残疾人福利性企业视同为小微企业。</w:t>
            </w:r>
          </w:p>
          <w:p w14:paraId="7ED800FC">
            <w:pPr>
              <w:pStyle w:val="25"/>
              <w:snapToGrid w:val="0"/>
              <w:spacing w:line="400" w:lineRule="exact"/>
              <w:rPr>
                <w:rFonts w:ascii="宋体" w:hAnsi="宋体" w:cs="宋体"/>
                <w:bCs/>
                <w:sz w:val="21"/>
                <w:szCs w:val="21"/>
                <w:highlight w:val="none"/>
              </w:rPr>
            </w:pPr>
            <w:r>
              <w:rPr>
                <w:rFonts w:hint="eastAsia" w:ascii="宋体" w:hAnsi="宋体" w:cs="宋体"/>
                <w:bCs/>
                <w:sz w:val="21"/>
                <w:szCs w:val="21"/>
                <w:highlight w:val="none"/>
              </w:rPr>
              <w:t>（二）价格扣除办法：对于非专门面向中小企业的项目，对小型和微型企业（或联合体各方均为小型、微型企业的）产品的价格给予10%的扣除，用扣除后的价格参与价格分的评审。</w:t>
            </w:r>
          </w:p>
          <w:p w14:paraId="20A78DE7">
            <w:pPr>
              <w:adjustRightInd w:val="0"/>
              <w:snapToGrid w:val="0"/>
              <w:spacing w:line="400" w:lineRule="exact"/>
              <w:rPr>
                <w:rFonts w:hint="eastAsia" w:ascii="宋体" w:hAnsi="宋体" w:cs="宋体"/>
                <w:bCs/>
                <w:sz w:val="21"/>
                <w:szCs w:val="21"/>
                <w:highlight w:val="none"/>
              </w:rPr>
            </w:pPr>
            <w:r>
              <w:rPr>
                <w:rFonts w:hint="eastAsia" w:ascii="宋体" w:hAnsi="宋体" w:cs="宋体"/>
                <w:bCs/>
                <w:sz w:val="21"/>
                <w:szCs w:val="21"/>
                <w:highlight w:val="none"/>
              </w:rPr>
              <w:t>（三）小型和微型企业适用价格扣除办法时应提供的相关资料：《中小企业声明函》。</w:t>
            </w:r>
          </w:p>
          <w:p w14:paraId="53F42B32">
            <w:pPr>
              <w:adjustRightInd w:val="0"/>
              <w:snapToGrid w:val="0"/>
              <w:spacing w:line="400" w:lineRule="exact"/>
              <w:rPr>
                <w:rFonts w:hint="default" w:ascii="宋体" w:hAnsi="宋体" w:eastAsia="宋体"/>
                <w:color w:val="auto"/>
                <w:szCs w:val="21"/>
                <w:highlight w:val="none"/>
                <w:lang w:val="en-US" w:eastAsia="zh-CN"/>
              </w:rPr>
            </w:pPr>
            <w:r>
              <w:rPr>
                <w:rFonts w:hint="eastAsia" w:ascii="宋体" w:hAnsi="宋体" w:eastAsia="宋体" w:cs="宋体"/>
                <w:bCs/>
                <w:sz w:val="21"/>
                <w:szCs w:val="21"/>
                <w:highlight w:val="none"/>
                <w:lang w:eastAsia="zh-CN"/>
              </w:rPr>
              <w:t>本项目所属行业：其他未列明行业</w:t>
            </w:r>
          </w:p>
        </w:tc>
      </w:tr>
      <w:tr w14:paraId="7DF54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224" w:type="dxa"/>
            <w:vMerge w:val="continue"/>
            <w:vAlign w:val="center"/>
          </w:tcPr>
          <w:p w14:paraId="4FA9C200">
            <w:pPr>
              <w:adjustRightInd w:val="0"/>
              <w:snapToGrid w:val="0"/>
              <w:spacing w:line="400" w:lineRule="exact"/>
              <w:jc w:val="center"/>
              <w:rPr>
                <w:rFonts w:ascii="宋体" w:hAnsi="宋体"/>
                <w:color w:val="auto"/>
                <w:szCs w:val="21"/>
                <w:highlight w:val="none"/>
              </w:rPr>
            </w:pPr>
          </w:p>
        </w:tc>
        <w:tc>
          <w:tcPr>
            <w:tcW w:w="1701" w:type="dxa"/>
            <w:vAlign w:val="center"/>
          </w:tcPr>
          <w:p w14:paraId="163CF6A8">
            <w:pPr>
              <w:adjustRightInd w:val="0"/>
              <w:snapToGrid w:val="0"/>
              <w:spacing w:line="400" w:lineRule="exact"/>
              <w:rPr>
                <w:rFonts w:ascii="宋体" w:hAnsi="宋体"/>
                <w:color w:val="auto"/>
                <w:szCs w:val="21"/>
                <w:highlight w:val="none"/>
              </w:rPr>
            </w:pPr>
            <w:r>
              <w:rPr>
                <w:rFonts w:ascii="宋体" w:hAnsi="宋体"/>
                <w:bCs/>
                <w:color w:val="auto"/>
                <w:kern w:val="0"/>
                <w:szCs w:val="21"/>
                <w:highlight w:val="none"/>
              </w:rPr>
              <w:t>政府采购支持中小企业融资</w:t>
            </w:r>
          </w:p>
        </w:tc>
        <w:tc>
          <w:tcPr>
            <w:tcW w:w="4864" w:type="dxa"/>
            <w:vMerge w:val="restart"/>
            <w:vAlign w:val="center"/>
          </w:tcPr>
          <w:p w14:paraId="54D28574">
            <w:pPr>
              <w:adjustRightInd w:val="0"/>
              <w:snapToGrid w:val="0"/>
              <w:spacing w:line="400" w:lineRule="exact"/>
              <w:rPr>
                <w:rFonts w:hint="eastAsia" w:ascii="宋体" w:hAnsi="宋体" w:eastAsia="宋体"/>
                <w:color w:val="auto"/>
                <w:szCs w:val="21"/>
                <w:highlight w:val="none"/>
                <w:lang w:eastAsia="zh-CN"/>
              </w:rPr>
            </w:pPr>
            <w:r>
              <w:rPr>
                <w:rFonts w:ascii="宋体" w:hAnsi="宋体"/>
                <w:szCs w:val="21"/>
                <w:highlight w:val="none"/>
              </w:rPr>
              <w:t>中小企业在融资、</w:t>
            </w:r>
            <w:r>
              <w:rPr>
                <w:rFonts w:hint="eastAsia" w:ascii="宋体" w:hAnsi="宋体"/>
                <w:szCs w:val="21"/>
                <w:highlight w:val="none"/>
              </w:rPr>
              <w:t>保证金</w:t>
            </w:r>
            <w:r>
              <w:rPr>
                <w:rFonts w:ascii="宋体" w:hAnsi="宋体"/>
                <w:szCs w:val="21"/>
                <w:highlight w:val="none"/>
              </w:rPr>
              <w:t>、履约保证等方面有需求的，可查询当地政府采购管理部门相关政策，通过专业化的担保途径解决。</w:t>
            </w:r>
          </w:p>
        </w:tc>
      </w:tr>
      <w:tr w14:paraId="11288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Merge w:val="continue"/>
            <w:vAlign w:val="center"/>
          </w:tcPr>
          <w:p w14:paraId="60CB2BD1">
            <w:pPr>
              <w:adjustRightInd w:val="0"/>
              <w:snapToGrid w:val="0"/>
              <w:spacing w:line="400" w:lineRule="exact"/>
              <w:jc w:val="center"/>
              <w:rPr>
                <w:rFonts w:ascii="宋体" w:hAnsi="宋体"/>
                <w:color w:val="auto"/>
                <w:szCs w:val="21"/>
                <w:highlight w:val="none"/>
              </w:rPr>
            </w:pPr>
          </w:p>
        </w:tc>
        <w:tc>
          <w:tcPr>
            <w:tcW w:w="1701" w:type="dxa"/>
            <w:vAlign w:val="center"/>
          </w:tcPr>
          <w:p w14:paraId="0940C63E">
            <w:pPr>
              <w:adjustRightInd w:val="0"/>
              <w:snapToGrid w:val="0"/>
              <w:spacing w:line="400" w:lineRule="exact"/>
              <w:rPr>
                <w:rFonts w:ascii="宋体" w:hAnsi="宋体"/>
                <w:color w:val="auto"/>
                <w:szCs w:val="21"/>
                <w:highlight w:val="none"/>
              </w:rPr>
            </w:pPr>
            <w:r>
              <w:rPr>
                <w:rFonts w:ascii="宋体" w:hAnsi="宋体"/>
                <w:bCs/>
                <w:color w:val="auto"/>
                <w:kern w:val="0"/>
                <w:szCs w:val="21"/>
                <w:highlight w:val="none"/>
              </w:rPr>
              <w:t>政府采购信用担保</w:t>
            </w:r>
          </w:p>
        </w:tc>
        <w:tc>
          <w:tcPr>
            <w:tcW w:w="4864" w:type="dxa"/>
            <w:vMerge w:val="continue"/>
            <w:vAlign w:val="center"/>
          </w:tcPr>
          <w:p w14:paraId="1E718EBF">
            <w:pPr>
              <w:adjustRightInd w:val="0"/>
              <w:snapToGrid w:val="0"/>
              <w:spacing w:line="400" w:lineRule="exact"/>
              <w:rPr>
                <w:rFonts w:ascii="宋体" w:hAnsi="宋体"/>
                <w:color w:val="auto"/>
                <w:szCs w:val="21"/>
                <w:highlight w:val="none"/>
              </w:rPr>
            </w:pPr>
          </w:p>
        </w:tc>
      </w:tr>
      <w:tr w14:paraId="23A3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5" w:type="dxa"/>
            <w:gridSpan w:val="2"/>
            <w:vAlign w:val="center"/>
          </w:tcPr>
          <w:p w14:paraId="471AE54C">
            <w:pPr>
              <w:adjustRightInd w:val="0"/>
              <w:snapToGrid w:val="0"/>
              <w:spacing w:line="400" w:lineRule="exact"/>
              <w:jc w:val="center"/>
              <w:rPr>
                <w:rFonts w:ascii="宋体" w:hAnsi="宋体"/>
                <w:bCs/>
                <w:color w:val="auto"/>
                <w:kern w:val="0"/>
                <w:szCs w:val="21"/>
                <w:highlight w:val="none"/>
              </w:rPr>
            </w:pPr>
            <w:r>
              <w:rPr>
                <w:rFonts w:hint="eastAsia" w:ascii="宋体" w:hAnsi="宋体"/>
                <w:bCs/>
                <w:color w:val="auto"/>
                <w:kern w:val="0"/>
                <w:szCs w:val="21"/>
                <w:highlight w:val="none"/>
              </w:rPr>
              <w:t>付款方式</w:t>
            </w:r>
          </w:p>
        </w:tc>
        <w:tc>
          <w:tcPr>
            <w:tcW w:w="4864" w:type="dxa"/>
            <w:vAlign w:val="center"/>
          </w:tcPr>
          <w:p w14:paraId="0550162D">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根据合同支付</w:t>
            </w:r>
          </w:p>
        </w:tc>
      </w:tr>
      <w:tr w14:paraId="21B94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8789" w:type="dxa"/>
            <w:gridSpan w:val="3"/>
            <w:vAlign w:val="center"/>
          </w:tcPr>
          <w:p w14:paraId="18494FBF">
            <w:pPr>
              <w:adjustRightInd w:val="0"/>
              <w:snapToGrid w:val="0"/>
              <w:spacing w:line="400" w:lineRule="exact"/>
              <w:rPr>
                <w:rFonts w:ascii="宋体" w:hAnsi="宋体"/>
                <w:b/>
                <w:color w:val="auto"/>
                <w:szCs w:val="21"/>
                <w:highlight w:val="none"/>
              </w:rPr>
            </w:pPr>
            <w:r>
              <w:rPr>
                <w:rFonts w:hint="eastAsia" w:ascii="宋体" w:hAnsi="宋体"/>
                <w:b/>
                <w:color w:val="auto"/>
                <w:szCs w:val="21"/>
                <w:highlight w:val="none"/>
              </w:rPr>
              <w:t>二、公开招标文件</w:t>
            </w:r>
          </w:p>
        </w:tc>
      </w:tr>
      <w:tr w14:paraId="2C09D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316E2F70">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第二章第10.3款</w:t>
            </w:r>
          </w:p>
        </w:tc>
        <w:tc>
          <w:tcPr>
            <w:tcW w:w="1701" w:type="dxa"/>
            <w:vAlign w:val="center"/>
          </w:tcPr>
          <w:p w14:paraId="79D1E057">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采购文件的可能实质性变动内容</w:t>
            </w:r>
          </w:p>
        </w:tc>
        <w:tc>
          <w:tcPr>
            <w:tcW w:w="4864" w:type="dxa"/>
            <w:vAlign w:val="center"/>
          </w:tcPr>
          <w:p w14:paraId="2332D39C">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技术、服务要求以及合同草案条款</w:t>
            </w:r>
          </w:p>
        </w:tc>
      </w:tr>
      <w:tr w14:paraId="49ED4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24615AFA">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第二章第11.1款</w:t>
            </w:r>
          </w:p>
        </w:tc>
        <w:tc>
          <w:tcPr>
            <w:tcW w:w="1701" w:type="dxa"/>
            <w:vAlign w:val="center"/>
          </w:tcPr>
          <w:p w14:paraId="7247664C">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提交投标文件截止时间</w:t>
            </w:r>
          </w:p>
        </w:tc>
        <w:tc>
          <w:tcPr>
            <w:tcW w:w="4864" w:type="dxa"/>
            <w:vAlign w:val="center"/>
          </w:tcPr>
          <w:p w14:paraId="3C7FDB0B">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ascii="宋体" w:hAnsi="宋体"/>
                <w:color w:val="auto"/>
                <w:szCs w:val="21"/>
                <w:highlight w:val="none"/>
              </w:rPr>
              <w:t>0</w:t>
            </w:r>
            <w:r>
              <w:rPr>
                <w:rFonts w:hint="eastAsia" w:ascii="宋体" w:hAnsi="宋体"/>
                <w:color w:val="auto"/>
                <w:szCs w:val="21"/>
                <w:highlight w:val="none"/>
                <w:lang w:val="en-US" w:eastAsia="zh-CN"/>
              </w:rPr>
              <w:t>7</w:t>
            </w:r>
            <w:r>
              <w:rPr>
                <w:rFonts w:hint="eastAsia" w:ascii="宋体" w:hAnsi="宋体"/>
                <w:color w:val="auto"/>
                <w:szCs w:val="21"/>
                <w:highlight w:val="none"/>
              </w:rPr>
              <w:t>月</w:t>
            </w:r>
            <w:r>
              <w:rPr>
                <w:rFonts w:hint="eastAsia" w:ascii="宋体" w:hAnsi="宋体"/>
                <w:color w:val="auto"/>
                <w:szCs w:val="21"/>
                <w:highlight w:val="none"/>
                <w:lang w:val="en-US" w:eastAsia="zh-CN"/>
              </w:rPr>
              <w:t>10</w:t>
            </w:r>
            <w:r>
              <w:rPr>
                <w:rFonts w:hint="eastAsia" w:ascii="宋体" w:hAnsi="宋体"/>
                <w:color w:val="auto"/>
                <w:szCs w:val="21"/>
                <w:highlight w:val="none"/>
              </w:rPr>
              <w:t>日 1</w:t>
            </w:r>
            <w:r>
              <w:rPr>
                <w:rFonts w:ascii="宋体" w:hAnsi="宋体"/>
                <w:color w:val="auto"/>
                <w:szCs w:val="21"/>
                <w:highlight w:val="none"/>
              </w:rPr>
              <w:t>1</w:t>
            </w:r>
            <w:r>
              <w:rPr>
                <w:rFonts w:hint="eastAsia" w:ascii="宋体" w:hAnsi="宋体"/>
                <w:color w:val="auto"/>
                <w:szCs w:val="21"/>
                <w:highlight w:val="none"/>
              </w:rPr>
              <w:t>:00整</w:t>
            </w:r>
          </w:p>
        </w:tc>
      </w:tr>
      <w:tr w14:paraId="1C290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789" w:type="dxa"/>
            <w:gridSpan w:val="3"/>
            <w:vAlign w:val="center"/>
          </w:tcPr>
          <w:p w14:paraId="68FCC458">
            <w:pPr>
              <w:adjustRightInd w:val="0"/>
              <w:snapToGrid w:val="0"/>
              <w:spacing w:line="400" w:lineRule="exact"/>
              <w:rPr>
                <w:rFonts w:ascii="宋体" w:hAnsi="宋体"/>
                <w:color w:val="auto"/>
                <w:szCs w:val="21"/>
                <w:highlight w:val="none"/>
              </w:rPr>
            </w:pPr>
            <w:r>
              <w:rPr>
                <w:rFonts w:hint="eastAsia" w:ascii="宋体" w:hAnsi="宋体"/>
                <w:b/>
                <w:color w:val="auto"/>
                <w:szCs w:val="21"/>
                <w:highlight w:val="none"/>
              </w:rPr>
              <w:t>三、投标文件的编写</w:t>
            </w:r>
          </w:p>
        </w:tc>
      </w:tr>
      <w:tr w14:paraId="4D8EA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224" w:type="dxa"/>
            <w:vAlign w:val="center"/>
          </w:tcPr>
          <w:p w14:paraId="10D13BB1">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第二章第15.5款</w:t>
            </w:r>
          </w:p>
        </w:tc>
        <w:tc>
          <w:tcPr>
            <w:tcW w:w="1701" w:type="dxa"/>
            <w:vAlign w:val="center"/>
          </w:tcPr>
          <w:p w14:paraId="1B9B81B0">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预算资金</w:t>
            </w:r>
          </w:p>
        </w:tc>
        <w:tc>
          <w:tcPr>
            <w:tcW w:w="4864" w:type="dxa"/>
            <w:vAlign w:val="center"/>
          </w:tcPr>
          <w:p w14:paraId="01858105">
            <w:pPr>
              <w:adjustRightInd w:val="0"/>
              <w:snapToGrid w:val="0"/>
              <w:spacing w:line="340" w:lineRule="exact"/>
              <w:jc w:val="left"/>
              <w:rPr>
                <w:rFonts w:hint="default" w:ascii="宋体" w:hAnsi="宋体"/>
                <w:bCs/>
                <w:color w:val="auto"/>
                <w:szCs w:val="21"/>
                <w:highlight w:val="none"/>
                <w:lang w:val="en-US" w:eastAsia="zh-CN"/>
              </w:rPr>
            </w:pPr>
            <w:r>
              <w:rPr>
                <w:rFonts w:hint="eastAsia" w:ascii="宋体" w:hAnsi="宋体"/>
                <w:bCs/>
                <w:color w:val="auto"/>
                <w:szCs w:val="21"/>
                <w:highlight w:val="none"/>
                <w:lang w:val="en-US" w:eastAsia="zh-CN"/>
              </w:rPr>
              <w:t>总预算：</w:t>
            </w:r>
            <w:r>
              <w:rPr>
                <w:rFonts w:hint="eastAsia" w:ascii="宋体" w:hAnsi="宋体" w:cs="Times New Roman"/>
                <w:bCs/>
                <w:color w:val="auto"/>
                <w:szCs w:val="21"/>
                <w:highlight w:val="none"/>
                <w:lang w:val="en-US" w:eastAsia="zh-CN"/>
              </w:rPr>
              <w:t>4700000</w:t>
            </w:r>
            <w:r>
              <w:rPr>
                <w:rFonts w:hint="eastAsia" w:ascii="宋体" w:hAnsi="宋体" w:eastAsia="宋体" w:cs="Times New Roman"/>
                <w:bCs/>
                <w:color w:val="auto"/>
                <w:szCs w:val="21"/>
                <w:highlight w:val="none"/>
                <w:lang w:val="en-US" w:eastAsia="zh-CN"/>
              </w:rPr>
              <w:t>.00元</w:t>
            </w:r>
          </w:p>
          <w:p w14:paraId="4109B8A0">
            <w:pPr>
              <w:adjustRightInd w:val="0"/>
              <w:snapToGrid w:val="0"/>
              <w:spacing w:line="340" w:lineRule="exact"/>
              <w:jc w:val="left"/>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标项一：2100000.00元</w:t>
            </w:r>
          </w:p>
          <w:p w14:paraId="0880F200">
            <w:pPr>
              <w:adjustRightInd w:val="0"/>
              <w:snapToGrid w:val="0"/>
              <w:spacing w:line="340" w:lineRule="exact"/>
              <w:jc w:val="left"/>
              <w:rPr>
                <w:rFonts w:hint="default" w:ascii="宋体" w:hAnsi="宋体"/>
                <w:bCs/>
                <w:color w:val="auto"/>
                <w:szCs w:val="21"/>
                <w:highlight w:val="none"/>
                <w:lang w:val="en-US" w:eastAsia="zh-CN"/>
              </w:rPr>
            </w:pPr>
            <w:r>
              <w:rPr>
                <w:rFonts w:hint="eastAsia" w:ascii="宋体" w:hAnsi="宋体"/>
                <w:bCs/>
                <w:color w:val="auto"/>
                <w:szCs w:val="21"/>
                <w:highlight w:val="none"/>
                <w:lang w:val="en-US" w:eastAsia="zh-CN"/>
              </w:rPr>
              <w:t>标项二：2600000.00元</w:t>
            </w:r>
          </w:p>
        </w:tc>
      </w:tr>
      <w:tr w14:paraId="3A5FD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24" w:type="dxa"/>
            <w:vAlign w:val="center"/>
          </w:tcPr>
          <w:p w14:paraId="4B3198CA">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第二章第16.1.4款</w:t>
            </w:r>
          </w:p>
        </w:tc>
        <w:tc>
          <w:tcPr>
            <w:tcW w:w="1701" w:type="dxa"/>
            <w:vAlign w:val="center"/>
          </w:tcPr>
          <w:p w14:paraId="4F850C2A">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业绩</w:t>
            </w:r>
          </w:p>
        </w:tc>
        <w:tc>
          <w:tcPr>
            <w:tcW w:w="4864" w:type="dxa"/>
            <w:vAlign w:val="center"/>
          </w:tcPr>
          <w:p w14:paraId="6266A8F7">
            <w:pPr>
              <w:adjustRightInd w:val="0"/>
              <w:snapToGrid w:val="0"/>
              <w:spacing w:line="400" w:lineRule="exact"/>
              <w:jc w:val="left"/>
              <w:rPr>
                <w:rFonts w:ascii="宋体" w:hAnsi="宋体"/>
                <w:bCs/>
                <w:color w:val="auto"/>
                <w:szCs w:val="21"/>
                <w:highlight w:val="none"/>
              </w:rPr>
            </w:pPr>
            <w:r>
              <w:rPr>
                <w:rFonts w:hint="eastAsia" w:ascii="宋体" w:hAnsi="宋体"/>
                <w:bCs/>
                <w:color w:val="auto"/>
                <w:szCs w:val="21"/>
                <w:highlight w:val="none"/>
              </w:rPr>
              <w:t>提供202</w:t>
            </w:r>
            <w:r>
              <w:rPr>
                <w:rFonts w:hint="eastAsia" w:ascii="宋体" w:hAnsi="宋体"/>
                <w:bCs/>
                <w:color w:val="auto"/>
                <w:szCs w:val="21"/>
                <w:highlight w:val="none"/>
                <w:lang w:val="en-US" w:eastAsia="zh-CN"/>
              </w:rPr>
              <w:t>2</w:t>
            </w:r>
            <w:r>
              <w:rPr>
                <w:rFonts w:hint="eastAsia" w:ascii="宋体" w:hAnsi="宋体"/>
                <w:bCs/>
                <w:color w:val="auto"/>
                <w:szCs w:val="21"/>
                <w:highlight w:val="none"/>
              </w:rPr>
              <w:t>年</w:t>
            </w:r>
            <w:r>
              <w:rPr>
                <w:rFonts w:hint="eastAsia" w:ascii="宋体" w:hAnsi="宋体"/>
                <w:bCs/>
                <w:color w:val="auto"/>
                <w:szCs w:val="21"/>
                <w:highlight w:val="none"/>
                <w:lang w:val="en-US" w:eastAsia="zh-CN"/>
              </w:rPr>
              <w:t>5</w:t>
            </w:r>
            <w:r>
              <w:rPr>
                <w:rFonts w:hint="eastAsia" w:ascii="宋体" w:hAnsi="宋体"/>
                <w:bCs/>
                <w:color w:val="auto"/>
                <w:szCs w:val="21"/>
                <w:highlight w:val="none"/>
              </w:rPr>
              <w:t>月以来独立承担类似项目的相关业绩，需提供中标（成交）通知书</w:t>
            </w:r>
            <w:r>
              <w:rPr>
                <w:rFonts w:hint="eastAsia" w:ascii="宋体" w:hAnsi="宋体"/>
                <w:bCs/>
                <w:color w:val="auto"/>
                <w:szCs w:val="21"/>
                <w:highlight w:val="none"/>
                <w:lang w:val="en-US" w:eastAsia="zh-CN"/>
              </w:rPr>
              <w:t>或</w:t>
            </w:r>
            <w:r>
              <w:rPr>
                <w:rFonts w:hint="eastAsia" w:ascii="宋体" w:hAnsi="宋体"/>
                <w:bCs/>
                <w:color w:val="auto"/>
                <w:szCs w:val="21"/>
                <w:highlight w:val="none"/>
              </w:rPr>
              <w:t>合同。</w:t>
            </w:r>
          </w:p>
          <w:p w14:paraId="0322C5A8">
            <w:pPr>
              <w:adjustRightInd w:val="0"/>
              <w:snapToGrid w:val="0"/>
              <w:spacing w:line="400" w:lineRule="exact"/>
              <w:jc w:val="left"/>
              <w:rPr>
                <w:rFonts w:ascii="宋体" w:hAnsi="宋体"/>
                <w:bCs/>
                <w:color w:val="auto"/>
                <w:szCs w:val="21"/>
                <w:highlight w:val="none"/>
              </w:rPr>
            </w:pPr>
            <w:r>
              <w:rPr>
                <w:rFonts w:hint="eastAsia" w:ascii="宋体" w:hAnsi="宋体"/>
                <w:bCs/>
                <w:color w:val="auto"/>
                <w:szCs w:val="21"/>
                <w:highlight w:val="none"/>
              </w:rPr>
              <w:t>注：业绩证明材料为：合同协议书</w:t>
            </w:r>
            <w:r>
              <w:rPr>
                <w:rFonts w:hint="eastAsia" w:ascii="宋体" w:hAnsi="宋体"/>
                <w:bCs/>
                <w:color w:val="auto"/>
                <w:szCs w:val="21"/>
                <w:highlight w:val="none"/>
                <w:lang w:val="en-US" w:eastAsia="zh-CN"/>
              </w:rPr>
              <w:t>或</w:t>
            </w:r>
            <w:r>
              <w:rPr>
                <w:rFonts w:hint="eastAsia" w:ascii="宋体" w:hAnsi="宋体"/>
                <w:bCs/>
                <w:color w:val="auto"/>
                <w:szCs w:val="21"/>
                <w:highlight w:val="none"/>
              </w:rPr>
              <w:t>成交通知书等相关证明。合同需提供包含合同首页、标的内容及金额所在页、合同签字盖章页等关键页即可，需加盖公章。</w:t>
            </w:r>
          </w:p>
          <w:p w14:paraId="6D87DF66">
            <w:pPr>
              <w:adjustRightInd w:val="0"/>
              <w:snapToGrid w:val="0"/>
              <w:spacing w:line="400" w:lineRule="exact"/>
              <w:jc w:val="left"/>
              <w:rPr>
                <w:rFonts w:ascii="宋体" w:hAnsi="宋体"/>
                <w:color w:val="auto"/>
                <w:szCs w:val="21"/>
                <w:highlight w:val="none"/>
              </w:rPr>
            </w:pPr>
            <w:r>
              <w:rPr>
                <w:rFonts w:hint="eastAsia" w:ascii="宋体" w:hAnsi="宋体"/>
                <w:bCs/>
                <w:color w:val="auto"/>
                <w:szCs w:val="21"/>
                <w:highlight w:val="none"/>
              </w:rPr>
              <w:t>未提供业绩证明材料(或证明材料不齐全的或内容模糊不清的)，其业绩不予认定。</w:t>
            </w:r>
          </w:p>
        </w:tc>
      </w:tr>
      <w:tr w14:paraId="7BF56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24" w:type="dxa"/>
            <w:vMerge w:val="restart"/>
            <w:vAlign w:val="center"/>
          </w:tcPr>
          <w:p w14:paraId="2DA5F4A4">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第二章第17.1款</w:t>
            </w:r>
          </w:p>
        </w:tc>
        <w:tc>
          <w:tcPr>
            <w:tcW w:w="1701" w:type="dxa"/>
            <w:vMerge w:val="restart"/>
            <w:vAlign w:val="center"/>
          </w:tcPr>
          <w:p w14:paraId="1137B237">
            <w:pPr>
              <w:adjustRightInd w:val="0"/>
              <w:snapToGrid w:val="0"/>
              <w:spacing w:line="400" w:lineRule="exact"/>
              <w:ind w:left="-533" w:leftChars="-254" w:firstLine="533" w:firstLineChars="254"/>
              <w:rPr>
                <w:rFonts w:ascii="宋体" w:hAnsi="宋体"/>
                <w:color w:val="auto"/>
                <w:szCs w:val="21"/>
                <w:highlight w:val="none"/>
              </w:rPr>
            </w:pPr>
            <w:r>
              <w:rPr>
                <w:rFonts w:hint="eastAsia" w:ascii="宋体" w:hAnsi="宋体"/>
                <w:color w:val="auto"/>
                <w:szCs w:val="21"/>
                <w:highlight w:val="none"/>
              </w:rPr>
              <w:t>投标保证金</w:t>
            </w:r>
          </w:p>
        </w:tc>
        <w:tc>
          <w:tcPr>
            <w:tcW w:w="4864" w:type="dxa"/>
            <w:vAlign w:val="center"/>
          </w:tcPr>
          <w:p w14:paraId="52F1822A">
            <w:pPr>
              <w:numPr>
                <w:ilvl w:val="0"/>
                <w:numId w:val="1"/>
              </w:numPr>
              <w:adjustRightInd w:val="0"/>
              <w:snapToGrid w:val="0"/>
              <w:spacing w:line="400" w:lineRule="exact"/>
              <w:rPr>
                <w:rFonts w:hint="eastAsia" w:ascii="宋体" w:hAnsi="宋体"/>
                <w:bCs/>
                <w:color w:val="auto"/>
                <w:szCs w:val="21"/>
                <w:highlight w:val="none"/>
              </w:rPr>
            </w:pPr>
            <w:r>
              <w:rPr>
                <w:rFonts w:hint="eastAsia" w:ascii="宋体" w:hAnsi="宋体"/>
                <w:bCs/>
                <w:color w:val="auto"/>
                <w:szCs w:val="21"/>
                <w:highlight w:val="none"/>
              </w:rPr>
              <w:t>金额：</w:t>
            </w:r>
          </w:p>
          <w:p w14:paraId="407C4471">
            <w:pPr>
              <w:adjustRightInd w:val="0"/>
              <w:snapToGrid w:val="0"/>
              <w:spacing w:line="340" w:lineRule="exact"/>
              <w:jc w:val="left"/>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标项一：40000.00元</w:t>
            </w:r>
          </w:p>
          <w:p w14:paraId="20542302">
            <w:pPr>
              <w:numPr>
                <w:ilvl w:val="0"/>
                <w:numId w:val="0"/>
              </w:numPr>
              <w:adjustRightInd w:val="0"/>
              <w:snapToGrid w:val="0"/>
              <w:spacing w:line="400" w:lineRule="exact"/>
              <w:rPr>
                <w:rFonts w:hint="default" w:eastAsia="宋体"/>
                <w:color w:val="auto"/>
                <w:highlight w:val="none"/>
                <w:lang w:val="en-US" w:eastAsia="zh-CN"/>
              </w:rPr>
            </w:pPr>
            <w:r>
              <w:rPr>
                <w:rFonts w:hint="eastAsia" w:ascii="宋体" w:hAnsi="宋体"/>
                <w:bCs/>
                <w:color w:val="auto"/>
                <w:szCs w:val="21"/>
                <w:highlight w:val="none"/>
                <w:lang w:val="en-US" w:eastAsia="zh-CN"/>
              </w:rPr>
              <w:t>标项二：50000.00元</w:t>
            </w:r>
          </w:p>
        </w:tc>
      </w:tr>
      <w:tr w14:paraId="45BB2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224" w:type="dxa"/>
            <w:vMerge w:val="continue"/>
            <w:vAlign w:val="center"/>
          </w:tcPr>
          <w:p w14:paraId="5D4F2670">
            <w:pPr>
              <w:adjustRightInd w:val="0"/>
              <w:snapToGrid w:val="0"/>
              <w:spacing w:line="400" w:lineRule="exact"/>
              <w:jc w:val="center"/>
              <w:rPr>
                <w:rFonts w:ascii="宋体" w:hAnsi="宋体"/>
                <w:color w:val="auto"/>
                <w:szCs w:val="21"/>
                <w:highlight w:val="none"/>
              </w:rPr>
            </w:pPr>
          </w:p>
        </w:tc>
        <w:tc>
          <w:tcPr>
            <w:tcW w:w="1701" w:type="dxa"/>
            <w:vMerge w:val="continue"/>
            <w:vAlign w:val="center"/>
          </w:tcPr>
          <w:p w14:paraId="57686E0A">
            <w:pPr>
              <w:adjustRightInd w:val="0"/>
              <w:snapToGrid w:val="0"/>
              <w:spacing w:line="400" w:lineRule="exact"/>
              <w:ind w:left="-533" w:leftChars="-254" w:firstLine="533" w:firstLineChars="254"/>
              <w:rPr>
                <w:rFonts w:ascii="宋体" w:hAnsi="宋体"/>
                <w:color w:val="auto"/>
                <w:szCs w:val="21"/>
                <w:highlight w:val="none"/>
              </w:rPr>
            </w:pPr>
          </w:p>
        </w:tc>
        <w:tc>
          <w:tcPr>
            <w:tcW w:w="4864" w:type="dxa"/>
            <w:vAlign w:val="center"/>
          </w:tcPr>
          <w:p w14:paraId="01416B39">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2、形式：支票、汇票、保函、单位账户网银转账等非现金形式；</w:t>
            </w:r>
          </w:p>
          <w:p w14:paraId="12D39A15">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3、递交时间：在投标截止时间前递交（以到账时间为准）；</w:t>
            </w:r>
          </w:p>
          <w:p w14:paraId="26E042D0">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4、投标人递交的投标保证金到帐后，至代理机构处领取投标保证金收据（如需）：</w:t>
            </w:r>
          </w:p>
          <w:p w14:paraId="24F15F4D">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5、账户信息：</w:t>
            </w:r>
          </w:p>
          <w:p w14:paraId="6ED50253">
            <w:pPr>
              <w:adjustRightInd w:val="0"/>
              <w:snapToGrid w:val="0"/>
              <w:spacing w:line="400" w:lineRule="exact"/>
              <w:rPr>
                <w:rFonts w:hint="default" w:ascii="宋体" w:hAnsi="宋体" w:eastAsia="宋体"/>
                <w:bCs/>
                <w:color w:val="auto"/>
                <w:szCs w:val="21"/>
                <w:highlight w:val="none"/>
                <w:lang w:val="en-US" w:eastAsia="zh-CN"/>
              </w:rPr>
            </w:pPr>
            <w:r>
              <w:rPr>
                <w:rFonts w:hint="eastAsia" w:ascii="宋体" w:hAnsi="宋体"/>
                <w:bCs/>
                <w:color w:val="auto"/>
                <w:szCs w:val="21"/>
                <w:highlight w:val="none"/>
              </w:rPr>
              <w:t>单位名称：</w:t>
            </w:r>
            <w:r>
              <w:rPr>
                <w:rFonts w:hint="eastAsia" w:ascii="宋体" w:hAnsi="宋体"/>
                <w:bCs/>
                <w:color w:val="auto"/>
                <w:szCs w:val="21"/>
                <w:highlight w:val="none"/>
                <w:lang w:eastAsia="zh-CN"/>
              </w:rPr>
              <w:t>中益招标有限公司</w:t>
            </w:r>
            <w:r>
              <w:rPr>
                <w:rFonts w:hint="eastAsia" w:ascii="宋体" w:hAnsi="宋体"/>
                <w:bCs/>
                <w:color w:val="auto"/>
                <w:szCs w:val="21"/>
                <w:highlight w:val="none"/>
                <w:lang w:val="en-US" w:eastAsia="zh-CN"/>
              </w:rPr>
              <w:t>新疆分公司</w:t>
            </w:r>
          </w:p>
          <w:p w14:paraId="2DDFEEAB">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开户行：招商银行股份有限公司乌鲁木齐南湖东路支行</w:t>
            </w:r>
          </w:p>
          <w:p w14:paraId="1C7D1825">
            <w:pPr>
              <w:adjustRightInd w:val="0"/>
              <w:snapToGrid w:val="0"/>
              <w:spacing w:line="360" w:lineRule="auto"/>
              <w:jc w:val="left"/>
              <w:rPr>
                <w:rFonts w:ascii="宋体" w:hAnsi="宋体"/>
                <w:bCs/>
                <w:color w:val="auto"/>
                <w:szCs w:val="21"/>
                <w:highlight w:val="none"/>
              </w:rPr>
            </w:pPr>
            <w:r>
              <w:rPr>
                <w:rFonts w:hint="eastAsia" w:ascii="宋体" w:hAnsi="宋体"/>
                <w:bCs/>
                <w:color w:val="auto"/>
                <w:szCs w:val="21"/>
                <w:highlight w:val="none"/>
              </w:rPr>
              <w:t>帐 号：991905768210301</w:t>
            </w:r>
          </w:p>
          <w:p w14:paraId="6AB28FCF">
            <w:pPr>
              <w:adjustRightInd w:val="0"/>
              <w:snapToGrid w:val="0"/>
              <w:spacing w:line="360" w:lineRule="auto"/>
              <w:jc w:val="left"/>
              <w:rPr>
                <w:rFonts w:ascii="宋体" w:hAnsi="宋体"/>
                <w:b/>
                <w:bCs/>
                <w:color w:val="auto"/>
                <w:kern w:val="0"/>
                <w:sz w:val="24"/>
                <w:highlight w:val="none"/>
              </w:rPr>
            </w:pPr>
            <w:r>
              <w:rPr>
                <w:rFonts w:hint="eastAsia" w:ascii="宋体" w:hAnsi="宋体"/>
                <w:b/>
                <w:bCs/>
                <w:color w:val="auto"/>
                <w:kern w:val="0"/>
                <w:sz w:val="24"/>
                <w:highlight w:val="none"/>
              </w:rPr>
              <w:t>注：</w:t>
            </w:r>
          </w:p>
          <w:p w14:paraId="7123F034">
            <w:pPr>
              <w:adjustRightInd w:val="0"/>
              <w:snapToGrid w:val="0"/>
              <w:spacing w:line="360" w:lineRule="auto"/>
              <w:jc w:val="left"/>
              <w:rPr>
                <w:rFonts w:ascii="宋体" w:hAnsi="宋体" w:cs="宋体"/>
                <w:bCs/>
                <w:color w:val="auto"/>
                <w:szCs w:val="21"/>
                <w:highlight w:val="none"/>
              </w:rPr>
            </w:pPr>
            <w:r>
              <w:rPr>
                <w:rFonts w:hint="eastAsia" w:ascii="宋体" w:hAnsi="宋体"/>
                <w:b/>
                <w:bCs/>
                <w:color w:val="auto"/>
                <w:kern w:val="0"/>
                <w:sz w:val="24"/>
                <w:highlight w:val="none"/>
              </w:rPr>
              <w:t>用网银转账提交保证金，应当从其基本账户转入招标代理机构银行账户；未按招标要求缴纳投标保证金的，视为非实质性响应。请各投标人在缴纳保证金时注明项目名称</w:t>
            </w:r>
            <w:r>
              <w:rPr>
                <w:rFonts w:hint="eastAsia" w:ascii="宋体" w:hAnsi="宋体"/>
                <w:b/>
                <w:bCs/>
                <w:color w:val="auto"/>
                <w:kern w:val="0"/>
                <w:sz w:val="24"/>
                <w:highlight w:val="none"/>
                <w:lang w:eastAsia="zh-CN"/>
              </w:rPr>
              <w:t>、</w:t>
            </w:r>
            <w:r>
              <w:rPr>
                <w:rFonts w:hint="eastAsia" w:ascii="宋体" w:hAnsi="宋体"/>
                <w:b/>
                <w:bCs/>
                <w:color w:val="auto"/>
                <w:kern w:val="0"/>
                <w:sz w:val="24"/>
                <w:highlight w:val="none"/>
                <w:lang w:val="en-US" w:eastAsia="zh-CN"/>
              </w:rPr>
              <w:t>标项号</w:t>
            </w:r>
            <w:r>
              <w:rPr>
                <w:rFonts w:hint="eastAsia" w:ascii="宋体" w:hAnsi="宋体"/>
                <w:b/>
                <w:bCs/>
                <w:color w:val="auto"/>
                <w:kern w:val="0"/>
                <w:sz w:val="24"/>
                <w:highlight w:val="none"/>
              </w:rPr>
              <w:t>（若字数超标，可自行简写项目名称）及项目编号，如未注明，造成保证金无法查明的，责任由投标人承担。</w:t>
            </w:r>
          </w:p>
        </w:tc>
      </w:tr>
      <w:tr w14:paraId="7CFA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5A634E41">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第二章第18.1款</w:t>
            </w:r>
          </w:p>
        </w:tc>
        <w:tc>
          <w:tcPr>
            <w:tcW w:w="1701" w:type="dxa"/>
            <w:vAlign w:val="center"/>
          </w:tcPr>
          <w:p w14:paraId="32535C52">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投标文件有效期</w:t>
            </w:r>
          </w:p>
        </w:tc>
        <w:tc>
          <w:tcPr>
            <w:tcW w:w="4864" w:type="dxa"/>
            <w:vAlign w:val="center"/>
          </w:tcPr>
          <w:p w14:paraId="66C1A805">
            <w:pPr>
              <w:adjustRightInd w:val="0"/>
              <w:snapToGrid w:val="0"/>
              <w:spacing w:line="400" w:lineRule="exact"/>
              <w:rPr>
                <w:rFonts w:ascii="宋体" w:hAnsi="宋体"/>
                <w:bCs/>
                <w:color w:val="auto"/>
                <w:szCs w:val="21"/>
                <w:highlight w:val="none"/>
              </w:rPr>
            </w:pPr>
            <w:r>
              <w:rPr>
                <w:rFonts w:hint="eastAsia" w:ascii="宋体" w:hAnsi="宋体"/>
                <w:color w:val="auto"/>
                <w:szCs w:val="21"/>
                <w:highlight w:val="none"/>
                <w:u w:val="single"/>
              </w:rPr>
              <w:t>90</w:t>
            </w:r>
            <w:r>
              <w:rPr>
                <w:rFonts w:hint="eastAsia" w:ascii="宋体" w:hAnsi="宋体"/>
                <w:color w:val="auto"/>
                <w:szCs w:val="21"/>
                <w:highlight w:val="none"/>
              </w:rPr>
              <w:t>日（日历日）</w:t>
            </w:r>
          </w:p>
        </w:tc>
      </w:tr>
      <w:tr w14:paraId="779CA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224" w:type="dxa"/>
            <w:vAlign w:val="center"/>
          </w:tcPr>
          <w:p w14:paraId="050E2037">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第二章第19.1款</w:t>
            </w:r>
          </w:p>
        </w:tc>
        <w:tc>
          <w:tcPr>
            <w:tcW w:w="1701" w:type="dxa"/>
            <w:vAlign w:val="center"/>
          </w:tcPr>
          <w:p w14:paraId="22F29DB7">
            <w:pPr>
              <w:adjustRightInd w:val="0"/>
              <w:snapToGrid w:val="0"/>
              <w:spacing w:line="400" w:lineRule="exact"/>
              <w:rPr>
                <w:rFonts w:ascii="宋体" w:hAnsi="宋体"/>
                <w:color w:val="auto"/>
                <w:szCs w:val="21"/>
                <w:highlight w:val="none"/>
              </w:rPr>
            </w:pPr>
            <w:r>
              <w:rPr>
                <w:rFonts w:hint="eastAsia" w:ascii="宋体" w:hAnsi="宋体"/>
                <w:bCs/>
                <w:color w:val="auto"/>
                <w:szCs w:val="21"/>
                <w:highlight w:val="none"/>
              </w:rPr>
              <w:t>投标文件</w:t>
            </w:r>
            <w:r>
              <w:rPr>
                <w:rFonts w:hint="eastAsia" w:ascii="宋体" w:hAnsi="宋体"/>
                <w:color w:val="auto"/>
                <w:szCs w:val="21"/>
                <w:highlight w:val="none"/>
              </w:rPr>
              <w:t>份数</w:t>
            </w:r>
          </w:p>
        </w:tc>
        <w:tc>
          <w:tcPr>
            <w:tcW w:w="4864" w:type="dxa"/>
            <w:vAlign w:val="center"/>
          </w:tcPr>
          <w:p w14:paraId="16D0B5EA">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经加密的电子版文件一份</w:t>
            </w:r>
          </w:p>
        </w:tc>
      </w:tr>
      <w:tr w14:paraId="6382D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8789" w:type="dxa"/>
            <w:gridSpan w:val="3"/>
            <w:vAlign w:val="center"/>
          </w:tcPr>
          <w:p w14:paraId="18E59DD9">
            <w:pPr>
              <w:adjustRightInd w:val="0"/>
              <w:snapToGrid w:val="0"/>
              <w:spacing w:line="400" w:lineRule="exact"/>
              <w:rPr>
                <w:rFonts w:ascii="宋体" w:hAnsi="宋体"/>
                <w:b/>
                <w:bCs/>
                <w:color w:val="auto"/>
                <w:szCs w:val="21"/>
                <w:highlight w:val="none"/>
              </w:rPr>
            </w:pPr>
            <w:r>
              <w:rPr>
                <w:rFonts w:hint="eastAsia" w:ascii="宋体" w:hAnsi="宋体"/>
                <w:b/>
                <w:color w:val="auto"/>
                <w:szCs w:val="21"/>
                <w:highlight w:val="none"/>
              </w:rPr>
              <w:t>四、投标文件的递交</w:t>
            </w:r>
          </w:p>
        </w:tc>
      </w:tr>
      <w:tr w14:paraId="6B5F7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224" w:type="dxa"/>
            <w:vAlign w:val="center"/>
          </w:tcPr>
          <w:p w14:paraId="39BB1156">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第二章第20.2款</w:t>
            </w:r>
          </w:p>
        </w:tc>
        <w:tc>
          <w:tcPr>
            <w:tcW w:w="1701" w:type="dxa"/>
            <w:vAlign w:val="center"/>
          </w:tcPr>
          <w:p w14:paraId="5DB61D94">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封套上应载明的信息</w:t>
            </w:r>
          </w:p>
        </w:tc>
        <w:tc>
          <w:tcPr>
            <w:tcW w:w="4864" w:type="dxa"/>
            <w:vAlign w:val="center"/>
          </w:tcPr>
          <w:p w14:paraId="29406456">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收件人名称： </w:t>
            </w:r>
          </w:p>
          <w:p w14:paraId="79369854">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项目编号：                                         </w:t>
            </w:r>
          </w:p>
          <w:p w14:paraId="7824D61A">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项目名称：</w:t>
            </w:r>
            <w:r>
              <w:rPr>
                <w:rFonts w:ascii="宋体" w:hAnsi="宋体"/>
                <w:color w:val="auto"/>
                <w:szCs w:val="21"/>
                <w:highlight w:val="none"/>
              </w:rPr>
              <w:t xml:space="preserve"> </w:t>
            </w:r>
          </w:p>
          <w:p w14:paraId="36077FB6">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投标人名称：                 </w:t>
            </w:r>
          </w:p>
          <w:p w14:paraId="48FBD89D">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投标人地址：                 </w:t>
            </w:r>
          </w:p>
          <w:p w14:paraId="27A8039F">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联 系 人：                   </w:t>
            </w:r>
          </w:p>
          <w:p w14:paraId="47521974">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联系电话：                   </w:t>
            </w:r>
          </w:p>
          <w:p w14:paraId="4917F795">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传    真：                   </w:t>
            </w:r>
          </w:p>
          <w:p w14:paraId="7E1649E4">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在规定的开标时间 年 月 日 </w:t>
            </w:r>
            <w:r>
              <w:rPr>
                <w:rFonts w:ascii="宋体" w:hAnsi="宋体"/>
                <w:color w:val="auto"/>
                <w:szCs w:val="21"/>
                <w:highlight w:val="none"/>
              </w:rPr>
              <w:t xml:space="preserve"> </w:t>
            </w:r>
            <w:r>
              <w:rPr>
                <w:rFonts w:hint="eastAsia" w:ascii="宋体" w:hAnsi="宋体"/>
                <w:color w:val="auto"/>
                <w:szCs w:val="21"/>
                <w:highlight w:val="none"/>
              </w:rPr>
              <w:t>： 前不得启封</w:t>
            </w:r>
          </w:p>
        </w:tc>
      </w:tr>
      <w:tr w14:paraId="67FD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56851A03">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第二章第22.1款</w:t>
            </w:r>
          </w:p>
        </w:tc>
        <w:tc>
          <w:tcPr>
            <w:tcW w:w="1701" w:type="dxa"/>
            <w:vAlign w:val="center"/>
          </w:tcPr>
          <w:p w14:paraId="458079BF">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投标文件的递交地点</w:t>
            </w:r>
          </w:p>
        </w:tc>
        <w:tc>
          <w:tcPr>
            <w:tcW w:w="4864" w:type="dxa"/>
            <w:vAlign w:val="center"/>
          </w:tcPr>
          <w:p w14:paraId="38B73855">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政采云平台</w:t>
            </w:r>
          </w:p>
        </w:tc>
      </w:tr>
      <w:tr w14:paraId="27588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8789" w:type="dxa"/>
            <w:gridSpan w:val="3"/>
            <w:vAlign w:val="center"/>
          </w:tcPr>
          <w:p w14:paraId="4AFAD214">
            <w:pPr>
              <w:adjustRightInd w:val="0"/>
              <w:snapToGrid w:val="0"/>
              <w:spacing w:line="400" w:lineRule="exact"/>
              <w:rPr>
                <w:rFonts w:ascii="宋体" w:hAnsi="宋体"/>
                <w:b/>
                <w:color w:val="auto"/>
                <w:szCs w:val="21"/>
                <w:highlight w:val="none"/>
              </w:rPr>
            </w:pPr>
            <w:r>
              <w:rPr>
                <w:rFonts w:hint="eastAsia" w:ascii="宋体" w:hAnsi="宋体"/>
                <w:b/>
                <w:color w:val="auto"/>
                <w:szCs w:val="21"/>
                <w:highlight w:val="none"/>
              </w:rPr>
              <w:t>五、投标文件的评审</w:t>
            </w:r>
          </w:p>
        </w:tc>
      </w:tr>
      <w:tr w14:paraId="038A5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0370DE6E">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第二章第29.1款</w:t>
            </w:r>
          </w:p>
        </w:tc>
        <w:tc>
          <w:tcPr>
            <w:tcW w:w="1701" w:type="dxa"/>
            <w:vAlign w:val="center"/>
          </w:tcPr>
          <w:p w14:paraId="32BF1BC0">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评审办法</w:t>
            </w:r>
          </w:p>
        </w:tc>
        <w:tc>
          <w:tcPr>
            <w:tcW w:w="4864" w:type="dxa"/>
            <w:vAlign w:val="center"/>
          </w:tcPr>
          <w:p w14:paraId="7FECD308">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综合评分法</w:t>
            </w:r>
          </w:p>
        </w:tc>
      </w:tr>
      <w:tr w14:paraId="457F8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10CD63F1">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第二章第30.1款</w:t>
            </w:r>
          </w:p>
        </w:tc>
        <w:tc>
          <w:tcPr>
            <w:tcW w:w="1701" w:type="dxa"/>
            <w:vAlign w:val="center"/>
          </w:tcPr>
          <w:p w14:paraId="101F231B">
            <w:pPr>
              <w:adjustRightInd w:val="0"/>
              <w:snapToGrid w:val="0"/>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推荐的中标候选人数量</w:t>
            </w:r>
            <w:r>
              <w:rPr>
                <w:rFonts w:hint="eastAsia" w:ascii="宋体" w:hAnsi="宋体"/>
                <w:color w:val="auto"/>
                <w:szCs w:val="21"/>
                <w:highlight w:val="none"/>
                <w:lang w:eastAsia="zh-CN"/>
              </w:rPr>
              <w:t>及中标规则</w:t>
            </w:r>
          </w:p>
        </w:tc>
        <w:tc>
          <w:tcPr>
            <w:tcW w:w="4864" w:type="dxa"/>
            <w:vAlign w:val="center"/>
          </w:tcPr>
          <w:p w14:paraId="282F2011">
            <w:pPr>
              <w:adjustRightInd w:val="0"/>
              <w:snapToGrid w:val="0"/>
              <w:spacing w:line="400" w:lineRule="exact"/>
              <w:rPr>
                <w:rFonts w:hint="eastAsia" w:ascii="宋体" w:hAnsi="宋体"/>
                <w:color w:val="auto"/>
                <w:szCs w:val="21"/>
                <w:highlight w:val="none"/>
              </w:rPr>
            </w:pPr>
            <w:r>
              <w:rPr>
                <w:rFonts w:hint="eastAsia" w:ascii="宋体" w:hAnsi="宋体"/>
                <w:color w:val="auto"/>
                <w:szCs w:val="21"/>
                <w:highlight w:val="none"/>
              </w:rPr>
              <w:t>推荐的中标候选人数量</w:t>
            </w:r>
            <w:r>
              <w:rPr>
                <w:rFonts w:hint="eastAsia" w:ascii="宋体" w:hAnsi="宋体"/>
                <w:color w:val="auto"/>
                <w:szCs w:val="21"/>
                <w:highlight w:val="none"/>
                <w:lang w:eastAsia="zh-CN"/>
              </w:rPr>
              <w:t>：</w:t>
            </w:r>
            <w:r>
              <w:rPr>
                <w:rFonts w:hint="eastAsia" w:ascii="宋体" w:hAnsi="宋体"/>
                <w:color w:val="auto"/>
                <w:szCs w:val="21"/>
                <w:highlight w:val="none"/>
              </w:rPr>
              <w:t>3</w:t>
            </w:r>
          </w:p>
          <w:p w14:paraId="165F96AC">
            <w:pPr>
              <w:adjustRightInd w:val="0"/>
              <w:snapToGrid w:val="0"/>
              <w:spacing w:line="400" w:lineRule="exact"/>
              <w:rPr>
                <w:rFonts w:hint="eastAsia" w:ascii="宋体" w:hAnsi="宋体"/>
                <w:color w:val="auto"/>
                <w:szCs w:val="21"/>
                <w:highlight w:val="none"/>
                <w:lang w:eastAsia="zh-CN"/>
              </w:rPr>
            </w:pPr>
            <w:r>
              <w:rPr>
                <w:rFonts w:hint="eastAsia" w:ascii="宋体" w:hAnsi="宋体"/>
                <w:color w:val="auto"/>
                <w:szCs w:val="21"/>
                <w:highlight w:val="none"/>
                <w:lang w:eastAsia="zh-CN"/>
              </w:rPr>
              <w:t>中标规则：本项目兼投不兼中</w:t>
            </w:r>
          </w:p>
        </w:tc>
      </w:tr>
      <w:tr w14:paraId="12A0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789" w:type="dxa"/>
            <w:gridSpan w:val="3"/>
            <w:vAlign w:val="center"/>
          </w:tcPr>
          <w:p w14:paraId="129A2D47">
            <w:pPr>
              <w:adjustRightInd w:val="0"/>
              <w:snapToGrid w:val="0"/>
              <w:spacing w:line="400" w:lineRule="exact"/>
              <w:rPr>
                <w:rFonts w:ascii="宋体" w:hAnsi="宋体"/>
                <w:b/>
                <w:color w:val="auto"/>
                <w:szCs w:val="21"/>
                <w:highlight w:val="none"/>
              </w:rPr>
            </w:pPr>
            <w:r>
              <w:rPr>
                <w:rFonts w:hint="eastAsia" w:ascii="宋体" w:hAnsi="宋体"/>
                <w:b/>
                <w:color w:val="auto"/>
                <w:szCs w:val="21"/>
                <w:highlight w:val="none"/>
              </w:rPr>
              <w:t>六、中标结果信息公布与授予合同</w:t>
            </w:r>
          </w:p>
        </w:tc>
      </w:tr>
      <w:tr w14:paraId="3742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6D335372">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第二章第35.1款</w:t>
            </w:r>
          </w:p>
        </w:tc>
        <w:tc>
          <w:tcPr>
            <w:tcW w:w="1701" w:type="dxa"/>
            <w:vAlign w:val="center"/>
          </w:tcPr>
          <w:p w14:paraId="39625EBE">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财政部门指定发布媒体</w:t>
            </w:r>
          </w:p>
        </w:tc>
        <w:tc>
          <w:tcPr>
            <w:tcW w:w="4864" w:type="dxa"/>
            <w:vAlign w:val="center"/>
          </w:tcPr>
          <w:p w14:paraId="366DA250">
            <w:pPr>
              <w:adjustRightInd w:val="0"/>
              <w:snapToGrid w:val="0"/>
              <w:spacing w:line="400" w:lineRule="exact"/>
              <w:jc w:val="left"/>
              <w:rPr>
                <w:rFonts w:ascii="宋体" w:hAnsi="宋体" w:cs="宋体"/>
                <w:b/>
                <w:bCs/>
                <w:color w:val="auto"/>
                <w:kern w:val="0"/>
                <w:szCs w:val="21"/>
                <w:highlight w:val="none"/>
              </w:rPr>
            </w:pPr>
            <w:r>
              <w:rPr>
                <w:rFonts w:hint="eastAsia" w:ascii="宋体" w:hAnsi="宋体"/>
                <w:color w:val="auto"/>
                <w:szCs w:val="21"/>
                <w:highlight w:val="none"/>
              </w:rPr>
              <w:t>新疆政府采购网</w:t>
            </w:r>
          </w:p>
        </w:tc>
      </w:tr>
      <w:tr w14:paraId="2E399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224" w:type="dxa"/>
            <w:vAlign w:val="center"/>
          </w:tcPr>
          <w:p w14:paraId="1B54D0FC">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第二章第37.3款</w:t>
            </w:r>
          </w:p>
        </w:tc>
        <w:tc>
          <w:tcPr>
            <w:tcW w:w="1701" w:type="dxa"/>
            <w:vAlign w:val="center"/>
          </w:tcPr>
          <w:p w14:paraId="09478002">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履约担保</w:t>
            </w:r>
          </w:p>
        </w:tc>
        <w:tc>
          <w:tcPr>
            <w:tcW w:w="4864" w:type="dxa"/>
            <w:vAlign w:val="center"/>
          </w:tcPr>
          <w:p w14:paraId="4116D2DC">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自行协商</w:t>
            </w:r>
          </w:p>
        </w:tc>
      </w:tr>
      <w:tr w14:paraId="64352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8789" w:type="dxa"/>
            <w:gridSpan w:val="3"/>
            <w:vAlign w:val="center"/>
          </w:tcPr>
          <w:p w14:paraId="1DE4E700">
            <w:pPr>
              <w:adjustRightInd w:val="0"/>
              <w:snapToGrid w:val="0"/>
              <w:spacing w:line="400" w:lineRule="exact"/>
              <w:rPr>
                <w:rFonts w:ascii="宋体" w:hAnsi="宋体"/>
                <w:b/>
                <w:color w:val="auto"/>
                <w:szCs w:val="21"/>
                <w:highlight w:val="none"/>
              </w:rPr>
            </w:pPr>
            <w:r>
              <w:rPr>
                <w:rFonts w:hint="eastAsia" w:ascii="宋体" w:hAnsi="宋体"/>
                <w:b/>
                <w:color w:val="auto"/>
                <w:szCs w:val="21"/>
                <w:highlight w:val="none"/>
              </w:rPr>
              <w:t>七、其他规定</w:t>
            </w:r>
          </w:p>
        </w:tc>
      </w:tr>
      <w:tr w14:paraId="6311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224" w:type="dxa"/>
            <w:vAlign w:val="center"/>
          </w:tcPr>
          <w:p w14:paraId="6E9DC501">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第二章第39.1款</w:t>
            </w:r>
          </w:p>
        </w:tc>
        <w:tc>
          <w:tcPr>
            <w:tcW w:w="1701" w:type="dxa"/>
            <w:vAlign w:val="center"/>
          </w:tcPr>
          <w:p w14:paraId="0CAB0D7F">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代理服务费</w:t>
            </w:r>
          </w:p>
        </w:tc>
        <w:tc>
          <w:tcPr>
            <w:tcW w:w="4864" w:type="dxa"/>
            <w:vAlign w:val="center"/>
          </w:tcPr>
          <w:p w14:paraId="57F650DC">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中标投标人在收到中标通知书后，须向</w:t>
            </w:r>
            <w:r>
              <w:rPr>
                <w:rFonts w:hint="eastAsia" w:ascii="宋体" w:hAnsi="宋体"/>
                <w:color w:val="auto"/>
                <w:szCs w:val="21"/>
                <w:highlight w:val="none"/>
                <w:lang w:eastAsia="zh-CN"/>
              </w:rPr>
              <w:t>中益招标有限公司</w:t>
            </w:r>
            <w:r>
              <w:rPr>
                <w:rFonts w:hint="eastAsia" w:ascii="宋体" w:hAnsi="宋体"/>
                <w:color w:val="auto"/>
                <w:szCs w:val="21"/>
                <w:highlight w:val="none"/>
              </w:rPr>
              <w:t>支付代理服务费，参考国家发展计划委员会“计价格（2002）1980号”文件、“发改办价格[2003]857号”文及发改办价格〔2011〕534号文收取。</w:t>
            </w:r>
          </w:p>
        </w:tc>
      </w:tr>
      <w:tr w14:paraId="4D9E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8789" w:type="dxa"/>
            <w:gridSpan w:val="3"/>
            <w:vAlign w:val="center"/>
          </w:tcPr>
          <w:p w14:paraId="19E87CAE">
            <w:pPr>
              <w:adjustRightInd w:val="0"/>
              <w:snapToGrid w:val="0"/>
              <w:spacing w:line="400" w:lineRule="exact"/>
              <w:rPr>
                <w:rFonts w:ascii="宋体" w:hAnsi="宋体"/>
                <w:color w:val="auto"/>
                <w:szCs w:val="21"/>
                <w:highlight w:val="none"/>
              </w:rPr>
            </w:pPr>
            <w:r>
              <w:rPr>
                <w:rFonts w:hint="eastAsia" w:ascii="宋体" w:hAnsi="宋体" w:cs="宋体"/>
                <w:b/>
                <w:color w:val="auto"/>
                <w:kern w:val="0"/>
                <w:szCs w:val="21"/>
                <w:highlight w:val="none"/>
              </w:rPr>
              <w:t>本采购文件规定的各项技术规格中出现的商标、名称或供应者等均不做特别指定的要求，仅作为对技术规格的描述要求，按“或相当于”理解，投标人在投标时不得低于此要求。</w:t>
            </w:r>
          </w:p>
        </w:tc>
      </w:tr>
    </w:tbl>
    <w:p w14:paraId="7FEDFDC1">
      <w:pPr>
        <w:pStyle w:val="3"/>
        <w:jc w:val="center"/>
        <w:rPr>
          <w:rFonts w:ascii="宋体" w:hAnsi="宋体"/>
          <w:color w:val="auto"/>
          <w:highlight w:val="none"/>
        </w:rPr>
      </w:pPr>
      <w:bookmarkStart w:id="14" w:name="_Toc420948007"/>
      <w:r>
        <w:rPr>
          <w:rFonts w:ascii="宋体" w:hAnsi="宋体"/>
          <w:color w:val="auto"/>
          <w:highlight w:val="none"/>
        </w:rPr>
        <w:br w:type="page"/>
      </w:r>
      <w:bookmarkStart w:id="15" w:name="_Toc161933886"/>
      <w:r>
        <w:rPr>
          <w:rFonts w:hint="eastAsia" w:ascii="宋体" w:hAnsi="宋体"/>
          <w:color w:val="auto"/>
          <w:highlight w:val="none"/>
        </w:rPr>
        <w:t>投标须知正文</w:t>
      </w:r>
      <w:bookmarkEnd w:id="14"/>
      <w:bookmarkEnd w:id="15"/>
    </w:p>
    <w:p w14:paraId="79019B10">
      <w:pPr>
        <w:pStyle w:val="3"/>
        <w:rPr>
          <w:rFonts w:ascii="宋体" w:hAnsi="宋体"/>
          <w:color w:val="auto"/>
          <w:sz w:val="21"/>
          <w:szCs w:val="21"/>
          <w:highlight w:val="none"/>
        </w:rPr>
      </w:pPr>
      <w:bookmarkStart w:id="16" w:name="_Toc161933887"/>
      <w:bookmarkStart w:id="17" w:name="_Toc420948008"/>
      <w:r>
        <w:rPr>
          <w:rFonts w:hint="eastAsia" w:ascii="宋体" w:hAnsi="宋体"/>
          <w:color w:val="auto"/>
          <w:sz w:val="21"/>
          <w:szCs w:val="21"/>
          <w:highlight w:val="none"/>
        </w:rPr>
        <w:t>一、总则</w:t>
      </w:r>
      <w:bookmarkEnd w:id="16"/>
    </w:p>
    <w:p w14:paraId="78E7A97E">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1. 项目概况</w:t>
      </w:r>
    </w:p>
    <w:p w14:paraId="39B41A0B">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1.1项目名称：详见投标须知前附表；</w:t>
      </w:r>
    </w:p>
    <w:p w14:paraId="5C92F0E0">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1.2采购内容：详见投标须知前附表；</w:t>
      </w:r>
    </w:p>
    <w:p w14:paraId="46FB9F41">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1.3采购方式：详见投标须知前附表；</w:t>
      </w:r>
    </w:p>
    <w:p w14:paraId="4BA5704A">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1.4项目地点：详见投标须知前附表；</w:t>
      </w:r>
    </w:p>
    <w:p w14:paraId="21241C9A">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1.5服务期限：详见投标须知前附表。</w:t>
      </w:r>
      <w:bookmarkEnd w:id="17"/>
    </w:p>
    <w:p w14:paraId="121894D5">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2. 定义</w:t>
      </w:r>
    </w:p>
    <w:p w14:paraId="3EED8440">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 “采购人”是指依法进行政府采购的国家机关、事业单位、团体组织。本次政府采购的采购人名称、地址、电话、联系人见</w:t>
      </w:r>
      <w:r>
        <w:rPr>
          <w:rFonts w:hint="eastAsia" w:ascii="宋体" w:hAnsi="宋体"/>
          <w:b/>
          <w:color w:val="auto"/>
          <w:szCs w:val="21"/>
          <w:highlight w:val="none"/>
        </w:rPr>
        <w:t>投标须知前附表</w:t>
      </w:r>
      <w:r>
        <w:rPr>
          <w:rFonts w:hint="eastAsia" w:ascii="宋体" w:hAnsi="宋体"/>
          <w:color w:val="auto"/>
          <w:szCs w:val="21"/>
          <w:highlight w:val="none"/>
        </w:rPr>
        <w:t>。</w:t>
      </w:r>
    </w:p>
    <w:p w14:paraId="5FE0CCA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 “采购代理机构”是指接受采购人委托，代理采购项目的采购代理机构。</w:t>
      </w:r>
    </w:p>
    <w:p w14:paraId="28EAC71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2.3 “投标人”是指响应采购文件要求、参加公开招标采购的法人、其他组织或者自然人。</w:t>
      </w:r>
    </w:p>
    <w:p w14:paraId="40E075B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2.4 “服务”是指除货物和工程以外的其他政府采购对象。</w:t>
      </w:r>
    </w:p>
    <w:p w14:paraId="1520A97F">
      <w:pPr>
        <w:adjustRightInd w:val="0"/>
        <w:snapToGrid w:val="0"/>
        <w:spacing w:line="360" w:lineRule="auto"/>
        <w:ind w:firstLine="422"/>
        <w:rPr>
          <w:rFonts w:ascii="宋体" w:hAnsi="宋体" w:cs="宋体"/>
          <w:b/>
          <w:color w:val="auto"/>
          <w:kern w:val="0"/>
          <w:szCs w:val="21"/>
          <w:highlight w:val="none"/>
        </w:rPr>
      </w:pPr>
      <w:r>
        <w:rPr>
          <w:rFonts w:hint="eastAsia" w:ascii="宋体" w:hAnsi="宋体" w:cs="宋体"/>
          <w:b/>
          <w:color w:val="auto"/>
          <w:kern w:val="0"/>
          <w:szCs w:val="21"/>
          <w:highlight w:val="none"/>
        </w:rPr>
        <w:t>2.5偏离</w:t>
      </w:r>
    </w:p>
    <w:p w14:paraId="7D8B3D54">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2.5.1本条所称偏离为投标文件对采购文件的偏离，即不满足、或不响应采购文件的要求。偏离分为对采购文件的实质性要求条款偏离和对采购文件的一般商务和技术条款偏离。</w:t>
      </w:r>
    </w:p>
    <w:p w14:paraId="6B79C9E2">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2.5.2除法律、法规和规章规定外，采购文件中用“拒绝”、“不接受”、“无效”、“不得”等文字规定或标注“★”符号的条款为实质性要求条款（即重要条款）。未用上述文字规定或符号标注的条款为非实质性要求条款(即一般条款)。</w:t>
      </w:r>
    </w:p>
    <w:p w14:paraId="4DAACF60">
      <w:pPr>
        <w:adjustRightInd w:val="0"/>
        <w:snapToGrid w:val="0"/>
        <w:spacing w:line="360" w:lineRule="auto"/>
        <w:ind w:firstLine="422"/>
        <w:rPr>
          <w:rFonts w:ascii="宋体" w:hAnsi="宋体" w:cs="宋体"/>
          <w:b/>
          <w:color w:val="auto"/>
          <w:kern w:val="0"/>
          <w:szCs w:val="21"/>
          <w:highlight w:val="none"/>
        </w:rPr>
      </w:pPr>
      <w:r>
        <w:rPr>
          <w:rFonts w:hint="eastAsia" w:ascii="宋体" w:hAnsi="宋体" w:cs="宋体"/>
          <w:b/>
          <w:color w:val="auto"/>
          <w:kern w:val="0"/>
          <w:szCs w:val="21"/>
          <w:highlight w:val="none"/>
        </w:rPr>
        <w:t>2.6特别说明</w:t>
      </w:r>
    </w:p>
    <w:p w14:paraId="20967085">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2.6.1除采购文件内有特殊说明外，本次投标响应投标人所使用的资格、信誉、荣誉、业绩与企业认证等必须为投标单位法人所拥有。</w:t>
      </w:r>
    </w:p>
    <w:p w14:paraId="127720E7">
      <w:pPr>
        <w:adjustRightInd w:val="0"/>
        <w:snapToGrid w:val="0"/>
        <w:spacing w:line="360" w:lineRule="auto"/>
        <w:ind w:firstLine="420" w:firstLineChars="200"/>
        <w:rPr>
          <w:rFonts w:ascii="宋体" w:hAnsi="宋体" w:cs="宋体"/>
          <w:b/>
          <w:color w:val="auto"/>
          <w:kern w:val="0"/>
          <w:szCs w:val="21"/>
          <w:highlight w:val="none"/>
        </w:rPr>
      </w:pPr>
      <w:r>
        <w:rPr>
          <w:rFonts w:hint="eastAsia" w:ascii="宋体" w:hAnsi="宋体" w:cs="宋体"/>
          <w:color w:val="auto"/>
          <w:kern w:val="0"/>
          <w:szCs w:val="21"/>
          <w:highlight w:val="none"/>
        </w:rPr>
        <w:t>2.6.2</w:t>
      </w:r>
      <w:r>
        <w:rPr>
          <w:rFonts w:hint="eastAsia" w:ascii="宋体" w:hAnsi="宋体"/>
          <w:color w:val="auto"/>
          <w:szCs w:val="21"/>
          <w:highlight w:val="none"/>
        </w:rPr>
        <w:t>投标人</w:t>
      </w:r>
      <w:r>
        <w:rPr>
          <w:rFonts w:hint="eastAsia" w:ascii="宋体" w:hAnsi="宋体" w:cs="宋体"/>
          <w:color w:val="auto"/>
          <w:kern w:val="0"/>
          <w:szCs w:val="21"/>
          <w:highlight w:val="none"/>
        </w:rPr>
        <w:t>应仔细阅读采购文件的所有内容，按照采购文件的要求编制、提交投标文件，并对所提供的全部资料的真实性承担法律责任。</w:t>
      </w:r>
    </w:p>
    <w:p w14:paraId="66410EBE">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2.6.3投标人在投标活动中提供任何虚假材料, 其投标文件无效并承担相应法律责任。</w:t>
      </w:r>
    </w:p>
    <w:p w14:paraId="239607C9">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3.投标人的资格要求</w:t>
      </w:r>
    </w:p>
    <w:p w14:paraId="44072754">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 投标人应当符合</w:t>
      </w:r>
      <w:r>
        <w:rPr>
          <w:rFonts w:hint="eastAsia" w:ascii="宋体" w:hAnsi="宋体"/>
          <w:b/>
          <w:color w:val="auto"/>
          <w:szCs w:val="21"/>
          <w:highlight w:val="none"/>
        </w:rPr>
        <w:t>投标须知前附表</w:t>
      </w:r>
      <w:r>
        <w:rPr>
          <w:rFonts w:hint="eastAsia" w:ascii="宋体" w:hAnsi="宋体"/>
          <w:color w:val="auto"/>
          <w:szCs w:val="21"/>
          <w:highlight w:val="none"/>
        </w:rPr>
        <w:t>中规定投标人资格条件。</w:t>
      </w:r>
    </w:p>
    <w:p w14:paraId="3AB04DE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 投标人不得存在下列情形之一：</w:t>
      </w:r>
    </w:p>
    <w:p w14:paraId="24C1A362">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（l）与采购人、代理机构存在</w:t>
      </w:r>
      <w:r>
        <w:rPr>
          <w:rFonts w:hint="eastAsia" w:ascii="宋体" w:hAnsi="宋体"/>
          <w:bCs/>
          <w:color w:val="auto"/>
          <w:szCs w:val="21"/>
          <w:highlight w:val="none"/>
        </w:rPr>
        <w:t>利害关系</w:t>
      </w:r>
      <w:r>
        <w:rPr>
          <w:rFonts w:hint="eastAsia" w:ascii="宋体" w:hAnsi="宋体"/>
          <w:color w:val="auto"/>
          <w:szCs w:val="21"/>
          <w:highlight w:val="none"/>
        </w:rPr>
        <w:t>。</w:t>
      </w:r>
    </w:p>
    <w:p w14:paraId="09CD21E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（2）单位负责人为同一人或者存在直接控股、管理关系的不同投标人，不得参加同一合同项下的政府采购活动。</w:t>
      </w:r>
    </w:p>
    <w:p w14:paraId="2357D58E">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（3）除单一来源采购项目外，为采购项目提供整体设计、规范编制或者项目管理、监理、检测等服务的投标人，不得再参加该采购项目的其他采购活动。</w:t>
      </w:r>
    </w:p>
    <w:p w14:paraId="45D0C75F">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投标人被列入失信被执行人、重大税收违法案件当事人名单、政府采购严重违法失信行为记录名单（处罚决定规定的时间和地域范围内）。采购人或采购代理机构将按投标人须知前附表中规定的时间查询投标人的信用记录。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投标人将被认定为投标</w:t>
      </w:r>
      <w:r>
        <w:rPr>
          <w:rFonts w:hint="eastAsia" w:ascii="宋体" w:hAnsi="宋体"/>
          <w:b/>
          <w:color w:val="auto"/>
          <w:szCs w:val="21"/>
          <w:highlight w:val="none"/>
        </w:rPr>
        <w:t>无效</w:t>
      </w:r>
      <w:r>
        <w:rPr>
          <w:rFonts w:hint="eastAsia" w:ascii="宋体" w:hAnsi="宋体"/>
          <w:color w:val="auto"/>
          <w:szCs w:val="21"/>
          <w:highlight w:val="none"/>
        </w:rPr>
        <w:t>。以联合体形式参加投标的，联合体任何成员存在以上不良信用记录的，联合体投标人将被认定为投标</w:t>
      </w:r>
      <w:r>
        <w:rPr>
          <w:rFonts w:hint="eastAsia" w:ascii="宋体" w:hAnsi="宋体"/>
          <w:b/>
          <w:color w:val="auto"/>
          <w:szCs w:val="21"/>
          <w:highlight w:val="none"/>
        </w:rPr>
        <w:t>无效</w:t>
      </w:r>
      <w:r>
        <w:rPr>
          <w:rFonts w:hint="eastAsia" w:ascii="宋体" w:hAnsi="宋体"/>
          <w:color w:val="auto"/>
          <w:szCs w:val="21"/>
          <w:highlight w:val="none"/>
        </w:rPr>
        <w:t>。</w:t>
      </w:r>
    </w:p>
    <w:p w14:paraId="24D41020">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采购人</w:t>
      </w:r>
      <w:r>
        <w:rPr>
          <w:rFonts w:ascii="宋体" w:hAnsi="宋体"/>
          <w:color w:val="auto"/>
          <w:szCs w:val="21"/>
          <w:highlight w:val="none"/>
        </w:rPr>
        <w:t>或采购代理机构</w:t>
      </w:r>
      <w:r>
        <w:rPr>
          <w:rFonts w:hint="eastAsia" w:ascii="宋体" w:hAnsi="宋体"/>
          <w:color w:val="auto"/>
          <w:szCs w:val="21"/>
          <w:highlight w:val="none"/>
        </w:rPr>
        <w:t>经办人将查询网页打印、签字并存档备查。投标人不良信用记录以采购人</w:t>
      </w:r>
      <w:r>
        <w:rPr>
          <w:rFonts w:ascii="宋体" w:hAnsi="宋体"/>
          <w:color w:val="auto"/>
          <w:szCs w:val="21"/>
          <w:highlight w:val="none"/>
        </w:rPr>
        <w:t>或采购代理机构</w:t>
      </w:r>
      <w:r>
        <w:rPr>
          <w:rFonts w:hint="eastAsia" w:ascii="宋体" w:hAnsi="宋体"/>
          <w:color w:val="auto"/>
          <w:szCs w:val="21"/>
          <w:highlight w:val="none"/>
        </w:rPr>
        <w:t>查询结果为准。投标人自行提供的与网站信息不一致的其他证明材料亦不作为资格审查依据。在本采购文件</w:t>
      </w:r>
      <w:r>
        <w:rPr>
          <w:rFonts w:ascii="宋体" w:hAnsi="宋体"/>
          <w:color w:val="auto"/>
          <w:szCs w:val="21"/>
          <w:highlight w:val="none"/>
        </w:rPr>
        <w:t>规定</w:t>
      </w:r>
      <w:r>
        <w:rPr>
          <w:rFonts w:hint="eastAsia" w:ascii="宋体" w:hAnsi="宋体"/>
          <w:color w:val="auto"/>
          <w:szCs w:val="21"/>
          <w:highlight w:val="none"/>
        </w:rPr>
        <w:t>的查询时间之外，网站信息发生的任何变更均不作为资格审查依据。</w:t>
      </w:r>
    </w:p>
    <w:p w14:paraId="0FA227B2">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 投标人具有履行合同所必需的设备和专业技术能力，在人员、设备、资金等方面具有相应能力；投标人在项目地具有技术支持和后续服务等能力。</w:t>
      </w:r>
    </w:p>
    <w:p w14:paraId="1005BD8B">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 xml:space="preserve">4. 费用和知识产权 </w:t>
      </w:r>
    </w:p>
    <w:p w14:paraId="2145C3E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4.1投标人应承担其参加本采购活动自身所发生的费用。采购文件所提供的资料，是采购人现有的能被投标人利用的资料，采购人对投标人做出的任何推论、理解和结论均不负责任。</w:t>
      </w:r>
    </w:p>
    <w:p w14:paraId="00B1438C">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投标人应保证，在中华人民共和国境内使用成果、服务或其任何一部分时，不会产生因第三方提出侵犯其专利权或其它知识产权而引起的法律和经济纠纷。如投标人不拥有相应的知识产权，则在报价中须包括合法获取该知识产权的相关费用。</w:t>
      </w:r>
    </w:p>
    <w:p w14:paraId="4B92A659">
      <w:pPr>
        <w:pStyle w:val="25"/>
        <w:adjustRightInd w:val="0"/>
        <w:snapToGrid w:val="0"/>
        <w:spacing w:line="360" w:lineRule="auto"/>
        <w:rPr>
          <w:rFonts w:ascii="宋体" w:hAnsi="宋体"/>
          <w:b/>
          <w:bCs/>
          <w:color w:val="auto"/>
          <w:sz w:val="21"/>
          <w:szCs w:val="21"/>
          <w:highlight w:val="none"/>
        </w:rPr>
      </w:pPr>
      <w:r>
        <w:rPr>
          <w:rFonts w:hint="eastAsia" w:ascii="宋体" w:hAnsi="宋体"/>
          <w:b/>
          <w:color w:val="auto"/>
          <w:sz w:val="21"/>
          <w:szCs w:val="21"/>
          <w:highlight w:val="none"/>
        </w:rPr>
        <w:t>5．</w:t>
      </w:r>
      <w:r>
        <w:rPr>
          <w:rFonts w:hint="eastAsia" w:ascii="宋体" w:hAnsi="宋体"/>
          <w:b/>
          <w:bCs/>
          <w:color w:val="auto"/>
          <w:sz w:val="21"/>
          <w:szCs w:val="21"/>
          <w:highlight w:val="none"/>
        </w:rPr>
        <w:t>授权委托</w:t>
      </w:r>
    </w:p>
    <w:p w14:paraId="52058883">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5.1投标人代表为投标人法定代表人的，应持有法定代表人身份证明。投标人代表不是投标人法定代表人的，应持有法定代表人授权书。</w:t>
      </w:r>
    </w:p>
    <w:p w14:paraId="3224CFA1">
      <w:pPr>
        <w:pStyle w:val="25"/>
        <w:adjustRightInd w:val="0"/>
        <w:snapToGrid w:val="0"/>
        <w:spacing w:line="360" w:lineRule="auto"/>
        <w:rPr>
          <w:rFonts w:ascii="宋体" w:hAnsi="宋体"/>
          <w:b/>
          <w:color w:val="auto"/>
          <w:sz w:val="21"/>
          <w:szCs w:val="21"/>
          <w:highlight w:val="none"/>
        </w:rPr>
      </w:pPr>
      <w:r>
        <w:rPr>
          <w:rFonts w:hint="eastAsia" w:ascii="宋体" w:hAnsi="宋体"/>
          <w:b/>
          <w:color w:val="auto"/>
          <w:sz w:val="21"/>
          <w:szCs w:val="21"/>
          <w:highlight w:val="none"/>
        </w:rPr>
        <w:t>6．联合体形式</w:t>
      </w:r>
      <w:r>
        <w:rPr>
          <w:rFonts w:hint="eastAsia" w:ascii="宋体" w:hAnsi="宋体"/>
          <w:color w:val="auto"/>
          <w:sz w:val="21"/>
          <w:szCs w:val="21"/>
          <w:highlight w:val="none"/>
        </w:rPr>
        <w:t xml:space="preserve"> </w:t>
      </w:r>
    </w:p>
    <w:p w14:paraId="112F5203">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6.1除</w:t>
      </w:r>
      <w:r>
        <w:rPr>
          <w:rFonts w:hint="eastAsia" w:ascii="宋体" w:hAnsi="宋体"/>
          <w:b/>
          <w:color w:val="auto"/>
          <w:sz w:val="21"/>
          <w:szCs w:val="21"/>
          <w:highlight w:val="none"/>
        </w:rPr>
        <w:t>投标须知前附表</w:t>
      </w:r>
      <w:r>
        <w:rPr>
          <w:rFonts w:hint="eastAsia" w:ascii="宋体" w:hAnsi="宋体"/>
          <w:color w:val="auto"/>
          <w:sz w:val="21"/>
          <w:szCs w:val="21"/>
          <w:highlight w:val="none"/>
        </w:rPr>
        <w:t>中另有规定，本次投标不接受为联合体形式的投标人。</w:t>
      </w:r>
    </w:p>
    <w:p w14:paraId="1BC19A94">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6.2投标人为联合体形式的，除应符合本章第3条规定外，还应遵守以下规定：</w:t>
      </w:r>
    </w:p>
    <w:p w14:paraId="6C43CE38">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（l）联合体各方必须签订联合体协议书，明确联合体牵头人和各方的义务、工作、合同工作量比例；</w:t>
      </w:r>
    </w:p>
    <w:p w14:paraId="13448AD4">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（2）联合体各方均应当符合本章第3.1</w:t>
      </w:r>
      <w:r>
        <w:rPr>
          <w:rFonts w:hint="eastAsia" w:ascii="宋体" w:hAnsi="宋体" w:cs="宋体"/>
          <w:color w:val="auto"/>
          <w:kern w:val="0"/>
          <w:szCs w:val="21"/>
          <w:highlight w:val="none"/>
          <w:lang w:val="zh-CN"/>
        </w:rPr>
        <w:t>款</w:t>
      </w:r>
      <w:r>
        <w:rPr>
          <w:rFonts w:hint="eastAsia" w:ascii="宋体" w:hAnsi="宋体"/>
          <w:color w:val="auto"/>
          <w:szCs w:val="21"/>
          <w:highlight w:val="none"/>
        </w:rPr>
        <w:t>规定的投标人基本资格条件；</w:t>
      </w:r>
    </w:p>
    <w:p w14:paraId="284E8D15">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（3）除</w:t>
      </w:r>
      <w:r>
        <w:rPr>
          <w:rFonts w:hint="eastAsia" w:ascii="宋体" w:hAnsi="宋体"/>
          <w:b/>
          <w:color w:val="auto"/>
          <w:szCs w:val="21"/>
          <w:highlight w:val="none"/>
        </w:rPr>
        <w:t>投标须知前附表</w:t>
      </w:r>
      <w:r>
        <w:rPr>
          <w:rFonts w:hint="eastAsia" w:ascii="宋体" w:hAnsi="宋体"/>
          <w:color w:val="auto"/>
          <w:szCs w:val="21"/>
          <w:highlight w:val="none"/>
        </w:rPr>
        <w:t>中另有规定，联合体各方中至少有一方应当符合本章第3.1</w:t>
      </w:r>
      <w:r>
        <w:rPr>
          <w:rFonts w:hint="eastAsia" w:ascii="宋体" w:hAnsi="宋体" w:cs="宋体"/>
          <w:color w:val="auto"/>
          <w:kern w:val="0"/>
          <w:szCs w:val="21"/>
          <w:highlight w:val="none"/>
          <w:lang w:val="zh-CN"/>
        </w:rPr>
        <w:t>款</w:t>
      </w:r>
      <w:r>
        <w:rPr>
          <w:rFonts w:hint="eastAsia" w:ascii="宋体" w:hAnsi="宋体"/>
          <w:color w:val="auto"/>
          <w:szCs w:val="21"/>
          <w:highlight w:val="none"/>
        </w:rPr>
        <w:t>规定的投标人特定资格条件；</w:t>
      </w:r>
    </w:p>
    <w:p w14:paraId="698EAB34">
      <w:pPr>
        <w:adjustRightInd w:val="0"/>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olor w:val="auto"/>
          <w:szCs w:val="21"/>
          <w:highlight w:val="none"/>
        </w:rPr>
        <w:t>（4）</w:t>
      </w:r>
      <w:r>
        <w:rPr>
          <w:rFonts w:hint="eastAsia" w:ascii="宋体" w:hAnsi="宋体" w:cs="宋体"/>
          <w:color w:val="auto"/>
          <w:kern w:val="0"/>
          <w:szCs w:val="21"/>
          <w:highlight w:val="none"/>
          <w:lang w:val="zh-CN"/>
        </w:rPr>
        <w:t>联合体各方不得再单独或与其他投标人组成新的联合体参加同一项目的采购活动。</w:t>
      </w:r>
    </w:p>
    <w:p w14:paraId="20E1A80D">
      <w:pPr>
        <w:adjustRightInd w:val="0"/>
        <w:snapToGrid w:val="0"/>
        <w:spacing w:line="360" w:lineRule="auto"/>
        <w:rPr>
          <w:rFonts w:ascii="宋体" w:hAnsi="宋体"/>
          <w:bCs/>
          <w:color w:val="auto"/>
          <w:szCs w:val="21"/>
          <w:highlight w:val="none"/>
        </w:rPr>
      </w:pPr>
      <w:r>
        <w:rPr>
          <w:rFonts w:hint="eastAsia" w:ascii="宋体" w:hAnsi="宋体"/>
          <w:b/>
          <w:color w:val="auto"/>
          <w:szCs w:val="21"/>
          <w:highlight w:val="none"/>
        </w:rPr>
        <w:t>7.现场勘察</w:t>
      </w:r>
    </w:p>
    <w:p w14:paraId="3A41D7AC">
      <w:pPr>
        <w:adjustRightInd w:val="0"/>
        <w:snapToGrid w:val="0"/>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7.1投标人应按投标须知前附表中</w:t>
      </w:r>
      <w:r>
        <w:rPr>
          <w:rFonts w:hint="eastAsia" w:ascii="宋体" w:hAnsi="宋体"/>
          <w:color w:val="auto"/>
          <w:szCs w:val="21"/>
          <w:highlight w:val="none"/>
        </w:rPr>
        <w:t>规定对采购项目现场和周围环境的现场考察。</w:t>
      </w:r>
    </w:p>
    <w:p w14:paraId="44006C7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7.2考察现场的费用由投标人自己承担，考察期间所发生的人身伤害及财产损失由投标人自己负责。</w:t>
      </w:r>
    </w:p>
    <w:p w14:paraId="190E0CDB">
      <w:pPr>
        <w:adjustRightInd w:val="0"/>
        <w:snapToGrid w:val="0"/>
        <w:spacing w:line="360" w:lineRule="auto"/>
        <w:ind w:firstLine="420" w:firstLineChars="200"/>
        <w:jc w:val="left"/>
        <w:rPr>
          <w:rFonts w:ascii="宋体" w:hAnsi="宋体"/>
          <w:b/>
          <w:color w:val="auto"/>
          <w:szCs w:val="21"/>
          <w:highlight w:val="none"/>
        </w:rPr>
      </w:pPr>
      <w:r>
        <w:rPr>
          <w:rFonts w:hint="eastAsia" w:ascii="宋体" w:hAnsi="宋体"/>
          <w:color w:val="auto"/>
          <w:szCs w:val="21"/>
          <w:highlight w:val="none"/>
        </w:rPr>
        <w:t>7.3采购人不对投标人据此而做出的推论、理解和结论负责。一旦中标，投标人不得以任何借口，而提出额外补偿，或延长合同期限的要求。</w:t>
      </w:r>
    </w:p>
    <w:p w14:paraId="3C846F06">
      <w:pPr>
        <w:adjustRightInd w:val="0"/>
        <w:snapToGrid w:val="0"/>
        <w:spacing w:line="360" w:lineRule="auto"/>
        <w:rPr>
          <w:rFonts w:ascii="宋体" w:hAnsi="宋体"/>
          <w:b/>
          <w:color w:val="auto"/>
          <w:szCs w:val="21"/>
          <w:highlight w:val="none"/>
        </w:rPr>
      </w:pPr>
      <w:r>
        <w:rPr>
          <w:rFonts w:hint="eastAsia" w:ascii="宋体" w:hAnsi="宋体"/>
          <w:b/>
          <w:color w:val="auto"/>
          <w:szCs w:val="21"/>
          <w:highlight w:val="none"/>
        </w:rPr>
        <w:t>8. 分包</w:t>
      </w:r>
    </w:p>
    <w:p w14:paraId="75465905">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不允许</w:t>
      </w:r>
    </w:p>
    <w:p w14:paraId="76F137F1">
      <w:pPr>
        <w:adjustRightInd w:val="0"/>
        <w:snapToGrid w:val="0"/>
        <w:spacing w:line="360" w:lineRule="auto"/>
        <w:jc w:val="left"/>
        <w:rPr>
          <w:rFonts w:ascii="宋体" w:hAnsi="宋体"/>
          <w:b/>
          <w:color w:val="auto"/>
          <w:szCs w:val="21"/>
          <w:highlight w:val="none"/>
        </w:rPr>
      </w:pPr>
      <w:r>
        <w:rPr>
          <w:rFonts w:hint="eastAsia" w:ascii="宋体" w:hAnsi="宋体"/>
          <w:b/>
          <w:bCs/>
          <w:color w:val="auto"/>
          <w:szCs w:val="21"/>
          <w:highlight w:val="none"/>
        </w:rPr>
        <w:t>9.</w:t>
      </w:r>
      <w:r>
        <w:rPr>
          <w:rFonts w:hint="eastAsia" w:ascii="宋体" w:hAnsi="宋体"/>
          <w:b/>
          <w:color w:val="auto"/>
          <w:szCs w:val="21"/>
          <w:highlight w:val="none"/>
        </w:rPr>
        <w:t xml:space="preserve"> 政府采购政策支持</w:t>
      </w:r>
    </w:p>
    <w:p w14:paraId="2E59581A">
      <w:pPr>
        <w:pStyle w:val="25"/>
        <w:adjustRightInd w:val="0"/>
        <w:snapToGrid w:val="0"/>
        <w:spacing w:line="360" w:lineRule="auto"/>
        <w:ind w:firstLine="420" w:firstLineChars="200"/>
        <w:rPr>
          <w:rFonts w:ascii="宋体" w:hAnsi="宋体"/>
          <w:color w:val="auto"/>
          <w:sz w:val="21"/>
          <w:szCs w:val="21"/>
          <w:highlight w:val="none"/>
        </w:rPr>
      </w:pPr>
      <w:bookmarkStart w:id="18" w:name="_Toc420948009"/>
      <w:r>
        <w:rPr>
          <w:rFonts w:hint="eastAsia" w:ascii="宋体" w:hAnsi="宋体"/>
          <w:color w:val="auto"/>
          <w:sz w:val="21"/>
          <w:szCs w:val="21"/>
          <w:highlight w:val="none"/>
        </w:rPr>
        <w:t>9.1投标人符合支持中小企业发展优惠政策的，报价可以优惠扣除。本项目价格扣除比例见</w:t>
      </w:r>
      <w:r>
        <w:rPr>
          <w:rFonts w:hint="eastAsia" w:ascii="宋体" w:hAnsi="宋体"/>
          <w:b/>
          <w:color w:val="auto"/>
          <w:sz w:val="21"/>
          <w:szCs w:val="21"/>
          <w:highlight w:val="none"/>
        </w:rPr>
        <w:t>投标须知前附表</w:t>
      </w:r>
      <w:r>
        <w:rPr>
          <w:rFonts w:hint="eastAsia" w:ascii="宋体" w:hAnsi="宋体"/>
          <w:color w:val="auto"/>
          <w:sz w:val="21"/>
          <w:szCs w:val="21"/>
          <w:highlight w:val="none"/>
        </w:rPr>
        <w:t>。</w:t>
      </w:r>
    </w:p>
    <w:p w14:paraId="67138502">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9.2为推进政府采购诚信体系建设，投标人在签署相关承诺，提供相关信息前，应认真阅读财政部门相关政策规定。</w:t>
      </w:r>
    </w:p>
    <w:p w14:paraId="13A2471C">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9.3 中小企业在融资、投标保证、履约保证等方面有需求的，可查询当地政府采购管理部门相关政策，通过专业化的担保途径解决。</w:t>
      </w:r>
    </w:p>
    <w:p w14:paraId="06981AC9">
      <w:pPr>
        <w:pStyle w:val="3"/>
        <w:rPr>
          <w:rFonts w:ascii="宋体" w:hAnsi="宋体"/>
          <w:color w:val="auto"/>
          <w:sz w:val="21"/>
          <w:szCs w:val="21"/>
          <w:highlight w:val="none"/>
        </w:rPr>
      </w:pPr>
      <w:bookmarkStart w:id="19" w:name="_Toc161933888"/>
      <w:r>
        <w:rPr>
          <w:rFonts w:hint="eastAsia" w:ascii="宋体" w:hAnsi="宋体"/>
          <w:color w:val="auto"/>
          <w:sz w:val="21"/>
          <w:szCs w:val="21"/>
          <w:highlight w:val="none"/>
        </w:rPr>
        <w:t>二、</w:t>
      </w:r>
      <w:bookmarkEnd w:id="18"/>
      <w:r>
        <w:rPr>
          <w:rFonts w:hint="eastAsia" w:ascii="宋体" w:hAnsi="宋体"/>
          <w:color w:val="auto"/>
          <w:sz w:val="21"/>
          <w:szCs w:val="21"/>
          <w:highlight w:val="none"/>
        </w:rPr>
        <w:t>采购文件</w:t>
      </w:r>
      <w:bookmarkEnd w:id="19"/>
    </w:p>
    <w:p w14:paraId="458D7680">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10．采购文件的组成</w:t>
      </w:r>
    </w:p>
    <w:p w14:paraId="08D27451">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10.1 采购文件由下列文件组成：</w:t>
      </w:r>
    </w:p>
    <w:p w14:paraId="22529ECB">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第一章 公开招标公告</w:t>
      </w:r>
    </w:p>
    <w:p w14:paraId="13D27C26">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第二章 投标须知</w:t>
      </w:r>
    </w:p>
    <w:p w14:paraId="1CD36665">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第三章 合同协议书</w:t>
      </w:r>
    </w:p>
    <w:p w14:paraId="3493F0C4">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第四章 采购需求</w:t>
      </w:r>
    </w:p>
    <w:p w14:paraId="0F3BE06B">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第五章 投标文件格式</w:t>
      </w:r>
    </w:p>
    <w:p w14:paraId="41F11DE8">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10.2</w:t>
      </w:r>
      <w:r>
        <w:rPr>
          <w:rFonts w:hint="eastAsia" w:ascii="宋体" w:hAnsi="宋体"/>
          <w:bCs/>
          <w:color w:val="auto"/>
          <w:sz w:val="21"/>
          <w:szCs w:val="21"/>
          <w:highlight w:val="none"/>
        </w:rPr>
        <w:t>本章第11.1</w:t>
      </w:r>
      <w:r>
        <w:rPr>
          <w:rFonts w:hint="eastAsia" w:ascii="宋体" w:hAnsi="宋体" w:cs="宋体"/>
          <w:color w:val="auto"/>
          <w:kern w:val="0"/>
          <w:sz w:val="21"/>
          <w:szCs w:val="21"/>
          <w:highlight w:val="none"/>
          <w:lang w:val="zh-CN"/>
        </w:rPr>
        <w:t>款</w:t>
      </w:r>
      <w:r>
        <w:rPr>
          <w:rFonts w:hint="eastAsia" w:ascii="宋体" w:hAnsi="宋体"/>
          <w:bCs/>
          <w:color w:val="auto"/>
          <w:sz w:val="21"/>
          <w:szCs w:val="21"/>
          <w:highlight w:val="none"/>
        </w:rPr>
        <w:t>规定的</w:t>
      </w:r>
      <w:r>
        <w:rPr>
          <w:rFonts w:hint="eastAsia" w:ascii="宋体" w:hAnsi="宋体" w:cs="宋体"/>
          <w:color w:val="auto"/>
          <w:kern w:val="0"/>
          <w:sz w:val="21"/>
          <w:szCs w:val="21"/>
          <w:highlight w:val="none"/>
        </w:rPr>
        <w:t>提交</w:t>
      </w:r>
      <w:r>
        <w:rPr>
          <w:rFonts w:hint="eastAsia" w:ascii="宋体" w:hAnsi="宋体"/>
          <w:color w:val="auto"/>
          <w:sz w:val="21"/>
          <w:szCs w:val="21"/>
          <w:highlight w:val="none"/>
        </w:rPr>
        <w:t>投标文件</w:t>
      </w:r>
      <w:r>
        <w:rPr>
          <w:rFonts w:hint="eastAsia" w:ascii="宋体" w:hAnsi="宋体" w:cs="宋体"/>
          <w:color w:val="auto"/>
          <w:kern w:val="0"/>
          <w:sz w:val="21"/>
          <w:szCs w:val="21"/>
          <w:highlight w:val="none"/>
        </w:rPr>
        <w:t>截止时间前对</w:t>
      </w:r>
      <w:r>
        <w:rPr>
          <w:rFonts w:hint="eastAsia" w:ascii="宋体" w:hAnsi="宋体"/>
          <w:color w:val="auto"/>
          <w:sz w:val="21"/>
          <w:szCs w:val="21"/>
          <w:highlight w:val="none"/>
        </w:rPr>
        <w:t>采购文件</w:t>
      </w:r>
      <w:r>
        <w:rPr>
          <w:rFonts w:hint="eastAsia" w:ascii="宋体" w:hAnsi="宋体" w:cs="宋体"/>
          <w:color w:val="auto"/>
          <w:kern w:val="0"/>
          <w:sz w:val="21"/>
          <w:szCs w:val="21"/>
          <w:highlight w:val="none"/>
        </w:rPr>
        <w:t>澄清或者修改内容，为</w:t>
      </w:r>
      <w:r>
        <w:rPr>
          <w:rFonts w:hint="eastAsia" w:ascii="宋体" w:hAnsi="宋体"/>
          <w:color w:val="auto"/>
          <w:sz w:val="21"/>
          <w:szCs w:val="21"/>
          <w:highlight w:val="none"/>
        </w:rPr>
        <w:t>采购文件</w:t>
      </w:r>
      <w:r>
        <w:rPr>
          <w:rFonts w:hint="eastAsia" w:ascii="宋体" w:hAnsi="宋体" w:cs="宋体"/>
          <w:color w:val="auto"/>
          <w:kern w:val="0"/>
          <w:sz w:val="21"/>
          <w:szCs w:val="21"/>
          <w:highlight w:val="none"/>
        </w:rPr>
        <w:t>的组成部分。</w:t>
      </w:r>
    </w:p>
    <w:p w14:paraId="235F174C">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10.3 评审小组根据与投标人投标情况可能实质性变动的内容，包括采购需求中的技术、服务要求以及合同条款，在</w:t>
      </w:r>
      <w:r>
        <w:rPr>
          <w:rFonts w:hint="eastAsia" w:ascii="宋体" w:hAnsi="宋体"/>
          <w:b/>
          <w:color w:val="auto"/>
          <w:szCs w:val="21"/>
          <w:highlight w:val="none"/>
        </w:rPr>
        <w:t>投标须知前附表</w:t>
      </w:r>
      <w:r>
        <w:rPr>
          <w:rFonts w:hint="eastAsia" w:ascii="宋体" w:hAnsi="宋体"/>
          <w:color w:val="auto"/>
          <w:szCs w:val="21"/>
          <w:highlight w:val="none"/>
        </w:rPr>
        <w:t>中明确。</w:t>
      </w:r>
    </w:p>
    <w:p w14:paraId="4B1262B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10.4投标人应仔细阅读采购文件的全部内容，按照采购文件要求编制投标文件。任何对采购文件的忽略或误解不能作为投标文件存在缺陷或瑕疵的理由，其风险由投标人承担。</w:t>
      </w:r>
    </w:p>
    <w:p w14:paraId="2E5228F3">
      <w:pPr>
        <w:pStyle w:val="25"/>
        <w:adjustRightInd w:val="0"/>
        <w:snapToGrid w:val="0"/>
        <w:spacing w:line="360" w:lineRule="auto"/>
        <w:rPr>
          <w:rFonts w:ascii="宋体" w:hAnsi="宋体"/>
          <w:color w:val="auto"/>
          <w:sz w:val="21"/>
          <w:szCs w:val="21"/>
          <w:highlight w:val="none"/>
        </w:rPr>
      </w:pPr>
      <w:r>
        <w:rPr>
          <w:rFonts w:hint="eastAsia" w:ascii="宋体" w:hAnsi="宋体"/>
          <w:b/>
          <w:color w:val="auto"/>
          <w:sz w:val="21"/>
          <w:szCs w:val="21"/>
          <w:highlight w:val="none"/>
        </w:rPr>
        <w:t>11.</w:t>
      </w:r>
      <w:r>
        <w:rPr>
          <w:rFonts w:hint="eastAsia" w:ascii="宋体" w:hAnsi="宋体" w:cs="宋体"/>
          <w:b/>
          <w:color w:val="auto"/>
          <w:kern w:val="0"/>
          <w:sz w:val="21"/>
          <w:szCs w:val="21"/>
          <w:highlight w:val="none"/>
        </w:rPr>
        <w:t>提交投标文件</w:t>
      </w:r>
      <w:r>
        <w:rPr>
          <w:rFonts w:hint="eastAsia" w:ascii="宋体" w:hAnsi="宋体"/>
          <w:b/>
          <w:color w:val="auto"/>
          <w:sz w:val="21"/>
          <w:szCs w:val="21"/>
          <w:highlight w:val="none"/>
        </w:rPr>
        <w:t>的</w:t>
      </w:r>
      <w:r>
        <w:rPr>
          <w:rFonts w:hint="eastAsia" w:ascii="宋体" w:hAnsi="宋体" w:cs="宋体"/>
          <w:b/>
          <w:color w:val="auto"/>
          <w:kern w:val="0"/>
          <w:sz w:val="21"/>
          <w:szCs w:val="21"/>
          <w:highlight w:val="none"/>
        </w:rPr>
        <w:t>截止</w:t>
      </w:r>
      <w:r>
        <w:rPr>
          <w:rFonts w:hint="eastAsia" w:ascii="宋体" w:hAnsi="宋体"/>
          <w:b/>
          <w:color w:val="auto"/>
          <w:sz w:val="21"/>
          <w:szCs w:val="21"/>
          <w:highlight w:val="none"/>
        </w:rPr>
        <w:t>时间</w:t>
      </w:r>
    </w:p>
    <w:p w14:paraId="48CA15AE">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11.1</w:t>
      </w:r>
      <w:r>
        <w:rPr>
          <w:rFonts w:hint="eastAsia" w:ascii="宋体" w:hAnsi="宋体" w:cs="宋体"/>
          <w:color w:val="auto"/>
          <w:kern w:val="0"/>
          <w:sz w:val="21"/>
          <w:szCs w:val="21"/>
          <w:highlight w:val="none"/>
        </w:rPr>
        <w:t>投标人提交投标文件截止</w:t>
      </w:r>
      <w:r>
        <w:rPr>
          <w:rFonts w:hint="eastAsia" w:ascii="宋体" w:hAnsi="宋体"/>
          <w:color w:val="auto"/>
          <w:sz w:val="21"/>
          <w:szCs w:val="21"/>
          <w:highlight w:val="none"/>
        </w:rPr>
        <w:t>时间见</w:t>
      </w:r>
      <w:r>
        <w:rPr>
          <w:rFonts w:hint="eastAsia" w:ascii="宋体" w:hAnsi="宋体"/>
          <w:b/>
          <w:color w:val="auto"/>
          <w:sz w:val="21"/>
          <w:szCs w:val="21"/>
          <w:highlight w:val="none"/>
        </w:rPr>
        <w:t>投标须知前附表</w:t>
      </w:r>
      <w:r>
        <w:rPr>
          <w:rFonts w:hint="eastAsia" w:ascii="宋体" w:hAnsi="宋体"/>
          <w:color w:val="auto"/>
          <w:sz w:val="21"/>
          <w:szCs w:val="21"/>
          <w:highlight w:val="none"/>
        </w:rPr>
        <w:t>。</w:t>
      </w:r>
    </w:p>
    <w:p w14:paraId="7310DA6D">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12.</w:t>
      </w:r>
      <w:r>
        <w:rPr>
          <w:rFonts w:hint="eastAsia" w:ascii="宋体" w:hAnsi="宋体"/>
          <w:color w:val="auto"/>
          <w:szCs w:val="21"/>
          <w:highlight w:val="none"/>
        </w:rPr>
        <w:t xml:space="preserve"> </w:t>
      </w:r>
      <w:r>
        <w:rPr>
          <w:rFonts w:hint="eastAsia" w:ascii="宋体" w:hAnsi="宋体"/>
          <w:b/>
          <w:bCs/>
          <w:color w:val="auto"/>
          <w:szCs w:val="21"/>
          <w:highlight w:val="none"/>
        </w:rPr>
        <w:t>采购文件的澄清</w:t>
      </w:r>
      <w:r>
        <w:rPr>
          <w:rFonts w:hint="eastAsia" w:ascii="宋体" w:hAnsi="宋体"/>
          <w:b/>
          <w:color w:val="auto"/>
          <w:kern w:val="0"/>
          <w:szCs w:val="21"/>
          <w:highlight w:val="none"/>
          <w:lang w:val="zh-CN"/>
        </w:rPr>
        <w:t>或者</w:t>
      </w:r>
      <w:r>
        <w:rPr>
          <w:rFonts w:hint="eastAsia" w:ascii="宋体" w:hAnsi="宋体"/>
          <w:b/>
          <w:bCs/>
          <w:color w:val="auto"/>
          <w:szCs w:val="21"/>
          <w:highlight w:val="none"/>
        </w:rPr>
        <w:t>修改</w:t>
      </w:r>
    </w:p>
    <w:p w14:paraId="59F9D974">
      <w:pPr>
        <w:adjustRightInd w:val="0"/>
        <w:snapToGrid w:val="0"/>
        <w:spacing w:line="360" w:lineRule="auto"/>
        <w:ind w:right="-105" w:rightChars="-50" w:firstLine="420" w:firstLineChars="200"/>
        <w:rPr>
          <w:rFonts w:ascii="宋体" w:hAnsi="宋体" w:cs="宋体"/>
          <w:color w:val="auto"/>
          <w:kern w:val="0"/>
          <w:szCs w:val="21"/>
          <w:highlight w:val="none"/>
        </w:rPr>
      </w:pPr>
      <w:bookmarkStart w:id="20" w:name="_Toc420948010"/>
      <w:r>
        <w:rPr>
          <w:rFonts w:hint="eastAsia" w:ascii="宋体" w:hAnsi="宋体"/>
          <w:color w:val="auto"/>
          <w:szCs w:val="21"/>
          <w:highlight w:val="none"/>
        </w:rPr>
        <w:t>12.1在</w:t>
      </w:r>
      <w:r>
        <w:rPr>
          <w:rFonts w:hint="eastAsia" w:ascii="宋体" w:hAnsi="宋体"/>
          <w:bCs/>
          <w:color w:val="auto"/>
          <w:szCs w:val="21"/>
          <w:highlight w:val="none"/>
        </w:rPr>
        <w:t>本章第11.1</w:t>
      </w:r>
      <w:r>
        <w:rPr>
          <w:rFonts w:hint="eastAsia" w:ascii="宋体" w:hAnsi="宋体" w:cs="宋体"/>
          <w:color w:val="auto"/>
          <w:kern w:val="0"/>
          <w:szCs w:val="21"/>
          <w:highlight w:val="none"/>
          <w:lang w:val="zh-CN"/>
        </w:rPr>
        <w:t>款</w:t>
      </w:r>
      <w:r>
        <w:rPr>
          <w:rFonts w:hint="eastAsia" w:ascii="宋体" w:hAnsi="宋体"/>
          <w:bCs/>
          <w:color w:val="auto"/>
          <w:szCs w:val="21"/>
          <w:highlight w:val="none"/>
        </w:rPr>
        <w:t>规定的</w:t>
      </w:r>
      <w:r>
        <w:rPr>
          <w:rFonts w:hint="eastAsia" w:ascii="宋体" w:hAnsi="宋体" w:cs="宋体"/>
          <w:color w:val="auto"/>
          <w:kern w:val="0"/>
          <w:szCs w:val="21"/>
          <w:highlight w:val="none"/>
        </w:rPr>
        <w:t xml:space="preserve">提交首次投标文件截止之日前，采购人、采购代理机构或者评审小组可以对已发出的采购文件进行必要的澄清或者修改。 </w:t>
      </w:r>
    </w:p>
    <w:p w14:paraId="6C440B77">
      <w:pPr>
        <w:adjustRightInd w:val="0"/>
        <w:snapToGrid w:val="0"/>
        <w:spacing w:line="360" w:lineRule="auto"/>
        <w:ind w:right="-105" w:rightChars="-50" w:firstLine="420" w:firstLineChars="200"/>
        <w:rPr>
          <w:rFonts w:ascii="宋体" w:hAnsi="宋体" w:cs="宋体"/>
          <w:color w:val="auto"/>
          <w:kern w:val="0"/>
          <w:szCs w:val="21"/>
          <w:highlight w:val="none"/>
        </w:rPr>
      </w:pPr>
      <w:r>
        <w:rPr>
          <w:rFonts w:hint="eastAsia" w:ascii="宋体" w:hAnsi="宋体"/>
          <w:color w:val="auto"/>
          <w:szCs w:val="21"/>
          <w:highlight w:val="none"/>
        </w:rPr>
        <w:t>12.2</w:t>
      </w:r>
      <w:r>
        <w:rPr>
          <w:rFonts w:hint="eastAsia" w:ascii="宋体" w:hAnsi="宋体" w:cs="宋体"/>
          <w:color w:val="auto"/>
          <w:kern w:val="0"/>
          <w:szCs w:val="21"/>
          <w:highlight w:val="none"/>
        </w:rPr>
        <w:t>澄清或者修改的内容可能影响投标文件编制的，采购人、采购代理机构或者评审小组应当在</w:t>
      </w:r>
      <w:r>
        <w:rPr>
          <w:rFonts w:hint="eastAsia" w:ascii="宋体" w:hAnsi="宋体"/>
          <w:bCs/>
          <w:color w:val="auto"/>
          <w:szCs w:val="21"/>
          <w:highlight w:val="none"/>
        </w:rPr>
        <w:t>本章第11.1</w:t>
      </w:r>
      <w:r>
        <w:rPr>
          <w:rFonts w:hint="eastAsia" w:ascii="宋体" w:hAnsi="宋体" w:cs="宋体"/>
          <w:color w:val="auto"/>
          <w:kern w:val="0"/>
          <w:szCs w:val="21"/>
          <w:highlight w:val="none"/>
          <w:lang w:val="zh-CN"/>
        </w:rPr>
        <w:t>款</w:t>
      </w:r>
      <w:r>
        <w:rPr>
          <w:rFonts w:hint="eastAsia" w:ascii="宋体" w:hAnsi="宋体"/>
          <w:bCs/>
          <w:color w:val="auto"/>
          <w:szCs w:val="21"/>
          <w:highlight w:val="none"/>
        </w:rPr>
        <w:t>规定的</w:t>
      </w:r>
      <w:r>
        <w:rPr>
          <w:rFonts w:hint="eastAsia" w:ascii="宋体" w:hAnsi="宋体" w:cs="宋体"/>
          <w:color w:val="auto"/>
          <w:kern w:val="0"/>
          <w:szCs w:val="21"/>
          <w:highlight w:val="none"/>
        </w:rPr>
        <w:t>提交首次投标文件截止之日5日前，以书面形式通知所有接收采购文件的</w:t>
      </w:r>
      <w:r>
        <w:rPr>
          <w:rFonts w:hint="eastAsia" w:ascii="宋体" w:hAnsi="宋体"/>
          <w:color w:val="auto"/>
          <w:szCs w:val="21"/>
          <w:highlight w:val="none"/>
        </w:rPr>
        <w:t>投标人</w:t>
      </w:r>
      <w:r>
        <w:rPr>
          <w:rFonts w:hint="eastAsia" w:ascii="宋体" w:hAnsi="宋体" w:cs="宋体"/>
          <w:color w:val="auto"/>
          <w:kern w:val="0"/>
          <w:szCs w:val="21"/>
          <w:highlight w:val="none"/>
        </w:rPr>
        <w:t>，不足5日的，顺延</w:t>
      </w:r>
      <w:r>
        <w:rPr>
          <w:rFonts w:hint="eastAsia" w:ascii="宋体" w:hAnsi="宋体"/>
          <w:color w:val="auto"/>
          <w:szCs w:val="21"/>
          <w:highlight w:val="none"/>
        </w:rPr>
        <w:t>投标人</w:t>
      </w:r>
      <w:r>
        <w:rPr>
          <w:rFonts w:hint="eastAsia" w:ascii="宋体" w:hAnsi="宋体" w:cs="宋体"/>
          <w:color w:val="auto"/>
          <w:kern w:val="0"/>
          <w:szCs w:val="21"/>
          <w:highlight w:val="none"/>
        </w:rPr>
        <w:t>提交首次投标文件截止时间。</w:t>
      </w:r>
      <w:r>
        <w:rPr>
          <w:rFonts w:hint="eastAsia" w:ascii="宋体" w:hAnsi="宋体"/>
          <w:color w:val="auto"/>
          <w:szCs w:val="21"/>
          <w:highlight w:val="none"/>
        </w:rPr>
        <w:t>澄清或者修改文件作为采购文件的组成部分对投标人具有约束力。</w:t>
      </w:r>
    </w:p>
    <w:p w14:paraId="3858DAF5">
      <w:pPr>
        <w:pStyle w:val="25"/>
        <w:adjustRightInd w:val="0"/>
        <w:snapToGrid w:val="0"/>
        <w:spacing w:line="360" w:lineRule="auto"/>
        <w:ind w:firstLine="420" w:firstLineChars="200"/>
        <w:rPr>
          <w:rFonts w:ascii="宋体" w:hAnsi="宋体" w:cs="宋体"/>
          <w:color w:val="auto"/>
          <w:kern w:val="0"/>
          <w:sz w:val="21"/>
          <w:szCs w:val="21"/>
          <w:highlight w:val="none"/>
        </w:rPr>
      </w:pPr>
      <w:r>
        <w:rPr>
          <w:rFonts w:hint="eastAsia" w:ascii="宋体" w:hAnsi="宋体"/>
          <w:color w:val="auto"/>
          <w:sz w:val="21"/>
          <w:szCs w:val="21"/>
          <w:highlight w:val="none"/>
        </w:rPr>
        <w:t>12.3</w:t>
      </w:r>
      <w:r>
        <w:rPr>
          <w:rFonts w:hint="eastAsia" w:ascii="宋体" w:hAnsi="宋体" w:cs="宋体"/>
          <w:color w:val="auto"/>
          <w:kern w:val="0"/>
          <w:sz w:val="21"/>
          <w:szCs w:val="21"/>
          <w:highlight w:val="none"/>
        </w:rPr>
        <w:t>投标人认为采购文件存在歧视性条款的，应在收到采购文件之日或者采购文件公告期限届满之日起7个工作日内以书面形式向本代理机构提出。</w:t>
      </w:r>
    </w:p>
    <w:p w14:paraId="3B9EB648">
      <w:pPr>
        <w:pStyle w:val="3"/>
        <w:rPr>
          <w:rFonts w:ascii="宋体" w:hAnsi="宋体"/>
          <w:color w:val="auto"/>
          <w:sz w:val="21"/>
          <w:szCs w:val="21"/>
          <w:highlight w:val="none"/>
        </w:rPr>
      </w:pPr>
      <w:bookmarkStart w:id="21" w:name="_Toc161933889"/>
      <w:r>
        <w:rPr>
          <w:rFonts w:hint="eastAsia" w:ascii="宋体" w:hAnsi="宋体"/>
          <w:color w:val="auto"/>
          <w:sz w:val="21"/>
          <w:szCs w:val="21"/>
          <w:highlight w:val="none"/>
        </w:rPr>
        <w:t>三、</w:t>
      </w:r>
      <w:bookmarkEnd w:id="20"/>
      <w:r>
        <w:rPr>
          <w:rFonts w:hint="eastAsia" w:ascii="宋体" w:hAnsi="宋体"/>
          <w:color w:val="auto"/>
          <w:sz w:val="21"/>
          <w:szCs w:val="21"/>
          <w:highlight w:val="none"/>
        </w:rPr>
        <w:t>投标文件</w:t>
      </w:r>
      <w:bookmarkEnd w:id="21"/>
    </w:p>
    <w:p w14:paraId="6979B32B">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13.一般要求</w:t>
      </w:r>
    </w:p>
    <w:p w14:paraId="143A3A6C">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13.1 投标人应仔细阅读</w:t>
      </w:r>
      <w:r>
        <w:rPr>
          <w:rFonts w:hint="eastAsia" w:ascii="宋体" w:hAnsi="宋体"/>
          <w:color w:val="auto"/>
          <w:szCs w:val="21"/>
          <w:highlight w:val="none"/>
        </w:rPr>
        <w:t>采购文件</w:t>
      </w:r>
      <w:r>
        <w:rPr>
          <w:rFonts w:hint="eastAsia" w:ascii="宋体" w:hAnsi="宋体"/>
          <w:bCs/>
          <w:color w:val="auto"/>
          <w:szCs w:val="21"/>
          <w:highlight w:val="none"/>
        </w:rPr>
        <w:t>的所有内容，按</w:t>
      </w:r>
      <w:r>
        <w:rPr>
          <w:rFonts w:hint="eastAsia" w:ascii="宋体" w:hAnsi="宋体"/>
          <w:color w:val="auto"/>
          <w:szCs w:val="21"/>
          <w:highlight w:val="none"/>
        </w:rPr>
        <w:t>采购文件</w:t>
      </w:r>
      <w:r>
        <w:rPr>
          <w:rFonts w:hint="eastAsia" w:ascii="宋体" w:hAnsi="宋体"/>
          <w:bCs/>
          <w:color w:val="auto"/>
          <w:szCs w:val="21"/>
          <w:highlight w:val="none"/>
        </w:rPr>
        <w:t>的要求编制</w:t>
      </w:r>
      <w:r>
        <w:rPr>
          <w:rFonts w:hint="eastAsia" w:ascii="宋体" w:hAnsi="宋体"/>
          <w:color w:val="auto"/>
          <w:szCs w:val="21"/>
          <w:highlight w:val="none"/>
        </w:rPr>
        <w:t>投标文件</w:t>
      </w:r>
      <w:r>
        <w:rPr>
          <w:rFonts w:hint="eastAsia" w:ascii="宋体" w:hAnsi="宋体"/>
          <w:bCs/>
          <w:color w:val="auto"/>
          <w:szCs w:val="21"/>
          <w:highlight w:val="none"/>
        </w:rPr>
        <w:t>，并保证所提供的全部资料的真实性，以使其</w:t>
      </w:r>
      <w:r>
        <w:rPr>
          <w:rFonts w:hint="eastAsia" w:ascii="宋体" w:hAnsi="宋体"/>
          <w:color w:val="auto"/>
          <w:szCs w:val="21"/>
          <w:highlight w:val="none"/>
        </w:rPr>
        <w:t>投标文件</w:t>
      </w:r>
      <w:r>
        <w:rPr>
          <w:rFonts w:hint="eastAsia" w:ascii="宋体" w:hAnsi="宋体"/>
          <w:bCs/>
          <w:color w:val="auto"/>
          <w:szCs w:val="21"/>
          <w:highlight w:val="none"/>
        </w:rPr>
        <w:t>对</w:t>
      </w:r>
      <w:r>
        <w:rPr>
          <w:rFonts w:hint="eastAsia" w:ascii="宋体" w:hAnsi="宋体"/>
          <w:color w:val="auto"/>
          <w:szCs w:val="21"/>
          <w:highlight w:val="none"/>
        </w:rPr>
        <w:t>采购文件</w:t>
      </w:r>
      <w:r>
        <w:rPr>
          <w:rFonts w:hint="eastAsia" w:ascii="宋体" w:hAnsi="宋体"/>
          <w:bCs/>
          <w:color w:val="auto"/>
          <w:szCs w:val="21"/>
          <w:highlight w:val="none"/>
        </w:rPr>
        <w:t>做出实质性的响应。</w:t>
      </w:r>
    </w:p>
    <w:p w14:paraId="01CBAA8B">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 xml:space="preserve">13.2 </w:t>
      </w:r>
      <w:r>
        <w:rPr>
          <w:rFonts w:hint="eastAsia" w:ascii="宋体" w:hAnsi="宋体"/>
          <w:color w:val="auto"/>
          <w:szCs w:val="21"/>
          <w:highlight w:val="none"/>
        </w:rPr>
        <w:t>投标人提交的投标文件及投标人与采购人或代理机构就有关投标的所有来往函电均使用中文。投标人可以提交其它语言的资料，但应附中文注释，在有差异时以中文为准。</w:t>
      </w:r>
    </w:p>
    <w:p w14:paraId="5841C755">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bCs/>
          <w:color w:val="auto"/>
          <w:sz w:val="21"/>
          <w:szCs w:val="21"/>
          <w:highlight w:val="none"/>
        </w:rPr>
        <w:t xml:space="preserve">13.3 </w:t>
      </w:r>
      <w:r>
        <w:rPr>
          <w:rFonts w:hint="eastAsia" w:ascii="宋体" w:hAnsi="宋体"/>
          <w:color w:val="auto"/>
          <w:sz w:val="21"/>
          <w:szCs w:val="21"/>
          <w:highlight w:val="none"/>
        </w:rPr>
        <w:t>计量单位应使用我国法定计量单位，未列明时应默认为我国法定计量单位。</w:t>
      </w:r>
    </w:p>
    <w:p w14:paraId="4AE8FC5C">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13.4 投标文件应采用书面形式，传真、电子邮件形式的投标文件概不接受。</w:t>
      </w:r>
    </w:p>
    <w:p w14:paraId="12BB1940">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13.5 投标人应按采购文件中提供的投标文件格式填写。</w:t>
      </w:r>
    </w:p>
    <w:p w14:paraId="447A5436">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14.</w:t>
      </w:r>
      <w:r>
        <w:rPr>
          <w:rFonts w:hint="eastAsia" w:ascii="宋体" w:hAnsi="宋体"/>
          <w:b/>
          <w:color w:val="auto"/>
          <w:szCs w:val="21"/>
          <w:highlight w:val="none"/>
        </w:rPr>
        <w:t>投标文件</w:t>
      </w:r>
      <w:r>
        <w:rPr>
          <w:rFonts w:hint="eastAsia" w:ascii="宋体" w:hAnsi="宋体"/>
          <w:b/>
          <w:bCs/>
          <w:color w:val="auto"/>
          <w:szCs w:val="21"/>
          <w:highlight w:val="none"/>
        </w:rPr>
        <w:t>的组成</w:t>
      </w:r>
    </w:p>
    <w:p w14:paraId="69C1EAA6">
      <w:pPr>
        <w:adjustRightInd w:val="0"/>
        <w:snapToGrid w:val="0"/>
        <w:spacing w:line="360" w:lineRule="auto"/>
        <w:ind w:firstLine="420" w:firstLineChars="200"/>
        <w:jc w:val="left"/>
        <w:rPr>
          <w:rFonts w:ascii="宋体" w:hAnsi="宋体"/>
          <w:color w:val="auto"/>
          <w:szCs w:val="21"/>
          <w:highlight w:val="none"/>
        </w:rPr>
      </w:pPr>
      <w:bookmarkStart w:id="22" w:name="_Toc427862404"/>
      <w:bookmarkStart w:id="23" w:name="_Toc428285922"/>
      <w:bookmarkStart w:id="24" w:name="_Toc432242303"/>
      <w:bookmarkStart w:id="25" w:name="_Toc432242402"/>
      <w:bookmarkStart w:id="26" w:name="_Toc432175092"/>
      <w:bookmarkStart w:id="27" w:name="_Toc432175034"/>
      <w:bookmarkStart w:id="28" w:name="_Toc432175154"/>
      <w:bookmarkStart w:id="29" w:name="_Toc420948011"/>
      <w:r>
        <w:rPr>
          <w:rFonts w:hint="eastAsia" w:ascii="宋体" w:hAnsi="宋体"/>
          <w:color w:val="auto"/>
          <w:szCs w:val="21"/>
          <w:highlight w:val="none"/>
        </w:rPr>
        <w:t>14.1 投标文件包括下列内容：</w:t>
      </w:r>
      <w:bookmarkEnd w:id="22"/>
      <w:bookmarkEnd w:id="23"/>
      <w:bookmarkEnd w:id="24"/>
      <w:bookmarkEnd w:id="25"/>
      <w:bookmarkEnd w:id="26"/>
      <w:bookmarkEnd w:id="27"/>
      <w:bookmarkEnd w:id="28"/>
      <w:bookmarkEnd w:id="29"/>
      <w:r>
        <w:rPr>
          <w:rFonts w:hint="eastAsia" w:ascii="宋体" w:hAnsi="宋体"/>
          <w:color w:val="auto"/>
          <w:szCs w:val="21"/>
          <w:highlight w:val="none"/>
        </w:rPr>
        <w:t xml:space="preserve"> </w:t>
      </w:r>
    </w:p>
    <w:p w14:paraId="502A2CA7">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（1）资格性自查表</w:t>
      </w:r>
    </w:p>
    <w:p w14:paraId="233A2CEA">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（2）投标函、投标声明</w:t>
      </w:r>
    </w:p>
    <w:p w14:paraId="001D74B3">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（3）投标保证金</w:t>
      </w:r>
    </w:p>
    <w:p w14:paraId="6CC8E1C7">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（4）报价一览表、报价明细表及报价说明</w:t>
      </w:r>
    </w:p>
    <w:p w14:paraId="6EB93C59">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（5）投标人的资格审查材料</w:t>
      </w:r>
    </w:p>
    <w:p w14:paraId="7738D224">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（6）项目方案</w:t>
      </w:r>
      <w:r>
        <w:rPr>
          <w:rFonts w:hint="eastAsia" w:ascii="宋体" w:hAnsi="宋体"/>
          <w:bCs/>
          <w:color w:val="auto"/>
          <w:szCs w:val="21"/>
          <w:highlight w:val="none"/>
        </w:rPr>
        <w:tab/>
      </w:r>
    </w:p>
    <w:p w14:paraId="060D2D81">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（7）响应/偏离表</w:t>
      </w:r>
      <w:r>
        <w:rPr>
          <w:rFonts w:hint="eastAsia" w:ascii="宋体" w:hAnsi="宋体"/>
          <w:bCs/>
          <w:color w:val="auto"/>
          <w:szCs w:val="21"/>
          <w:highlight w:val="none"/>
        </w:rPr>
        <w:tab/>
      </w:r>
    </w:p>
    <w:p w14:paraId="001757CD">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（8）投标人认为需要提供的其它资料</w:t>
      </w:r>
      <w:r>
        <w:rPr>
          <w:rFonts w:hint="eastAsia" w:ascii="宋体" w:hAnsi="宋体"/>
          <w:bCs/>
          <w:color w:val="auto"/>
          <w:szCs w:val="21"/>
          <w:highlight w:val="none"/>
        </w:rPr>
        <w:tab/>
      </w:r>
    </w:p>
    <w:p w14:paraId="49B104F1">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14.2根据《政府采购法》第四十二条的规定，投标人无论中标与否，其投标文件不予退还。</w:t>
      </w:r>
    </w:p>
    <w:p w14:paraId="46617E42">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15.报价</w:t>
      </w:r>
    </w:p>
    <w:p w14:paraId="5507E06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15.1投标人应当根据采购文件要求和采购内容，以</w:t>
      </w:r>
      <w:r>
        <w:rPr>
          <w:rFonts w:hint="eastAsia" w:ascii="宋体" w:hAnsi="宋体"/>
          <w:bCs/>
          <w:color w:val="auto"/>
          <w:szCs w:val="21"/>
          <w:highlight w:val="none"/>
        </w:rPr>
        <w:t>人民币</w:t>
      </w:r>
      <w:r>
        <w:rPr>
          <w:rFonts w:hint="eastAsia" w:ascii="宋体" w:hAnsi="宋体"/>
          <w:color w:val="auto"/>
          <w:szCs w:val="21"/>
          <w:highlight w:val="none"/>
        </w:rPr>
        <w:t>报价，以元为单位，保留小数点后两位。</w:t>
      </w:r>
    </w:p>
    <w:p w14:paraId="78CF9943">
      <w:pPr>
        <w:pStyle w:val="114"/>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15.2投标报价是履行合同的最终价格，应包括为完成本项目采购范围内所有服务费的总和，投标人应结合市场状况、工作成本进行自主报价，投标报价应包括为履行本项目所必须所须发生的全部费用和投标人应承担的一切税费，包括完成满足实体检测、节能检测要求的一切费用(含税金)，包括但不限于仪器设备费、检测费、技术工作费、报告文本费、规费及税金等一切费用（包含为达到检测条件所需的其他费用）。各综合单价不因检测数量变化、位置、市场价格波动、政策变化及所有不可预见等因素改变而增减。投标人漏报的单价或每项单价报价中漏报、少报的费用，视为此项费用已包含在已标价分项报价的单价和合价中，中标后不予调整。</w:t>
      </w:r>
    </w:p>
    <w:p w14:paraId="5CEEC64D">
      <w:pPr>
        <w:pStyle w:val="114"/>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15.3投标人应按第四章“采购需求”要求及第五章“投标文件格式”格式填写。投标人在</w:t>
      </w:r>
      <w:r>
        <w:rPr>
          <w:rFonts w:hint="eastAsia" w:ascii="宋体" w:hAnsi="宋体"/>
          <w:bCs/>
          <w:color w:val="auto"/>
          <w:highlight w:val="none"/>
        </w:rPr>
        <w:t>本章第11.1</w:t>
      </w:r>
      <w:r>
        <w:rPr>
          <w:rFonts w:hint="eastAsia" w:ascii="宋体" w:hAnsi="宋体" w:cs="宋体"/>
          <w:color w:val="auto"/>
          <w:highlight w:val="none"/>
          <w:lang w:val="zh-CN"/>
        </w:rPr>
        <w:t>款</w:t>
      </w:r>
      <w:r>
        <w:rPr>
          <w:rFonts w:hint="eastAsia" w:ascii="宋体" w:hAnsi="宋体"/>
          <w:bCs/>
          <w:color w:val="auto"/>
          <w:highlight w:val="none"/>
        </w:rPr>
        <w:t>规定的</w:t>
      </w:r>
      <w:r>
        <w:rPr>
          <w:rFonts w:hint="eastAsia" w:ascii="宋体" w:hAnsi="宋体" w:cs="宋体"/>
          <w:color w:val="auto"/>
          <w:highlight w:val="none"/>
        </w:rPr>
        <w:t>提交</w:t>
      </w:r>
      <w:r>
        <w:rPr>
          <w:rFonts w:hint="eastAsia" w:ascii="宋体" w:hAnsi="宋体"/>
          <w:color w:val="auto"/>
          <w:highlight w:val="none"/>
        </w:rPr>
        <w:t>投标文件</w:t>
      </w:r>
      <w:r>
        <w:rPr>
          <w:rFonts w:hint="eastAsia" w:ascii="宋体" w:hAnsi="宋体" w:cs="宋体"/>
          <w:color w:val="auto"/>
          <w:highlight w:val="none"/>
        </w:rPr>
        <w:t>截止之日前</w:t>
      </w:r>
      <w:r>
        <w:rPr>
          <w:rFonts w:hint="eastAsia" w:ascii="宋体" w:hAnsi="宋体"/>
          <w:color w:val="auto"/>
          <w:highlight w:val="none"/>
        </w:rPr>
        <w:t>修改报价，应同时修改其按第五章要求填写的相应表格中的报价。此修改须符合本章第21.1款的有关要求。</w:t>
      </w:r>
    </w:p>
    <w:p w14:paraId="34FD26D0">
      <w:pPr>
        <w:pStyle w:val="114"/>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15.4投标文件中标明的价格在合同执行过程中是固定不变的，不得以任何理由予以变更。以可变动价格提交的报价将被认为是非实质响应而被拒绝。</w:t>
      </w:r>
    </w:p>
    <w:p w14:paraId="2F288458">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15.5</w:t>
      </w:r>
      <w:r>
        <w:rPr>
          <w:rFonts w:hint="eastAsia" w:ascii="宋体" w:hAnsi="宋体" w:cs="宋体"/>
          <w:color w:val="auto"/>
          <w:kern w:val="0"/>
          <w:sz w:val="21"/>
          <w:szCs w:val="21"/>
          <w:highlight w:val="none"/>
          <w:lang w:val="zh-CN"/>
        </w:rPr>
        <w:t>投标人</w:t>
      </w:r>
      <w:r>
        <w:rPr>
          <w:rFonts w:hint="eastAsia" w:ascii="宋体" w:hAnsi="宋体"/>
          <w:color w:val="auto"/>
          <w:sz w:val="21"/>
          <w:szCs w:val="21"/>
          <w:highlight w:val="none"/>
        </w:rPr>
        <w:t>的报价不得超过采购项目预算，采购项目预算见</w:t>
      </w:r>
      <w:r>
        <w:rPr>
          <w:rFonts w:hint="eastAsia" w:ascii="宋体" w:hAnsi="宋体"/>
          <w:b/>
          <w:color w:val="auto"/>
          <w:sz w:val="21"/>
          <w:szCs w:val="21"/>
          <w:highlight w:val="none"/>
        </w:rPr>
        <w:t>投标须知前附表</w:t>
      </w:r>
      <w:r>
        <w:rPr>
          <w:rFonts w:hint="eastAsia" w:ascii="宋体" w:hAnsi="宋体"/>
          <w:color w:val="auto"/>
          <w:sz w:val="21"/>
          <w:szCs w:val="21"/>
          <w:highlight w:val="none"/>
        </w:rPr>
        <w:t>。</w:t>
      </w:r>
    </w:p>
    <w:p w14:paraId="3AC57920">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15.6采购人不保证将合同授予最低报价的投标人。</w:t>
      </w:r>
    </w:p>
    <w:p w14:paraId="0800A130">
      <w:pPr>
        <w:pStyle w:val="25"/>
        <w:adjustRightInd w:val="0"/>
        <w:snapToGrid w:val="0"/>
        <w:spacing w:line="360" w:lineRule="auto"/>
        <w:rPr>
          <w:rFonts w:ascii="宋体" w:hAnsi="宋体"/>
          <w:b/>
          <w:color w:val="auto"/>
          <w:sz w:val="21"/>
          <w:szCs w:val="21"/>
          <w:highlight w:val="none"/>
        </w:rPr>
      </w:pPr>
      <w:r>
        <w:rPr>
          <w:rFonts w:hint="eastAsia" w:ascii="宋体" w:hAnsi="宋体"/>
          <w:b/>
          <w:color w:val="auto"/>
          <w:sz w:val="21"/>
          <w:szCs w:val="21"/>
          <w:highlight w:val="none"/>
        </w:rPr>
        <w:t>16.符合采购文件规定的证明文件</w:t>
      </w:r>
    </w:p>
    <w:p w14:paraId="24110550">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16.1投标人</w:t>
      </w:r>
      <w:r>
        <w:rPr>
          <w:rFonts w:hint="eastAsia" w:ascii="宋体" w:hAnsi="宋体"/>
          <w:color w:val="auto"/>
          <w:szCs w:val="21"/>
          <w:highlight w:val="none"/>
        </w:rPr>
        <w:t>符合采购文件规定的资格证明文件</w:t>
      </w:r>
    </w:p>
    <w:p w14:paraId="7122F6F8">
      <w:pPr>
        <w:adjustRightInd w:val="0"/>
        <w:snapToGrid w:val="0"/>
        <w:spacing w:line="360" w:lineRule="auto"/>
        <w:ind w:firstLine="420" w:firstLineChars="200"/>
        <w:rPr>
          <w:rFonts w:ascii="宋体" w:hAnsi="宋体"/>
          <w:color w:val="auto"/>
          <w:szCs w:val="21"/>
          <w:highlight w:val="none"/>
        </w:rPr>
      </w:pPr>
      <w:r>
        <w:rPr>
          <w:rFonts w:hint="eastAsia" w:ascii="宋体" w:hAnsi="宋体" w:cs="宋体"/>
          <w:color w:val="auto"/>
          <w:kern w:val="0"/>
          <w:szCs w:val="21"/>
          <w:highlight w:val="none"/>
          <w:lang w:val="zh-CN"/>
        </w:rPr>
        <w:t>16.1.1</w:t>
      </w:r>
      <w:r>
        <w:rPr>
          <w:rFonts w:hint="eastAsia" w:ascii="宋体" w:hAnsi="宋体"/>
          <w:color w:val="auto"/>
          <w:szCs w:val="21"/>
          <w:highlight w:val="none"/>
        </w:rPr>
        <w:t>投标人应提供资格证明材料，以证实其各项条件能满足本章第3.1</w:t>
      </w:r>
      <w:r>
        <w:rPr>
          <w:rFonts w:hint="eastAsia" w:ascii="宋体" w:hAnsi="宋体" w:cs="宋体"/>
          <w:color w:val="auto"/>
          <w:kern w:val="0"/>
          <w:szCs w:val="21"/>
          <w:highlight w:val="none"/>
          <w:lang w:val="zh-CN"/>
        </w:rPr>
        <w:t>款</w:t>
      </w:r>
      <w:r>
        <w:rPr>
          <w:rFonts w:hint="eastAsia" w:ascii="宋体" w:hAnsi="宋体"/>
          <w:color w:val="auto"/>
          <w:szCs w:val="21"/>
          <w:highlight w:val="none"/>
        </w:rPr>
        <w:t>规定的投标人资格条件要求。</w:t>
      </w:r>
    </w:p>
    <w:p w14:paraId="6CC4F470">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16.1.2</w:t>
      </w:r>
      <w:r>
        <w:rPr>
          <w:rFonts w:hint="eastAsia" w:ascii="宋体" w:hAnsi="宋体" w:cs="宋体"/>
          <w:color w:val="auto"/>
          <w:kern w:val="0"/>
          <w:szCs w:val="21"/>
          <w:highlight w:val="none"/>
          <w:lang w:val="zh-CN"/>
        </w:rPr>
        <w:t>投标人</w:t>
      </w:r>
      <w:r>
        <w:rPr>
          <w:rFonts w:hint="eastAsia" w:ascii="宋体" w:hAnsi="宋体"/>
          <w:color w:val="auto"/>
          <w:szCs w:val="21"/>
          <w:highlight w:val="none"/>
        </w:rPr>
        <w:t>为联合体形式的，则应提交联合体各方资格文件、联合体协议，否则将视为非实质而被拒绝。</w:t>
      </w:r>
    </w:p>
    <w:p w14:paraId="55BC4FC3">
      <w:pPr>
        <w:adjustRightInd w:val="0"/>
        <w:snapToGrid w:val="0"/>
        <w:spacing w:line="360" w:lineRule="auto"/>
        <w:ind w:firstLine="420" w:firstLineChars="200"/>
        <w:rPr>
          <w:rFonts w:ascii="宋体" w:hAnsi="宋体"/>
          <w:color w:val="auto"/>
          <w:szCs w:val="21"/>
          <w:highlight w:val="none"/>
        </w:rPr>
      </w:pPr>
      <w:r>
        <w:rPr>
          <w:rFonts w:hint="eastAsia" w:ascii="宋体" w:hAnsi="宋体" w:cs="宋体"/>
          <w:color w:val="auto"/>
          <w:kern w:val="0"/>
          <w:szCs w:val="21"/>
          <w:highlight w:val="none"/>
          <w:lang w:val="zh-CN"/>
        </w:rPr>
        <w:t>16.1.3</w:t>
      </w:r>
      <w:r>
        <w:rPr>
          <w:rFonts w:hint="eastAsia" w:ascii="宋体" w:hAnsi="宋体"/>
          <w:color w:val="auto"/>
          <w:szCs w:val="21"/>
          <w:highlight w:val="none"/>
        </w:rPr>
        <w:t>至</w:t>
      </w:r>
      <w:r>
        <w:rPr>
          <w:rFonts w:hint="eastAsia" w:ascii="宋体" w:hAnsi="宋体" w:cs="宋体"/>
          <w:color w:val="auto"/>
          <w:kern w:val="0"/>
          <w:szCs w:val="21"/>
          <w:highlight w:val="none"/>
        </w:rPr>
        <w:t>提交首次投标文件</w:t>
      </w:r>
      <w:r>
        <w:rPr>
          <w:rFonts w:hint="eastAsia" w:ascii="宋体" w:hAnsi="宋体"/>
          <w:color w:val="auto"/>
          <w:szCs w:val="21"/>
          <w:highlight w:val="none"/>
        </w:rPr>
        <w:t>止，投标人资格条件发生重大变化，影响或者可能影响资格条件的，投标人应更新或者补充提供的资格证明材料，以证实其各项条件仍能继续满足本章第3.1</w:t>
      </w:r>
      <w:r>
        <w:rPr>
          <w:rFonts w:hint="eastAsia" w:ascii="宋体" w:hAnsi="宋体" w:cs="宋体"/>
          <w:color w:val="auto"/>
          <w:kern w:val="0"/>
          <w:szCs w:val="21"/>
          <w:highlight w:val="none"/>
          <w:lang w:val="zh-CN"/>
        </w:rPr>
        <w:t>款</w:t>
      </w:r>
      <w:r>
        <w:rPr>
          <w:rFonts w:hint="eastAsia" w:ascii="宋体" w:hAnsi="宋体"/>
          <w:color w:val="auto"/>
          <w:szCs w:val="21"/>
          <w:highlight w:val="none"/>
        </w:rPr>
        <w:t>规定的投标人资格条件要求。</w:t>
      </w:r>
    </w:p>
    <w:p w14:paraId="28F86719">
      <w:pPr>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16.1.4投标人应当提交符合采购文件规定的业绩证明文件,该证明文件作为投标文件的一部分，业绩证明文件要求详见</w:t>
      </w:r>
      <w:r>
        <w:rPr>
          <w:rFonts w:hint="eastAsia" w:ascii="宋体" w:hAnsi="宋体"/>
          <w:b/>
          <w:color w:val="auto"/>
          <w:szCs w:val="21"/>
          <w:highlight w:val="none"/>
        </w:rPr>
        <w:t>投标须知前附表</w:t>
      </w:r>
      <w:r>
        <w:rPr>
          <w:rFonts w:hint="eastAsia" w:ascii="宋体" w:hAnsi="宋体" w:cs="宋体"/>
          <w:color w:val="auto"/>
          <w:kern w:val="0"/>
          <w:szCs w:val="21"/>
          <w:highlight w:val="none"/>
        </w:rPr>
        <w:t>。</w:t>
      </w:r>
    </w:p>
    <w:p w14:paraId="5C740F03">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16.2投标人对本采购文件中加注星号（“</w:t>
      </w:r>
      <w:r>
        <w:rPr>
          <w:rFonts w:hint="eastAsia" w:ascii="宋体" w:hAnsi="宋体" w:cs="宋体"/>
          <w:b/>
          <w:color w:val="auto"/>
          <w:kern w:val="0"/>
          <w:szCs w:val="21"/>
          <w:highlight w:val="none"/>
        </w:rPr>
        <w:t>★</w:t>
      </w:r>
      <w:r>
        <w:rPr>
          <w:rFonts w:hint="eastAsia" w:ascii="宋体" w:hAnsi="宋体" w:cs="宋体"/>
          <w:color w:val="auto"/>
          <w:kern w:val="0"/>
          <w:szCs w:val="21"/>
          <w:highlight w:val="none"/>
        </w:rPr>
        <w:t>”）的重要技术条款或技术参数应当在投标文件中进行重点全面描述及承诺，并提供相应技术支持资料。技术支持资料以货物制造商公开发布的印刷资料或经国家机关认可的检测机构出具的检测报告为准。</w:t>
      </w:r>
    </w:p>
    <w:p w14:paraId="2F00153B">
      <w:pPr>
        <w:pStyle w:val="25"/>
        <w:adjustRightInd w:val="0"/>
        <w:snapToGrid w:val="0"/>
        <w:spacing w:line="360" w:lineRule="auto"/>
        <w:rPr>
          <w:rFonts w:ascii="宋体" w:hAnsi="宋体"/>
          <w:b/>
          <w:color w:val="auto"/>
          <w:sz w:val="21"/>
          <w:szCs w:val="21"/>
          <w:highlight w:val="none"/>
        </w:rPr>
      </w:pPr>
      <w:r>
        <w:rPr>
          <w:rFonts w:hint="eastAsia" w:ascii="宋体" w:hAnsi="宋体"/>
          <w:b/>
          <w:color w:val="auto"/>
          <w:sz w:val="21"/>
          <w:szCs w:val="21"/>
          <w:highlight w:val="none"/>
        </w:rPr>
        <w:t>17. 投标保证金</w:t>
      </w:r>
    </w:p>
    <w:p w14:paraId="002E9037">
      <w:pPr>
        <w:pStyle w:val="25"/>
        <w:adjustRightInd w:val="0"/>
        <w:snapToGrid w:val="0"/>
        <w:spacing w:line="360" w:lineRule="auto"/>
        <w:ind w:firstLine="420" w:firstLineChars="200"/>
        <w:rPr>
          <w:rFonts w:ascii="宋体" w:hAnsi="宋体"/>
          <w:bCs/>
          <w:color w:val="auto"/>
          <w:sz w:val="21"/>
          <w:szCs w:val="21"/>
          <w:highlight w:val="none"/>
        </w:rPr>
      </w:pPr>
      <w:r>
        <w:rPr>
          <w:rFonts w:hint="eastAsia" w:ascii="宋体" w:hAnsi="宋体"/>
          <w:color w:val="auto"/>
          <w:sz w:val="21"/>
          <w:szCs w:val="21"/>
          <w:highlight w:val="none"/>
        </w:rPr>
        <w:t>17.1</w:t>
      </w:r>
      <w:r>
        <w:rPr>
          <w:rFonts w:hint="eastAsia" w:ascii="宋体" w:hAnsi="宋体"/>
          <w:b/>
          <w:color w:val="auto"/>
          <w:sz w:val="21"/>
          <w:szCs w:val="21"/>
          <w:highlight w:val="none"/>
        </w:rPr>
        <w:t>投标须知前附表</w:t>
      </w:r>
      <w:r>
        <w:rPr>
          <w:rFonts w:hint="eastAsia" w:ascii="宋体" w:hAnsi="宋体"/>
          <w:color w:val="auto"/>
          <w:sz w:val="21"/>
          <w:szCs w:val="21"/>
          <w:highlight w:val="none"/>
        </w:rPr>
        <w:t>规定提交投标保证金的，应按</w:t>
      </w:r>
      <w:r>
        <w:rPr>
          <w:rFonts w:hint="eastAsia" w:ascii="宋体" w:hAnsi="宋体"/>
          <w:b/>
          <w:color w:val="auto"/>
          <w:sz w:val="21"/>
          <w:szCs w:val="21"/>
          <w:highlight w:val="none"/>
        </w:rPr>
        <w:t>投标须知前附表</w:t>
      </w:r>
      <w:r>
        <w:rPr>
          <w:rFonts w:hint="eastAsia" w:ascii="宋体" w:hAnsi="宋体"/>
          <w:color w:val="auto"/>
          <w:sz w:val="21"/>
          <w:szCs w:val="21"/>
          <w:highlight w:val="none"/>
        </w:rPr>
        <w:t>规定的形式、金额，在本章第11.1</w:t>
      </w:r>
      <w:r>
        <w:rPr>
          <w:rFonts w:hint="eastAsia" w:ascii="宋体" w:hAnsi="宋体" w:cs="宋体"/>
          <w:color w:val="auto"/>
          <w:kern w:val="0"/>
          <w:sz w:val="21"/>
          <w:szCs w:val="21"/>
          <w:highlight w:val="none"/>
          <w:lang w:val="zh-CN"/>
        </w:rPr>
        <w:t>款</w:t>
      </w:r>
      <w:r>
        <w:rPr>
          <w:rFonts w:hint="eastAsia" w:ascii="宋体" w:hAnsi="宋体"/>
          <w:color w:val="auto"/>
          <w:sz w:val="21"/>
          <w:szCs w:val="21"/>
          <w:highlight w:val="none"/>
        </w:rPr>
        <w:t>规定的</w:t>
      </w:r>
      <w:r>
        <w:rPr>
          <w:rFonts w:hint="eastAsia" w:ascii="宋体" w:hAnsi="宋体" w:cs="宋体"/>
          <w:color w:val="auto"/>
          <w:kern w:val="0"/>
          <w:sz w:val="21"/>
          <w:szCs w:val="21"/>
          <w:highlight w:val="none"/>
        </w:rPr>
        <w:t>提交</w:t>
      </w:r>
      <w:r>
        <w:rPr>
          <w:rFonts w:hint="eastAsia" w:ascii="宋体" w:hAnsi="宋体"/>
          <w:color w:val="auto"/>
          <w:sz w:val="21"/>
          <w:szCs w:val="21"/>
          <w:highlight w:val="none"/>
        </w:rPr>
        <w:t>投标文件</w:t>
      </w:r>
      <w:r>
        <w:rPr>
          <w:rFonts w:hint="eastAsia" w:ascii="宋体" w:hAnsi="宋体" w:cs="宋体"/>
          <w:color w:val="auto"/>
          <w:kern w:val="0"/>
          <w:sz w:val="21"/>
          <w:szCs w:val="21"/>
          <w:highlight w:val="none"/>
        </w:rPr>
        <w:t>截止时间</w:t>
      </w:r>
      <w:r>
        <w:rPr>
          <w:rFonts w:hint="eastAsia" w:ascii="宋体" w:hAnsi="宋体"/>
          <w:color w:val="auto"/>
          <w:sz w:val="21"/>
          <w:szCs w:val="21"/>
          <w:highlight w:val="none"/>
        </w:rPr>
        <w:t>前，</w:t>
      </w:r>
      <w:r>
        <w:rPr>
          <w:rFonts w:hint="eastAsia" w:ascii="宋体" w:hAnsi="宋体"/>
          <w:bCs/>
          <w:color w:val="auto"/>
          <w:sz w:val="21"/>
          <w:szCs w:val="21"/>
          <w:highlight w:val="none"/>
        </w:rPr>
        <w:t>提交投标保证金</w:t>
      </w:r>
      <w:r>
        <w:rPr>
          <w:rFonts w:hint="eastAsia" w:ascii="宋体" w:hAnsi="宋体"/>
          <w:color w:val="auto"/>
          <w:sz w:val="21"/>
          <w:szCs w:val="21"/>
          <w:highlight w:val="none"/>
        </w:rPr>
        <w:t>。</w:t>
      </w:r>
      <w:r>
        <w:rPr>
          <w:rFonts w:hint="eastAsia" w:ascii="宋体" w:hAnsi="宋体"/>
          <w:bCs/>
          <w:color w:val="auto"/>
          <w:sz w:val="21"/>
          <w:szCs w:val="21"/>
          <w:highlight w:val="none"/>
        </w:rPr>
        <w:t>投标保证金有效期应当与</w:t>
      </w:r>
      <w:r>
        <w:rPr>
          <w:rFonts w:hint="eastAsia" w:ascii="宋体" w:hAnsi="宋体"/>
          <w:color w:val="auto"/>
          <w:sz w:val="21"/>
          <w:szCs w:val="21"/>
          <w:highlight w:val="none"/>
        </w:rPr>
        <w:t>本章第18.1</w:t>
      </w:r>
      <w:r>
        <w:rPr>
          <w:rFonts w:hint="eastAsia" w:ascii="宋体" w:hAnsi="宋体" w:cs="宋体"/>
          <w:color w:val="auto"/>
          <w:kern w:val="0"/>
          <w:sz w:val="21"/>
          <w:szCs w:val="21"/>
          <w:highlight w:val="none"/>
          <w:lang w:val="zh-CN"/>
        </w:rPr>
        <w:t>款</w:t>
      </w:r>
      <w:r>
        <w:rPr>
          <w:rFonts w:hint="eastAsia" w:ascii="宋体" w:hAnsi="宋体"/>
          <w:color w:val="auto"/>
          <w:sz w:val="21"/>
          <w:szCs w:val="21"/>
          <w:highlight w:val="none"/>
        </w:rPr>
        <w:t>规定的投标文件</w:t>
      </w:r>
      <w:r>
        <w:rPr>
          <w:rFonts w:hint="eastAsia" w:ascii="宋体" w:hAnsi="宋体"/>
          <w:bCs/>
          <w:color w:val="auto"/>
          <w:sz w:val="21"/>
          <w:szCs w:val="21"/>
          <w:highlight w:val="none"/>
        </w:rPr>
        <w:t>有效期一致。</w:t>
      </w:r>
    </w:p>
    <w:p w14:paraId="012FF01E">
      <w:pPr>
        <w:adjustRightInd w:val="0"/>
        <w:snapToGrid w:val="0"/>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17.2</w:t>
      </w:r>
      <w:r>
        <w:rPr>
          <w:rFonts w:hint="eastAsia" w:ascii="宋体" w:hAnsi="宋体" w:cs="宋体"/>
          <w:color w:val="auto"/>
          <w:kern w:val="0"/>
          <w:szCs w:val="21"/>
          <w:highlight w:val="none"/>
          <w:lang w:val="zh-CN"/>
        </w:rPr>
        <w:t>投标人为联合体的，可以由联合体中的一方或者共同交纳投标保证金，其交纳的投标保证金，对联合体各方均具有约束力。</w:t>
      </w:r>
    </w:p>
    <w:p w14:paraId="108BA25D">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17.3 未按采购文件规定提交投标保证金的，</w:t>
      </w:r>
      <w:r>
        <w:rPr>
          <w:rFonts w:hint="eastAsia" w:ascii="宋体" w:hAnsi="宋体"/>
          <w:bCs/>
          <w:color w:val="auto"/>
          <w:sz w:val="21"/>
          <w:szCs w:val="21"/>
          <w:highlight w:val="none"/>
        </w:rPr>
        <w:t>其</w:t>
      </w:r>
      <w:r>
        <w:rPr>
          <w:rFonts w:hint="eastAsia" w:ascii="宋体" w:hAnsi="宋体"/>
          <w:color w:val="auto"/>
          <w:sz w:val="21"/>
          <w:szCs w:val="21"/>
          <w:highlight w:val="none"/>
        </w:rPr>
        <w:t>投标文件</w:t>
      </w:r>
      <w:r>
        <w:rPr>
          <w:rFonts w:hint="eastAsia" w:ascii="宋体" w:hAnsi="宋体"/>
          <w:bCs/>
          <w:color w:val="auto"/>
          <w:sz w:val="21"/>
          <w:szCs w:val="21"/>
          <w:highlight w:val="none"/>
        </w:rPr>
        <w:t>无效</w:t>
      </w:r>
      <w:r>
        <w:rPr>
          <w:rFonts w:hint="eastAsia" w:ascii="宋体" w:hAnsi="宋体"/>
          <w:color w:val="auto"/>
          <w:sz w:val="21"/>
          <w:szCs w:val="21"/>
          <w:highlight w:val="none"/>
        </w:rPr>
        <w:t>。</w:t>
      </w:r>
    </w:p>
    <w:p w14:paraId="3EAD313A">
      <w:pPr>
        <w:pStyle w:val="25"/>
        <w:tabs>
          <w:tab w:val="left" w:pos="6300"/>
        </w:tabs>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17.4代理机构在中标通知书发出后5个工作日内退还未中标投标人的投标保证金；在采购合同签定后5个工作日内退还中标投标人的投标保证金，但因投标人自身原因导致无法及时退还的除外。</w:t>
      </w:r>
    </w:p>
    <w:p w14:paraId="289F7075">
      <w:pPr>
        <w:pStyle w:val="25"/>
        <w:adjustRightInd w:val="0"/>
        <w:snapToGrid w:val="0"/>
        <w:spacing w:line="360" w:lineRule="auto"/>
        <w:ind w:firstLine="420" w:firstLineChars="200"/>
        <w:rPr>
          <w:rFonts w:ascii="宋体" w:hAnsi="宋体"/>
          <w:color w:val="auto"/>
          <w:kern w:val="0"/>
          <w:sz w:val="21"/>
          <w:szCs w:val="21"/>
          <w:highlight w:val="none"/>
        </w:rPr>
      </w:pPr>
      <w:r>
        <w:rPr>
          <w:rFonts w:hint="eastAsia" w:ascii="宋体" w:hAnsi="宋体"/>
          <w:color w:val="auto"/>
          <w:sz w:val="21"/>
          <w:szCs w:val="21"/>
          <w:highlight w:val="none"/>
        </w:rPr>
        <w:t xml:space="preserve">17.5 </w:t>
      </w:r>
      <w:r>
        <w:rPr>
          <w:rFonts w:hint="eastAsia" w:ascii="宋体" w:hAnsi="宋体"/>
          <w:color w:val="auto"/>
          <w:kern w:val="0"/>
          <w:sz w:val="21"/>
          <w:szCs w:val="21"/>
          <w:highlight w:val="none"/>
        </w:rPr>
        <w:t>有下列情形之一的，投标保证金不予退还：</w:t>
      </w:r>
    </w:p>
    <w:p w14:paraId="6E39E8BA">
      <w:pPr>
        <w:pStyle w:val="25"/>
        <w:adjustRightInd w:val="0"/>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（1）投标人在提交投标文件截止时间后撤回投标文件的；</w:t>
      </w:r>
    </w:p>
    <w:p w14:paraId="28B420EB">
      <w:pPr>
        <w:pStyle w:val="25"/>
        <w:adjustRightInd w:val="0"/>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（2）投标人在投标文件中提供虚假材料的；</w:t>
      </w:r>
    </w:p>
    <w:p w14:paraId="36F5E4D3">
      <w:pPr>
        <w:pStyle w:val="25"/>
        <w:adjustRightInd w:val="0"/>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（3）除因不可抗力或采购文件认可的情形以外，中标投标人不与采购人签订合同的；</w:t>
      </w:r>
    </w:p>
    <w:p w14:paraId="25935C91">
      <w:pPr>
        <w:pStyle w:val="25"/>
        <w:adjustRightInd w:val="0"/>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（4）投标人与采购人、其他投标人或者采购代理机构恶意串通的；</w:t>
      </w:r>
    </w:p>
    <w:p w14:paraId="4986C43C">
      <w:pPr>
        <w:pStyle w:val="25"/>
        <w:adjustRightInd w:val="0"/>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（5）采购文件规定的其他情形。</w:t>
      </w:r>
    </w:p>
    <w:p w14:paraId="64EE233D">
      <w:pPr>
        <w:pStyle w:val="25"/>
        <w:adjustRightInd w:val="0"/>
        <w:snapToGrid w:val="0"/>
        <w:spacing w:line="360" w:lineRule="auto"/>
        <w:ind w:left="-2" w:leftChars="-1"/>
        <w:rPr>
          <w:rFonts w:ascii="宋体" w:hAnsi="宋体"/>
          <w:b/>
          <w:bCs/>
          <w:color w:val="auto"/>
          <w:sz w:val="21"/>
          <w:szCs w:val="21"/>
          <w:highlight w:val="none"/>
        </w:rPr>
      </w:pPr>
      <w:r>
        <w:rPr>
          <w:rFonts w:hint="eastAsia" w:ascii="宋体" w:hAnsi="宋体"/>
          <w:b/>
          <w:bCs/>
          <w:color w:val="auto"/>
          <w:sz w:val="21"/>
          <w:szCs w:val="21"/>
          <w:highlight w:val="none"/>
        </w:rPr>
        <w:t>18.</w:t>
      </w:r>
      <w:r>
        <w:rPr>
          <w:rFonts w:hint="eastAsia" w:ascii="宋体" w:hAnsi="宋体"/>
          <w:color w:val="auto"/>
          <w:sz w:val="21"/>
          <w:szCs w:val="21"/>
          <w:highlight w:val="none"/>
        </w:rPr>
        <w:t xml:space="preserve"> </w:t>
      </w:r>
      <w:r>
        <w:rPr>
          <w:rFonts w:hint="eastAsia" w:ascii="宋体" w:hAnsi="宋体"/>
          <w:b/>
          <w:color w:val="auto"/>
          <w:sz w:val="21"/>
          <w:szCs w:val="21"/>
          <w:highlight w:val="none"/>
        </w:rPr>
        <w:t>投标文件有效期</w:t>
      </w:r>
    </w:p>
    <w:p w14:paraId="01C467A0">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18.1投标文件有效期见</w:t>
      </w:r>
      <w:r>
        <w:rPr>
          <w:rFonts w:hint="eastAsia" w:ascii="宋体" w:hAnsi="宋体"/>
          <w:b/>
          <w:color w:val="auto"/>
          <w:szCs w:val="21"/>
          <w:highlight w:val="none"/>
        </w:rPr>
        <w:t>投标须知前附表</w:t>
      </w:r>
      <w:r>
        <w:rPr>
          <w:rFonts w:hint="eastAsia" w:ascii="宋体" w:hAnsi="宋体"/>
          <w:color w:val="auto"/>
          <w:szCs w:val="21"/>
          <w:highlight w:val="none"/>
        </w:rPr>
        <w:t>，在此期间投标文件对投标人具有法律约束力，</w:t>
      </w:r>
      <w:r>
        <w:rPr>
          <w:rFonts w:hint="eastAsia" w:ascii="宋体" w:hAnsi="宋体" w:cs="Arial"/>
          <w:color w:val="auto"/>
          <w:szCs w:val="21"/>
          <w:highlight w:val="none"/>
        </w:rPr>
        <w:t>从</w:t>
      </w:r>
      <w:r>
        <w:rPr>
          <w:rFonts w:hint="eastAsia" w:ascii="宋体" w:hAnsi="宋体"/>
          <w:color w:val="auto"/>
          <w:szCs w:val="21"/>
          <w:highlight w:val="none"/>
        </w:rPr>
        <w:t>本章第11.1</w:t>
      </w:r>
      <w:r>
        <w:rPr>
          <w:rFonts w:hint="eastAsia" w:ascii="宋体" w:hAnsi="宋体" w:cs="宋体"/>
          <w:color w:val="auto"/>
          <w:kern w:val="0"/>
          <w:szCs w:val="21"/>
          <w:highlight w:val="none"/>
          <w:lang w:val="zh-CN"/>
        </w:rPr>
        <w:t>款</w:t>
      </w:r>
      <w:r>
        <w:rPr>
          <w:rFonts w:hint="eastAsia" w:ascii="宋体" w:hAnsi="宋体"/>
          <w:color w:val="auto"/>
          <w:szCs w:val="21"/>
          <w:highlight w:val="none"/>
        </w:rPr>
        <w:t>规定的</w:t>
      </w:r>
      <w:r>
        <w:rPr>
          <w:rFonts w:hint="eastAsia" w:ascii="宋体" w:hAnsi="宋体" w:cs="宋体"/>
          <w:color w:val="auto"/>
          <w:kern w:val="0"/>
          <w:szCs w:val="21"/>
          <w:highlight w:val="none"/>
        </w:rPr>
        <w:t>提交</w:t>
      </w:r>
      <w:r>
        <w:rPr>
          <w:rFonts w:hint="eastAsia" w:ascii="宋体" w:hAnsi="宋体"/>
          <w:color w:val="auto"/>
          <w:szCs w:val="21"/>
          <w:highlight w:val="none"/>
        </w:rPr>
        <w:t>投标文件</w:t>
      </w:r>
      <w:r>
        <w:rPr>
          <w:rFonts w:hint="eastAsia" w:ascii="宋体" w:hAnsi="宋体" w:cs="宋体"/>
          <w:color w:val="auto"/>
          <w:kern w:val="0"/>
          <w:szCs w:val="21"/>
          <w:highlight w:val="none"/>
        </w:rPr>
        <w:t>截止时间</w:t>
      </w:r>
      <w:r>
        <w:rPr>
          <w:rFonts w:hint="eastAsia" w:ascii="宋体" w:hAnsi="宋体"/>
          <w:color w:val="auto"/>
          <w:szCs w:val="21"/>
          <w:highlight w:val="none"/>
        </w:rPr>
        <w:t>之日</w:t>
      </w:r>
      <w:r>
        <w:rPr>
          <w:rFonts w:hint="eastAsia" w:ascii="宋体" w:hAnsi="宋体" w:cs="Arial"/>
          <w:color w:val="auto"/>
          <w:szCs w:val="21"/>
          <w:highlight w:val="none"/>
        </w:rPr>
        <w:t>起计算。</w:t>
      </w:r>
      <w:r>
        <w:rPr>
          <w:rFonts w:hint="eastAsia" w:ascii="宋体" w:hAnsi="宋体"/>
          <w:color w:val="auto"/>
          <w:szCs w:val="21"/>
          <w:highlight w:val="none"/>
        </w:rPr>
        <w:t>投标文件有效期不足的将被视为无效文件。</w:t>
      </w:r>
    </w:p>
    <w:p w14:paraId="374397A5">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19.</w:t>
      </w:r>
      <w:r>
        <w:rPr>
          <w:rFonts w:hint="eastAsia" w:ascii="宋体" w:hAnsi="宋体"/>
          <w:color w:val="auto"/>
          <w:szCs w:val="21"/>
          <w:highlight w:val="none"/>
        </w:rPr>
        <w:t xml:space="preserve"> </w:t>
      </w:r>
      <w:r>
        <w:rPr>
          <w:rFonts w:hint="eastAsia" w:ascii="宋体" w:hAnsi="宋体"/>
          <w:b/>
          <w:bCs/>
          <w:color w:val="auto"/>
          <w:szCs w:val="21"/>
          <w:highlight w:val="none"/>
        </w:rPr>
        <w:t>投标文件的签署及规定</w:t>
      </w:r>
    </w:p>
    <w:p w14:paraId="0CC21638">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19.1响应文件须上传政采云平台https://www.zcygov.cn/。</w:t>
      </w:r>
    </w:p>
    <w:p w14:paraId="3AB60D0B">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19.2 响应文件应按</w:t>
      </w:r>
      <w:r>
        <w:rPr>
          <w:rFonts w:hint="eastAsia" w:ascii="宋体" w:hAnsi="宋体"/>
          <w:color w:val="auto"/>
          <w:szCs w:val="21"/>
          <w:highlight w:val="none"/>
          <w:lang w:eastAsia="zh-CN"/>
        </w:rPr>
        <w:t>招标</w:t>
      </w:r>
      <w:r>
        <w:rPr>
          <w:rFonts w:hint="eastAsia" w:ascii="宋体" w:hAnsi="宋体"/>
          <w:color w:val="auto"/>
          <w:szCs w:val="21"/>
          <w:highlight w:val="none"/>
        </w:rPr>
        <w:t>文件要求签章处盖单位电子章和由法定代表人或其委托代理人签字；否则，将导致响应文件无效。</w:t>
      </w:r>
    </w:p>
    <w:p w14:paraId="140BA3A6">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19.3 在</w:t>
      </w:r>
      <w:r>
        <w:rPr>
          <w:rFonts w:hint="eastAsia" w:ascii="宋体" w:hAnsi="宋体"/>
          <w:color w:val="auto"/>
          <w:szCs w:val="21"/>
          <w:highlight w:val="none"/>
          <w:lang w:eastAsia="zh-CN"/>
        </w:rPr>
        <w:t>开标</w:t>
      </w:r>
      <w:r>
        <w:rPr>
          <w:rFonts w:hint="eastAsia" w:ascii="宋体" w:hAnsi="宋体"/>
          <w:color w:val="auto"/>
          <w:szCs w:val="21"/>
          <w:highlight w:val="none"/>
        </w:rPr>
        <w:t>过程中，投标人按</w:t>
      </w:r>
      <w:r>
        <w:rPr>
          <w:rFonts w:hint="eastAsia" w:ascii="宋体" w:hAnsi="宋体"/>
          <w:color w:val="auto"/>
          <w:szCs w:val="21"/>
          <w:highlight w:val="none"/>
          <w:lang w:eastAsia="zh-CN"/>
        </w:rPr>
        <w:t>招标</w:t>
      </w:r>
      <w:r>
        <w:rPr>
          <w:rFonts w:hint="eastAsia" w:ascii="宋体" w:hAnsi="宋体"/>
          <w:color w:val="auto"/>
          <w:szCs w:val="21"/>
          <w:highlight w:val="none"/>
        </w:rPr>
        <w:t>文件规定和</w:t>
      </w:r>
      <w:r>
        <w:rPr>
          <w:rFonts w:hint="eastAsia" w:ascii="宋体" w:hAnsi="宋体"/>
          <w:color w:val="auto"/>
          <w:szCs w:val="21"/>
          <w:highlight w:val="none"/>
          <w:lang w:eastAsia="zh-CN"/>
        </w:rPr>
        <w:t>评审</w:t>
      </w:r>
      <w:r>
        <w:rPr>
          <w:rFonts w:hint="eastAsia" w:ascii="宋体" w:hAnsi="宋体"/>
          <w:color w:val="auto"/>
          <w:szCs w:val="21"/>
          <w:highlight w:val="none"/>
        </w:rPr>
        <w:t>小组要求提交的最后报价(或者重新提交的响应文件和最后报价)，投标人须登录政采云平台https://www.zcygov.cn/在线进行最终报价。否则，将导致最终报价无效。</w:t>
      </w:r>
    </w:p>
    <w:p w14:paraId="71C603D7">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四、响应文件的递交</w:t>
      </w:r>
    </w:p>
    <w:p w14:paraId="60A75389">
      <w:pPr>
        <w:adjustRightInd w:val="0"/>
        <w:snapToGrid w:val="0"/>
        <w:spacing w:line="360" w:lineRule="auto"/>
        <w:ind w:firstLine="316" w:firstLineChars="150"/>
        <w:rPr>
          <w:rFonts w:ascii="宋体" w:hAnsi="宋体"/>
          <w:b/>
          <w:bCs/>
          <w:color w:val="auto"/>
          <w:szCs w:val="21"/>
          <w:highlight w:val="none"/>
        </w:rPr>
      </w:pPr>
      <w:r>
        <w:rPr>
          <w:rFonts w:hint="eastAsia" w:ascii="宋体" w:hAnsi="宋体"/>
          <w:b/>
          <w:bCs/>
          <w:color w:val="auto"/>
          <w:szCs w:val="21"/>
          <w:highlight w:val="none"/>
        </w:rPr>
        <w:t>20. 响应文件的密封和标记</w:t>
      </w:r>
    </w:p>
    <w:p w14:paraId="4DC3A15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20.1响应文件“电子版”应通过政采云投标文件制作工具进行加密，在解密时间内（自开标时间起30分钟内），投标人登录政采云平台https://www.zcygov.cn/在线进行解密。</w:t>
      </w:r>
    </w:p>
    <w:p w14:paraId="55BBD822">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20.2响应文件如果未按上述规定加密和解密，将导致代理机构无法接收响应文件。</w:t>
      </w:r>
    </w:p>
    <w:p w14:paraId="63E5D506">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21.</w:t>
      </w:r>
      <w:r>
        <w:rPr>
          <w:rFonts w:hint="eastAsia" w:ascii="宋体" w:hAnsi="宋体"/>
          <w:color w:val="auto"/>
          <w:szCs w:val="21"/>
          <w:highlight w:val="none"/>
        </w:rPr>
        <w:t xml:space="preserve"> </w:t>
      </w:r>
      <w:r>
        <w:rPr>
          <w:rFonts w:hint="eastAsia" w:ascii="宋体" w:hAnsi="宋体"/>
          <w:b/>
          <w:bCs/>
          <w:color w:val="auto"/>
          <w:szCs w:val="21"/>
          <w:highlight w:val="none"/>
        </w:rPr>
        <w:t>投标文件的</w:t>
      </w:r>
      <w:r>
        <w:rPr>
          <w:rFonts w:hint="eastAsia" w:ascii="宋体" w:hAnsi="宋体" w:cs="宋体"/>
          <w:b/>
          <w:color w:val="auto"/>
          <w:kern w:val="0"/>
          <w:szCs w:val="21"/>
          <w:highlight w:val="none"/>
          <w:lang w:val="zh-CN"/>
        </w:rPr>
        <w:t>补充、修改或者撤回</w:t>
      </w:r>
    </w:p>
    <w:p w14:paraId="04D8B45B">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21.1</w:t>
      </w:r>
      <w:r>
        <w:rPr>
          <w:rFonts w:hint="eastAsia" w:ascii="宋体" w:hAnsi="宋体" w:cs="宋体"/>
          <w:color w:val="auto"/>
          <w:kern w:val="0"/>
          <w:sz w:val="21"/>
          <w:szCs w:val="21"/>
          <w:highlight w:val="none"/>
        </w:rPr>
        <w:t>投标人在</w:t>
      </w:r>
      <w:r>
        <w:rPr>
          <w:rFonts w:hint="eastAsia" w:ascii="宋体" w:hAnsi="宋体"/>
          <w:color w:val="auto"/>
          <w:sz w:val="21"/>
          <w:szCs w:val="21"/>
          <w:highlight w:val="none"/>
        </w:rPr>
        <w:t>本章第11.1</w:t>
      </w:r>
      <w:r>
        <w:rPr>
          <w:rFonts w:hint="eastAsia" w:ascii="宋体" w:hAnsi="宋体" w:cs="宋体"/>
          <w:color w:val="auto"/>
          <w:kern w:val="0"/>
          <w:sz w:val="21"/>
          <w:szCs w:val="21"/>
          <w:highlight w:val="none"/>
          <w:lang w:val="zh-CN"/>
        </w:rPr>
        <w:t>款</w:t>
      </w:r>
      <w:r>
        <w:rPr>
          <w:rFonts w:hint="eastAsia" w:ascii="宋体" w:hAnsi="宋体"/>
          <w:color w:val="auto"/>
          <w:sz w:val="21"/>
          <w:szCs w:val="21"/>
          <w:highlight w:val="none"/>
        </w:rPr>
        <w:t>规定的</w:t>
      </w:r>
      <w:r>
        <w:rPr>
          <w:rFonts w:hint="eastAsia" w:ascii="宋体" w:hAnsi="宋体" w:cs="宋体"/>
          <w:color w:val="auto"/>
          <w:kern w:val="0"/>
          <w:sz w:val="21"/>
          <w:szCs w:val="21"/>
          <w:highlight w:val="none"/>
        </w:rPr>
        <w:t>提交</w:t>
      </w:r>
      <w:r>
        <w:rPr>
          <w:rFonts w:hint="eastAsia" w:ascii="宋体" w:hAnsi="宋体"/>
          <w:color w:val="auto"/>
          <w:sz w:val="21"/>
          <w:szCs w:val="21"/>
          <w:highlight w:val="none"/>
        </w:rPr>
        <w:t>投标文件</w:t>
      </w:r>
      <w:r>
        <w:rPr>
          <w:rFonts w:hint="eastAsia" w:ascii="宋体" w:hAnsi="宋体" w:cs="宋体"/>
          <w:color w:val="auto"/>
          <w:kern w:val="0"/>
          <w:sz w:val="21"/>
          <w:szCs w:val="21"/>
          <w:highlight w:val="none"/>
        </w:rPr>
        <w:t>截止时间前，可以对所提交的</w:t>
      </w:r>
      <w:r>
        <w:rPr>
          <w:rFonts w:hint="eastAsia" w:ascii="宋体" w:hAnsi="宋体"/>
          <w:color w:val="auto"/>
          <w:sz w:val="21"/>
          <w:szCs w:val="21"/>
          <w:highlight w:val="none"/>
        </w:rPr>
        <w:t>投标文件</w:t>
      </w:r>
      <w:r>
        <w:rPr>
          <w:rFonts w:hint="eastAsia" w:ascii="宋体" w:hAnsi="宋体" w:cs="宋体"/>
          <w:color w:val="auto"/>
          <w:kern w:val="0"/>
          <w:sz w:val="21"/>
          <w:szCs w:val="21"/>
          <w:highlight w:val="none"/>
        </w:rPr>
        <w:t>进行补充、修改或者撤回，并书面通知采购人、代理机构。</w:t>
      </w:r>
      <w:r>
        <w:rPr>
          <w:rFonts w:hint="eastAsia" w:ascii="宋体" w:hAnsi="宋体"/>
          <w:color w:val="auto"/>
          <w:sz w:val="21"/>
          <w:szCs w:val="21"/>
          <w:highlight w:val="none"/>
        </w:rPr>
        <w:t>该通知应有投标人法定代表人或其委托代理人签字。</w:t>
      </w:r>
    </w:p>
    <w:p w14:paraId="15EBEB28">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21.2</w:t>
      </w:r>
      <w:r>
        <w:rPr>
          <w:rFonts w:hint="eastAsia" w:ascii="宋体" w:hAnsi="宋体" w:cs="宋体"/>
          <w:color w:val="auto"/>
          <w:kern w:val="0"/>
          <w:sz w:val="21"/>
          <w:szCs w:val="21"/>
          <w:highlight w:val="none"/>
          <w:lang w:val="zh-CN"/>
        </w:rPr>
        <w:t>补充、修改的内容与投标文件不一致时，以补充、修改的内容为准。</w:t>
      </w:r>
    </w:p>
    <w:p w14:paraId="04DBD81F">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22.</w:t>
      </w:r>
      <w:r>
        <w:rPr>
          <w:rFonts w:hint="eastAsia" w:ascii="宋体" w:hAnsi="宋体"/>
          <w:color w:val="auto"/>
          <w:szCs w:val="21"/>
          <w:highlight w:val="none"/>
        </w:rPr>
        <w:t xml:space="preserve"> </w:t>
      </w:r>
      <w:r>
        <w:rPr>
          <w:rFonts w:hint="eastAsia" w:ascii="宋体" w:hAnsi="宋体"/>
          <w:b/>
          <w:bCs/>
          <w:color w:val="auto"/>
          <w:szCs w:val="21"/>
          <w:highlight w:val="none"/>
        </w:rPr>
        <w:t>投标文件的递交与接收</w:t>
      </w:r>
    </w:p>
    <w:p w14:paraId="5D3751E6">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22.1 投标人应在本章第11.1</w:t>
      </w:r>
      <w:r>
        <w:rPr>
          <w:rFonts w:hint="eastAsia" w:ascii="宋体" w:hAnsi="宋体" w:cs="宋体"/>
          <w:color w:val="auto"/>
          <w:kern w:val="0"/>
          <w:szCs w:val="21"/>
          <w:highlight w:val="none"/>
          <w:lang w:val="zh-CN"/>
        </w:rPr>
        <w:t>款</w:t>
      </w:r>
      <w:r>
        <w:rPr>
          <w:rFonts w:hint="eastAsia" w:ascii="宋体" w:hAnsi="宋体"/>
          <w:color w:val="auto"/>
          <w:szCs w:val="21"/>
          <w:highlight w:val="none"/>
        </w:rPr>
        <w:t>规定的</w:t>
      </w:r>
      <w:r>
        <w:rPr>
          <w:rFonts w:hint="eastAsia" w:ascii="宋体" w:hAnsi="宋体" w:cs="宋体"/>
          <w:color w:val="auto"/>
          <w:kern w:val="0"/>
          <w:szCs w:val="21"/>
          <w:highlight w:val="none"/>
        </w:rPr>
        <w:t>提交</w:t>
      </w:r>
      <w:r>
        <w:rPr>
          <w:rFonts w:hint="eastAsia" w:ascii="宋体" w:hAnsi="宋体"/>
          <w:color w:val="auto"/>
          <w:szCs w:val="21"/>
          <w:highlight w:val="none"/>
        </w:rPr>
        <w:t>投标文件</w:t>
      </w:r>
      <w:r>
        <w:rPr>
          <w:rFonts w:hint="eastAsia" w:ascii="宋体" w:hAnsi="宋体" w:cs="宋体"/>
          <w:color w:val="auto"/>
          <w:kern w:val="0"/>
          <w:szCs w:val="21"/>
          <w:highlight w:val="none"/>
        </w:rPr>
        <w:t>截止时间</w:t>
      </w:r>
      <w:r>
        <w:rPr>
          <w:rFonts w:hint="eastAsia" w:ascii="宋体" w:hAnsi="宋体"/>
          <w:color w:val="auto"/>
          <w:szCs w:val="21"/>
          <w:highlight w:val="none"/>
        </w:rPr>
        <w:t>前，将投标文件送</w:t>
      </w:r>
      <w:r>
        <w:rPr>
          <w:rFonts w:hint="eastAsia" w:ascii="宋体" w:hAnsi="宋体" w:cs="Arial"/>
          <w:color w:val="auto"/>
          <w:szCs w:val="21"/>
          <w:highlight w:val="none"/>
        </w:rPr>
        <w:t>达</w:t>
      </w:r>
      <w:r>
        <w:rPr>
          <w:rFonts w:hint="eastAsia" w:ascii="宋体" w:hAnsi="宋体"/>
          <w:b/>
          <w:color w:val="auto"/>
          <w:szCs w:val="21"/>
          <w:highlight w:val="none"/>
        </w:rPr>
        <w:t>投标须知前附表</w:t>
      </w:r>
      <w:r>
        <w:rPr>
          <w:rFonts w:hint="eastAsia" w:ascii="宋体" w:hAnsi="宋体"/>
          <w:color w:val="auto"/>
          <w:szCs w:val="21"/>
          <w:highlight w:val="none"/>
        </w:rPr>
        <w:t>中指定的地点。</w:t>
      </w:r>
      <w:r>
        <w:rPr>
          <w:rFonts w:hint="eastAsia" w:ascii="宋体" w:hAnsi="宋体" w:cs="宋体"/>
          <w:color w:val="auto"/>
          <w:kern w:val="0"/>
          <w:szCs w:val="21"/>
          <w:highlight w:val="none"/>
        </w:rPr>
        <w:t>在截止时间后送达的</w:t>
      </w:r>
      <w:r>
        <w:rPr>
          <w:rFonts w:hint="eastAsia" w:ascii="宋体" w:hAnsi="宋体"/>
          <w:color w:val="auto"/>
          <w:szCs w:val="21"/>
          <w:highlight w:val="none"/>
        </w:rPr>
        <w:t>投标文件</w:t>
      </w:r>
      <w:r>
        <w:rPr>
          <w:rFonts w:hint="eastAsia" w:ascii="宋体" w:hAnsi="宋体" w:cs="宋体"/>
          <w:color w:val="auto"/>
          <w:kern w:val="0"/>
          <w:szCs w:val="21"/>
          <w:highlight w:val="none"/>
        </w:rPr>
        <w:t>，采购人、代理机构或者评审小组将拒收。</w:t>
      </w:r>
    </w:p>
    <w:p w14:paraId="6C2E2E2F">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22.2</w:t>
      </w:r>
      <w:r>
        <w:rPr>
          <w:rFonts w:hint="eastAsia" w:ascii="宋体" w:hAnsi="宋体" w:cs="宋体"/>
          <w:color w:val="auto"/>
          <w:kern w:val="0"/>
          <w:sz w:val="21"/>
          <w:szCs w:val="21"/>
          <w:highlight w:val="none"/>
        </w:rPr>
        <w:t>在</w:t>
      </w:r>
      <w:r>
        <w:rPr>
          <w:rFonts w:hint="eastAsia" w:ascii="宋体" w:hAnsi="宋体"/>
          <w:color w:val="auto"/>
          <w:sz w:val="21"/>
          <w:szCs w:val="21"/>
          <w:highlight w:val="none"/>
        </w:rPr>
        <w:t>本章第11.1</w:t>
      </w:r>
      <w:r>
        <w:rPr>
          <w:rFonts w:hint="eastAsia" w:ascii="宋体" w:hAnsi="宋体" w:cs="宋体"/>
          <w:color w:val="auto"/>
          <w:kern w:val="0"/>
          <w:sz w:val="21"/>
          <w:szCs w:val="21"/>
          <w:highlight w:val="none"/>
          <w:lang w:val="zh-CN"/>
        </w:rPr>
        <w:t>款</w:t>
      </w:r>
      <w:r>
        <w:rPr>
          <w:rFonts w:hint="eastAsia" w:ascii="宋体" w:hAnsi="宋体"/>
          <w:color w:val="auto"/>
          <w:sz w:val="21"/>
          <w:szCs w:val="21"/>
          <w:highlight w:val="none"/>
        </w:rPr>
        <w:t>规定的</w:t>
      </w:r>
      <w:r>
        <w:rPr>
          <w:rFonts w:hint="eastAsia" w:ascii="宋体" w:hAnsi="宋体" w:cs="宋体"/>
          <w:color w:val="auto"/>
          <w:kern w:val="0"/>
          <w:sz w:val="21"/>
          <w:szCs w:val="21"/>
          <w:highlight w:val="none"/>
        </w:rPr>
        <w:t>提交</w:t>
      </w:r>
      <w:r>
        <w:rPr>
          <w:rFonts w:hint="eastAsia" w:ascii="宋体" w:hAnsi="宋体"/>
          <w:color w:val="auto"/>
          <w:sz w:val="21"/>
          <w:szCs w:val="21"/>
          <w:highlight w:val="none"/>
        </w:rPr>
        <w:t>投标文件</w:t>
      </w:r>
      <w:r>
        <w:rPr>
          <w:rFonts w:hint="eastAsia" w:ascii="宋体" w:hAnsi="宋体" w:cs="宋体"/>
          <w:color w:val="auto"/>
          <w:kern w:val="0"/>
          <w:sz w:val="21"/>
          <w:szCs w:val="21"/>
          <w:highlight w:val="none"/>
        </w:rPr>
        <w:t>截止时间后，</w:t>
      </w:r>
      <w:r>
        <w:rPr>
          <w:rFonts w:hint="eastAsia" w:ascii="宋体" w:hAnsi="宋体"/>
          <w:color w:val="auto"/>
          <w:sz w:val="21"/>
          <w:szCs w:val="21"/>
          <w:highlight w:val="none"/>
        </w:rPr>
        <w:t>由</w:t>
      </w:r>
      <w:r>
        <w:rPr>
          <w:rFonts w:hint="eastAsia" w:ascii="宋体" w:hAnsi="宋体"/>
          <w:bCs/>
          <w:color w:val="auto"/>
          <w:sz w:val="21"/>
          <w:szCs w:val="21"/>
          <w:highlight w:val="none"/>
        </w:rPr>
        <w:t>投标人代表</w:t>
      </w:r>
      <w:r>
        <w:rPr>
          <w:rFonts w:hint="eastAsia" w:ascii="宋体" w:hAnsi="宋体"/>
          <w:color w:val="auto"/>
          <w:sz w:val="21"/>
          <w:szCs w:val="21"/>
          <w:highlight w:val="none"/>
        </w:rPr>
        <w:t>当场查验投标文件的密封状况，采购人或</w:t>
      </w:r>
      <w:r>
        <w:rPr>
          <w:rFonts w:hint="eastAsia" w:ascii="宋体" w:hAnsi="宋体"/>
          <w:bCs/>
          <w:color w:val="auto"/>
          <w:sz w:val="21"/>
          <w:szCs w:val="21"/>
          <w:highlight w:val="none"/>
        </w:rPr>
        <w:t>代理机构</w:t>
      </w:r>
      <w:r>
        <w:rPr>
          <w:rFonts w:hint="eastAsia" w:ascii="宋体" w:hAnsi="宋体"/>
          <w:color w:val="auto"/>
          <w:sz w:val="21"/>
          <w:szCs w:val="21"/>
          <w:highlight w:val="none"/>
        </w:rPr>
        <w:t>当场拆封投标文件。</w:t>
      </w:r>
    </w:p>
    <w:p w14:paraId="42F680BD">
      <w:pPr>
        <w:pStyle w:val="3"/>
        <w:rPr>
          <w:rFonts w:ascii="宋体" w:hAnsi="宋体"/>
          <w:color w:val="auto"/>
          <w:sz w:val="21"/>
          <w:szCs w:val="21"/>
          <w:highlight w:val="none"/>
        </w:rPr>
      </w:pPr>
      <w:bookmarkStart w:id="30" w:name="_Toc161933890"/>
      <w:bookmarkStart w:id="31" w:name="_Toc420948013"/>
      <w:r>
        <w:rPr>
          <w:rFonts w:hint="eastAsia" w:ascii="宋体" w:hAnsi="宋体"/>
          <w:color w:val="auto"/>
          <w:sz w:val="21"/>
          <w:szCs w:val="21"/>
          <w:highlight w:val="none"/>
        </w:rPr>
        <w:t>五、投标文件的评审</w:t>
      </w:r>
      <w:bookmarkEnd w:id="30"/>
      <w:bookmarkEnd w:id="31"/>
    </w:p>
    <w:p w14:paraId="6BBCF82F">
      <w:pPr>
        <w:tabs>
          <w:tab w:val="left" w:pos="0"/>
        </w:tabs>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23.</w:t>
      </w:r>
      <w:r>
        <w:rPr>
          <w:rFonts w:hint="eastAsia" w:ascii="宋体" w:hAnsi="宋体"/>
          <w:color w:val="auto"/>
          <w:szCs w:val="21"/>
          <w:highlight w:val="none"/>
        </w:rPr>
        <w:t xml:space="preserve"> </w:t>
      </w:r>
      <w:r>
        <w:rPr>
          <w:rFonts w:hint="eastAsia" w:ascii="宋体" w:hAnsi="宋体"/>
          <w:b/>
          <w:bCs/>
          <w:color w:val="auto"/>
          <w:szCs w:val="21"/>
          <w:highlight w:val="none"/>
        </w:rPr>
        <w:t>开标程序</w:t>
      </w:r>
    </w:p>
    <w:p w14:paraId="1EFE8FA4">
      <w:pPr>
        <w:tabs>
          <w:tab w:val="left" w:pos="0"/>
        </w:tabs>
        <w:adjustRightInd w:val="0"/>
        <w:snapToGrid w:val="0"/>
        <w:spacing w:line="360" w:lineRule="auto"/>
        <w:ind w:firstLine="420" w:firstLineChars="200"/>
        <w:rPr>
          <w:rFonts w:ascii="宋体" w:hAnsi="宋体"/>
          <w:bCs/>
          <w:color w:val="auto"/>
          <w:szCs w:val="21"/>
          <w:highlight w:val="none"/>
        </w:rPr>
      </w:pPr>
      <w:r>
        <w:rPr>
          <w:rFonts w:hint="eastAsia" w:ascii="宋体" w:hAnsi="宋体" w:cs="宋体"/>
          <w:color w:val="auto"/>
          <w:kern w:val="0"/>
          <w:szCs w:val="21"/>
          <w:highlight w:val="none"/>
        </w:rPr>
        <w:t>23.1开标程序：初步审查（资格性审查、符合性审查），综合评分、推荐候选投标人</w:t>
      </w:r>
      <w:r>
        <w:rPr>
          <w:rFonts w:hint="eastAsia" w:ascii="宋体" w:hAnsi="宋体"/>
          <w:bCs/>
          <w:color w:val="auto"/>
          <w:szCs w:val="21"/>
          <w:highlight w:val="none"/>
        </w:rPr>
        <w:t>。</w:t>
      </w:r>
    </w:p>
    <w:p w14:paraId="47F1C545">
      <w:pPr>
        <w:tabs>
          <w:tab w:val="left" w:pos="0"/>
        </w:tabs>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23.2评审小组成员应当按照客观、公正、审慎的原则，根据采购文件规定的评审程序、评审方法和评审标准进行独立评审。</w:t>
      </w:r>
    </w:p>
    <w:p w14:paraId="781A1F2E">
      <w:pPr>
        <w:tabs>
          <w:tab w:val="left" w:pos="0"/>
        </w:tabs>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23.2</w:t>
      </w:r>
      <w:r>
        <w:rPr>
          <w:rFonts w:hint="eastAsia" w:ascii="宋体" w:hAnsi="宋体" w:cs="宋体"/>
          <w:color w:val="auto"/>
          <w:kern w:val="0"/>
          <w:szCs w:val="21"/>
          <w:highlight w:val="none"/>
        </w:rPr>
        <w:t>评审按</w:t>
      </w:r>
      <w:r>
        <w:rPr>
          <w:rFonts w:hint="eastAsia" w:ascii="宋体" w:hAnsi="宋体"/>
          <w:color w:val="auto"/>
          <w:szCs w:val="21"/>
          <w:highlight w:val="none"/>
        </w:rPr>
        <w:t>本章第28.1</w:t>
      </w:r>
      <w:r>
        <w:rPr>
          <w:rFonts w:hint="eastAsia" w:ascii="宋体" w:hAnsi="宋体" w:cs="宋体"/>
          <w:color w:val="auto"/>
          <w:kern w:val="0"/>
          <w:szCs w:val="21"/>
          <w:highlight w:val="none"/>
          <w:lang w:val="zh-CN"/>
        </w:rPr>
        <w:t>款或者</w:t>
      </w:r>
      <w:r>
        <w:rPr>
          <w:rFonts w:hint="eastAsia" w:ascii="宋体" w:hAnsi="宋体"/>
          <w:color w:val="auto"/>
          <w:szCs w:val="21"/>
          <w:highlight w:val="none"/>
        </w:rPr>
        <w:t>第28.2</w:t>
      </w:r>
      <w:r>
        <w:rPr>
          <w:rFonts w:hint="eastAsia" w:ascii="宋体" w:hAnsi="宋体" w:cs="宋体"/>
          <w:color w:val="auto"/>
          <w:kern w:val="0"/>
          <w:szCs w:val="21"/>
          <w:highlight w:val="none"/>
          <w:lang w:val="zh-CN"/>
        </w:rPr>
        <w:t>款</w:t>
      </w:r>
      <w:r>
        <w:rPr>
          <w:rFonts w:hint="eastAsia" w:ascii="宋体" w:hAnsi="宋体"/>
          <w:color w:val="auto"/>
          <w:szCs w:val="21"/>
          <w:highlight w:val="none"/>
        </w:rPr>
        <w:t>情形</w:t>
      </w:r>
      <w:r>
        <w:rPr>
          <w:rFonts w:hint="eastAsia" w:ascii="宋体" w:hAnsi="宋体"/>
          <w:bCs/>
          <w:color w:val="auto"/>
          <w:szCs w:val="21"/>
          <w:highlight w:val="none"/>
        </w:rPr>
        <w:t>进行。</w:t>
      </w:r>
    </w:p>
    <w:p w14:paraId="3C64357A">
      <w:pPr>
        <w:tabs>
          <w:tab w:val="left" w:pos="0"/>
        </w:tabs>
        <w:adjustRightInd w:val="0"/>
        <w:snapToGrid w:val="0"/>
        <w:spacing w:line="360" w:lineRule="auto"/>
        <w:rPr>
          <w:rFonts w:ascii="宋体" w:hAnsi="宋体"/>
          <w:b/>
          <w:color w:val="auto"/>
          <w:szCs w:val="21"/>
          <w:highlight w:val="none"/>
        </w:rPr>
      </w:pPr>
      <w:r>
        <w:rPr>
          <w:rFonts w:hint="eastAsia" w:ascii="宋体" w:hAnsi="宋体"/>
          <w:b/>
          <w:color w:val="auto"/>
          <w:szCs w:val="21"/>
          <w:highlight w:val="none"/>
        </w:rPr>
        <w:t>24.初步审查</w:t>
      </w:r>
    </w:p>
    <w:p w14:paraId="74DC4260">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olor w:val="auto"/>
          <w:szCs w:val="21"/>
          <w:highlight w:val="none"/>
        </w:rPr>
        <w:t>24.1评审小组对参加投标的单位提交的</w:t>
      </w:r>
      <w:r>
        <w:rPr>
          <w:rFonts w:hint="eastAsia" w:ascii="宋体" w:hAnsi="宋体" w:cs="宋体"/>
          <w:color w:val="auto"/>
          <w:kern w:val="0"/>
          <w:szCs w:val="21"/>
          <w:highlight w:val="none"/>
        </w:rPr>
        <w:t>首次投标文件进行初步审查。</w:t>
      </w:r>
      <w:r>
        <w:rPr>
          <w:rFonts w:hint="eastAsia" w:ascii="宋体" w:hAnsi="宋体"/>
          <w:bCs/>
          <w:color w:val="auto"/>
          <w:szCs w:val="21"/>
          <w:highlight w:val="none"/>
        </w:rPr>
        <w:t>投标文件不符合资格性审查及符合性审查条件的，</w:t>
      </w:r>
      <w:r>
        <w:rPr>
          <w:rFonts w:hint="eastAsia" w:ascii="宋体" w:hAnsi="宋体" w:cs="宋体"/>
          <w:color w:val="auto"/>
          <w:kern w:val="0"/>
          <w:szCs w:val="21"/>
          <w:highlight w:val="none"/>
          <w:lang w:val="zh-CN"/>
        </w:rPr>
        <w:t>其投标文件无效，</w:t>
      </w:r>
      <w:r>
        <w:rPr>
          <w:rFonts w:hint="eastAsia" w:ascii="宋体" w:hAnsi="宋体" w:cs="宋体"/>
          <w:color w:val="auto"/>
          <w:kern w:val="0"/>
          <w:szCs w:val="21"/>
          <w:highlight w:val="none"/>
        </w:rPr>
        <w:t>评审小组应当告知有关</w:t>
      </w:r>
      <w:r>
        <w:rPr>
          <w:rFonts w:hint="eastAsia" w:ascii="宋体" w:hAnsi="宋体"/>
          <w:color w:val="auto"/>
          <w:szCs w:val="21"/>
          <w:highlight w:val="none"/>
          <w:lang w:eastAsia="zh-CN"/>
        </w:rPr>
        <w:t>投标</w:t>
      </w:r>
      <w:r>
        <w:rPr>
          <w:rFonts w:hint="eastAsia" w:ascii="宋体" w:hAnsi="宋体"/>
          <w:color w:val="auto"/>
          <w:szCs w:val="21"/>
          <w:highlight w:val="none"/>
        </w:rPr>
        <w:t>单位</w:t>
      </w:r>
      <w:r>
        <w:rPr>
          <w:rFonts w:hint="eastAsia" w:ascii="宋体" w:hAnsi="宋体" w:cs="宋体"/>
          <w:color w:val="auto"/>
          <w:kern w:val="0"/>
          <w:szCs w:val="21"/>
          <w:highlight w:val="none"/>
        </w:rPr>
        <w:t>。</w:t>
      </w:r>
    </w:p>
    <w:p w14:paraId="770FBBBD">
      <w:pPr>
        <w:widowControl/>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25.资格审查</w:t>
      </w:r>
    </w:p>
    <w:p w14:paraId="4C25E7A0">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bCs/>
          <w:color w:val="auto"/>
          <w:szCs w:val="21"/>
          <w:highlight w:val="none"/>
        </w:rPr>
        <w:t>25.1</w:t>
      </w:r>
      <w:r>
        <w:rPr>
          <w:rFonts w:hint="eastAsia" w:ascii="宋体" w:hAnsi="宋体"/>
          <w:color w:val="auto"/>
          <w:szCs w:val="21"/>
          <w:highlight w:val="none"/>
        </w:rPr>
        <w:t>资格性检查。依据法律法规和采购文件的规定，对投标文件中的资格证明进行审查，以确定投标人是否具备投标资格。</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3990"/>
        <w:gridCol w:w="5171"/>
      </w:tblGrid>
      <w:tr w14:paraId="1D4A6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402" w:type="pct"/>
            <w:vAlign w:val="center"/>
          </w:tcPr>
          <w:p w14:paraId="6939F9E9">
            <w:pPr>
              <w:keepNext w:val="0"/>
              <w:keepLines w:val="0"/>
              <w:pageBreakBefore w:val="0"/>
              <w:widowControl w:val="0"/>
              <w:kinsoku/>
              <w:wordWrap/>
              <w:overflowPunct/>
              <w:topLinePunct w:val="0"/>
              <w:autoSpaceDE/>
              <w:autoSpaceDN/>
              <w:bidi w:val="0"/>
              <w:adjustRightInd/>
              <w:snapToGrid/>
              <w:spacing w:line="24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2002" w:type="pct"/>
            <w:vAlign w:val="center"/>
          </w:tcPr>
          <w:p w14:paraId="5635AD50">
            <w:pPr>
              <w:keepNext w:val="0"/>
              <w:keepLines w:val="0"/>
              <w:pageBreakBefore w:val="0"/>
              <w:widowControl w:val="0"/>
              <w:kinsoku/>
              <w:wordWrap/>
              <w:overflowPunct/>
              <w:topLinePunct w:val="0"/>
              <w:autoSpaceDE/>
              <w:autoSpaceDN/>
              <w:bidi w:val="0"/>
              <w:adjustRightInd/>
              <w:snapToGrid/>
              <w:spacing w:line="24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检查因素</w:t>
            </w:r>
          </w:p>
        </w:tc>
        <w:tc>
          <w:tcPr>
            <w:tcW w:w="2595" w:type="pct"/>
            <w:vAlign w:val="center"/>
          </w:tcPr>
          <w:p w14:paraId="695942EE">
            <w:pPr>
              <w:keepNext w:val="0"/>
              <w:keepLines w:val="0"/>
              <w:pageBreakBefore w:val="0"/>
              <w:widowControl w:val="0"/>
              <w:kinsoku/>
              <w:wordWrap/>
              <w:overflowPunct/>
              <w:topLinePunct w:val="0"/>
              <w:autoSpaceDE/>
              <w:autoSpaceDN/>
              <w:bidi w:val="0"/>
              <w:adjustRightInd/>
              <w:snapToGrid/>
              <w:spacing w:line="24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检查内容</w:t>
            </w:r>
          </w:p>
        </w:tc>
      </w:tr>
      <w:tr w14:paraId="21141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02" w:type="pct"/>
            <w:vAlign w:val="center"/>
          </w:tcPr>
          <w:p w14:paraId="040D7EEB">
            <w:pPr>
              <w:keepNext w:val="0"/>
              <w:keepLines w:val="0"/>
              <w:pageBreakBefore w:val="0"/>
              <w:widowControl w:val="0"/>
              <w:kinsoku/>
              <w:wordWrap/>
              <w:overflowPunct/>
              <w:topLinePunct w:val="0"/>
              <w:autoSpaceDE/>
              <w:autoSpaceDN/>
              <w:bidi w:val="0"/>
              <w:adjustRightInd/>
              <w:snapToGrid/>
              <w:spacing w:line="240" w:lineRule="auto"/>
              <w:rPr>
                <w:rFonts w:ascii="宋体" w:hAnsi="宋体"/>
                <w:color w:val="auto"/>
                <w:sz w:val="24"/>
                <w:highlight w:val="none"/>
              </w:rPr>
            </w:pPr>
            <w:r>
              <w:rPr>
                <w:rFonts w:hint="eastAsia" w:ascii="宋体" w:hAnsi="宋体"/>
                <w:color w:val="auto"/>
                <w:sz w:val="24"/>
                <w:highlight w:val="none"/>
              </w:rPr>
              <w:t>一</w:t>
            </w:r>
          </w:p>
        </w:tc>
        <w:tc>
          <w:tcPr>
            <w:tcW w:w="2002" w:type="pct"/>
            <w:vAlign w:val="center"/>
          </w:tcPr>
          <w:p w14:paraId="3F936DF3">
            <w:pPr>
              <w:keepNext w:val="0"/>
              <w:keepLines w:val="0"/>
              <w:pageBreakBefore w:val="0"/>
              <w:widowControl w:val="0"/>
              <w:kinsoku/>
              <w:wordWrap/>
              <w:overflowPunct/>
              <w:topLinePunct w:val="0"/>
              <w:autoSpaceDE/>
              <w:autoSpaceDN/>
              <w:bidi w:val="0"/>
              <w:adjustRightInd/>
              <w:snapToGrid/>
              <w:spacing w:line="240" w:lineRule="auto"/>
              <w:textAlignment w:val="baseline"/>
              <w:rPr>
                <w:rFonts w:ascii="宋体" w:hAnsi="宋体"/>
                <w:color w:val="auto"/>
                <w:sz w:val="24"/>
                <w:highlight w:val="none"/>
              </w:rPr>
            </w:pPr>
            <w:r>
              <w:rPr>
                <w:rFonts w:hint="eastAsia" w:ascii="宋体" w:hAnsi="宋体"/>
                <w:color w:val="auto"/>
                <w:sz w:val="24"/>
                <w:highlight w:val="none"/>
              </w:rPr>
              <w:t>符合《中华人民共和国政府采购法》第二十二条规定</w:t>
            </w:r>
          </w:p>
          <w:p w14:paraId="6F73DB0B">
            <w:pPr>
              <w:keepNext w:val="0"/>
              <w:keepLines w:val="0"/>
              <w:pageBreakBefore w:val="0"/>
              <w:widowControl w:val="0"/>
              <w:kinsoku/>
              <w:wordWrap/>
              <w:overflowPunct/>
              <w:topLinePunct w:val="0"/>
              <w:autoSpaceDE/>
              <w:autoSpaceDN/>
              <w:bidi w:val="0"/>
              <w:adjustRightInd/>
              <w:snapToGrid/>
              <w:spacing w:line="240" w:lineRule="auto"/>
              <w:textAlignment w:val="baseline"/>
              <w:rPr>
                <w:rFonts w:ascii="宋体" w:hAnsi="宋体"/>
                <w:color w:val="auto"/>
                <w:sz w:val="24"/>
                <w:highlight w:val="none"/>
              </w:rPr>
            </w:pPr>
            <w:r>
              <w:rPr>
                <w:rFonts w:hint="eastAsia" w:ascii="宋体" w:hAnsi="宋体"/>
                <w:color w:val="auto"/>
                <w:sz w:val="24"/>
                <w:highlight w:val="none"/>
              </w:rPr>
              <w:t>（1）具有独立承担民事责任的能力</w:t>
            </w:r>
          </w:p>
          <w:p w14:paraId="4DBFCF4D">
            <w:pPr>
              <w:keepNext w:val="0"/>
              <w:keepLines w:val="0"/>
              <w:pageBreakBefore w:val="0"/>
              <w:widowControl w:val="0"/>
              <w:kinsoku/>
              <w:wordWrap/>
              <w:overflowPunct/>
              <w:topLinePunct w:val="0"/>
              <w:autoSpaceDE/>
              <w:autoSpaceDN/>
              <w:bidi w:val="0"/>
              <w:adjustRightInd/>
              <w:snapToGrid/>
              <w:spacing w:line="240" w:lineRule="auto"/>
              <w:rPr>
                <w:rFonts w:ascii="宋体" w:hAnsi="宋体"/>
                <w:color w:val="auto"/>
                <w:sz w:val="24"/>
                <w:highlight w:val="none"/>
              </w:rPr>
            </w:pPr>
            <w:r>
              <w:rPr>
                <w:rFonts w:hint="eastAsia" w:ascii="宋体" w:hAnsi="宋体"/>
                <w:color w:val="auto"/>
                <w:sz w:val="24"/>
                <w:highlight w:val="none"/>
              </w:rPr>
              <w:t>（2）具有良好的商业信誉和健全的财务会计制度</w:t>
            </w:r>
          </w:p>
          <w:p w14:paraId="7E94C497">
            <w:pPr>
              <w:keepNext w:val="0"/>
              <w:keepLines w:val="0"/>
              <w:pageBreakBefore w:val="0"/>
              <w:widowControl w:val="0"/>
              <w:kinsoku/>
              <w:wordWrap/>
              <w:overflowPunct/>
              <w:topLinePunct w:val="0"/>
              <w:autoSpaceDE/>
              <w:autoSpaceDN/>
              <w:bidi w:val="0"/>
              <w:adjustRightInd/>
              <w:snapToGrid/>
              <w:spacing w:line="240" w:lineRule="auto"/>
              <w:rPr>
                <w:rFonts w:ascii="宋体" w:hAnsi="宋体"/>
                <w:color w:val="auto"/>
                <w:sz w:val="24"/>
                <w:highlight w:val="none"/>
              </w:rPr>
            </w:pPr>
            <w:r>
              <w:rPr>
                <w:rFonts w:hint="eastAsia" w:ascii="宋体" w:hAnsi="宋体"/>
                <w:color w:val="auto"/>
                <w:sz w:val="24"/>
                <w:highlight w:val="none"/>
              </w:rPr>
              <w:t>（3）具有履行合同所必需的设备和专业技术能力</w:t>
            </w:r>
          </w:p>
          <w:p w14:paraId="4D2838AB">
            <w:pPr>
              <w:keepNext w:val="0"/>
              <w:keepLines w:val="0"/>
              <w:pageBreakBefore w:val="0"/>
              <w:widowControl w:val="0"/>
              <w:kinsoku/>
              <w:wordWrap/>
              <w:overflowPunct/>
              <w:topLinePunct w:val="0"/>
              <w:autoSpaceDE/>
              <w:autoSpaceDN/>
              <w:bidi w:val="0"/>
              <w:adjustRightInd/>
              <w:snapToGrid/>
              <w:spacing w:line="240" w:lineRule="auto"/>
              <w:rPr>
                <w:rFonts w:ascii="宋体" w:hAnsi="宋体"/>
                <w:color w:val="auto"/>
                <w:sz w:val="24"/>
                <w:highlight w:val="none"/>
              </w:rPr>
            </w:pPr>
            <w:r>
              <w:rPr>
                <w:rFonts w:hint="eastAsia" w:ascii="宋体" w:hAnsi="宋体"/>
                <w:color w:val="auto"/>
                <w:sz w:val="24"/>
                <w:highlight w:val="none"/>
              </w:rPr>
              <w:t>（4）有依法缴纳税收和社会保障资金的良好记录</w:t>
            </w:r>
          </w:p>
          <w:p w14:paraId="3D885F94">
            <w:pPr>
              <w:keepNext w:val="0"/>
              <w:keepLines w:val="0"/>
              <w:pageBreakBefore w:val="0"/>
              <w:widowControl w:val="0"/>
              <w:kinsoku/>
              <w:wordWrap/>
              <w:overflowPunct/>
              <w:topLinePunct w:val="0"/>
              <w:autoSpaceDE/>
              <w:autoSpaceDN/>
              <w:bidi w:val="0"/>
              <w:adjustRightInd/>
              <w:snapToGrid/>
              <w:spacing w:line="240" w:lineRule="auto"/>
              <w:rPr>
                <w:rFonts w:ascii="宋体" w:hAnsi="宋体"/>
                <w:color w:val="auto"/>
                <w:sz w:val="24"/>
                <w:highlight w:val="none"/>
              </w:rPr>
            </w:pPr>
            <w:r>
              <w:rPr>
                <w:rFonts w:hint="eastAsia" w:ascii="宋体" w:hAnsi="宋体"/>
                <w:color w:val="auto"/>
                <w:sz w:val="24"/>
                <w:highlight w:val="none"/>
              </w:rPr>
              <w:t>（5）参加政府采购活动前三年内，在经营活动中没有重大违法记录</w:t>
            </w:r>
          </w:p>
        </w:tc>
        <w:tc>
          <w:tcPr>
            <w:tcW w:w="2595" w:type="pct"/>
            <w:vAlign w:val="center"/>
          </w:tcPr>
          <w:p w14:paraId="38D58E18">
            <w:pPr>
              <w:keepNext w:val="0"/>
              <w:keepLines w:val="0"/>
              <w:pageBreakBefore w:val="0"/>
              <w:widowControl w:val="0"/>
              <w:kinsoku/>
              <w:wordWrap/>
              <w:overflowPunct/>
              <w:topLinePunct w:val="0"/>
              <w:autoSpaceDE/>
              <w:autoSpaceDN/>
              <w:bidi w:val="0"/>
              <w:adjustRightInd/>
              <w:snapToGrid/>
              <w:spacing w:line="240" w:lineRule="auto"/>
              <w:textAlignment w:val="baseline"/>
              <w:rPr>
                <w:rFonts w:ascii="宋体" w:hAnsi="宋体"/>
                <w:color w:val="auto"/>
                <w:sz w:val="24"/>
                <w:highlight w:val="none"/>
              </w:rPr>
            </w:pPr>
            <w:r>
              <w:rPr>
                <w:rFonts w:hint="eastAsia" w:ascii="宋体" w:hAnsi="宋体"/>
                <w:color w:val="auto"/>
                <w:sz w:val="24"/>
                <w:highlight w:val="none"/>
              </w:rPr>
              <w:t>（一）有效的营业执照或其他有独立承担民事责任能力的证明文件。</w:t>
            </w:r>
          </w:p>
          <w:p w14:paraId="7C0410E3">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color w:val="auto"/>
                <w:sz w:val="24"/>
                <w:highlight w:val="none"/>
              </w:rPr>
            </w:pPr>
            <w:r>
              <w:rPr>
                <w:rFonts w:hint="eastAsia" w:ascii="宋体" w:hAnsi="宋体"/>
                <w:color w:val="auto"/>
                <w:sz w:val="24"/>
                <w:highlight w:val="none"/>
              </w:rPr>
              <w:t>（二）提供2023年</w:t>
            </w:r>
            <w:r>
              <w:rPr>
                <w:rFonts w:hint="eastAsia" w:ascii="宋体" w:hAnsi="宋体"/>
                <w:color w:val="auto"/>
                <w:sz w:val="24"/>
                <w:highlight w:val="none"/>
                <w:lang w:val="en-US" w:eastAsia="zh-CN"/>
              </w:rPr>
              <w:t>或2024年</w:t>
            </w:r>
            <w:r>
              <w:rPr>
                <w:rFonts w:hint="eastAsia" w:ascii="宋体" w:hAnsi="宋体"/>
                <w:color w:val="auto"/>
                <w:sz w:val="24"/>
                <w:highlight w:val="none"/>
              </w:rPr>
              <w:t>经第三方财务审计的审计报告，</w:t>
            </w:r>
            <w:r>
              <w:rPr>
                <w:rFonts w:hint="eastAsia" w:ascii="宋体" w:hAnsi="宋体"/>
                <w:color w:val="auto"/>
                <w:sz w:val="24"/>
                <w:highlight w:val="none"/>
                <w:lang w:eastAsia="zh-CN"/>
              </w:rPr>
              <w:t>（</w:t>
            </w:r>
            <w:r>
              <w:rPr>
                <w:rFonts w:hint="eastAsia" w:ascii="宋体" w:hAnsi="宋体"/>
                <w:color w:val="auto"/>
                <w:sz w:val="24"/>
                <w:highlight w:val="none"/>
              </w:rPr>
              <w:t>审计报告须包括现金流量表、</w:t>
            </w:r>
            <w:r>
              <w:rPr>
                <w:rFonts w:hint="eastAsia" w:ascii="宋体" w:hAnsi="宋体"/>
                <w:color w:val="auto"/>
                <w:sz w:val="24"/>
                <w:highlight w:val="none"/>
                <w:lang w:val="en-US" w:eastAsia="zh-CN"/>
              </w:rPr>
              <w:t>资</w:t>
            </w:r>
            <w:r>
              <w:rPr>
                <w:rFonts w:hint="eastAsia" w:ascii="宋体" w:hAnsi="宋体"/>
                <w:color w:val="auto"/>
                <w:sz w:val="24"/>
                <w:highlight w:val="none"/>
              </w:rPr>
              <w:t>产负债表、利润及利润分配表</w:t>
            </w:r>
            <w:r>
              <w:rPr>
                <w:rFonts w:hint="eastAsia" w:ascii="宋体" w:hAnsi="宋体"/>
                <w:color w:val="auto"/>
                <w:sz w:val="24"/>
                <w:highlight w:val="none"/>
                <w:lang w:val="en-US" w:eastAsia="zh-CN"/>
              </w:rPr>
              <w:t>及财务报告附注</w:t>
            </w:r>
            <w:r>
              <w:rPr>
                <w:rFonts w:hint="eastAsia" w:ascii="宋体" w:hAnsi="宋体"/>
                <w:color w:val="auto"/>
                <w:sz w:val="24"/>
                <w:highlight w:val="none"/>
              </w:rPr>
              <w:t>）</w:t>
            </w:r>
            <w:r>
              <w:rPr>
                <w:rFonts w:hint="eastAsia" w:ascii="宋体" w:hAnsi="宋体"/>
                <w:color w:val="auto"/>
                <w:sz w:val="24"/>
                <w:highlight w:val="none"/>
                <w:lang w:eastAsia="zh-CN"/>
              </w:rPr>
              <w:t>或近一年</w:t>
            </w:r>
            <w:r>
              <w:rPr>
                <w:rFonts w:hint="eastAsia" w:ascii="宋体" w:hAnsi="宋体"/>
                <w:color w:val="auto"/>
                <w:sz w:val="24"/>
                <w:highlight w:val="none"/>
              </w:rPr>
              <w:t>其基本开户银行出具的资信证明。</w:t>
            </w:r>
          </w:p>
          <w:p w14:paraId="0D16869D">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color w:val="auto"/>
                <w:sz w:val="24"/>
                <w:highlight w:val="none"/>
              </w:rPr>
            </w:pPr>
            <w:r>
              <w:rPr>
                <w:rFonts w:hint="eastAsia" w:ascii="宋体" w:hAnsi="宋体"/>
                <w:color w:val="auto"/>
                <w:sz w:val="24"/>
                <w:highlight w:val="none"/>
              </w:rPr>
              <w:t>202</w:t>
            </w:r>
            <w:r>
              <w:rPr>
                <w:rFonts w:hint="eastAsia" w:ascii="宋体" w:hAnsi="宋体"/>
                <w:color w:val="auto"/>
                <w:sz w:val="24"/>
                <w:highlight w:val="none"/>
                <w:lang w:val="en-US" w:eastAsia="zh-CN"/>
              </w:rPr>
              <w:t>5</w:t>
            </w:r>
            <w:r>
              <w:rPr>
                <w:rFonts w:hint="eastAsia" w:ascii="宋体" w:hAnsi="宋体"/>
                <w:color w:val="auto"/>
                <w:sz w:val="24"/>
                <w:highlight w:val="none"/>
              </w:rPr>
              <w:t>年成立的公司应提供成立之日至今其基本开户银行出具的资信证明。</w:t>
            </w:r>
          </w:p>
          <w:p w14:paraId="3B03F241">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color w:val="auto"/>
                <w:sz w:val="24"/>
                <w:highlight w:val="none"/>
              </w:rPr>
            </w:pPr>
            <w:r>
              <w:rPr>
                <w:rFonts w:hint="eastAsia" w:ascii="宋体" w:hAnsi="宋体"/>
                <w:color w:val="auto"/>
                <w:sz w:val="24"/>
                <w:highlight w:val="none"/>
              </w:rPr>
              <w:t>（三）履行合同所必须的设备和专业技术能力的证明材料或声明。</w:t>
            </w:r>
          </w:p>
          <w:p w14:paraId="303040C5">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color w:val="auto"/>
                <w:sz w:val="24"/>
                <w:highlight w:val="none"/>
              </w:rPr>
            </w:pPr>
            <w:r>
              <w:rPr>
                <w:rFonts w:hint="eastAsia" w:ascii="宋体" w:hAnsi="宋体"/>
                <w:color w:val="auto"/>
                <w:sz w:val="24"/>
                <w:highlight w:val="none"/>
              </w:rPr>
              <w:t>（四）社会保障资金：</w:t>
            </w:r>
          </w:p>
          <w:p w14:paraId="42ACDC1C">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default" w:ascii="宋体" w:hAnsi="宋体"/>
                <w:color w:val="auto"/>
                <w:sz w:val="24"/>
                <w:highlight w:val="none"/>
                <w:lang w:val="en-US" w:eastAsia="zh-CN"/>
              </w:rPr>
            </w:pPr>
            <w:r>
              <w:rPr>
                <w:rFonts w:hint="eastAsia" w:ascii="宋体" w:hAnsi="宋体"/>
                <w:color w:val="auto"/>
                <w:sz w:val="24"/>
                <w:highlight w:val="none"/>
              </w:rPr>
              <w:t>（1）提供</w:t>
            </w:r>
            <w:r>
              <w:rPr>
                <w:rFonts w:hint="eastAsia" w:ascii="宋体" w:hAnsi="宋体"/>
                <w:color w:val="auto"/>
                <w:sz w:val="24"/>
                <w:highlight w:val="none"/>
                <w:lang w:eastAsia="zh-CN"/>
              </w:rPr>
              <w:t>开标日</w:t>
            </w:r>
            <w:r>
              <w:rPr>
                <w:rFonts w:hint="eastAsia" w:ascii="宋体" w:hAnsi="宋体"/>
                <w:color w:val="auto"/>
                <w:sz w:val="24"/>
                <w:highlight w:val="none"/>
              </w:rPr>
              <w:t>近六个月</w:t>
            </w:r>
            <w:r>
              <w:rPr>
                <w:rFonts w:hint="eastAsia" w:ascii="宋体" w:hAnsi="宋体"/>
                <w:color w:val="auto"/>
                <w:sz w:val="24"/>
                <w:highlight w:val="none"/>
                <w:lang w:eastAsia="zh-CN"/>
              </w:rPr>
              <w:t>任意一个月</w:t>
            </w:r>
            <w:r>
              <w:rPr>
                <w:rFonts w:hint="eastAsia" w:ascii="宋体" w:hAnsi="宋体"/>
                <w:color w:val="auto"/>
                <w:sz w:val="24"/>
                <w:highlight w:val="none"/>
              </w:rPr>
              <w:t>单位社保缴纳</w:t>
            </w:r>
            <w:r>
              <w:rPr>
                <w:rFonts w:hint="eastAsia" w:ascii="宋体" w:hAnsi="宋体"/>
                <w:color w:val="auto"/>
                <w:sz w:val="24"/>
                <w:highlight w:val="none"/>
                <w:lang w:val="en-US" w:eastAsia="zh-CN"/>
              </w:rPr>
              <w:t>证明</w:t>
            </w:r>
            <w:r>
              <w:rPr>
                <w:rFonts w:hint="eastAsia" w:ascii="宋体" w:hAnsi="宋体"/>
                <w:color w:val="auto"/>
                <w:sz w:val="24"/>
                <w:highlight w:val="none"/>
                <w:lang w:eastAsia="zh-CN"/>
              </w:rPr>
              <w:t>。</w:t>
            </w:r>
            <w:r>
              <w:rPr>
                <w:rFonts w:hint="eastAsia" w:ascii="宋体" w:hAnsi="宋体"/>
                <w:color w:val="auto"/>
                <w:sz w:val="24"/>
                <w:highlight w:val="none"/>
              </w:rPr>
              <w:t>如依法免税或不需要缴纳社会保障资金的,应提供相应文件证明。</w:t>
            </w:r>
            <w:r>
              <w:rPr>
                <w:rFonts w:hint="eastAsia" w:ascii="宋体" w:hAnsi="宋体"/>
                <w:color w:val="auto"/>
                <w:sz w:val="24"/>
                <w:highlight w:val="none"/>
                <w:lang w:val="en-US" w:eastAsia="zh-CN"/>
              </w:rPr>
              <w:t>新成立不足六个月的公司按实际时间提供。</w:t>
            </w:r>
          </w:p>
          <w:p w14:paraId="1925E881">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w:t>
            </w:r>
            <w:r>
              <w:rPr>
                <w:rFonts w:hint="eastAsia" w:ascii="宋体" w:hAnsi="宋体"/>
                <w:color w:val="auto"/>
                <w:sz w:val="24"/>
                <w:highlight w:val="none"/>
              </w:rPr>
              <w:t>缴纳税收：</w:t>
            </w:r>
          </w:p>
          <w:p w14:paraId="5827E81A">
            <w:pPr>
              <w:keepNext w:val="0"/>
              <w:keepLines w:val="0"/>
              <w:widowControl/>
              <w:suppressLineNumbers w:val="0"/>
              <w:jc w:val="left"/>
              <w:rPr>
                <w:rFonts w:hint="eastAsia" w:ascii="宋体" w:hAnsi="宋体"/>
                <w:color w:val="auto"/>
                <w:sz w:val="24"/>
                <w:highlight w:val="none"/>
              </w:rPr>
            </w:pPr>
            <w:r>
              <w:rPr>
                <w:rFonts w:hint="eastAsia" w:ascii="宋体" w:hAnsi="宋体"/>
                <w:color w:val="auto"/>
                <w:sz w:val="24"/>
                <w:highlight w:val="none"/>
              </w:rPr>
              <w:t>提供</w:t>
            </w:r>
            <w:r>
              <w:rPr>
                <w:rFonts w:hint="eastAsia" w:ascii="宋体" w:hAnsi="宋体"/>
                <w:color w:val="auto"/>
                <w:sz w:val="24"/>
                <w:highlight w:val="none"/>
                <w:lang w:eastAsia="zh-CN"/>
              </w:rPr>
              <w:t>开标日近</w:t>
            </w:r>
            <w:r>
              <w:rPr>
                <w:rFonts w:hint="eastAsia" w:ascii="宋体" w:hAnsi="宋体" w:eastAsia="宋体" w:cs="宋体"/>
                <w:color w:val="auto"/>
                <w:kern w:val="0"/>
                <w:sz w:val="24"/>
                <w:szCs w:val="24"/>
                <w:highlight w:val="none"/>
                <w:lang w:val="en-US" w:eastAsia="zh-CN" w:bidi="ar"/>
              </w:rPr>
              <w:t>六个月内任意一个月投标人税务缴纳有效票据凭证或其他有效证明材料；依法免税的，应提供依法免税的相关证明文件。</w:t>
            </w:r>
            <w:r>
              <w:rPr>
                <w:rFonts w:hint="eastAsia" w:ascii="宋体" w:hAnsi="宋体"/>
                <w:color w:val="auto"/>
                <w:sz w:val="24"/>
                <w:highlight w:val="none"/>
                <w:lang w:val="en-US" w:eastAsia="zh-CN"/>
              </w:rPr>
              <w:t>成立不足六个月的公司按实际时间提供。</w:t>
            </w:r>
          </w:p>
          <w:p w14:paraId="1EF39A85">
            <w:pPr>
              <w:pStyle w:val="18"/>
              <w:keepNext w:val="0"/>
              <w:keepLines w:val="0"/>
              <w:pageBreakBefore w:val="0"/>
              <w:widowControl w:val="0"/>
              <w:kinsoku/>
              <w:wordWrap/>
              <w:overflowPunct/>
              <w:topLinePunct w:val="0"/>
              <w:autoSpaceDE/>
              <w:autoSpaceDN/>
              <w:bidi w:val="0"/>
              <w:adjustRightInd/>
              <w:snapToGrid/>
              <w:spacing w:line="240" w:lineRule="auto"/>
              <w:jc w:val="both"/>
              <w:rPr>
                <w:color w:val="auto"/>
                <w:highlight w:val="none"/>
              </w:rPr>
            </w:pPr>
            <w:r>
              <w:rPr>
                <w:rFonts w:hint="eastAsia" w:ascii="宋体" w:hAnsi="宋体" w:eastAsia="宋体" w:cs="Times New Roman"/>
                <w:b w:val="0"/>
                <w:color w:val="auto"/>
                <w:kern w:val="2"/>
                <w:sz w:val="24"/>
                <w:szCs w:val="24"/>
                <w:highlight w:val="none"/>
                <w:lang w:val="en-US" w:eastAsia="zh-CN" w:bidi="ar-SA"/>
              </w:rPr>
              <w:t>（五）参加政府采购活动前三年内，在经营活动中没有重大违法记录</w:t>
            </w:r>
            <w:r>
              <w:rPr>
                <w:rFonts w:hint="eastAsia" w:ascii="宋体" w:hAnsi="宋体" w:cs="Times New Roman"/>
                <w:b w:val="0"/>
                <w:color w:val="auto"/>
                <w:kern w:val="2"/>
                <w:sz w:val="24"/>
                <w:szCs w:val="24"/>
                <w:highlight w:val="none"/>
                <w:lang w:val="en-US" w:eastAsia="zh-CN" w:bidi="ar-SA"/>
              </w:rPr>
              <w:t>（提供承诺函）</w:t>
            </w:r>
          </w:p>
        </w:tc>
      </w:tr>
      <w:tr w14:paraId="009FD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402" w:type="pct"/>
            <w:vAlign w:val="center"/>
          </w:tcPr>
          <w:p w14:paraId="0EFA8AC8">
            <w:pPr>
              <w:keepNext w:val="0"/>
              <w:keepLines w:val="0"/>
              <w:pageBreakBefore w:val="0"/>
              <w:widowControl w:val="0"/>
              <w:kinsoku/>
              <w:wordWrap/>
              <w:overflowPunct/>
              <w:topLinePunct w:val="0"/>
              <w:autoSpaceDE/>
              <w:autoSpaceDN/>
              <w:bidi w:val="0"/>
              <w:adjustRightInd/>
              <w:snapToGrid/>
              <w:spacing w:line="240" w:lineRule="auto"/>
              <w:rPr>
                <w:rFonts w:ascii="宋体" w:hAnsi="宋体"/>
                <w:color w:val="auto"/>
                <w:sz w:val="24"/>
                <w:highlight w:val="none"/>
              </w:rPr>
            </w:pPr>
            <w:r>
              <w:rPr>
                <w:rFonts w:hint="eastAsia" w:ascii="宋体" w:hAnsi="宋体"/>
                <w:color w:val="auto"/>
                <w:sz w:val="24"/>
                <w:highlight w:val="none"/>
              </w:rPr>
              <w:t>二</w:t>
            </w:r>
          </w:p>
        </w:tc>
        <w:tc>
          <w:tcPr>
            <w:tcW w:w="2002" w:type="pct"/>
            <w:vAlign w:val="center"/>
          </w:tcPr>
          <w:p w14:paraId="6F3120F0">
            <w:pPr>
              <w:keepNext w:val="0"/>
              <w:keepLines w:val="0"/>
              <w:pageBreakBefore w:val="0"/>
              <w:widowControl w:val="0"/>
              <w:kinsoku/>
              <w:wordWrap/>
              <w:overflowPunct/>
              <w:topLinePunct w:val="0"/>
              <w:autoSpaceDE/>
              <w:autoSpaceDN/>
              <w:bidi w:val="0"/>
              <w:adjustRightInd/>
              <w:snapToGrid/>
              <w:spacing w:line="240" w:lineRule="auto"/>
              <w:rPr>
                <w:rFonts w:ascii="宋体" w:hAnsi="宋体"/>
                <w:color w:val="auto"/>
                <w:sz w:val="24"/>
                <w:highlight w:val="none"/>
              </w:rPr>
            </w:pPr>
            <w:r>
              <w:rPr>
                <w:rFonts w:hint="eastAsia" w:ascii="宋体" w:hAnsi="宋体"/>
                <w:color w:val="auto"/>
                <w:sz w:val="24"/>
                <w:highlight w:val="none"/>
              </w:rPr>
              <w:t>信誉情况</w:t>
            </w:r>
          </w:p>
        </w:tc>
        <w:tc>
          <w:tcPr>
            <w:tcW w:w="2595" w:type="pct"/>
            <w:vAlign w:val="center"/>
          </w:tcPr>
          <w:p w14:paraId="164CBCA1">
            <w:pPr>
              <w:keepNext w:val="0"/>
              <w:keepLines w:val="0"/>
              <w:pageBreakBefore w:val="0"/>
              <w:widowControl w:val="0"/>
              <w:kinsoku/>
              <w:wordWrap/>
              <w:overflowPunct/>
              <w:topLinePunct w:val="0"/>
              <w:autoSpaceDE/>
              <w:autoSpaceDN/>
              <w:bidi w:val="0"/>
              <w:adjustRightInd/>
              <w:snapToGrid/>
              <w:spacing w:line="240" w:lineRule="auto"/>
              <w:textAlignment w:val="baseline"/>
              <w:rPr>
                <w:rFonts w:ascii="宋体" w:hAnsi="宋体"/>
                <w:color w:val="auto"/>
                <w:sz w:val="24"/>
                <w:highlight w:val="none"/>
              </w:rPr>
            </w:pPr>
            <w:r>
              <w:rPr>
                <w:rFonts w:hint="eastAsia" w:ascii="宋体" w:hAnsi="宋体"/>
                <w:color w:val="auto"/>
                <w:sz w:val="24"/>
                <w:highlight w:val="none"/>
              </w:rPr>
              <w:t>“信用中国”网站上未被列入（www.creditchina.gov.cn）失信被执行人、政府采购严重违法失信行为记录名单、重大税收违法失信主体网页查询截图；</w:t>
            </w:r>
          </w:p>
          <w:p w14:paraId="7B4D4D74">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color w:val="auto"/>
                <w:sz w:val="24"/>
                <w:highlight w:val="none"/>
                <w:lang w:eastAsia="zh-CN"/>
              </w:rPr>
            </w:pPr>
            <w:r>
              <w:rPr>
                <w:rFonts w:hint="eastAsia" w:ascii="宋体" w:hAnsi="宋体"/>
                <w:color w:val="auto"/>
                <w:sz w:val="24"/>
                <w:highlight w:val="none"/>
              </w:rPr>
              <w:t>“中国政府采购网（www.ccgp.gov.cn）”上未被列入</w:t>
            </w:r>
            <w:r>
              <w:rPr>
                <w:color w:val="auto"/>
                <w:highlight w:val="none"/>
              </w:rPr>
              <w:fldChar w:fldCharType="begin"/>
            </w:r>
            <w:r>
              <w:rPr>
                <w:color w:val="auto"/>
                <w:highlight w:val="none"/>
              </w:rPr>
              <w:instrText xml:space="preserve"> HYPERLINK "http://www.ccgp.gov.cn/search/cr/" \o "政府采购严重违法失信行为记录名单" </w:instrText>
            </w:r>
            <w:r>
              <w:rPr>
                <w:color w:val="auto"/>
                <w:highlight w:val="none"/>
              </w:rPr>
              <w:fldChar w:fldCharType="separate"/>
            </w:r>
            <w:r>
              <w:rPr>
                <w:rFonts w:hint="eastAsia" w:ascii="宋体" w:hAnsi="宋体"/>
                <w:color w:val="auto"/>
                <w:sz w:val="24"/>
                <w:highlight w:val="none"/>
              </w:rPr>
              <w:t>政府采购严重违法失信行为记录名单</w:t>
            </w:r>
            <w:r>
              <w:rPr>
                <w:rFonts w:hint="eastAsia" w:ascii="宋体" w:hAnsi="宋体"/>
                <w:color w:val="auto"/>
                <w:sz w:val="24"/>
                <w:highlight w:val="none"/>
              </w:rPr>
              <w:fldChar w:fldCharType="end"/>
            </w:r>
            <w:r>
              <w:rPr>
                <w:rFonts w:hint="eastAsia" w:ascii="宋体" w:hAnsi="宋体"/>
                <w:color w:val="auto"/>
                <w:sz w:val="24"/>
                <w:highlight w:val="none"/>
              </w:rPr>
              <w:t>的网页查询截图</w:t>
            </w:r>
            <w:r>
              <w:rPr>
                <w:rFonts w:hint="eastAsia" w:ascii="宋体" w:hAnsi="宋体"/>
                <w:color w:val="auto"/>
                <w:sz w:val="24"/>
                <w:highlight w:val="none"/>
                <w:lang w:eastAsia="zh-CN"/>
              </w:rPr>
              <w:t>。</w:t>
            </w:r>
          </w:p>
          <w:p w14:paraId="7E6186A0">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color w:val="auto"/>
                <w:sz w:val="24"/>
                <w:highlight w:val="none"/>
                <w:lang w:eastAsia="zh-CN"/>
              </w:rPr>
            </w:pPr>
            <w:r>
              <w:rPr>
                <w:rFonts w:hint="eastAsia" w:ascii="宋体" w:hAnsi="宋体"/>
                <w:color w:val="auto"/>
                <w:sz w:val="24"/>
                <w:highlight w:val="none"/>
                <w:lang w:eastAsia="zh-CN"/>
              </w:rPr>
              <w:t>注：供应商可不提供，以代理机构、采购人现场查询为准。</w:t>
            </w:r>
          </w:p>
        </w:tc>
      </w:tr>
    </w:tbl>
    <w:p w14:paraId="6C2392C0">
      <w:pPr>
        <w:pStyle w:val="18"/>
        <w:rPr>
          <w:color w:val="auto"/>
          <w:highlight w:val="none"/>
        </w:rPr>
      </w:pPr>
    </w:p>
    <w:p w14:paraId="77516796">
      <w:pPr>
        <w:pStyle w:val="25"/>
        <w:adjustRightInd w:val="0"/>
        <w:snapToGrid w:val="0"/>
        <w:spacing w:line="360" w:lineRule="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26.符合性审查</w:t>
      </w:r>
    </w:p>
    <w:p w14:paraId="7FB20E67">
      <w:pPr>
        <w:pStyle w:val="25"/>
        <w:adjustRightInd w:val="0"/>
        <w:snapToGrid w:val="0"/>
        <w:spacing w:line="360" w:lineRule="auto"/>
        <w:ind w:firstLine="420" w:firstLineChars="200"/>
        <w:rPr>
          <w:rFonts w:ascii="宋体" w:hAnsi="宋体" w:cs="Arial"/>
          <w:color w:val="auto"/>
          <w:kern w:val="0"/>
          <w:sz w:val="21"/>
          <w:szCs w:val="21"/>
          <w:highlight w:val="none"/>
          <w:u w:val="single"/>
        </w:rPr>
      </w:pPr>
      <w:r>
        <w:rPr>
          <w:rFonts w:hint="eastAsia" w:ascii="宋体" w:hAnsi="宋体" w:cs="宋体"/>
          <w:color w:val="auto"/>
          <w:kern w:val="0"/>
          <w:sz w:val="21"/>
          <w:szCs w:val="21"/>
          <w:highlight w:val="none"/>
        </w:rPr>
        <w:t>26.1</w:t>
      </w:r>
      <w:r>
        <w:rPr>
          <w:rFonts w:hint="eastAsia" w:ascii="宋体" w:hAnsi="宋体"/>
          <w:color w:val="auto"/>
          <w:sz w:val="21"/>
          <w:szCs w:val="21"/>
          <w:highlight w:val="none"/>
        </w:rPr>
        <w:t xml:space="preserve">依据采购文件的规定，从投标文件的有效性、完整性和对采购文件的响应程度进行审查，以确定是否对采购文件的实质性要求作出响应 </w:t>
      </w:r>
      <w:r>
        <w:rPr>
          <w:rFonts w:hint="eastAsia" w:ascii="宋体" w:hAnsi="宋体" w:cs="宋体"/>
          <w:color w:val="auto"/>
          <w:kern w:val="0"/>
          <w:sz w:val="21"/>
          <w:szCs w:val="21"/>
          <w:highlight w:val="none"/>
        </w:rPr>
        <w:t>(包括首次</w:t>
      </w:r>
      <w:r>
        <w:rPr>
          <w:rFonts w:hint="eastAsia" w:ascii="宋体" w:hAnsi="宋体"/>
          <w:color w:val="auto"/>
          <w:sz w:val="21"/>
          <w:szCs w:val="21"/>
          <w:highlight w:val="none"/>
        </w:rPr>
        <w:t>提交的</w:t>
      </w:r>
      <w:r>
        <w:rPr>
          <w:rFonts w:hint="eastAsia" w:ascii="宋体" w:hAnsi="宋体" w:cs="宋体"/>
          <w:color w:val="auto"/>
          <w:kern w:val="0"/>
          <w:sz w:val="21"/>
          <w:szCs w:val="21"/>
          <w:highlight w:val="none"/>
        </w:rPr>
        <w:t>投标文件、重新提交的投标文件)。</w:t>
      </w:r>
    </w:p>
    <w:tbl>
      <w:tblPr>
        <w:tblStyle w:val="4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06"/>
        <w:gridCol w:w="8856"/>
      </w:tblGrid>
      <w:tr w14:paraId="1C5E79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555" w:type="pct"/>
            <w:tcBorders>
              <w:top w:val="single" w:color="auto" w:sz="4" w:space="0"/>
              <w:bottom w:val="single" w:color="auto" w:sz="4" w:space="0"/>
              <w:right w:val="single" w:color="auto" w:sz="4" w:space="0"/>
            </w:tcBorders>
            <w:vAlign w:val="center"/>
          </w:tcPr>
          <w:p w14:paraId="24D9B6A8">
            <w:pPr>
              <w:spacing w:line="360" w:lineRule="exact"/>
              <w:jc w:val="center"/>
              <w:rPr>
                <w:rFonts w:ascii="宋体" w:hAnsi="宋体"/>
                <w:b/>
                <w:color w:val="auto"/>
                <w:szCs w:val="21"/>
                <w:highlight w:val="none"/>
              </w:rPr>
            </w:pPr>
            <w:r>
              <w:rPr>
                <w:rFonts w:hint="eastAsia" w:ascii="宋体" w:hAnsi="宋体"/>
                <w:b/>
                <w:color w:val="auto"/>
                <w:szCs w:val="21"/>
                <w:highlight w:val="none"/>
              </w:rPr>
              <w:t>项目</w:t>
            </w:r>
          </w:p>
        </w:tc>
        <w:tc>
          <w:tcPr>
            <w:tcW w:w="4445" w:type="pct"/>
            <w:tcBorders>
              <w:top w:val="single" w:color="auto" w:sz="4" w:space="0"/>
              <w:left w:val="single" w:color="auto" w:sz="4" w:space="0"/>
              <w:bottom w:val="single" w:color="auto" w:sz="4" w:space="0"/>
              <w:right w:val="single" w:color="auto" w:sz="4" w:space="0"/>
            </w:tcBorders>
            <w:vAlign w:val="center"/>
          </w:tcPr>
          <w:p w14:paraId="0822FD8F">
            <w:pPr>
              <w:spacing w:line="360" w:lineRule="exact"/>
              <w:jc w:val="center"/>
              <w:rPr>
                <w:rFonts w:ascii="宋体" w:hAnsi="宋体"/>
                <w:b/>
                <w:color w:val="auto"/>
                <w:szCs w:val="21"/>
                <w:highlight w:val="none"/>
              </w:rPr>
            </w:pPr>
            <w:r>
              <w:rPr>
                <w:rFonts w:ascii="宋体" w:hAnsi="宋体"/>
                <w:b/>
                <w:color w:val="auto"/>
                <w:szCs w:val="21"/>
                <w:highlight w:val="none"/>
              </w:rPr>
              <w:t>评审因素</w:t>
            </w:r>
          </w:p>
        </w:tc>
      </w:tr>
      <w:tr w14:paraId="38E2B6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55" w:type="pct"/>
            <w:vMerge w:val="restart"/>
            <w:tcBorders>
              <w:top w:val="single" w:color="auto" w:sz="4" w:space="0"/>
              <w:right w:val="single" w:color="auto" w:sz="4" w:space="0"/>
            </w:tcBorders>
            <w:vAlign w:val="center"/>
          </w:tcPr>
          <w:p w14:paraId="28B13481">
            <w:pPr>
              <w:spacing w:line="360" w:lineRule="exact"/>
              <w:jc w:val="center"/>
              <w:rPr>
                <w:rFonts w:ascii="宋体" w:hAnsi="宋体"/>
                <w:color w:val="auto"/>
                <w:szCs w:val="21"/>
                <w:highlight w:val="none"/>
              </w:rPr>
            </w:pPr>
            <w:r>
              <w:rPr>
                <w:rFonts w:hint="eastAsia" w:ascii="宋体" w:hAnsi="宋体"/>
                <w:color w:val="auto"/>
                <w:szCs w:val="21"/>
                <w:highlight w:val="none"/>
              </w:rPr>
              <w:t>符合性检查</w:t>
            </w:r>
          </w:p>
        </w:tc>
        <w:tc>
          <w:tcPr>
            <w:tcW w:w="4445" w:type="pct"/>
            <w:tcBorders>
              <w:top w:val="single" w:color="auto" w:sz="4" w:space="0"/>
              <w:left w:val="single" w:color="auto" w:sz="4" w:space="0"/>
              <w:bottom w:val="single" w:color="auto" w:sz="4" w:space="0"/>
              <w:right w:val="single" w:color="auto" w:sz="4" w:space="0"/>
            </w:tcBorders>
            <w:vAlign w:val="center"/>
          </w:tcPr>
          <w:p w14:paraId="1791D120">
            <w:pPr>
              <w:spacing w:line="360" w:lineRule="exac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投标文件按照采购文件规定的内容、格式填写，字迹清晰可辨</w:t>
            </w:r>
          </w:p>
        </w:tc>
      </w:tr>
      <w:tr w14:paraId="3F883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55" w:type="pct"/>
            <w:vMerge w:val="continue"/>
            <w:tcBorders>
              <w:right w:val="single" w:color="auto" w:sz="4" w:space="0"/>
            </w:tcBorders>
            <w:vAlign w:val="center"/>
          </w:tcPr>
          <w:p w14:paraId="6A505709">
            <w:pPr>
              <w:spacing w:line="360" w:lineRule="exact"/>
              <w:jc w:val="center"/>
              <w:rPr>
                <w:rFonts w:ascii="宋体" w:hAnsi="宋体"/>
                <w:color w:val="auto"/>
                <w:szCs w:val="21"/>
                <w:highlight w:val="none"/>
              </w:rPr>
            </w:pPr>
          </w:p>
        </w:tc>
        <w:tc>
          <w:tcPr>
            <w:tcW w:w="4445" w:type="pct"/>
            <w:tcBorders>
              <w:top w:val="single" w:color="auto" w:sz="4" w:space="0"/>
              <w:left w:val="single" w:color="auto" w:sz="4" w:space="0"/>
              <w:bottom w:val="single" w:color="auto" w:sz="4" w:space="0"/>
              <w:right w:val="single" w:color="auto" w:sz="4" w:space="0"/>
            </w:tcBorders>
          </w:tcPr>
          <w:p w14:paraId="16E51E7F">
            <w:pPr>
              <w:spacing w:line="360" w:lineRule="exac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w:t>
            </w:r>
            <w:r>
              <w:rPr>
                <w:rFonts w:hint="eastAsia" w:ascii="宋体" w:hAnsi="宋体"/>
                <w:color w:val="auto"/>
                <w:szCs w:val="21"/>
                <w:highlight w:val="none"/>
              </w:rPr>
              <w:t>投标文件提供法定代表人授权委托书或提供法定代表人身份证明</w:t>
            </w:r>
          </w:p>
        </w:tc>
      </w:tr>
      <w:tr w14:paraId="2A09E3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55" w:type="pct"/>
            <w:vMerge w:val="continue"/>
            <w:tcBorders>
              <w:right w:val="single" w:color="auto" w:sz="4" w:space="0"/>
            </w:tcBorders>
            <w:vAlign w:val="center"/>
          </w:tcPr>
          <w:p w14:paraId="617F669B">
            <w:pPr>
              <w:spacing w:line="360" w:lineRule="exact"/>
              <w:jc w:val="center"/>
              <w:rPr>
                <w:rFonts w:ascii="宋体" w:hAnsi="宋体"/>
                <w:color w:val="auto"/>
                <w:szCs w:val="21"/>
                <w:highlight w:val="none"/>
              </w:rPr>
            </w:pPr>
          </w:p>
        </w:tc>
        <w:tc>
          <w:tcPr>
            <w:tcW w:w="4445" w:type="pct"/>
            <w:tcBorders>
              <w:top w:val="single" w:color="auto" w:sz="4" w:space="0"/>
              <w:left w:val="single" w:color="auto" w:sz="4" w:space="0"/>
              <w:bottom w:val="single" w:color="auto" w:sz="4" w:space="0"/>
              <w:right w:val="single" w:color="auto" w:sz="4" w:space="0"/>
            </w:tcBorders>
            <w:vAlign w:val="center"/>
          </w:tcPr>
          <w:p w14:paraId="40BC10BE">
            <w:pPr>
              <w:spacing w:line="360" w:lineRule="exact"/>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w:t>
            </w:r>
            <w:r>
              <w:rPr>
                <w:rFonts w:hint="eastAsia" w:ascii="宋体" w:hAnsi="宋体"/>
                <w:color w:val="auto"/>
                <w:szCs w:val="21"/>
                <w:highlight w:val="none"/>
              </w:rPr>
              <w:t>投标文件上法定代表人或其授权代理人的签字、投标人的单位章齐全符合采购文件规定</w:t>
            </w:r>
          </w:p>
        </w:tc>
      </w:tr>
      <w:tr w14:paraId="03E7B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55" w:type="pct"/>
            <w:vMerge w:val="continue"/>
            <w:tcBorders>
              <w:right w:val="single" w:color="auto" w:sz="4" w:space="0"/>
            </w:tcBorders>
            <w:vAlign w:val="center"/>
          </w:tcPr>
          <w:p w14:paraId="362B7984">
            <w:pPr>
              <w:spacing w:line="360" w:lineRule="exact"/>
              <w:jc w:val="center"/>
              <w:rPr>
                <w:rFonts w:ascii="宋体" w:hAnsi="宋体"/>
                <w:color w:val="auto"/>
                <w:szCs w:val="21"/>
                <w:highlight w:val="none"/>
              </w:rPr>
            </w:pPr>
          </w:p>
        </w:tc>
        <w:tc>
          <w:tcPr>
            <w:tcW w:w="4445" w:type="pct"/>
            <w:tcBorders>
              <w:top w:val="single" w:color="auto" w:sz="4" w:space="0"/>
              <w:left w:val="single" w:color="auto" w:sz="4" w:space="0"/>
              <w:bottom w:val="single" w:color="auto" w:sz="4" w:space="0"/>
              <w:right w:val="single" w:color="auto" w:sz="4" w:space="0"/>
            </w:tcBorders>
            <w:vAlign w:val="center"/>
          </w:tcPr>
          <w:p w14:paraId="2AAE0A7C">
            <w:pPr>
              <w:spacing w:line="360" w:lineRule="exact"/>
              <w:rPr>
                <w:rFonts w:hint="eastAsia" w:ascii="宋体" w:hAnsi="宋体" w:eastAsia="宋体"/>
                <w:color w:val="auto"/>
                <w:szCs w:val="21"/>
                <w:highlight w:val="none"/>
                <w:lang w:eastAsia="zh-CN"/>
              </w:rPr>
            </w:pPr>
            <w:r>
              <w:rPr>
                <w:rFonts w:hint="eastAsia" w:ascii="宋体" w:hAnsi="宋体"/>
                <w:color w:val="auto"/>
                <w:szCs w:val="21"/>
                <w:highlight w:val="none"/>
              </w:rPr>
              <w:t>4</w:t>
            </w:r>
            <w:r>
              <w:rPr>
                <w:rFonts w:hint="eastAsia" w:ascii="宋体" w:hAnsi="宋体"/>
                <w:color w:val="auto"/>
                <w:szCs w:val="21"/>
                <w:highlight w:val="none"/>
                <w:lang w:val="en-US" w:eastAsia="zh-CN"/>
              </w:rPr>
              <w:t>.</w:t>
            </w:r>
            <w:r>
              <w:rPr>
                <w:rFonts w:hint="eastAsia" w:ascii="宋体" w:hAnsi="宋体"/>
                <w:color w:val="auto"/>
                <w:szCs w:val="21"/>
                <w:highlight w:val="none"/>
              </w:rPr>
              <w:t>按规定交纳投标保证金</w:t>
            </w:r>
            <w:r>
              <w:rPr>
                <w:rFonts w:hint="eastAsia" w:ascii="宋体" w:hAnsi="宋体"/>
                <w:color w:val="auto"/>
                <w:szCs w:val="21"/>
                <w:highlight w:val="none"/>
                <w:lang w:val="en-US" w:eastAsia="zh-CN"/>
              </w:rPr>
              <w:t>或投标保证金保函</w:t>
            </w:r>
          </w:p>
        </w:tc>
      </w:tr>
      <w:tr w14:paraId="2D0211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55" w:type="pct"/>
            <w:vMerge w:val="continue"/>
            <w:tcBorders>
              <w:right w:val="single" w:color="auto" w:sz="4" w:space="0"/>
            </w:tcBorders>
            <w:vAlign w:val="center"/>
          </w:tcPr>
          <w:p w14:paraId="6C5EBBA9">
            <w:pPr>
              <w:spacing w:line="360" w:lineRule="exact"/>
              <w:jc w:val="center"/>
              <w:rPr>
                <w:rFonts w:ascii="宋体" w:hAnsi="宋体"/>
                <w:color w:val="auto"/>
                <w:szCs w:val="21"/>
                <w:highlight w:val="none"/>
              </w:rPr>
            </w:pPr>
          </w:p>
        </w:tc>
        <w:tc>
          <w:tcPr>
            <w:tcW w:w="4445" w:type="pct"/>
            <w:tcBorders>
              <w:top w:val="single" w:color="auto" w:sz="4" w:space="0"/>
              <w:left w:val="single" w:color="auto" w:sz="4" w:space="0"/>
              <w:bottom w:val="single" w:color="auto" w:sz="4" w:space="0"/>
              <w:right w:val="single" w:color="auto" w:sz="4" w:space="0"/>
            </w:tcBorders>
            <w:vAlign w:val="center"/>
          </w:tcPr>
          <w:p w14:paraId="64BAE939">
            <w:pPr>
              <w:spacing w:line="360" w:lineRule="exact"/>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val="en-US" w:eastAsia="zh-CN"/>
              </w:rPr>
              <w:t>.</w:t>
            </w:r>
            <w:r>
              <w:rPr>
                <w:rFonts w:hint="eastAsia" w:ascii="宋体" w:hAnsi="宋体"/>
                <w:color w:val="auto"/>
                <w:szCs w:val="21"/>
                <w:highlight w:val="none"/>
              </w:rPr>
              <w:t>投标文件承诺响应有效期满足采购文件要求</w:t>
            </w:r>
          </w:p>
        </w:tc>
      </w:tr>
      <w:tr w14:paraId="0FB2ED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55" w:type="pct"/>
            <w:vMerge w:val="continue"/>
            <w:tcBorders>
              <w:right w:val="single" w:color="auto" w:sz="4" w:space="0"/>
            </w:tcBorders>
            <w:vAlign w:val="center"/>
          </w:tcPr>
          <w:p w14:paraId="37F9FF63">
            <w:pPr>
              <w:spacing w:line="360" w:lineRule="exact"/>
              <w:jc w:val="center"/>
              <w:rPr>
                <w:rFonts w:ascii="宋体" w:hAnsi="宋体"/>
                <w:color w:val="auto"/>
                <w:szCs w:val="21"/>
                <w:highlight w:val="none"/>
              </w:rPr>
            </w:pPr>
          </w:p>
        </w:tc>
        <w:tc>
          <w:tcPr>
            <w:tcW w:w="4445" w:type="pct"/>
            <w:tcBorders>
              <w:top w:val="single" w:color="auto" w:sz="4" w:space="0"/>
              <w:left w:val="single" w:color="auto" w:sz="4" w:space="0"/>
              <w:bottom w:val="single" w:color="auto" w:sz="4" w:space="0"/>
              <w:right w:val="single" w:color="auto" w:sz="4" w:space="0"/>
            </w:tcBorders>
            <w:vAlign w:val="center"/>
          </w:tcPr>
          <w:p w14:paraId="609928CC">
            <w:pPr>
              <w:spacing w:line="360" w:lineRule="exact"/>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lang w:val="en-US" w:eastAsia="zh-CN"/>
              </w:rPr>
              <w:t>.</w:t>
            </w:r>
            <w:r>
              <w:rPr>
                <w:rFonts w:hint="eastAsia" w:ascii="宋体" w:hAnsi="宋体"/>
                <w:color w:val="auto"/>
                <w:szCs w:val="21"/>
                <w:highlight w:val="none"/>
              </w:rPr>
              <w:t>报价具有唯一性，未超过采购项目预算</w:t>
            </w:r>
          </w:p>
        </w:tc>
      </w:tr>
      <w:tr w14:paraId="53EA04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55" w:type="pct"/>
            <w:vMerge w:val="continue"/>
            <w:tcBorders>
              <w:right w:val="single" w:color="auto" w:sz="4" w:space="0"/>
            </w:tcBorders>
            <w:vAlign w:val="center"/>
          </w:tcPr>
          <w:p w14:paraId="271F9CCF">
            <w:pPr>
              <w:spacing w:line="360" w:lineRule="exact"/>
              <w:jc w:val="center"/>
              <w:rPr>
                <w:rFonts w:ascii="宋体" w:hAnsi="宋体"/>
                <w:color w:val="auto"/>
                <w:szCs w:val="21"/>
                <w:highlight w:val="none"/>
              </w:rPr>
            </w:pPr>
          </w:p>
        </w:tc>
        <w:tc>
          <w:tcPr>
            <w:tcW w:w="4445" w:type="pct"/>
            <w:tcBorders>
              <w:top w:val="single" w:color="auto" w:sz="4" w:space="0"/>
              <w:left w:val="single" w:color="auto" w:sz="4" w:space="0"/>
              <w:bottom w:val="single" w:color="auto" w:sz="4" w:space="0"/>
              <w:right w:val="single" w:color="auto" w:sz="4" w:space="0"/>
            </w:tcBorders>
            <w:vAlign w:val="center"/>
          </w:tcPr>
          <w:p w14:paraId="1B5F5B46">
            <w:pPr>
              <w:spacing w:line="360" w:lineRule="exact"/>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lang w:val="en-US" w:eastAsia="zh-CN"/>
              </w:rPr>
              <w:t>.</w:t>
            </w:r>
            <w:r>
              <w:rPr>
                <w:rFonts w:hint="eastAsia" w:ascii="宋体" w:hAnsi="宋体"/>
                <w:color w:val="auto"/>
                <w:szCs w:val="21"/>
                <w:highlight w:val="none"/>
              </w:rPr>
              <w:t>投标文件未附有采购人不能接受的条件或不符合采购文件的其他要求</w:t>
            </w:r>
          </w:p>
        </w:tc>
      </w:tr>
      <w:tr w14:paraId="3B265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55" w:type="pct"/>
            <w:tcBorders>
              <w:top w:val="single" w:color="auto" w:sz="4" w:space="0"/>
              <w:bottom w:val="single" w:color="auto" w:sz="4" w:space="0"/>
              <w:right w:val="single" w:color="auto" w:sz="4" w:space="0"/>
            </w:tcBorders>
            <w:vAlign w:val="center"/>
          </w:tcPr>
          <w:p w14:paraId="3A561A6F">
            <w:pPr>
              <w:spacing w:line="360" w:lineRule="exact"/>
              <w:jc w:val="center"/>
              <w:rPr>
                <w:rFonts w:ascii="宋体" w:hAnsi="宋体"/>
                <w:b/>
                <w:color w:val="auto"/>
                <w:szCs w:val="21"/>
                <w:highlight w:val="none"/>
              </w:rPr>
            </w:pPr>
            <w:r>
              <w:rPr>
                <w:rFonts w:hint="eastAsia" w:ascii="宋体" w:hAnsi="宋体"/>
                <w:b/>
                <w:color w:val="auto"/>
                <w:szCs w:val="21"/>
                <w:highlight w:val="none"/>
              </w:rPr>
              <w:t>结论</w:t>
            </w:r>
          </w:p>
        </w:tc>
        <w:tc>
          <w:tcPr>
            <w:tcW w:w="4445" w:type="pct"/>
            <w:tcBorders>
              <w:top w:val="single" w:color="auto" w:sz="4" w:space="0"/>
              <w:left w:val="single" w:color="auto" w:sz="4" w:space="0"/>
              <w:bottom w:val="single" w:color="auto" w:sz="4" w:space="0"/>
              <w:right w:val="single" w:color="auto" w:sz="4" w:space="0"/>
            </w:tcBorders>
            <w:vAlign w:val="center"/>
          </w:tcPr>
          <w:p w14:paraId="6B8D24EA">
            <w:pPr>
              <w:spacing w:line="360" w:lineRule="exact"/>
              <w:rPr>
                <w:rFonts w:ascii="宋体" w:hAnsi="宋体"/>
                <w:color w:val="auto"/>
                <w:szCs w:val="21"/>
                <w:highlight w:val="none"/>
              </w:rPr>
            </w:pPr>
            <w:r>
              <w:rPr>
                <w:rFonts w:hint="eastAsia" w:ascii="宋体" w:hAnsi="宋体"/>
                <w:color w:val="auto"/>
                <w:szCs w:val="21"/>
                <w:highlight w:val="none"/>
              </w:rPr>
              <w:t>是否通过审查，进入下一阶段</w:t>
            </w:r>
          </w:p>
        </w:tc>
      </w:tr>
      <w:tr w14:paraId="11307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000" w:type="pct"/>
            <w:gridSpan w:val="2"/>
            <w:tcBorders>
              <w:top w:val="single" w:color="auto" w:sz="4" w:space="0"/>
              <w:right w:val="single" w:color="auto" w:sz="4" w:space="0"/>
            </w:tcBorders>
            <w:vAlign w:val="center"/>
          </w:tcPr>
          <w:p w14:paraId="3A20C53B">
            <w:pPr>
              <w:tabs>
                <w:tab w:val="left" w:pos="0"/>
              </w:tabs>
              <w:adjustRightInd w:val="0"/>
              <w:snapToGrid w:val="0"/>
              <w:spacing w:line="360" w:lineRule="exact"/>
              <w:rPr>
                <w:rFonts w:ascii="宋体" w:hAnsi="宋体"/>
                <w:b/>
                <w:color w:val="auto"/>
                <w:szCs w:val="21"/>
                <w:highlight w:val="none"/>
              </w:rPr>
            </w:pPr>
            <w:r>
              <w:rPr>
                <w:rFonts w:hint="eastAsia" w:ascii="宋体" w:hAnsi="宋体"/>
                <w:b/>
                <w:color w:val="auto"/>
                <w:szCs w:val="21"/>
                <w:highlight w:val="none"/>
              </w:rPr>
              <w:t>1）“是否通过并进入下一阶段评审”一栏应写“通过”或“不通过”。</w:t>
            </w:r>
          </w:p>
          <w:p w14:paraId="79E1E586">
            <w:pPr>
              <w:tabs>
                <w:tab w:val="left" w:pos="0"/>
              </w:tabs>
              <w:adjustRightInd w:val="0"/>
              <w:snapToGrid w:val="0"/>
              <w:spacing w:line="360" w:lineRule="exact"/>
              <w:rPr>
                <w:rFonts w:ascii="宋体" w:hAnsi="宋体"/>
                <w:b/>
                <w:color w:val="auto"/>
                <w:szCs w:val="21"/>
                <w:highlight w:val="none"/>
              </w:rPr>
            </w:pPr>
            <w:r>
              <w:rPr>
                <w:rFonts w:hint="eastAsia" w:ascii="宋体" w:hAnsi="宋体"/>
                <w:b/>
                <w:color w:val="auto"/>
                <w:szCs w:val="21"/>
                <w:highlight w:val="none"/>
              </w:rPr>
              <w:t>2）出现一个“×”的结论为“不通过”。表中全部为“√”，同意进入下一阶段评审。</w:t>
            </w:r>
          </w:p>
          <w:p w14:paraId="7CE61141">
            <w:pPr>
              <w:spacing w:line="360" w:lineRule="exact"/>
              <w:rPr>
                <w:rFonts w:ascii="宋体" w:hAnsi="宋体"/>
                <w:color w:val="auto"/>
                <w:szCs w:val="21"/>
                <w:highlight w:val="none"/>
              </w:rPr>
            </w:pPr>
            <w:r>
              <w:rPr>
                <w:rFonts w:hint="eastAsia" w:ascii="宋体" w:hAnsi="宋体"/>
                <w:b/>
                <w:color w:val="auto"/>
                <w:szCs w:val="21"/>
                <w:highlight w:val="none"/>
              </w:rPr>
              <w:t>3）若专家意见不一致时，则按少数服从多数的原则，由专家投票决定该投标人是否通过审查，进入下一阶段评审。</w:t>
            </w:r>
          </w:p>
        </w:tc>
      </w:tr>
    </w:tbl>
    <w:p w14:paraId="2E69A31C">
      <w:pPr>
        <w:tabs>
          <w:tab w:val="left" w:pos="0"/>
          <w:tab w:val="left" w:pos="7560"/>
          <w:tab w:val="left" w:pos="7740"/>
          <w:tab w:val="left" w:pos="7920"/>
        </w:tabs>
        <w:adjustRightInd w:val="0"/>
        <w:snapToGrid w:val="0"/>
        <w:spacing w:line="360" w:lineRule="auto"/>
        <w:ind w:right="23" w:rightChars="11"/>
        <w:rPr>
          <w:rFonts w:ascii="宋体" w:hAnsi="宋体" w:cs="宋体"/>
          <w:b/>
          <w:color w:val="auto"/>
          <w:kern w:val="0"/>
          <w:szCs w:val="21"/>
          <w:highlight w:val="none"/>
        </w:rPr>
      </w:pPr>
      <w:r>
        <w:rPr>
          <w:rFonts w:hint="eastAsia" w:ascii="宋体" w:hAnsi="宋体" w:cs="宋体"/>
          <w:b/>
          <w:color w:val="auto"/>
          <w:kern w:val="0"/>
          <w:szCs w:val="21"/>
          <w:highlight w:val="none"/>
        </w:rPr>
        <w:t>27.澄清</w:t>
      </w:r>
    </w:p>
    <w:p w14:paraId="506E935B">
      <w:pPr>
        <w:widowControl/>
        <w:adjustRightInd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27.1 评审小组在对投标文件(包括首次投标文件、重新提交的投标文件)的有效性、完整性和对采购文件的响应程度进行审查时，可以要求</w:t>
      </w:r>
      <w:r>
        <w:rPr>
          <w:rFonts w:hint="eastAsia" w:ascii="宋体" w:hAnsi="宋体"/>
          <w:color w:val="auto"/>
          <w:szCs w:val="21"/>
          <w:highlight w:val="none"/>
        </w:rPr>
        <w:t>投标人</w:t>
      </w:r>
      <w:r>
        <w:rPr>
          <w:rFonts w:hint="eastAsia" w:ascii="宋体" w:hAnsi="宋体" w:cs="宋体"/>
          <w:color w:val="auto"/>
          <w:kern w:val="0"/>
          <w:szCs w:val="21"/>
          <w:highlight w:val="none"/>
        </w:rPr>
        <w:t>对投标文件中含义不明确、同类问题表述不一致或者有明显文字和计算错误的内容等作出必要的澄清、说明或者更正。该要求应当以书面形式作出。投标人的澄清、说明或者更正不得超出投标文件的范围或者改变投标文件的实质性内容。</w:t>
      </w:r>
      <w:r>
        <w:rPr>
          <w:rFonts w:hint="eastAsia" w:ascii="宋体" w:hAnsi="宋体"/>
          <w:color w:val="auto"/>
          <w:szCs w:val="21"/>
          <w:highlight w:val="none"/>
        </w:rPr>
        <w:t>投标人</w:t>
      </w:r>
      <w:r>
        <w:rPr>
          <w:rFonts w:hint="eastAsia" w:ascii="宋体" w:hAnsi="宋体" w:cs="宋体"/>
          <w:color w:val="auto"/>
          <w:kern w:val="0"/>
          <w:szCs w:val="21"/>
          <w:highlight w:val="none"/>
        </w:rPr>
        <w:t>的澄清、说明或者更正应当采用书面形式，由其法定代表人或其委托代理人签字，</w:t>
      </w:r>
      <w:r>
        <w:rPr>
          <w:rFonts w:hint="eastAsia" w:ascii="宋体" w:hAnsi="宋体"/>
          <w:color w:val="auto"/>
          <w:szCs w:val="21"/>
          <w:highlight w:val="none"/>
        </w:rPr>
        <w:t>投标人</w:t>
      </w:r>
      <w:r>
        <w:rPr>
          <w:rFonts w:hint="eastAsia" w:ascii="宋体" w:hAnsi="宋体" w:cs="宋体"/>
          <w:color w:val="auto"/>
          <w:kern w:val="0"/>
          <w:szCs w:val="21"/>
          <w:highlight w:val="none"/>
        </w:rPr>
        <w:t>的澄清、说明或者更正不得超出投标文件的范围或者改变投标文件的实质性内容。</w:t>
      </w:r>
    </w:p>
    <w:p w14:paraId="0590B233">
      <w:pPr>
        <w:widowControl/>
        <w:adjustRightInd w:val="0"/>
        <w:snapToGrid w:val="0"/>
        <w:spacing w:line="360" w:lineRule="auto"/>
        <w:ind w:firstLine="420"/>
        <w:jc w:val="left"/>
        <w:rPr>
          <w:rFonts w:ascii="宋体" w:hAnsi="宋体" w:cs="宋体"/>
          <w:b/>
          <w:color w:val="auto"/>
          <w:kern w:val="0"/>
          <w:szCs w:val="21"/>
          <w:highlight w:val="none"/>
        </w:rPr>
      </w:pPr>
      <w:r>
        <w:rPr>
          <w:rFonts w:hint="eastAsia" w:ascii="宋体" w:hAnsi="宋体" w:cs="宋体"/>
          <w:color w:val="auto"/>
          <w:kern w:val="0"/>
          <w:szCs w:val="21"/>
          <w:highlight w:val="none"/>
        </w:rPr>
        <w:t>27.2 报价计算错误修正的原则：报价</w:t>
      </w:r>
      <w:r>
        <w:rPr>
          <w:rFonts w:hint="eastAsia" w:ascii="宋体" w:hAnsi="宋体" w:cs="Arial"/>
          <w:color w:val="auto"/>
          <w:kern w:val="0"/>
          <w:szCs w:val="21"/>
          <w:highlight w:val="none"/>
        </w:rPr>
        <w:t>的大写金额和小写金额不一致的，以大写金额为准；</w:t>
      </w:r>
      <w:r>
        <w:rPr>
          <w:rFonts w:hint="eastAsia" w:ascii="宋体" w:hAnsi="宋体"/>
          <w:color w:val="auto"/>
          <w:szCs w:val="21"/>
          <w:highlight w:val="none"/>
        </w:rPr>
        <w:t>总价金额与按单价汇总金额不一致的，以单价金额计算结果为准；单价金额小数点有明显错位的，应以总价为准，并修改单价。若投标人拒绝接受上述修正，在评审时将其视为无效响应</w:t>
      </w:r>
      <w:r>
        <w:rPr>
          <w:rFonts w:hint="eastAsia" w:ascii="宋体" w:hAnsi="宋体" w:cs="Arial"/>
          <w:color w:val="auto"/>
          <w:kern w:val="0"/>
          <w:szCs w:val="21"/>
          <w:highlight w:val="none"/>
        </w:rPr>
        <w:t>。</w:t>
      </w:r>
    </w:p>
    <w:p w14:paraId="3CBD1F41">
      <w:pPr>
        <w:widowControl/>
        <w:adjustRightInd w:val="0"/>
        <w:snapToGrid w:val="0"/>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28.综合评分</w:t>
      </w:r>
    </w:p>
    <w:p w14:paraId="58B0082A">
      <w:pPr>
        <w:adjustRightInd w:val="0"/>
        <w:snapToGrid w:val="0"/>
        <w:spacing w:line="360" w:lineRule="auto"/>
        <w:ind w:firstLine="420" w:firstLineChars="200"/>
        <w:rPr>
          <w:rFonts w:ascii="宋体" w:hAnsi="宋体" w:cs="宋体"/>
          <w:bCs/>
          <w:color w:val="auto"/>
          <w:kern w:val="0"/>
          <w:szCs w:val="21"/>
          <w:highlight w:val="none"/>
        </w:rPr>
      </w:pPr>
      <w:r>
        <w:rPr>
          <w:rFonts w:hint="eastAsia" w:ascii="宋体" w:hAnsi="宋体" w:cs="宋体"/>
          <w:color w:val="auto"/>
          <w:kern w:val="0"/>
          <w:szCs w:val="21"/>
          <w:highlight w:val="none"/>
        </w:rPr>
        <w:t>28.1经确定</w:t>
      </w:r>
      <w:r>
        <w:rPr>
          <w:rFonts w:hint="eastAsia" w:ascii="宋体" w:hAnsi="宋体" w:cs="宋体"/>
          <w:bCs/>
          <w:color w:val="auto"/>
          <w:kern w:val="0"/>
          <w:szCs w:val="21"/>
          <w:highlight w:val="none"/>
        </w:rPr>
        <w:t>最终采购需求和提交最后报价的投标人后，由评审小组采用综合评分法对提交最后报价的投标人的投标文件和最后报价进行综合评分。</w:t>
      </w:r>
    </w:p>
    <w:p w14:paraId="3645DF08">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综合评分法，是指投标文件满足采购文件全部实质性要求且按评审因素的量化指标评审得分最高的投标人为中标候选投标人的评审方法。</w:t>
      </w:r>
    </w:p>
    <w:p w14:paraId="7D260324">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28.2评审时，评审小组各成员应当独立对每个有效响应的文件进行评价、打分，然后汇总每个投标人每项评分因素的得分。</w:t>
      </w:r>
    </w:p>
    <w:p w14:paraId="3E523FE5">
      <w:pPr>
        <w:adjustRightInd w:val="0"/>
        <w:snapToGrid w:val="0"/>
        <w:spacing w:line="360" w:lineRule="auto"/>
        <w:ind w:firstLine="422" w:firstLineChars="200"/>
        <w:rPr>
          <w:rFonts w:ascii="宋体" w:hAnsi="宋体" w:cs="宋体"/>
          <w:color w:val="auto"/>
          <w:kern w:val="0"/>
          <w:szCs w:val="21"/>
          <w:highlight w:val="none"/>
        </w:rPr>
      </w:pPr>
      <w:r>
        <w:rPr>
          <w:rFonts w:hint="eastAsia" w:ascii="宋体" w:hAnsi="宋体"/>
          <w:b/>
          <w:color w:val="auto"/>
          <w:kern w:val="0"/>
          <w:szCs w:val="21"/>
          <w:highlight w:val="none"/>
        </w:rPr>
        <w:t>投标人最终得分=最终价格评分A（含E中小企业价格折扣</w:t>
      </w:r>
      <w:r>
        <w:rPr>
          <w:rFonts w:ascii="宋体" w:hAnsi="宋体"/>
          <w:b/>
          <w:color w:val="auto"/>
          <w:kern w:val="0"/>
          <w:szCs w:val="21"/>
          <w:highlight w:val="none"/>
        </w:rPr>
        <w:t>）</w:t>
      </w:r>
      <w:r>
        <w:rPr>
          <w:rFonts w:hint="eastAsia" w:ascii="宋体" w:hAnsi="宋体"/>
          <w:b/>
          <w:color w:val="auto"/>
          <w:kern w:val="0"/>
          <w:szCs w:val="21"/>
          <w:highlight w:val="none"/>
        </w:rPr>
        <w:t>+B+C+D</w:t>
      </w:r>
      <w:r>
        <w:rPr>
          <w:rFonts w:hint="eastAsia" w:ascii="宋体" w:hAnsi="宋体"/>
          <w:color w:val="auto"/>
          <w:kern w:val="0"/>
          <w:szCs w:val="21"/>
          <w:highlight w:val="none"/>
        </w:rPr>
        <w:t>。</w:t>
      </w:r>
    </w:p>
    <w:p w14:paraId="3FE1D375">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28.3评分办法：综合评分法</w:t>
      </w:r>
    </w:p>
    <w:p w14:paraId="4D94842A">
      <w:pPr>
        <w:adjustRightInd w:val="0"/>
        <w:snapToGrid w:val="0"/>
        <w:spacing w:line="360" w:lineRule="auto"/>
        <w:ind w:firstLine="420" w:firstLineChars="200"/>
        <w:rPr>
          <w:rFonts w:hint="eastAsia" w:ascii="宋体" w:hAnsi="宋体" w:cs="宋体"/>
          <w:color w:val="auto"/>
          <w:kern w:val="0"/>
          <w:szCs w:val="21"/>
          <w:highlight w:val="none"/>
          <w:lang w:val="en-US" w:eastAsia="zh-CN"/>
        </w:rPr>
      </w:pPr>
    </w:p>
    <w:tbl>
      <w:tblPr>
        <w:tblStyle w:val="47"/>
        <w:tblW w:w="955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6918"/>
        <w:gridCol w:w="934"/>
      </w:tblGrid>
      <w:tr w14:paraId="57FA4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703" w:type="dxa"/>
            <w:tcBorders>
              <w:top w:val="single" w:color="auto" w:sz="4" w:space="0"/>
              <w:left w:val="single" w:color="auto" w:sz="4" w:space="0"/>
              <w:bottom w:val="single" w:color="auto" w:sz="4" w:space="0"/>
              <w:right w:val="single" w:color="auto" w:sz="4" w:space="0"/>
            </w:tcBorders>
            <w:vAlign w:val="center"/>
          </w:tcPr>
          <w:p w14:paraId="6F625F9E">
            <w:pPr>
              <w:pStyle w:val="25"/>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6918" w:type="dxa"/>
            <w:tcBorders>
              <w:top w:val="single" w:color="auto" w:sz="4" w:space="0"/>
              <w:left w:val="single" w:color="auto" w:sz="4" w:space="0"/>
              <w:bottom w:val="single" w:color="auto" w:sz="4" w:space="0"/>
              <w:right w:val="single" w:color="auto" w:sz="4" w:space="0"/>
            </w:tcBorders>
            <w:vAlign w:val="center"/>
          </w:tcPr>
          <w:p w14:paraId="02583299">
            <w:pPr>
              <w:pStyle w:val="25"/>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评审内容</w:t>
            </w:r>
          </w:p>
        </w:tc>
        <w:tc>
          <w:tcPr>
            <w:tcW w:w="934" w:type="dxa"/>
            <w:tcBorders>
              <w:top w:val="single" w:color="auto" w:sz="4" w:space="0"/>
              <w:left w:val="single" w:color="auto" w:sz="4" w:space="0"/>
              <w:bottom w:val="single" w:color="auto" w:sz="4" w:space="0"/>
              <w:right w:val="single" w:color="auto" w:sz="4" w:space="0"/>
            </w:tcBorders>
            <w:vAlign w:val="center"/>
          </w:tcPr>
          <w:p w14:paraId="1229F0D3">
            <w:pPr>
              <w:pStyle w:val="25"/>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r>
      <w:tr w14:paraId="61BB8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55" w:type="dxa"/>
            <w:gridSpan w:val="3"/>
            <w:tcBorders>
              <w:top w:val="single" w:color="auto" w:sz="4" w:space="0"/>
              <w:left w:val="single" w:color="auto" w:sz="4" w:space="0"/>
              <w:bottom w:val="single" w:color="auto" w:sz="4" w:space="0"/>
              <w:right w:val="single" w:color="auto" w:sz="4" w:space="0"/>
            </w:tcBorders>
            <w:vAlign w:val="center"/>
          </w:tcPr>
          <w:p w14:paraId="41F4D8B9">
            <w:pPr>
              <w:pStyle w:val="25"/>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A：价格评分10分</w:t>
            </w:r>
          </w:p>
        </w:tc>
      </w:tr>
      <w:tr w14:paraId="7599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03" w:type="dxa"/>
            <w:tcBorders>
              <w:top w:val="single" w:color="auto" w:sz="4" w:space="0"/>
              <w:left w:val="single" w:color="auto" w:sz="4" w:space="0"/>
              <w:bottom w:val="single" w:color="auto" w:sz="4" w:space="0"/>
              <w:right w:val="single" w:color="auto" w:sz="4" w:space="0"/>
            </w:tcBorders>
            <w:vAlign w:val="center"/>
          </w:tcPr>
          <w:p w14:paraId="6CD8F497">
            <w:pPr>
              <w:pStyle w:val="25"/>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w:t>
            </w:r>
          </w:p>
        </w:tc>
        <w:tc>
          <w:tcPr>
            <w:tcW w:w="6918" w:type="dxa"/>
            <w:tcBorders>
              <w:top w:val="single" w:color="auto" w:sz="4" w:space="0"/>
              <w:left w:val="single" w:color="auto" w:sz="4" w:space="0"/>
              <w:bottom w:val="single" w:color="auto" w:sz="4" w:space="0"/>
              <w:right w:val="single" w:color="auto" w:sz="4" w:space="0"/>
            </w:tcBorders>
            <w:vAlign w:val="center"/>
          </w:tcPr>
          <w:p w14:paraId="61D8F3B3">
            <w:pPr>
              <w:keepNext w:val="0"/>
              <w:keepLines w:val="0"/>
              <w:pageBreakBefore w:val="0"/>
              <w:widowControl/>
              <w:kinsoku/>
              <w:wordWrap/>
              <w:overflowPunct/>
              <w:topLinePunct w:val="0"/>
              <w:autoSpaceDE/>
              <w:autoSpaceDN/>
              <w:bidi w:val="0"/>
              <w:adjustRightInd/>
              <w:spacing w:line="360" w:lineRule="auto"/>
              <w:jc w:val="left"/>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基准值的确定：评标基准价=有效投标报价的最低值，</w:t>
            </w:r>
          </w:p>
          <w:p w14:paraId="6E4F24B7">
            <w:pPr>
              <w:pStyle w:val="25"/>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投标报价得分=（评标基准价/投标报价）×10%×100。有效投标报价为通过初步审查的投标人报价。有效投标报价等于基准值的得满分。</w:t>
            </w:r>
          </w:p>
        </w:tc>
        <w:tc>
          <w:tcPr>
            <w:tcW w:w="934" w:type="dxa"/>
            <w:tcBorders>
              <w:top w:val="single" w:color="auto" w:sz="4" w:space="0"/>
              <w:left w:val="single" w:color="auto" w:sz="4" w:space="0"/>
              <w:bottom w:val="single" w:color="auto" w:sz="4" w:space="0"/>
              <w:right w:val="single" w:color="auto" w:sz="4" w:space="0"/>
            </w:tcBorders>
            <w:vAlign w:val="center"/>
          </w:tcPr>
          <w:p w14:paraId="51396969">
            <w:pPr>
              <w:pStyle w:val="25"/>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r>
      <w:tr w14:paraId="1D65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555" w:type="dxa"/>
            <w:gridSpan w:val="3"/>
            <w:tcBorders>
              <w:top w:val="single" w:color="auto" w:sz="4" w:space="0"/>
              <w:left w:val="single" w:color="auto" w:sz="4" w:space="0"/>
              <w:bottom w:val="single" w:color="auto" w:sz="4" w:space="0"/>
              <w:right w:val="single" w:color="auto" w:sz="4" w:space="0"/>
            </w:tcBorders>
            <w:vAlign w:val="center"/>
          </w:tcPr>
          <w:p w14:paraId="3A7ED8B8">
            <w:pPr>
              <w:pStyle w:val="25"/>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B：技术部分评分</w:t>
            </w:r>
            <w:r>
              <w:rPr>
                <w:rFonts w:hint="eastAsia" w:ascii="宋体" w:hAnsi="宋体" w:cs="宋体"/>
                <w:b/>
                <w:color w:val="auto"/>
                <w:sz w:val="21"/>
                <w:szCs w:val="21"/>
                <w:highlight w:val="none"/>
                <w:lang w:val="en-US" w:eastAsia="zh-CN"/>
              </w:rPr>
              <w:t>70</w:t>
            </w:r>
            <w:r>
              <w:rPr>
                <w:rFonts w:hint="eastAsia" w:ascii="宋体" w:hAnsi="宋体" w:eastAsia="宋体" w:cs="宋体"/>
                <w:b/>
                <w:color w:val="auto"/>
                <w:sz w:val="21"/>
                <w:szCs w:val="21"/>
                <w:highlight w:val="none"/>
              </w:rPr>
              <w:t>分</w:t>
            </w:r>
          </w:p>
        </w:tc>
      </w:tr>
      <w:tr w14:paraId="7B24A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3" w:type="dxa"/>
            <w:tcBorders>
              <w:top w:val="single" w:color="auto" w:sz="4" w:space="0"/>
              <w:left w:val="single" w:color="auto" w:sz="4" w:space="0"/>
              <w:right w:val="single" w:color="auto" w:sz="4" w:space="0"/>
            </w:tcBorders>
            <w:vAlign w:val="center"/>
          </w:tcPr>
          <w:p w14:paraId="33AAB55D">
            <w:pPr>
              <w:keepNext w:val="0"/>
              <w:keepLines w:val="0"/>
              <w:pageBreakBefore w:val="0"/>
              <w:widowControl/>
              <w:kinsoku/>
              <w:wordWrap/>
              <w:overflowPunct/>
              <w:topLinePunct w:val="0"/>
              <w:autoSpaceDE/>
              <w:autoSpaceDN/>
              <w:bidi w:val="0"/>
              <w:adjustRightInd/>
              <w:spacing w:line="360" w:lineRule="auto"/>
              <w:ind w:left="-94" w:leftChars="-45" w:right="-65" w:rightChars="-31"/>
              <w:jc w:val="center"/>
              <w:rPr>
                <w:rFonts w:hint="eastAsia" w:ascii="宋体" w:hAnsi="宋体" w:eastAsia="宋体" w:cs="宋体"/>
                <w:color w:val="auto"/>
                <w:kern w:val="0"/>
                <w:sz w:val="21"/>
                <w:szCs w:val="21"/>
                <w:highlight w:val="none"/>
                <w:lang w:eastAsia="zh-CN"/>
              </w:rPr>
            </w:pPr>
            <w:r>
              <w:rPr>
                <w:rFonts w:hint="eastAsia" w:ascii="仿宋" w:hAnsi="仿宋" w:eastAsia="仿宋" w:cs="仿宋"/>
                <w:b w:val="0"/>
                <w:color w:val="auto"/>
                <w:sz w:val="24"/>
                <w:szCs w:val="24"/>
                <w:highlight w:val="none"/>
              </w:rPr>
              <w:t>技术参数响应</w:t>
            </w:r>
          </w:p>
        </w:tc>
        <w:tc>
          <w:tcPr>
            <w:tcW w:w="6918" w:type="dxa"/>
            <w:tcBorders>
              <w:top w:val="single" w:color="auto" w:sz="4" w:space="0"/>
              <w:left w:val="single" w:color="auto" w:sz="4" w:space="0"/>
              <w:bottom w:val="single" w:color="auto" w:sz="4" w:space="0"/>
              <w:right w:val="single" w:color="auto" w:sz="4" w:space="0"/>
            </w:tcBorders>
            <w:vAlign w:val="center"/>
          </w:tcPr>
          <w:p w14:paraId="0E6E7969">
            <w:pPr>
              <w:widowControl/>
              <w:spacing w:line="360" w:lineRule="exact"/>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根据</w:t>
            </w:r>
            <w:r>
              <w:rPr>
                <w:rFonts w:hint="eastAsia" w:ascii="仿宋" w:hAnsi="仿宋" w:eastAsia="仿宋" w:cs="仿宋"/>
                <w:kern w:val="0"/>
                <w:sz w:val="24"/>
                <w:szCs w:val="24"/>
                <w:highlight w:val="none"/>
                <w:lang w:val="en-US" w:eastAsia="zh-CN"/>
              </w:rPr>
              <w:t>采购文件采购需求</w:t>
            </w:r>
            <w:r>
              <w:rPr>
                <w:rFonts w:hint="eastAsia" w:ascii="仿宋" w:hAnsi="仿宋" w:eastAsia="仿宋" w:cs="仿宋"/>
                <w:kern w:val="0"/>
                <w:sz w:val="24"/>
                <w:szCs w:val="24"/>
                <w:highlight w:val="none"/>
              </w:rPr>
              <w:t>的响应程度进行打分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全部满足得</w:t>
            </w:r>
            <w:r>
              <w:rPr>
                <w:rFonts w:hint="eastAsia" w:ascii="仿宋" w:hAnsi="仿宋" w:eastAsia="仿宋" w:cs="仿宋"/>
                <w:kern w:val="0"/>
                <w:sz w:val="24"/>
                <w:szCs w:val="24"/>
                <w:highlight w:val="none"/>
                <w:lang w:val="en-US" w:eastAsia="zh-CN"/>
              </w:rPr>
              <w:t>30</w:t>
            </w:r>
            <w:r>
              <w:rPr>
                <w:rFonts w:hint="eastAsia" w:ascii="仿宋" w:hAnsi="仿宋" w:eastAsia="仿宋" w:cs="仿宋"/>
                <w:kern w:val="0"/>
                <w:sz w:val="24"/>
                <w:szCs w:val="24"/>
                <w:highlight w:val="none"/>
              </w:rPr>
              <w:t>分，每</w:t>
            </w:r>
            <w:r>
              <w:rPr>
                <w:rFonts w:hint="eastAsia" w:ascii="仿宋" w:hAnsi="仿宋" w:eastAsia="仿宋" w:cs="仿宋"/>
                <w:kern w:val="0"/>
                <w:sz w:val="24"/>
                <w:szCs w:val="24"/>
                <w:highlight w:val="none"/>
                <w:lang w:val="en-US" w:eastAsia="zh-CN"/>
              </w:rPr>
              <w:t>有</w:t>
            </w:r>
            <w:r>
              <w:rPr>
                <w:rFonts w:hint="eastAsia" w:ascii="仿宋" w:hAnsi="仿宋" w:eastAsia="仿宋" w:cs="仿宋"/>
                <w:kern w:val="0"/>
                <w:sz w:val="24"/>
                <w:szCs w:val="24"/>
                <w:highlight w:val="none"/>
              </w:rPr>
              <w:t>一项</w:t>
            </w:r>
            <w:r>
              <w:rPr>
                <w:rFonts w:hint="eastAsia" w:ascii="仿宋" w:hAnsi="仿宋" w:eastAsia="仿宋" w:cs="仿宋"/>
                <w:kern w:val="0"/>
                <w:sz w:val="24"/>
                <w:szCs w:val="24"/>
                <w:highlight w:val="none"/>
                <w:lang w:val="en-US" w:eastAsia="zh-CN"/>
              </w:rPr>
              <w:t>负偏离5</w:t>
            </w:r>
            <w:r>
              <w:rPr>
                <w:rFonts w:hint="eastAsia" w:ascii="仿宋" w:hAnsi="仿宋" w:eastAsia="仿宋" w:cs="仿宋"/>
                <w:kern w:val="0"/>
                <w:sz w:val="24"/>
                <w:szCs w:val="24"/>
                <w:highlight w:val="none"/>
              </w:rPr>
              <w:t>分，扣完为止</w:t>
            </w:r>
            <w:r>
              <w:rPr>
                <w:rFonts w:hint="eastAsia" w:ascii="仿宋" w:hAnsi="仿宋" w:eastAsia="仿宋" w:cs="仿宋"/>
                <w:kern w:val="0"/>
                <w:sz w:val="24"/>
                <w:szCs w:val="24"/>
                <w:highlight w:val="none"/>
                <w:lang w:eastAsia="zh-CN"/>
              </w:rPr>
              <w:t>。</w:t>
            </w:r>
          </w:p>
          <w:p w14:paraId="217760B4">
            <w:pPr>
              <w:keepNext w:val="0"/>
              <w:keepLines w:val="0"/>
              <w:pageBreakBefore w:val="0"/>
              <w:widowControl/>
              <w:kinsoku/>
              <w:wordWrap/>
              <w:overflowPunct/>
              <w:topLinePunct w:val="0"/>
              <w:autoSpaceDE/>
              <w:autoSpaceDN/>
              <w:bidi w:val="0"/>
              <w:adjustRightInd/>
              <w:spacing w:line="360" w:lineRule="auto"/>
              <w:jc w:val="left"/>
              <w:rPr>
                <w:rFonts w:hint="default" w:ascii="宋体" w:hAnsi="宋体" w:eastAsia="宋体" w:cs="宋体"/>
                <w:color w:val="auto"/>
                <w:kern w:val="0"/>
                <w:sz w:val="21"/>
                <w:szCs w:val="21"/>
                <w:highlight w:val="none"/>
                <w:lang w:val="en-US" w:eastAsia="zh-CN"/>
              </w:rPr>
            </w:pPr>
            <w:r>
              <w:rPr>
                <w:rFonts w:hint="eastAsia" w:ascii="仿宋" w:hAnsi="仿宋" w:eastAsia="仿宋" w:cs="仿宋"/>
                <w:kern w:val="0"/>
                <w:sz w:val="24"/>
                <w:szCs w:val="24"/>
                <w:highlight w:val="none"/>
              </w:rPr>
              <w:t>（注：供应商需如实填写所投</w:t>
            </w:r>
            <w:r>
              <w:rPr>
                <w:rFonts w:hint="eastAsia" w:ascii="仿宋" w:hAnsi="仿宋" w:eastAsia="仿宋" w:cs="仿宋"/>
                <w:kern w:val="0"/>
                <w:sz w:val="24"/>
                <w:szCs w:val="24"/>
                <w:highlight w:val="none"/>
                <w:lang w:val="en-US" w:eastAsia="zh-CN"/>
              </w:rPr>
              <w:t>货物/服务</w:t>
            </w:r>
            <w:r>
              <w:rPr>
                <w:rFonts w:hint="eastAsia" w:ascii="仿宋" w:hAnsi="仿宋" w:eastAsia="仿宋" w:cs="仿宋"/>
                <w:kern w:val="0"/>
                <w:sz w:val="24"/>
                <w:szCs w:val="24"/>
                <w:highlight w:val="none"/>
              </w:rPr>
              <w:t>参数；并提供能够证明其参数真实有效的证明文件</w:t>
            </w:r>
            <w:r>
              <w:rPr>
                <w:rFonts w:hint="eastAsia" w:ascii="仿宋" w:hAnsi="仿宋" w:eastAsia="仿宋" w:cs="仿宋"/>
                <w:kern w:val="0"/>
                <w:sz w:val="24"/>
                <w:szCs w:val="24"/>
                <w:highlight w:val="none"/>
                <w:lang w:eastAsia="zh-CN"/>
              </w:rPr>
              <w:t>包括但不限于厂家出具的技术白皮书、厂家管网发布的技术参数等</w:t>
            </w:r>
            <w:r>
              <w:rPr>
                <w:rFonts w:hint="eastAsia" w:ascii="仿宋" w:hAnsi="仿宋" w:eastAsia="仿宋" w:cs="仿宋"/>
                <w:kern w:val="0"/>
                <w:sz w:val="24"/>
                <w:szCs w:val="24"/>
                <w:highlight w:val="none"/>
              </w:rPr>
              <w:t>，若证明文件无法证明参数真实有效，视为负偏离或以评审小组集体意见为准）</w:t>
            </w:r>
          </w:p>
        </w:tc>
        <w:tc>
          <w:tcPr>
            <w:tcW w:w="934" w:type="dxa"/>
            <w:tcBorders>
              <w:top w:val="single" w:color="auto" w:sz="4" w:space="0"/>
              <w:left w:val="single" w:color="auto" w:sz="4" w:space="0"/>
              <w:bottom w:val="single" w:color="auto" w:sz="4" w:space="0"/>
              <w:right w:val="single" w:color="auto" w:sz="4" w:space="0"/>
            </w:tcBorders>
            <w:vAlign w:val="center"/>
          </w:tcPr>
          <w:p w14:paraId="11A64994">
            <w:pPr>
              <w:keepNext w:val="0"/>
              <w:keepLines w:val="0"/>
              <w:pageBreakBefore w:val="0"/>
              <w:widowControl/>
              <w:kinsoku/>
              <w:wordWrap/>
              <w:overflowPunct/>
              <w:topLinePunct w:val="0"/>
              <w:autoSpaceDE/>
              <w:autoSpaceDN/>
              <w:bidi w:val="0"/>
              <w:adjustRightInd/>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30</w:t>
            </w:r>
          </w:p>
        </w:tc>
      </w:tr>
      <w:tr w14:paraId="436BD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3" w:type="dxa"/>
            <w:tcBorders>
              <w:top w:val="single" w:color="auto" w:sz="4" w:space="0"/>
              <w:left w:val="single" w:color="auto" w:sz="4" w:space="0"/>
              <w:right w:val="single" w:color="auto" w:sz="4" w:space="0"/>
            </w:tcBorders>
            <w:vAlign w:val="center"/>
          </w:tcPr>
          <w:p w14:paraId="21132576">
            <w:pPr>
              <w:keepNext w:val="0"/>
              <w:keepLines w:val="0"/>
              <w:pageBreakBefore w:val="0"/>
              <w:widowControl/>
              <w:kinsoku/>
              <w:wordWrap/>
              <w:overflowPunct/>
              <w:topLinePunct w:val="0"/>
              <w:autoSpaceDE/>
              <w:autoSpaceDN/>
              <w:bidi w:val="0"/>
              <w:adjustRightInd/>
              <w:spacing w:line="360" w:lineRule="auto"/>
              <w:ind w:left="-94" w:leftChars="-45" w:right="-65" w:rightChars="-31"/>
              <w:jc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val="en-US" w:eastAsia="zh-CN"/>
              </w:rPr>
              <w:t>零配件</w:t>
            </w:r>
            <w:r>
              <w:rPr>
                <w:rFonts w:hint="eastAsia" w:ascii="仿宋" w:hAnsi="仿宋" w:eastAsia="仿宋" w:cs="仿宋"/>
                <w:b w:val="0"/>
                <w:color w:val="auto"/>
                <w:sz w:val="24"/>
                <w:szCs w:val="24"/>
                <w:highlight w:val="none"/>
              </w:rPr>
              <w:t>来源的可靠性、稳定性</w:t>
            </w:r>
          </w:p>
        </w:tc>
        <w:tc>
          <w:tcPr>
            <w:tcW w:w="6918" w:type="dxa"/>
            <w:tcBorders>
              <w:top w:val="single" w:color="auto" w:sz="4" w:space="0"/>
              <w:left w:val="single" w:color="auto" w:sz="4" w:space="0"/>
              <w:bottom w:val="single" w:color="auto" w:sz="4" w:space="0"/>
              <w:right w:val="single" w:color="auto" w:sz="4" w:space="0"/>
            </w:tcBorders>
            <w:vAlign w:val="center"/>
          </w:tcPr>
          <w:p w14:paraId="0D7107D4">
            <w:pPr>
              <w:keepNext w:val="0"/>
              <w:keepLines w:val="0"/>
              <w:pageBreakBefore w:val="0"/>
              <w:widowControl/>
              <w:kinsoku/>
              <w:wordWrap/>
              <w:overflowPunct/>
              <w:topLinePunct w:val="0"/>
              <w:autoSpaceDE/>
              <w:autoSpaceDN/>
              <w:bidi w:val="0"/>
              <w:adjustRightInd/>
              <w:spacing w:line="360" w:lineRule="auto"/>
              <w:jc w:val="left"/>
              <w:rPr>
                <w:rFonts w:hint="eastAsia" w:ascii="仿宋" w:hAnsi="仿宋" w:eastAsia="仿宋" w:cs="仿宋"/>
                <w:kern w:val="0"/>
                <w:sz w:val="24"/>
                <w:szCs w:val="24"/>
                <w:highlight w:val="none"/>
              </w:rPr>
            </w:pPr>
            <w:r>
              <w:rPr>
                <w:rFonts w:hint="eastAsia" w:ascii="仿宋" w:hAnsi="仿宋" w:eastAsia="仿宋" w:cs="仿宋"/>
                <w:kern w:val="0"/>
                <w:sz w:val="24"/>
                <w:highlight w:val="none"/>
                <w:lang w:val="en-US" w:eastAsia="zh-CN"/>
              </w:rPr>
              <w:t>更换的零配件，需</w:t>
            </w:r>
            <w:r>
              <w:rPr>
                <w:rFonts w:hint="eastAsia" w:ascii="仿宋" w:hAnsi="仿宋" w:eastAsia="仿宋" w:cs="仿宋"/>
                <w:kern w:val="0"/>
                <w:sz w:val="24"/>
                <w:highlight w:val="none"/>
              </w:rPr>
              <w:t>提供有效的产品合法来源证明材料，或自身为生产厂家</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且需提供承诺书（需承诺更换的设备、零配件等需与设备兼容并符合质量要求）</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满足得4</w:t>
            </w:r>
            <w:r>
              <w:rPr>
                <w:rFonts w:hint="eastAsia" w:ascii="仿宋" w:hAnsi="仿宋" w:eastAsia="仿宋" w:cs="仿宋"/>
                <w:kern w:val="0"/>
                <w:sz w:val="24"/>
                <w:highlight w:val="none"/>
              </w:rPr>
              <w:t>分。未</w:t>
            </w:r>
            <w:r>
              <w:rPr>
                <w:rFonts w:hint="eastAsia" w:ascii="仿宋" w:hAnsi="仿宋" w:eastAsia="仿宋" w:cs="仿宋"/>
                <w:kern w:val="0"/>
                <w:sz w:val="24"/>
                <w:highlight w:val="none"/>
                <w:lang w:val="en-US" w:eastAsia="zh-CN"/>
              </w:rPr>
              <w:t>完整</w:t>
            </w:r>
            <w:r>
              <w:rPr>
                <w:rFonts w:hint="eastAsia" w:ascii="仿宋" w:hAnsi="仿宋" w:eastAsia="仿宋" w:cs="仿宋"/>
                <w:kern w:val="0"/>
                <w:sz w:val="24"/>
                <w:highlight w:val="none"/>
              </w:rPr>
              <w:t>提供证明材料</w:t>
            </w:r>
            <w:r>
              <w:rPr>
                <w:rFonts w:hint="eastAsia" w:ascii="仿宋" w:hAnsi="仿宋" w:eastAsia="仿宋" w:cs="仿宋"/>
                <w:kern w:val="0"/>
                <w:sz w:val="24"/>
                <w:highlight w:val="none"/>
                <w:lang w:val="en-US" w:eastAsia="zh-CN"/>
              </w:rPr>
              <w:t>及承诺书</w:t>
            </w:r>
            <w:r>
              <w:rPr>
                <w:rFonts w:hint="eastAsia" w:ascii="仿宋" w:hAnsi="仿宋" w:eastAsia="仿宋" w:cs="仿宋"/>
                <w:kern w:val="0"/>
                <w:sz w:val="24"/>
                <w:highlight w:val="none"/>
              </w:rPr>
              <w:t>不得分。</w:t>
            </w:r>
          </w:p>
        </w:tc>
        <w:tc>
          <w:tcPr>
            <w:tcW w:w="934" w:type="dxa"/>
            <w:tcBorders>
              <w:top w:val="single" w:color="auto" w:sz="4" w:space="0"/>
              <w:left w:val="single" w:color="auto" w:sz="4" w:space="0"/>
              <w:bottom w:val="single" w:color="auto" w:sz="4" w:space="0"/>
              <w:right w:val="single" w:color="auto" w:sz="4" w:space="0"/>
            </w:tcBorders>
            <w:vAlign w:val="center"/>
          </w:tcPr>
          <w:p w14:paraId="652AF681">
            <w:pPr>
              <w:keepNext w:val="0"/>
              <w:keepLines w:val="0"/>
              <w:pageBreakBefore w:val="0"/>
              <w:widowControl/>
              <w:kinsoku/>
              <w:wordWrap/>
              <w:overflowPunct/>
              <w:topLinePunct w:val="0"/>
              <w:autoSpaceDE/>
              <w:autoSpaceDN/>
              <w:bidi w:val="0"/>
              <w:adjustRightInd/>
              <w:spacing w:line="360" w:lineRule="auto"/>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p>
        </w:tc>
      </w:tr>
      <w:tr w14:paraId="5117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03" w:type="dxa"/>
            <w:tcBorders>
              <w:left w:val="single" w:color="auto" w:sz="4" w:space="0"/>
              <w:bottom w:val="single" w:color="auto" w:sz="4" w:space="0"/>
              <w:right w:val="single" w:color="auto" w:sz="4" w:space="0"/>
            </w:tcBorders>
            <w:vAlign w:val="center"/>
          </w:tcPr>
          <w:p w14:paraId="071ADDB8">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sz w:val="24"/>
                <w:szCs w:val="24"/>
                <w:highlight w:val="none"/>
                <w:lang w:eastAsia="zh-CN"/>
              </w:rPr>
              <w:t>维保</w:t>
            </w:r>
            <w:r>
              <w:rPr>
                <w:rFonts w:ascii="宋体" w:hAnsi="宋体" w:eastAsia="宋体" w:cs="宋体"/>
                <w:sz w:val="24"/>
                <w:szCs w:val="24"/>
                <w:highlight w:val="none"/>
              </w:rPr>
              <w:t>方案</w:t>
            </w:r>
          </w:p>
        </w:tc>
        <w:tc>
          <w:tcPr>
            <w:tcW w:w="6918" w:type="dxa"/>
            <w:tcBorders>
              <w:top w:val="single" w:color="auto" w:sz="4" w:space="0"/>
              <w:left w:val="single" w:color="auto" w:sz="4" w:space="0"/>
              <w:bottom w:val="single" w:color="auto" w:sz="4" w:space="0"/>
              <w:right w:val="single" w:color="auto" w:sz="4" w:space="0"/>
            </w:tcBorders>
            <w:vAlign w:val="center"/>
          </w:tcPr>
          <w:p w14:paraId="3BCD8AC5">
            <w:pPr>
              <w:spacing w:line="320" w:lineRule="exact"/>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供应商针对本项目服务需求，提供项目实施方案，内容包括但不限于以下内容：</w:t>
            </w:r>
          </w:p>
          <w:p w14:paraId="31D041FD">
            <w:pPr>
              <w:spacing w:line="320" w:lineRule="exact"/>
              <w:jc w:val="left"/>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1.团队人员工作安排及上岗培训。内容完整、方案合理，得2分；</w:t>
            </w:r>
            <w:r>
              <w:rPr>
                <w:rFonts w:hint="eastAsia" w:ascii="仿宋" w:hAnsi="仿宋" w:eastAsia="仿宋" w:cs="仿宋"/>
                <w:kern w:val="0"/>
                <w:sz w:val="24"/>
                <w:szCs w:val="24"/>
                <w:highlight w:val="none"/>
                <w:lang w:val="en-US" w:eastAsia="zh-CN"/>
              </w:rPr>
              <w:t>每有一项存在瑕疵或不合理或不符合本项目实际情况的扣0.5分，扣完为止。未提供不得分。</w:t>
            </w:r>
          </w:p>
          <w:p w14:paraId="0D7A2246">
            <w:pPr>
              <w:spacing w:line="320" w:lineRule="exact"/>
              <w:jc w:val="left"/>
              <w:rPr>
                <w:rFonts w:hint="eastAsia" w:ascii="仿宋" w:hAnsi="仿宋" w:eastAsia="仿宋" w:cs="仿宋"/>
                <w:kern w:val="0"/>
                <w:sz w:val="24"/>
                <w:szCs w:val="24"/>
                <w:highlight w:val="none"/>
                <w:lang w:eastAsia="zh-CN"/>
              </w:rPr>
            </w:pPr>
            <w:r>
              <w:rPr>
                <w:rFonts w:hint="eastAsia" w:ascii="仿宋" w:hAnsi="仿宋" w:eastAsia="仿宋" w:cs="仿宋"/>
                <w:sz w:val="24"/>
                <w:highlight w:val="none"/>
                <w:lang w:val="en-US" w:eastAsia="zh-CN"/>
              </w:rPr>
              <w:t>2.</w:t>
            </w:r>
            <w:r>
              <w:rPr>
                <w:rFonts w:hint="eastAsia" w:ascii="仿宋" w:hAnsi="仿宋" w:eastAsia="仿宋" w:cs="仿宋"/>
                <w:kern w:val="0"/>
                <w:sz w:val="24"/>
                <w:szCs w:val="24"/>
                <w:highlight w:val="none"/>
              </w:rPr>
              <w:t>维保设备配置及管理方案</w:t>
            </w:r>
            <w:r>
              <w:rPr>
                <w:rFonts w:hint="eastAsia" w:ascii="仿宋" w:hAnsi="仿宋" w:eastAsia="仿宋" w:cs="仿宋"/>
                <w:kern w:val="0"/>
                <w:sz w:val="24"/>
                <w:szCs w:val="24"/>
                <w:highlight w:val="none"/>
                <w:lang w:eastAsia="zh-CN"/>
              </w:rPr>
              <w:t>。</w:t>
            </w:r>
            <w:r>
              <w:rPr>
                <w:rFonts w:hint="eastAsia" w:ascii="仿宋" w:hAnsi="仿宋" w:eastAsia="仿宋" w:cs="仿宋"/>
                <w:sz w:val="24"/>
                <w:highlight w:val="none"/>
                <w:lang w:val="en-US" w:eastAsia="zh-CN"/>
              </w:rPr>
              <w:t>内容完整、方案合理，得2分；</w:t>
            </w:r>
            <w:r>
              <w:rPr>
                <w:rFonts w:hint="eastAsia" w:ascii="仿宋" w:hAnsi="仿宋" w:eastAsia="仿宋" w:cs="仿宋"/>
                <w:kern w:val="0"/>
                <w:sz w:val="24"/>
                <w:szCs w:val="24"/>
                <w:highlight w:val="none"/>
                <w:lang w:val="en-US" w:eastAsia="zh-CN"/>
              </w:rPr>
              <w:t>每有一项存在瑕疵或不合理或不符合本项目实际情况的扣0.5分，扣完为止。未提供不得分。</w:t>
            </w:r>
          </w:p>
          <w:p w14:paraId="47DDDCE0">
            <w:pPr>
              <w:numPr>
                <w:ilvl w:val="0"/>
                <w:numId w:val="0"/>
              </w:numPr>
              <w:jc w:val="left"/>
              <w:rPr>
                <w:rFonts w:hint="eastAsia" w:ascii="仿宋" w:hAnsi="仿宋" w:eastAsia="仿宋" w:cs="仿宋"/>
                <w:sz w:val="24"/>
                <w:highlight w:val="none"/>
                <w:lang w:val="en-US" w:eastAsia="zh-CN"/>
              </w:rPr>
            </w:pPr>
            <w:r>
              <w:rPr>
                <w:rFonts w:hint="eastAsia" w:ascii="仿宋" w:hAnsi="仿宋" w:eastAsia="仿宋" w:cs="仿宋"/>
                <w:kern w:val="0"/>
                <w:sz w:val="24"/>
                <w:szCs w:val="24"/>
                <w:highlight w:val="none"/>
                <w:lang w:val="en-US" w:eastAsia="zh-CN"/>
              </w:rPr>
              <w:t>3</w:t>
            </w:r>
            <w:r>
              <w:rPr>
                <w:rFonts w:hint="eastAsia" w:ascii="仿宋" w:hAnsi="仿宋" w:eastAsia="仿宋" w:cs="仿宋"/>
                <w:sz w:val="24"/>
                <w:highlight w:val="none"/>
                <w:lang w:val="en-US" w:eastAsia="zh-CN"/>
              </w:rPr>
              <w:t>.具体维保方案（包含但不限于</w:t>
            </w:r>
            <w:r>
              <w:rPr>
                <w:rFonts w:hint="eastAsia" w:ascii="仿宋" w:hAnsi="仿宋" w:eastAsia="仿宋" w:cs="仿宋"/>
                <w:kern w:val="0"/>
                <w:sz w:val="24"/>
                <w:szCs w:val="24"/>
                <w:highlight w:val="none"/>
                <w:lang w:val="en-US" w:eastAsia="zh-CN"/>
              </w:rPr>
              <w:t>日常巡检频率、分级保养计划、系统优化建议</w:t>
            </w:r>
            <w:r>
              <w:rPr>
                <w:rFonts w:hint="eastAsia" w:ascii="仿宋" w:hAnsi="仿宋" w:eastAsia="仿宋" w:cs="仿宋"/>
                <w:sz w:val="24"/>
                <w:highlight w:val="none"/>
                <w:lang w:val="en-US" w:eastAsia="zh-CN"/>
              </w:rPr>
              <w:t>等），</w:t>
            </w:r>
            <w:r>
              <w:rPr>
                <w:rFonts w:hint="eastAsia" w:ascii="仿宋" w:hAnsi="仿宋" w:eastAsia="仿宋" w:cs="仿宋"/>
                <w:sz w:val="24"/>
                <w:highlight w:val="none"/>
                <w:lang w:val="en-US" w:eastAsia="zh-CN"/>
              </w:rPr>
              <w:t>内容完整、方案合理，得6分；</w:t>
            </w:r>
            <w:r>
              <w:rPr>
                <w:rFonts w:hint="eastAsia" w:ascii="仿宋" w:hAnsi="仿宋" w:eastAsia="仿宋" w:cs="仿宋"/>
                <w:kern w:val="0"/>
                <w:sz w:val="24"/>
                <w:szCs w:val="24"/>
                <w:highlight w:val="none"/>
                <w:lang w:val="en-US" w:eastAsia="zh-CN"/>
              </w:rPr>
              <w:t>每有一项存在瑕疵或不</w:t>
            </w:r>
            <w:r>
              <w:rPr>
                <w:rFonts w:hint="eastAsia" w:ascii="仿宋" w:hAnsi="仿宋" w:eastAsia="仿宋" w:cs="仿宋"/>
                <w:sz w:val="24"/>
                <w:highlight w:val="none"/>
                <w:lang w:val="en-US" w:eastAsia="zh-CN"/>
              </w:rPr>
              <w:t>合理或不符合本项目实际情况的扣1分，扣完为止。未提供不得分。</w:t>
            </w:r>
          </w:p>
          <w:p w14:paraId="023053D7">
            <w:pPr>
              <w:numPr>
                <w:ilvl w:val="0"/>
                <w:numId w:val="0"/>
              </w:numPr>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w:t>
            </w:r>
            <w:r>
              <w:rPr>
                <w:rFonts w:hint="eastAsia" w:ascii="仿宋" w:hAnsi="仿宋" w:eastAsia="仿宋" w:cs="仿宋"/>
                <w:kern w:val="0"/>
                <w:sz w:val="24"/>
                <w:szCs w:val="24"/>
                <w:highlight w:val="none"/>
                <w:lang w:val="en-US" w:eastAsia="zh-CN"/>
              </w:rPr>
              <w:t>设备可用率保障措施，需提供实时监测方案及承诺书（承诺设备可用率等）</w:t>
            </w:r>
            <w:r>
              <w:rPr>
                <w:rFonts w:hint="eastAsia" w:ascii="仿宋" w:hAnsi="仿宋" w:eastAsia="仿宋" w:cs="仿宋"/>
                <w:sz w:val="24"/>
                <w:highlight w:val="none"/>
                <w:lang w:val="en-US" w:eastAsia="zh-CN"/>
              </w:rPr>
              <w:t>内容完整、方案合理，得4分；</w:t>
            </w:r>
            <w:r>
              <w:rPr>
                <w:rFonts w:hint="eastAsia" w:ascii="仿宋" w:hAnsi="仿宋" w:eastAsia="仿宋" w:cs="仿宋"/>
                <w:kern w:val="0"/>
                <w:sz w:val="24"/>
                <w:szCs w:val="24"/>
                <w:highlight w:val="none"/>
                <w:lang w:val="en-US" w:eastAsia="zh-CN"/>
              </w:rPr>
              <w:t>每有一项存在瑕疵或不</w:t>
            </w:r>
            <w:r>
              <w:rPr>
                <w:rFonts w:hint="eastAsia" w:ascii="仿宋" w:hAnsi="仿宋" w:eastAsia="仿宋" w:cs="仿宋"/>
                <w:sz w:val="24"/>
                <w:highlight w:val="none"/>
                <w:lang w:val="en-US" w:eastAsia="zh-CN"/>
              </w:rPr>
              <w:t>合理或不符合本项目实际情况的扣1分，扣完为止。未提供不得分。</w:t>
            </w:r>
          </w:p>
          <w:p w14:paraId="24D33DA3">
            <w:pPr>
              <w:numPr>
                <w:ilvl w:val="0"/>
                <w:numId w:val="0"/>
              </w:numPr>
              <w:jc w:val="left"/>
              <w:rPr>
                <w:rFonts w:hint="eastAsia" w:ascii="仿宋" w:hAnsi="仿宋" w:eastAsia="仿宋" w:cs="仿宋"/>
                <w:kern w:val="0"/>
                <w:sz w:val="24"/>
                <w:szCs w:val="24"/>
                <w:highlight w:val="none"/>
                <w:lang w:val="en-US" w:eastAsia="zh-CN"/>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lang w:val="en-US" w:eastAsia="zh-CN"/>
              </w:rPr>
              <w:t>维保服</w:t>
            </w:r>
            <w:r>
              <w:rPr>
                <w:rFonts w:hint="eastAsia" w:ascii="仿宋" w:hAnsi="仿宋" w:eastAsia="仿宋" w:cs="仿宋"/>
                <w:kern w:val="0"/>
                <w:sz w:val="24"/>
                <w:szCs w:val="24"/>
                <w:highlight w:val="none"/>
              </w:rPr>
              <w:t>务</w:t>
            </w:r>
            <w:r>
              <w:rPr>
                <w:rFonts w:hint="eastAsia" w:ascii="仿宋" w:hAnsi="仿宋" w:eastAsia="仿宋" w:cs="仿宋"/>
                <w:sz w:val="24"/>
                <w:highlight w:val="none"/>
                <w:lang w:val="en-US" w:eastAsia="zh-CN"/>
              </w:rPr>
              <w:t>周期安排及</w:t>
            </w:r>
            <w:r>
              <w:rPr>
                <w:rFonts w:hint="eastAsia" w:ascii="仿宋" w:hAnsi="仿宋" w:eastAsia="仿宋" w:cs="仿宋"/>
                <w:kern w:val="0"/>
                <w:sz w:val="24"/>
                <w:szCs w:val="24"/>
                <w:highlight w:val="none"/>
              </w:rPr>
              <w:t>进度报告（根据维保服务进度及内容完成情况，每月向采购人汇报工作情况并提交进度报告交采购人核验等）</w:t>
            </w:r>
            <w:r>
              <w:rPr>
                <w:rFonts w:hint="eastAsia" w:ascii="仿宋" w:hAnsi="仿宋" w:eastAsia="仿宋" w:cs="仿宋"/>
                <w:kern w:val="0"/>
                <w:sz w:val="24"/>
                <w:szCs w:val="24"/>
                <w:highlight w:val="none"/>
                <w:lang w:eastAsia="zh-CN"/>
              </w:rPr>
              <w:t>、</w:t>
            </w:r>
            <w:r>
              <w:rPr>
                <w:rFonts w:hint="eastAsia" w:ascii="仿宋" w:hAnsi="仿宋" w:eastAsia="仿宋" w:cs="仿宋"/>
                <w:color w:val="000000"/>
                <w:kern w:val="0"/>
                <w:sz w:val="24"/>
                <w:szCs w:val="24"/>
                <w:highlight w:val="none"/>
              </w:rPr>
              <w:t>有详细明确的维修保养质量目标及分期目标，并提供具体可行、详细准确的的保证措施</w:t>
            </w:r>
            <w:r>
              <w:rPr>
                <w:rFonts w:hint="eastAsia" w:ascii="仿宋" w:hAnsi="仿宋" w:eastAsia="仿宋" w:cs="仿宋"/>
                <w:color w:val="000000"/>
                <w:kern w:val="0"/>
                <w:sz w:val="24"/>
                <w:szCs w:val="24"/>
                <w:highlight w:val="none"/>
                <w:lang w:eastAsia="zh-CN"/>
              </w:rPr>
              <w:t>、</w:t>
            </w:r>
            <w:r>
              <w:rPr>
                <w:rFonts w:hint="eastAsia" w:ascii="仿宋" w:hAnsi="仿宋" w:eastAsia="仿宋" w:cs="仿宋"/>
                <w:sz w:val="24"/>
                <w:highlight w:val="none"/>
                <w:lang w:val="en-US" w:eastAsia="zh-CN"/>
              </w:rPr>
              <w:t>定期交付完整的维保台账</w:t>
            </w:r>
            <w:r>
              <w:rPr>
                <w:rFonts w:hint="eastAsia" w:ascii="仿宋" w:hAnsi="仿宋" w:eastAsia="仿宋" w:cs="仿宋"/>
                <w:kern w:val="0"/>
                <w:sz w:val="24"/>
                <w:szCs w:val="24"/>
                <w:highlight w:val="none"/>
                <w:lang w:val="en-US" w:eastAsia="zh-CN"/>
              </w:rPr>
              <w:t>等，</w:t>
            </w:r>
            <w:r>
              <w:rPr>
                <w:rFonts w:hint="eastAsia" w:ascii="仿宋" w:hAnsi="仿宋" w:eastAsia="仿宋" w:cs="仿宋"/>
                <w:sz w:val="24"/>
                <w:highlight w:val="none"/>
                <w:lang w:val="en-US" w:eastAsia="zh-CN"/>
              </w:rPr>
              <w:t>内容完整、方案合理，得6分；</w:t>
            </w:r>
            <w:r>
              <w:rPr>
                <w:rFonts w:hint="eastAsia" w:ascii="仿宋" w:hAnsi="仿宋" w:eastAsia="仿宋" w:cs="仿宋"/>
                <w:kern w:val="0"/>
                <w:sz w:val="24"/>
                <w:szCs w:val="24"/>
                <w:highlight w:val="none"/>
                <w:lang w:val="en-US" w:eastAsia="zh-CN"/>
              </w:rPr>
              <w:t>每有一项存在瑕疵或不合理或不符合本项目实际情况的扣1分，扣完为止。未提供不得分。</w:t>
            </w:r>
          </w:p>
          <w:p w14:paraId="62550312">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rPr>
            </w:pPr>
            <w:r>
              <w:rPr>
                <w:rFonts w:hint="eastAsia" w:ascii="仿宋" w:hAnsi="仿宋" w:eastAsia="仿宋" w:cs="仿宋"/>
                <w:kern w:val="0"/>
                <w:sz w:val="24"/>
                <w:szCs w:val="24"/>
                <w:highlight w:val="none"/>
                <w:lang w:val="en-US" w:eastAsia="zh-CN"/>
              </w:rPr>
              <w:t>注：存在瑕疵或不合理或不符合之处是指内容套用或错用、凭空捏造、科学原理错误以及不可能实现的夸大情形等。</w:t>
            </w:r>
          </w:p>
        </w:tc>
        <w:tc>
          <w:tcPr>
            <w:tcW w:w="934" w:type="dxa"/>
            <w:tcBorders>
              <w:top w:val="single" w:color="auto" w:sz="4" w:space="0"/>
              <w:left w:val="single" w:color="auto" w:sz="4" w:space="0"/>
              <w:bottom w:val="single" w:color="auto" w:sz="4" w:space="0"/>
              <w:right w:val="single" w:color="auto" w:sz="4" w:space="0"/>
            </w:tcBorders>
            <w:vAlign w:val="center"/>
          </w:tcPr>
          <w:p w14:paraId="28158D73">
            <w:pPr>
              <w:keepNext w:val="0"/>
              <w:keepLines w:val="0"/>
              <w:pageBreakBefore w:val="0"/>
              <w:widowControl/>
              <w:kinsoku/>
              <w:wordWrap/>
              <w:overflowPunct/>
              <w:topLinePunct w:val="0"/>
              <w:autoSpaceDE/>
              <w:autoSpaceDN/>
              <w:bidi w:val="0"/>
              <w:adjustRightInd/>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r>
      <w:tr w14:paraId="4261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03" w:type="dxa"/>
            <w:tcBorders>
              <w:left w:val="single" w:color="auto" w:sz="4" w:space="0"/>
              <w:bottom w:val="single" w:color="auto" w:sz="4" w:space="0"/>
              <w:right w:val="single" w:color="auto" w:sz="4" w:space="0"/>
            </w:tcBorders>
            <w:vAlign w:val="center"/>
          </w:tcPr>
          <w:p w14:paraId="33375051">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sz w:val="24"/>
                <w:szCs w:val="24"/>
                <w:highlight w:val="none"/>
                <w:lang w:eastAsia="zh-CN"/>
              </w:rPr>
            </w:pPr>
            <w:r>
              <w:rPr>
                <w:rFonts w:hint="eastAsia" w:ascii="仿宋" w:hAnsi="仿宋" w:eastAsia="仿宋" w:cs="仿宋"/>
                <w:bCs/>
                <w:kern w:val="0"/>
                <w:sz w:val="24"/>
                <w:szCs w:val="24"/>
                <w:highlight w:val="none"/>
              </w:rPr>
              <w:t>售后服务体系</w:t>
            </w:r>
          </w:p>
        </w:tc>
        <w:tc>
          <w:tcPr>
            <w:tcW w:w="6918" w:type="dxa"/>
            <w:tcBorders>
              <w:top w:val="single" w:color="auto" w:sz="4" w:space="0"/>
              <w:left w:val="single" w:color="auto" w:sz="4" w:space="0"/>
              <w:bottom w:val="single" w:color="auto" w:sz="4" w:space="0"/>
              <w:right w:val="single" w:color="auto" w:sz="4" w:space="0"/>
            </w:tcBorders>
            <w:vAlign w:val="center"/>
          </w:tcPr>
          <w:p w14:paraId="18FD519C">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sz w:val="24"/>
                <w:szCs w:val="24"/>
                <w:highlight w:val="none"/>
                <w:lang w:eastAsia="zh-CN"/>
              </w:rPr>
            </w:pPr>
            <w:r>
              <w:rPr>
                <w:rFonts w:hint="eastAsia" w:ascii="仿宋" w:hAnsi="仿宋" w:eastAsia="仿宋" w:cs="仿宋"/>
                <w:bCs/>
                <w:color w:val="auto"/>
                <w:kern w:val="0"/>
                <w:sz w:val="24"/>
                <w:szCs w:val="24"/>
                <w:highlight w:val="none"/>
                <w:lang w:val="en-US" w:eastAsia="zh-CN"/>
              </w:rPr>
              <w:t>根据供应商提供售后服务体系及培训，从售后服务方案、售后服务网点分布、培训及技术指导等方面进行评分。</w:t>
            </w:r>
            <w:r>
              <w:rPr>
                <w:rFonts w:hint="eastAsia" w:ascii="仿宋" w:hAnsi="仿宋" w:eastAsia="仿宋" w:cs="仿宋"/>
                <w:sz w:val="24"/>
                <w:highlight w:val="none"/>
                <w:lang w:val="en-US" w:eastAsia="zh-CN"/>
              </w:rPr>
              <w:t>包括但不限于以下内容</w:t>
            </w:r>
            <w:r>
              <w:rPr>
                <w:rFonts w:hint="eastAsia" w:ascii="仿宋" w:hAnsi="仿宋" w:eastAsia="仿宋" w:cs="仿宋"/>
                <w:bCs/>
                <w:color w:val="auto"/>
                <w:kern w:val="0"/>
                <w:sz w:val="24"/>
                <w:szCs w:val="24"/>
                <w:highlight w:val="none"/>
                <w:lang w:val="en-US" w:eastAsia="zh-CN"/>
              </w:rPr>
              <w:t>①售后服务方案、②供应商国内有常驻售后服务网点零备件库、③设备使用培训方案及用过程中的技术指导方案、④用户培训计划，每年至少2次操作培训，以上内容全部提供的得8分，每缺少一项内容扣2分；方案内容不完整或未能满足采购需求的或每有一处不具有针对性或逻辑性错误且不完整的扣1分，扣完为止。</w:t>
            </w:r>
          </w:p>
        </w:tc>
        <w:tc>
          <w:tcPr>
            <w:tcW w:w="934" w:type="dxa"/>
            <w:tcBorders>
              <w:top w:val="single" w:color="auto" w:sz="4" w:space="0"/>
              <w:left w:val="single" w:color="auto" w:sz="4" w:space="0"/>
              <w:bottom w:val="single" w:color="auto" w:sz="4" w:space="0"/>
              <w:right w:val="single" w:color="auto" w:sz="4" w:space="0"/>
            </w:tcBorders>
            <w:vAlign w:val="center"/>
          </w:tcPr>
          <w:p w14:paraId="6C2A45DA">
            <w:pPr>
              <w:keepNext w:val="0"/>
              <w:keepLines w:val="0"/>
              <w:pageBreakBefore w:val="0"/>
              <w:widowControl/>
              <w:kinsoku/>
              <w:wordWrap/>
              <w:overflowPunct/>
              <w:topLinePunct w:val="0"/>
              <w:autoSpaceDE/>
              <w:autoSpaceDN/>
              <w:bidi w:val="0"/>
              <w:adjustRightInd/>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r>
      <w:tr w14:paraId="5DB3B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03" w:type="dxa"/>
            <w:tcBorders>
              <w:left w:val="single" w:color="auto" w:sz="4" w:space="0"/>
              <w:bottom w:val="single" w:color="auto" w:sz="4" w:space="0"/>
              <w:right w:val="single" w:color="auto" w:sz="4" w:space="0"/>
            </w:tcBorders>
            <w:vAlign w:val="center"/>
          </w:tcPr>
          <w:p w14:paraId="27FFD4DA">
            <w:pPr>
              <w:keepNext w:val="0"/>
              <w:keepLines w:val="0"/>
              <w:pageBreakBefore w:val="0"/>
              <w:widowControl/>
              <w:kinsoku/>
              <w:wordWrap/>
              <w:overflowPunct/>
              <w:topLinePunct w:val="0"/>
              <w:autoSpaceDE/>
              <w:autoSpaceDN/>
              <w:bidi w:val="0"/>
              <w:adjustRightInd/>
              <w:spacing w:line="360" w:lineRule="auto"/>
              <w:jc w:val="center"/>
              <w:rPr>
                <w:rFonts w:hint="eastAsia" w:ascii="仿宋" w:hAnsi="仿宋" w:eastAsia="仿宋" w:cs="仿宋"/>
                <w:bCs/>
                <w:kern w:val="0"/>
                <w:sz w:val="24"/>
                <w:szCs w:val="24"/>
                <w:highlight w:val="none"/>
              </w:rPr>
            </w:pPr>
            <w:r>
              <w:rPr>
                <w:rFonts w:hint="eastAsia" w:ascii="仿宋" w:hAnsi="仿宋" w:eastAsia="仿宋" w:cs="仿宋"/>
                <w:b w:val="0"/>
                <w:color w:val="auto"/>
                <w:sz w:val="24"/>
                <w:szCs w:val="24"/>
                <w:highlight w:val="none"/>
              </w:rPr>
              <w:t>故障处理</w:t>
            </w:r>
            <w:r>
              <w:rPr>
                <w:rFonts w:hint="eastAsia" w:ascii="仿宋" w:hAnsi="仿宋" w:eastAsia="仿宋" w:cs="仿宋"/>
                <w:b w:val="0"/>
                <w:color w:val="auto"/>
                <w:sz w:val="24"/>
                <w:szCs w:val="24"/>
                <w:highlight w:val="none"/>
                <w:lang w:val="en-US" w:eastAsia="zh-CN"/>
              </w:rPr>
              <w:t>及应急响应机制</w:t>
            </w:r>
          </w:p>
        </w:tc>
        <w:tc>
          <w:tcPr>
            <w:tcW w:w="6918" w:type="dxa"/>
            <w:tcBorders>
              <w:top w:val="single" w:color="auto" w:sz="4" w:space="0"/>
              <w:left w:val="single" w:color="auto" w:sz="4" w:space="0"/>
              <w:bottom w:val="single" w:color="auto" w:sz="4" w:space="0"/>
              <w:right w:val="single" w:color="auto" w:sz="4" w:space="0"/>
            </w:tcBorders>
            <w:vAlign w:val="center"/>
          </w:tcPr>
          <w:p w14:paraId="18BFB126">
            <w:pPr>
              <w:jc w:val="left"/>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根据供应商提供的故障应急方案，从方案的合理性、适用性及可操作性等方面进行评分。包括但不限于以下内容：</w:t>
            </w:r>
          </w:p>
          <w:p w14:paraId="3AD76371">
            <w:pPr>
              <w:numPr>
                <w:ilvl w:val="0"/>
                <w:numId w:val="2"/>
              </w:numPr>
              <w:jc w:val="left"/>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故障分级响应方案及故障维修响应时间；</w:t>
            </w:r>
          </w:p>
          <w:p w14:paraId="64EB285B">
            <w:pPr>
              <w:numPr>
                <w:ilvl w:val="0"/>
                <w:numId w:val="2"/>
              </w:numPr>
              <w:ind w:left="0" w:leftChars="0" w:firstLine="0" w:firstLineChars="0"/>
              <w:jc w:val="left"/>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紧急故障处理预案；</w:t>
            </w:r>
          </w:p>
          <w:p w14:paraId="0AB67A04">
            <w:pPr>
              <w:numPr>
                <w:ilvl w:val="0"/>
                <w:numId w:val="2"/>
              </w:numPr>
              <w:ind w:left="0" w:leftChars="0" w:firstLine="0" w:firstLineChars="0"/>
              <w:jc w:val="left"/>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备品备件提供方案；</w:t>
            </w:r>
          </w:p>
          <w:p w14:paraId="48692EF1">
            <w:pPr>
              <w:numPr>
                <w:ilvl w:val="0"/>
                <w:numId w:val="2"/>
              </w:numPr>
              <w:ind w:left="0" w:leftChars="0" w:firstLine="0" w:firstLineChars="0"/>
              <w:jc w:val="left"/>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节假日支持方案；</w:t>
            </w:r>
          </w:p>
          <w:p w14:paraId="03B21871">
            <w:pPr>
              <w:keepNext w:val="0"/>
              <w:keepLines w:val="0"/>
              <w:pageBreakBefore w:val="0"/>
              <w:widowControl/>
              <w:kinsoku/>
              <w:wordWrap/>
              <w:overflowPunct/>
              <w:topLinePunct w:val="0"/>
              <w:autoSpaceDE/>
              <w:autoSpaceDN/>
              <w:bidi w:val="0"/>
              <w:adjustRightInd/>
              <w:spacing w:line="360" w:lineRule="auto"/>
              <w:jc w:val="left"/>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以上内容全部提供的得8分，每缺少一项内容扣2分；方案内容不完整或未能满足采购需求的或每有一处不具有针对性或逻辑性错误且不完整的扣1分，扣完为止。</w:t>
            </w:r>
          </w:p>
        </w:tc>
        <w:tc>
          <w:tcPr>
            <w:tcW w:w="934" w:type="dxa"/>
            <w:tcBorders>
              <w:top w:val="single" w:color="auto" w:sz="4" w:space="0"/>
              <w:left w:val="single" w:color="auto" w:sz="4" w:space="0"/>
              <w:bottom w:val="single" w:color="auto" w:sz="4" w:space="0"/>
              <w:right w:val="single" w:color="auto" w:sz="4" w:space="0"/>
            </w:tcBorders>
            <w:vAlign w:val="center"/>
          </w:tcPr>
          <w:p w14:paraId="0A684D5A">
            <w:pPr>
              <w:keepNext w:val="0"/>
              <w:keepLines w:val="0"/>
              <w:pageBreakBefore w:val="0"/>
              <w:widowControl/>
              <w:kinsoku/>
              <w:wordWrap/>
              <w:overflowPunct/>
              <w:topLinePunct w:val="0"/>
              <w:autoSpaceDE/>
              <w:autoSpaceDN/>
              <w:bidi w:val="0"/>
              <w:adjustRightInd/>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r>
      <w:tr w14:paraId="4374B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555" w:type="dxa"/>
            <w:gridSpan w:val="3"/>
            <w:tcBorders>
              <w:top w:val="single" w:color="auto" w:sz="4" w:space="0"/>
              <w:left w:val="single" w:color="auto" w:sz="4" w:space="0"/>
              <w:bottom w:val="single" w:color="auto" w:sz="4" w:space="0"/>
              <w:right w:val="single" w:color="auto" w:sz="4" w:space="0"/>
            </w:tcBorders>
            <w:vAlign w:val="center"/>
          </w:tcPr>
          <w:p w14:paraId="050FE126">
            <w:pPr>
              <w:pStyle w:val="25"/>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C：商务部分评分</w:t>
            </w:r>
            <w:r>
              <w:rPr>
                <w:rFonts w:hint="eastAsia" w:ascii="宋体" w:hAnsi="宋体" w:cs="宋体"/>
                <w:b/>
                <w:color w:val="auto"/>
                <w:sz w:val="21"/>
                <w:szCs w:val="21"/>
                <w:highlight w:val="none"/>
                <w:lang w:val="en-US" w:eastAsia="zh-CN"/>
              </w:rPr>
              <w:t>20</w:t>
            </w:r>
            <w:r>
              <w:rPr>
                <w:rFonts w:hint="eastAsia" w:ascii="宋体" w:hAnsi="宋体" w:eastAsia="宋体" w:cs="宋体"/>
                <w:b/>
                <w:color w:val="auto"/>
                <w:sz w:val="21"/>
                <w:szCs w:val="21"/>
                <w:highlight w:val="none"/>
              </w:rPr>
              <w:t>分</w:t>
            </w:r>
          </w:p>
        </w:tc>
      </w:tr>
      <w:tr w14:paraId="2354C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703" w:type="dxa"/>
            <w:tcBorders>
              <w:top w:val="single" w:color="auto" w:sz="4" w:space="0"/>
              <w:left w:val="single" w:color="auto" w:sz="4" w:space="0"/>
              <w:bottom w:val="single" w:color="auto" w:sz="4" w:space="0"/>
              <w:right w:val="single" w:color="auto" w:sz="4" w:space="0"/>
            </w:tcBorders>
            <w:vAlign w:val="center"/>
          </w:tcPr>
          <w:p w14:paraId="300203F8">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业绩</w:t>
            </w:r>
          </w:p>
        </w:tc>
        <w:tc>
          <w:tcPr>
            <w:tcW w:w="6918" w:type="dxa"/>
            <w:tcBorders>
              <w:top w:val="single" w:color="auto" w:sz="4" w:space="0"/>
              <w:left w:val="single" w:color="auto" w:sz="4" w:space="0"/>
              <w:bottom w:val="single" w:color="auto" w:sz="4" w:space="0"/>
              <w:right w:val="single" w:color="auto" w:sz="4" w:space="0"/>
            </w:tcBorders>
            <w:vAlign w:val="center"/>
          </w:tcPr>
          <w:p w14:paraId="5504D5EB">
            <w:pPr>
              <w:keepNext w:val="0"/>
              <w:keepLines w:val="0"/>
              <w:pageBreakBefore w:val="0"/>
              <w:kinsoku/>
              <w:wordWrap/>
              <w:overflowPunct/>
              <w:topLinePunct w:val="0"/>
              <w:autoSpaceDE/>
              <w:autoSpaceDN/>
              <w:bidi w:val="0"/>
              <w:adjustRightInd/>
              <w:spacing w:line="360" w:lineRule="auto"/>
              <w:jc w:val="left"/>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投标人</w:t>
            </w:r>
            <w:r>
              <w:rPr>
                <w:rFonts w:hint="eastAsia" w:ascii="仿宋" w:hAnsi="仿宋" w:eastAsia="仿宋" w:cs="仿宋"/>
                <w:b w:val="0"/>
                <w:color w:val="auto"/>
                <w:sz w:val="24"/>
                <w:szCs w:val="24"/>
                <w:highlight w:val="none"/>
              </w:rPr>
              <w:t>近</w:t>
            </w:r>
            <w:r>
              <w:rPr>
                <w:rFonts w:hint="eastAsia" w:ascii="仿宋" w:hAnsi="仿宋" w:eastAsia="仿宋" w:cs="仿宋"/>
                <w:b w:val="0"/>
                <w:color w:val="auto"/>
                <w:sz w:val="24"/>
                <w:szCs w:val="24"/>
                <w:highlight w:val="none"/>
                <w:lang w:val="en-US" w:eastAsia="zh-CN"/>
              </w:rPr>
              <w:t>三</w:t>
            </w:r>
            <w:r>
              <w:rPr>
                <w:rFonts w:hint="eastAsia" w:ascii="仿宋" w:hAnsi="仿宋" w:eastAsia="仿宋" w:cs="仿宋"/>
                <w:b w:val="0"/>
                <w:color w:val="auto"/>
                <w:sz w:val="24"/>
                <w:szCs w:val="24"/>
                <w:highlight w:val="none"/>
              </w:rPr>
              <w:t>年（</w:t>
            </w:r>
            <w:r>
              <w:rPr>
                <w:rFonts w:hint="eastAsia" w:ascii="仿宋" w:hAnsi="仿宋" w:eastAsia="仿宋" w:cs="仿宋"/>
                <w:b w:val="0"/>
                <w:color w:val="auto"/>
                <w:sz w:val="24"/>
                <w:szCs w:val="24"/>
                <w:highlight w:val="none"/>
                <w:lang w:val="en-US" w:eastAsia="zh-CN"/>
              </w:rPr>
              <w:t>2022</w:t>
            </w:r>
            <w:r>
              <w:rPr>
                <w:rFonts w:hint="eastAsia" w:ascii="仿宋" w:hAnsi="仿宋" w:eastAsia="仿宋" w:cs="仿宋"/>
                <w:b w:val="0"/>
                <w:color w:val="auto"/>
                <w:sz w:val="24"/>
                <w:szCs w:val="24"/>
                <w:highlight w:val="none"/>
              </w:rPr>
              <w:t>年</w:t>
            </w:r>
            <w:r>
              <w:rPr>
                <w:rFonts w:hint="eastAsia" w:ascii="仿宋" w:hAnsi="仿宋" w:eastAsia="仿宋" w:cs="仿宋"/>
                <w:b w:val="0"/>
                <w:color w:val="auto"/>
                <w:sz w:val="24"/>
                <w:szCs w:val="24"/>
                <w:highlight w:val="none"/>
                <w:lang w:val="en-US" w:eastAsia="zh-CN"/>
              </w:rPr>
              <w:t>6</w:t>
            </w:r>
            <w:r>
              <w:rPr>
                <w:rFonts w:hint="eastAsia" w:ascii="仿宋" w:hAnsi="仿宋" w:eastAsia="仿宋" w:cs="仿宋"/>
                <w:b w:val="0"/>
                <w:color w:val="auto"/>
                <w:sz w:val="24"/>
                <w:szCs w:val="24"/>
                <w:highlight w:val="none"/>
              </w:rPr>
              <w:t>月至今）</w:t>
            </w:r>
            <w:r>
              <w:rPr>
                <w:rFonts w:hint="eastAsia" w:ascii="仿宋" w:hAnsi="仿宋" w:eastAsia="仿宋" w:cs="仿宋"/>
                <w:b w:val="0"/>
                <w:color w:val="auto"/>
                <w:sz w:val="24"/>
                <w:szCs w:val="24"/>
                <w:highlight w:val="none"/>
                <w:lang w:val="en-US" w:eastAsia="zh-CN"/>
              </w:rPr>
              <w:t>已完成同类项目服务业绩，每提供一个得1分。</w:t>
            </w:r>
            <w:r>
              <w:rPr>
                <w:rFonts w:hint="eastAsia" w:ascii="仿宋" w:hAnsi="仿宋" w:eastAsia="仿宋" w:cs="仿宋"/>
                <w:b w:val="0"/>
                <w:color w:val="auto"/>
                <w:sz w:val="24"/>
                <w:szCs w:val="24"/>
                <w:highlight w:val="none"/>
              </w:rPr>
              <w:t>最多</w:t>
            </w:r>
            <w:r>
              <w:rPr>
                <w:rFonts w:hint="eastAsia" w:ascii="仿宋" w:hAnsi="仿宋" w:eastAsia="仿宋" w:cs="仿宋"/>
                <w:b w:val="0"/>
                <w:color w:val="auto"/>
                <w:sz w:val="24"/>
                <w:szCs w:val="24"/>
                <w:highlight w:val="none"/>
                <w:lang w:eastAsia="zh-CN"/>
              </w:rPr>
              <w:t>得</w:t>
            </w:r>
            <w:r>
              <w:rPr>
                <w:rFonts w:hint="eastAsia" w:ascii="仿宋" w:hAnsi="仿宋" w:eastAsia="仿宋" w:cs="仿宋"/>
                <w:b w:val="0"/>
                <w:color w:val="auto"/>
                <w:sz w:val="24"/>
                <w:szCs w:val="24"/>
                <w:highlight w:val="none"/>
                <w:lang w:val="en-US" w:eastAsia="zh-CN"/>
              </w:rPr>
              <w:t>10分。</w:t>
            </w:r>
          </w:p>
          <w:p w14:paraId="62342B0D">
            <w:pPr>
              <w:keepNext w:val="0"/>
              <w:keepLines w:val="0"/>
              <w:pageBreakBefore w:val="0"/>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sz w:val="24"/>
                <w:szCs w:val="24"/>
                <w:highlight w:val="none"/>
                <w:lang w:eastAsia="zh-CN"/>
              </w:rPr>
              <w:t>注：</w:t>
            </w:r>
            <w:r>
              <w:rPr>
                <w:rFonts w:hint="eastAsia" w:ascii="仿宋" w:hAnsi="仿宋" w:eastAsia="仿宋" w:cs="仿宋"/>
                <w:b w:val="0"/>
                <w:color w:val="auto"/>
                <w:sz w:val="24"/>
                <w:szCs w:val="24"/>
                <w:highlight w:val="none"/>
              </w:rPr>
              <w:t>须提供加盖企业公章的合同</w:t>
            </w:r>
            <w:r>
              <w:rPr>
                <w:rFonts w:hint="eastAsia" w:ascii="仿宋" w:hAnsi="仿宋" w:eastAsia="仿宋" w:cs="仿宋"/>
                <w:b w:val="0"/>
                <w:color w:val="auto"/>
                <w:sz w:val="24"/>
                <w:szCs w:val="24"/>
                <w:highlight w:val="none"/>
                <w:lang w:eastAsia="zh-CN"/>
              </w:rPr>
              <w:t>或</w:t>
            </w:r>
            <w:r>
              <w:rPr>
                <w:rFonts w:hint="eastAsia" w:ascii="仿宋" w:hAnsi="仿宋" w:eastAsia="仿宋" w:cs="仿宋"/>
                <w:b w:val="0"/>
                <w:color w:val="auto"/>
                <w:sz w:val="24"/>
                <w:szCs w:val="24"/>
                <w:highlight w:val="none"/>
              </w:rPr>
              <w:t>中标</w:t>
            </w:r>
            <w:r>
              <w:rPr>
                <w:rFonts w:hint="eastAsia" w:ascii="仿宋" w:hAnsi="仿宋" w:eastAsia="仿宋" w:cs="仿宋"/>
                <w:b w:val="0"/>
                <w:color w:val="auto"/>
                <w:sz w:val="24"/>
                <w:szCs w:val="24"/>
                <w:highlight w:val="none"/>
                <w:lang w:eastAsia="zh-CN"/>
              </w:rPr>
              <w:t>（成交）</w:t>
            </w:r>
            <w:r>
              <w:rPr>
                <w:rFonts w:hint="eastAsia" w:ascii="仿宋" w:hAnsi="仿宋" w:eastAsia="仿宋" w:cs="仿宋"/>
                <w:b w:val="0"/>
                <w:color w:val="auto"/>
                <w:sz w:val="24"/>
                <w:szCs w:val="24"/>
                <w:highlight w:val="none"/>
              </w:rPr>
              <w:t>通知书复印件并加盖公章，1份有效业绩得</w:t>
            </w:r>
            <w:r>
              <w:rPr>
                <w:rFonts w:hint="eastAsia" w:ascii="仿宋" w:hAnsi="仿宋" w:eastAsia="仿宋" w:cs="仿宋"/>
                <w:b w:val="0"/>
                <w:color w:val="auto"/>
                <w:sz w:val="24"/>
                <w:szCs w:val="24"/>
                <w:highlight w:val="none"/>
                <w:lang w:val="en-US" w:eastAsia="zh-CN"/>
              </w:rPr>
              <w:t>2</w:t>
            </w:r>
            <w:r>
              <w:rPr>
                <w:rFonts w:hint="eastAsia" w:ascii="仿宋" w:hAnsi="仿宋" w:eastAsia="仿宋" w:cs="仿宋"/>
                <w:b w:val="0"/>
                <w:color w:val="auto"/>
                <w:sz w:val="24"/>
                <w:szCs w:val="24"/>
                <w:highlight w:val="none"/>
              </w:rPr>
              <w:t>分，最高得分为</w:t>
            </w:r>
            <w:r>
              <w:rPr>
                <w:rFonts w:hint="eastAsia" w:ascii="仿宋" w:hAnsi="仿宋" w:eastAsia="仿宋" w:cs="仿宋"/>
                <w:b w:val="0"/>
                <w:color w:val="auto"/>
                <w:sz w:val="24"/>
                <w:szCs w:val="24"/>
                <w:highlight w:val="none"/>
                <w:lang w:val="en-US" w:eastAsia="zh-CN"/>
              </w:rPr>
              <w:t>10</w:t>
            </w:r>
            <w:r>
              <w:rPr>
                <w:rFonts w:hint="eastAsia" w:ascii="仿宋" w:hAnsi="仿宋" w:eastAsia="仿宋" w:cs="仿宋"/>
                <w:b w:val="0"/>
                <w:color w:val="auto"/>
                <w:sz w:val="24"/>
                <w:szCs w:val="24"/>
                <w:highlight w:val="none"/>
              </w:rPr>
              <w:t>分，无法辨识或未提供不计分。</w:t>
            </w:r>
          </w:p>
        </w:tc>
        <w:tc>
          <w:tcPr>
            <w:tcW w:w="934" w:type="dxa"/>
            <w:tcBorders>
              <w:top w:val="single" w:color="auto" w:sz="4" w:space="0"/>
              <w:left w:val="single" w:color="auto" w:sz="4" w:space="0"/>
              <w:bottom w:val="single" w:color="auto" w:sz="4" w:space="0"/>
              <w:right w:val="single" w:color="auto" w:sz="4" w:space="0"/>
            </w:tcBorders>
            <w:vAlign w:val="center"/>
          </w:tcPr>
          <w:p w14:paraId="5866E343">
            <w:pPr>
              <w:keepNext w:val="0"/>
              <w:keepLines w:val="0"/>
              <w:pageBreakBefore w:val="0"/>
              <w:widowControl/>
              <w:kinsoku/>
              <w:wordWrap/>
              <w:overflowPunct/>
              <w:topLinePunct w:val="0"/>
              <w:autoSpaceDE/>
              <w:autoSpaceDN/>
              <w:bidi w:val="0"/>
              <w:adjustRightInd/>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r>
      <w:tr w14:paraId="2E67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703" w:type="dxa"/>
            <w:tcBorders>
              <w:top w:val="single" w:color="auto" w:sz="4" w:space="0"/>
              <w:left w:val="single" w:color="auto" w:sz="4" w:space="0"/>
              <w:right w:val="single" w:color="auto" w:sz="4" w:space="0"/>
            </w:tcBorders>
            <w:vAlign w:val="center"/>
          </w:tcPr>
          <w:p w14:paraId="4C6EA27C">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color w:val="auto"/>
                <w:kern w:val="0"/>
                <w:sz w:val="21"/>
                <w:szCs w:val="21"/>
                <w:highlight w:val="none"/>
              </w:rPr>
            </w:pPr>
            <w:r>
              <w:rPr>
                <w:rFonts w:hint="eastAsia" w:ascii="仿宋" w:hAnsi="仿宋" w:eastAsia="仿宋" w:cs="仿宋"/>
                <w:b w:val="0"/>
                <w:color w:val="auto"/>
                <w:sz w:val="24"/>
                <w:szCs w:val="24"/>
                <w:highlight w:val="none"/>
                <w:lang w:val="en-US" w:eastAsia="zh-CN"/>
              </w:rPr>
              <w:t>用户评价</w:t>
            </w:r>
          </w:p>
        </w:tc>
        <w:tc>
          <w:tcPr>
            <w:tcW w:w="6918" w:type="dxa"/>
            <w:tcBorders>
              <w:top w:val="single" w:color="auto" w:sz="4" w:space="0"/>
              <w:left w:val="single" w:color="auto" w:sz="4" w:space="0"/>
              <w:bottom w:val="single" w:color="auto" w:sz="4" w:space="0"/>
              <w:right w:val="single" w:color="auto" w:sz="4" w:space="0"/>
            </w:tcBorders>
            <w:vAlign w:val="center"/>
          </w:tcPr>
          <w:p w14:paraId="1E53DD63">
            <w:pPr>
              <w:keepNext w:val="0"/>
              <w:keepLines w:val="0"/>
              <w:pageBreakBefore w:val="0"/>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rPr>
            </w:pPr>
            <w:r>
              <w:rPr>
                <w:rFonts w:hint="eastAsia" w:ascii="仿宋" w:hAnsi="仿宋" w:eastAsia="仿宋" w:cs="仿宋"/>
                <w:b w:val="0"/>
                <w:color w:val="auto"/>
                <w:sz w:val="24"/>
                <w:szCs w:val="24"/>
                <w:highlight w:val="none"/>
                <w:lang w:val="en-US" w:eastAsia="zh-CN"/>
              </w:rPr>
              <w:t>供应商</w:t>
            </w:r>
            <w:r>
              <w:rPr>
                <w:rFonts w:hint="eastAsia" w:ascii="仿宋" w:hAnsi="仿宋" w:eastAsia="仿宋" w:cs="仿宋"/>
                <w:b w:val="0"/>
                <w:color w:val="auto"/>
                <w:sz w:val="24"/>
                <w:szCs w:val="24"/>
                <w:highlight w:val="none"/>
              </w:rPr>
              <w:t>近</w:t>
            </w:r>
            <w:r>
              <w:rPr>
                <w:rFonts w:hint="eastAsia" w:ascii="仿宋" w:hAnsi="仿宋" w:eastAsia="仿宋" w:cs="仿宋"/>
                <w:b w:val="0"/>
                <w:color w:val="auto"/>
                <w:sz w:val="24"/>
                <w:szCs w:val="24"/>
                <w:highlight w:val="none"/>
                <w:lang w:val="en-US" w:eastAsia="zh-CN"/>
              </w:rPr>
              <w:t>三</w:t>
            </w:r>
            <w:r>
              <w:rPr>
                <w:rFonts w:hint="eastAsia" w:ascii="仿宋" w:hAnsi="仿宋" w:eastAsia="仿宋" w:cs="仿宋"/>
                <w:b w:val="0"/>
                <w:color w:val="auto"/>
                <w:sz w:val="24"/>
                <w:szCs w:val="24"/>
                <w:highlight w:val="none"/>
              </w:rPr>
              <w:t>年（20</w:t>
            </w:r>
            <w:r>
              <w:rPr>
                <w:rFonts w:hint="eastAsia" w:ascii="仿宋" w:hAnsi="仿宋" w:eastAsia="仿宋" w:cs="仿宋"/>
                <w:b w:val="0"/>
                <w:color w:val="auto"/>
                <w:sz w:val="24"/>
                <w:szCs w:val="24"/>
                <w:highlight w:val="none"/>
                <w:lang w:val="en-US" w:eastAsia="zh-CN"/>
              </w:rPr>
              <w:t>22</w:t>
            </w:r>
            <w:r>
              <w:rPr>
                <w:rFonts w:hint="eastAsia" w:ascii="仿宋" w:hAnsi="仿宋" w:eastAsia="仿宋" w:cs="仿宋"/>
                <w:b w:val="0"/>
                <w:color w:val="auto"/>
                <w:sz w:val="24"/>
                <w:szCs w:val="24"/>
                <w:highlight w:val="none"/>
              </w:rPr>
              <w:t>年</w:t>
            </w:r>
            <w:r>
              <w:rPr>
                <w:rFonts w:hint="eastAsia" w:ascii="仿宋" w:hAnsi="仿宋" w:eastAsia="仿宋" w:cs="仿宋"/>
                <w:b w:val="0"/>
                <w:color w:val="auto"/>
                <w:sz w:val="24"/>
                <w:szCs w:val="24"/>
                <w:highlight w:val="none"/>
                <w:lang w:val="en-US" w:eastAsia="zh-CN"/>
              </w:rPr>
              <w:t>6</w:t>
            </w:r>
            <w:r>
              <w:rPr>
                <w:rFonts w:hint="eastAsia" w:ascii="仿宋" w:hAnsi="仿宋" w:eastAsia="仿宋" w:cs="仿宋"/>
                <w:b w:val="0"/>
                <w:color w:val="auto"/>
                <w:sz w:val="24"/>
                <w:szCs w:val="24"/>
                <w:highlight w:val="none"/>
              </w:rPr>
              <w:t>月至今）</w:t>
            </w:r>
            <w:r>
              <w:rPr>
                <w:rFonts w:hint="eastAsia" w:ascii="仿宋" w:hAnsi="仿宋" w:eastAsia="仿宋" w:cs="仿宋"/>
                <w:b w:val="0"/>
                <w:color w:val="auto"/>
                <w:sz w:val="24"/>
                <w:szCs w:val="24"/>
                <w:highlight w:val="none"/>
                <w:lang w:val="en-US" w:eastAsia="zh-CN"/>
              </w:rPr>
              <w:t>服务质量业主评价良好，需提供业主评价函或履约验收材料，证明材料中需体现业主满意度良好，并有相关科室负责人签字确认等，每提供一项有效业主评价记录得1分，最高得分为5分</w:t>
            </w:r>
            <w:r>
              <w:rPr>
                <w:rFonts w:hint="eastAsia" w:ascii="仿宋" w:hAnsi="仿宋" w:eastAsia="仿宋" w:cs="仿宋"/>
                <w:b w:val="0"/>
                <w:color w:val="auto"/>
                <w:sz w:val="24"/>
                <w:szCs w:val="24"/>
                <w:highlight w:val="none"/>
              </w:rPr>
              <w:t>，无法辨识或未提供不计分。</w:t>
            </w:r>
          </w:p>
        </w:tc>
        <w:tc>
          <w:tcPr>
            <w:tcW w:w="934" w:type="dxa"/>
            <w:tcBorders>
              <w:top w:val="single" w:color="auto" w:sz="4" w:space="0"/>
              <w:left w:val="single" w:color="auto" w:sz="4" w:space="0"/>
              <w:bottom w:val="single" w:color="auto" w:sz="4" w:space="0"/>
              <w:right w:val="single" w:color="auto" w:sz="4" w:space="0"/>
            </w:tcBorders>
            <w:vAlign w:val="center"/>
          </w:tcPr>
          <w:p w14:paraId="7569C5C9">
            <w:pPr>
              <w:keepNext w:val="0"/>
              <w:keepLines w:val="0"/>
              <w:pageBreakBefore w:val="0"/>
              <w:widowControl/>
              <w:kinsoku/>
              <w:wordWrap/>
              <w:overflowPunct/>
              <w:topLinePunct w:val="0"/>
              <w:autoSpaceDE/>
              <w:autoSpaceDN/>
              <w:bidi w:val="0"/>
              <w:adjustRightInd/>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w:t>
            </w:r>
          </w:p>
        </w:tc>
      </w:tr>
      <w:tr w14:paraId="4053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703" w:type="dxa"/>
            <w:tcBorders>
              <w:left w:val="single" w:color="auto" w:sz="4" w:space="0"/>
              <w:bottom w:val="single" w:color="auto" w:sz="4" w:space="0"/>
              <w:right w:val="single" w:color="auto" w:sz="4" w:space="0"/>
            </w:tcBorders>
            <w:vAlign w:val="center"/>
          </w:tcPr>
          <w:p w14:paraId="51979127">
            <w:pPr>
              <w:keepNext w:val="0"/>
              <w:keepLines w:val="0"/>
              <w:pageBreakBefore w:val="0"/>
              <w:widowControl/>
              <w:kinsoku/>
              <w:wordWrap/>
              <w:overflowPunct/>
              <w:topLinePunct w:val="0"/>
              <w:autoSpaceDE/>
              <w:autoSpaceDN/>
              <w:bidi w:val="0"/>
              <w:adjustRightInd/>
              <w:spacing w:line="360" w:lineRule="auto"/>
              <w:ind w:left="-94" w:leftChars="-45" w:right="-65" w:rightChars="-31"/>
              <w:jc w:val="center"/>
              <w:rPr>
                <w:rFonts w:hint="eastAsia" w:ascii="宋体" w:hAnsi="宋体" w:eastAsia="宋体" w:cs="宋体"/>
                <w:color w:val="auto"/>
                <w:kern w:val="0"/>
                <w:sz w:val="21"/>
                <w:szCs w:val="21"/>
                <w:highlight w:val="none"/>
              </w:rPr>
            </w:pPr>
            <w:r>
              <w:rPr>
                <w:rFonts w:hint="eastAsia" w:ascii="仿宋" w:hAnsi="仿宋" w:eastAsia="仿宋" w:cs="仿宋"/>
                <w:b w:val="0"/>
                <w:kern w:val="0"/>
                <w:sz w:val="24"/>
                <w:szCs w:val="24"/>
                <w:highlight w:val="none"/>
              </w:rPr>
              <w:t>拟投入专职人员</w:t>
            </w:r>
          </w:p>
        </w:tc>
        <w:tc>
          <w:tcPr>
            <w:tcW w:w="6918" w:type="dxa"/>
            <w:tcBorders>
              <w:top w:val="single" w:color="auto" w:sz="4" w:space="0"/>
              <w:left w:val="single" w:color="auto" w:sz="4" w:space="0"/>
              <w:bottom w:val="single" w:color="auto" w:sz="4" w:space="0"/>
              <w:right w:val="single" w:color="auto" w:sz="4" w:space="0"/>
            </w:tcBorders>
            <w:vAlign w:val="center"/>
          </w:tcPr>
          <w:p w14:paraId="4AE1879B">
            <w:pPr>
              <w:jc w:val="left"/>
              <w:rPr>
                <w:rFonts w:hint="eastAsia" w:ascii="仿宋" w:hAnsi="仿宋" w:eastAsia="仿宋" w:cs="仿宋"/>
                <w:bCs/>
                <w:kern w:val="0"/>
                <w:sz w:val="24"/>
                <w:szCs w:val="24"/>
                <w:highlight w:val="none"/>
                <w:lang w:val="en-US" w:eastAsia="zh-CN"/>
              </w:rPr>
            </w:pPr>
            <w:r>
              <w:rPr>
                <w:rFonts w:hint="eastAsia" w:ascii="仿宋" w:hAnsi="仿宋" w:eastAsia="仿宋" w:cs="仿宋"/>
                <w:bCs/>
                <w:kern w:val="0"/>
                <w:sz w:val="24"/>
                <w:szCs w:val="24"/>
                <w:highlight w:val="none"/>
                <w:lang w:val="en-US" w:eastAsia="zh-CN"/>
              </w:rPr>
              <w:t>1、配备至少2名专业人员负责本项目供货、安装、调试、验收、培训等完成本项目相关的一切工作（服务工程师需持有东芝官方认证的CT维修资质或者东芝公司的培训经历证明）的得3分，每少一名扣1.5分，</w:t>
            </w:r>
            <w:r>
              <w:rPr>
                <w:rFonts w:hint="eastAsia" w:ascii="仿宋" w:hAnsi="仿宋" w:eastAsia="仿宋" w:cs="仿宋"/>
                <w:bCs/>
                <w:kern w:val="0"/>
                <w:sz w:val="24"/>
                <w:szCs w:val="24"/>
                <w:highlight w:val="none"/>
              </w:rPr>
              <w:t>附专业人员认证资格证书</w:t>
            </w:r>
            <w:r>
              <w:rPr>
                <w:rFonts w:hint="eastAsia" w:ascii="仿宋" w:hAnsi="仿宋" w:eastAsia="仿宋" w:cs="仿宋"/>
                <w:bCs/>
                <w:kern w:val="0"/>
                <w:sz w:val="24"/>
                <w:szCs w:val="24"/>
                <w:highlight w:val="none"/>
                <w:lang w:eastAsia="zh-CN"/>
              </w:rPr>
              <w:t>、</w:t>
            </w:r>
            <w:r>
              <w:rPr>
                <w:rFonts w:hint="eastAsia" w:ascii="仿宋" w:hAnsi="仿宋" w:eastAsia="仿宋" w:cs="仿宋"/>
                <w:bCs/>
                <w:kern w:val="0"/>
                <w:sz w:val="24"/>
                <w:szCs w:val="24"/>
                <w:highlight w:val="none"/>
                <w:lang w:val="en-US" w:eastAsia="zh-CN"/>
              </w:rPr>
              <w:t>原厂技术培训证书及培训记录</w:t>
            </w:r>
            <w:r>
              <w:rPr>
                <w:rFonts w:hint="eastAsia" w:ascii="仿宋" w:hAnsi="仿宋" w:eastAsia="仿宋" w:cs="仿宋"/>
                <w:bCs/>
                <w:kern w:val="0"/>
                <w:sz w:val="24"/>
                <w:szCs w:val="24"/>
                <w:highlight w:val="none"/>
              </w:rPr>
              <w:t>等相应证明材料，</w:t>
            </w:r>
            <w:r>
              <w:rPr>
                <w:rFonts w:hint="eastAsia" w:ascii="仿宋" w:hAnsi="仿宋" w:eastAsia="仿宋" w:cs="仿宋"/>
                <w:bCs/>
                <w:kern w:val="0"/>
                <w:sz w:val="24"/>
                <w:szCs w:val="24"/>
                <w:highlight w:val="none"/>
                <w:lang w:val="en-US" w:eastAsia="zh-CN"/>
              </w:rPr>
              <w:t>未配备或未提供证明材料则该人员不得分。</w:t>
            </w:r>
          </w:p>
          <w:p w14:paraId="7770BAD1">
            <w:pPr>
              <w:keepNext w:val="0"/>
              <w:keepLines w:val="0"/>
              <w:pageBreakBefore w:val="0"/>
              <w:widowControl/>
              <w:kinsoku/>
              <w:wordWrap/>
              <w:overflowPunct/>
              <w:topLinePunct w:val="0"/>
              <w:autoSpaceDE/>
              <w:autoSpaceDN/>
              <w:bidi w:val="0"/>
              <w:adjustRightInd/>
              <w:spacing w:line="360" w:lineRule="auto"/>
              <w:rPr>
                <w:rFonts w:hint="eastAsia" w:ascii="宋体" w:hAnsi="宋体" w:eastAsia="宋体" w:cs="宋体"/>
                <w:color w:val="auto"/>
                <w:kern w:val="0"/>
                <w:sz w:val="21"/>
                <w:szCs w:val="21"/>
                <w:highlight w:val="none"/>
              </w:rPr>
            </w:pPr>
            <w:r>
              <w:rPr>
                <w:rFonts w:hint="eastAsia" w:ascii="仿宋" w:hAnsi="仿宋" w:eastAsia="仿宋" w:cs="仿宋"/>
                <w:bCs/>
                <w:kern w:val="0"/>
                <w:sz w:val="24"/>
                <w:szCs w:val="24"/>
                <w:highlight w:val="none"/>
                <w:lang w:val="en-US" w:eastAsia="zh-CN"/>
              </w:rPr>
              <w:t>2、每增加一名有效专业人员加1分，需按上述要求提供相关证明材料，否则不计分。本项最高加2分。</w:t>
            </w:r>
          </w:p>
        </w:tc>
        <w:tc>
          <w:tcPr>
            <w:tcW w:w="934" w:type="dxa"/>
            <w:tcBorders>
              <w:top w:val="single" w:color="auto" w:sz="4" w:space="0"/>
              <w:left w:val="single" w:color="auto" w:sz="4" w:space="0"/>
              <w:bottom w:val="single" w:color="auto" w:sz="4" w:space="0"/>
              <w:right w:val="single" w:color="auto" w:sz="4" w:space="0"/>
            </w:tcBorders>
            <w:vAlign w:val="center"/>
          </w:tcPr>
          <w:p w14:paraId="3004AABB">
            <w:pPr>
              <w:keepNext w:val="0"/>
              <w:keepLines w:val="0"/>
              <w:pageBreakBefore w:val="0"/>
              <w:widowControl/>
              <w:kinsoku/>
              <w:wordWrap/>
              <w:overflowPunct/>
              <w:topLinePunct w:val="0"/>
              <w:autoSpaceDE/>
              <w:autoSpaceDN/>
              <w:bidi w:val="0"/>
              <w:adjustRightInd/>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14:paraId="4D7B5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555" w:type="dxa"/>
            <w:gridSpan w:val="3"/>
            <w:tcBorders>
              <w:top w:val="single" w:color="auto" w:sz="4" w:space="0"/>
              <w:left w:val="single" w:color="auto" w:sz="4" w:space="0"/>
              <w:bottom w:val="single" w:color="auto" w:sz="4" w:space="0"/>
              <w:right w:val="single" w:color="auto" w:sz="4" w:space="0"/>
            </w:tcBorders>
            <w:vAlign w:val="center"/>
          </w:tcPr>
          <w:p w14:paraId="4E72540E">
            <w:pPr>
              <w:pStyle w:val="25"/>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D:</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属于中小企业评审优惠内容及价格扣除幅度</w:t>
            </w:r>
          </w:p>
        </w:tc>
      </w:tr>
      <w:tr w14:paraId="251C6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555" w:type="dxa"/>
            <w:gridSpan w:val="3"/>
            <w:tcBorders>
              <w:top w:val="single" w:color="auto" w:sz="4" w:space="0"/>
              <w:left w:val="single" w:color="auto" w:sz="4" w:space="0"/>
              <w:bottom w:val="single" w:color="auto" w:sz="4" w:space="0"/>
              <w:right w:val="single" w:color="auto" w:sz="4" w:space="0"/>
            </w:tcBorders>
            <w:vAlign w:val="center"/>
          </w:tcPr>
          <w:p w14:paraId="76A7A14C">
            <w:pPr>
              <w:pStyle w:val="25"/>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中华人民共和国财政部、中华人民共和国工业和信息化部《政府采购促进中小企业发展管理办法》（财库[2020]46号）文件及《关于落实好政府采购支持中小企业发展的通知》（新财购[2022]22号）的规定，属于中小企业评审优惠内容及幅度如下：</w:t>
            </w:r>
          </w:p>
          <w:p w14:paraId="27AFA9F2">
            <w:pPr>
              <w:pStyle w:val="25"/>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（一）中小企业（含中型、小型、微型企业）应当同时符合以下条件：</w:t>
            </w:r>
          </w:p>
          <w:p w14:paraId="75C8DD46">
            <w:pPr>
              <w:pStyle w:val="25"/>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①符合中小企业划分标准（按《关于印发中小企业划型标准规定的通知》（工信部联企业〔2011〕300号）执行）；</w:t>
            </w:r>
          </w:p>
          <w:p w14:paraId="7EA2FA08">
            <w:pPr>
              <w:pStyle w:val="25"/>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②提供本企业制造的货物、承担的项目或者服务，或者提供其他中小企业制造的货物。本项所称货物不包括使用大型企业注册商标的货物；</w:t>
            </w:r>
          </w:p>
          <w:p w14:paraId="2F899536">
            <w:pPr>
              <w:pStyle w:val="25"/>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③小型、微型企业提供中型企业制造的货物的，视同为中型企业。</w:t>
            </w:r>
          </w:p>
          <w:p w14:paraId="226365D2">
            <w:pPr>
              <w:pStyle w:val="25"/>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监狱企业、残疾人福利性企业视同为小微企业。</w:t>
            </w:r>
          </w:p>
          <w:p w14:paraId="28890D79">
            <w:pPr>
              <w:pStyle w:val="25"/>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（二）价格扣除办法：对于非专门面向中小企业的项目，对小型和微型企业（或联合体各方均为小型、微型企业的）产品的价格给予10%的扣除，用扣除后的价格参与价格分的评审。</w:t>
            </w:r>
          </w:p>
          <w:p w14:paraId="393853D6">
            <w:pPr>
              <w:pStyle w:val="25"/>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（三）小型和微型企业适用价格扣除办法时应提供的相关资料：《中小企业声明函》。</w:t>
            </w:r>
          </w:p>
        </w:tc>
      </w:tr>
    </w:tbl>
    <w:p w14:paraId="1FAE8DDF">
      <w:pPr>
        <w:adjustRightInd w:val="0"/>
        <w:snapToGrid w:val="0"/>
        <w:spacing w:line="360" w:lineRule="auto"/>
        <w:rPr>
          <w:rFonts w:hint="default" w:ascii="宋体" w:hAnsi="宋体" w:cs="宋体"/>
          <w:color w:val="auto"/>
          <w:kern w:val="0"/>
          <w:szCs w:val="21"/>
          <w:highlight w:val="none"/>
          <w:lang w:val="en-US" w:eastAsia="zh-CN"/>
        </w:rPr>
      </w:pPr>
    </w:p>
    <w:p w14:paraId="3675A6D4">
      <w:pPr>
        <w:widowControl/>
        <w:adjustRightInd w:val="0"/>
        <w:snapToGrid w:val="0"/>
        <w:spacing w:line="360" w:lineRule="auto"/>
        <w:jc w:val="left"/>
        <w:rPr>
          <w:rFonts w:ascii="宋体" w:hAnsi="宋体"/>
          <w:b/>
          <w:bCs/>
          <w:color w:val="auto"/>
          <w:szCs w:val="21"/>
          <w:highlight w:val="none"/>
        </w:rPr>
      </w:pPr>
      <w:r>
        <w:rPr>
          <w:rFonts w:hint="eastAsia" w:ascii="宋体" w:hAnsi="宋体"/>
          <w:b/>
          <w:bCs/>
          <w:color w:val="auto"/>
          <w:szCs w:val="21"/>
          <w:highlight w:val="none"/>
        </w:rPr>
        <w:t>29.提出中标候选人</w:t>
      </w:r>
    </w:p>
    <w:p w14:paraId="3BB4788F">
      <w:pPr>
        <w:widowControl/>
        <w:adjustRightInd w:val="0"/>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29.1</w:t>
      </w:r>
      <w:r>
        <w:rPr>
          <w:rFonts w:hint="eastAsia" w:ascii="宋体" w:hAnsi="宋体" w:cs="宋体"/>
          <w:color w:val="auto"/>
          <w:kern w:val="0"/>
          <w:szCs w:val="21"/>
          <w:highlight w:val="none"/>
        </w:rPr>
        <w:t>评审小组应当根据综合评分情况，按照评审得分由高到低顺序推荐3名及以上中标候选人，并编写评审报告。评审得分相同的，按照最后评审价格由低到高的顺序推荐。评审得分且最后评审价格相同的，按照技术指标优劣顺序推荐。</w:t>
      </w:r>
    </w:p>
    <w:p w14:paraId="1B8C995A">
      <w:pPr>
        <w:tabs>
          <w:tab w:val="left" w:pos="0"/>
        </w:tabs>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30.确定中标单位</w:t>
      </w:r>
    </w:p>
    <w:p w14:paraId="28BDDE7B">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30.1采购代理机构应当在评审结束后2个工作日内将评审报告送采购人确认。</w:t>
      </w:r>
    </w:p>
    <w:p w14:paraId="52D64790">
      <w:pPr>
        <w:widowControl/>
        <w:adjustRightInd w:val="0"/>
        <w:snapToGri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30.2采购人应当在收到评审报告后5个工作日内，从评审报告提出的中标候选人中，按照排序由高到低的原则确定中标单位，也可以书面授权评审小组直接确定中标单位。</w:t>
      </w:r>
    </w:p>
    <w:p w14:paraId="7EB7C381">
      <w:pPr>
        <w:pStyle w:val="46"/>
        <w:ind w:left="0" w:leftChars="0" w:firstLine="42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30.3根据《中华人民共和国招标投标法实施条例》第五十五条规定，第一中标候选人放弃中标，招标人可以按照评标委员会提出的中标候选人名单排序依次确定其他中标候选人为中标人，也可以重新招标。具体处理方式如下：</w:t>
      </w:r>
    </w:p>
    <w:p w14:paraId="2E98501B">
      <w:pPr>
        <w:pStyle w:val="46"/>
        <w:ind w:left="0" w:leftChars="0" w:firstLine="42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确定其他中标候选人：第一中标候选人放弃中标资格后，其他中标候选人及符合资格性、符合性审查的投标人大于等于三家。且符合中标条件，依次确定备选中标人为中标人。例如，第二中标候选人具备相应资质和能力，将其确定为中标人，依此类推。如后续中标候选人不具备履行合同的能力，则重新招标。</w:t>
      </w:r>
    </w:p>
    <w:p w14:paraId="39A14BA1">
      <w:pPr>
        <w:pStyle w:val="46"/>
        <w:ind w:left="0" w:leftChars="0" w:firstLine="42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重新招标：备选中标人不足三家，或备选中标人不符合中标条件，又或者递补中标不适合项目实际情况，则重新组织招标。按原招标程序和要求，重新发布招标公告、接收投标文件、开标、评标等，重新确定新的中标人。</w:t>
      </w:r>
    </w:p>
    <w:p w14:paraId="77E34E87">
      <w:pPr>
        <w:pStyle w:val="46"/>
        <w:ind w:left="0" w:leftChars="0" w:firstLine="420" w:firstLineChars="0"/>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追究责任与赔偿损失：第一中标候选人无正当理由放弃中标，根据招标文件约定，没收其投标保证金。保证金不足以赔偿采购人损失，采购人有权要求其赔偿实际损失，赔偿范围包括重新招标费用、工期延误等带来的直接和间接损失等。</w:t>
      </w:r>
    </w:p>
    <w:p w14:paraId="0666D149">
      <w:pPr>
        <w:pStyle w:val="25"/>
        <w:adjustRightInd w:val="0"/>
        <w:snapToGrid w:val="0"/>
        <w:spacing w:line="360" w:lineRule="auto"/>
        <w:ind w:left="632" w:hanging="632" w:hangingChars="300"/>
        <w:rPr>
          <w:rFonts w:ascii="宋体" w:hAnsi="宋体"/>
          <w:b/>
          <w:color w:val="auto"/>
          <w:sz w:val="21"/>
          <w:szCs w:val="21"/>
          <w:highlight w:val="none"/>
        </w:rPr>
      </w:pPr>
      <w:r>
        <w:rPr>
          <w:rFonts w:hint="eastAsia" w:ascii="宋体" w:hAnsi="宋体"/>
          <w:b/>
          <w:color w:val="auto"/>
          <w:sz w:val="21"/>
          <w:szCs w:val="21"/>
          <w:highlight w:val="none"/>
        </w:rPr>
        <w:t>31.</w:t>
      </w:r>
      <w:r>
        <w:rPr>
          <w:rFonts w:hint="eastAsia" w:ascii="宋体" w:hAnsi="宋体"/>
          <w:color w:val="auto"/>
          <w:sz w:val="21"/>
          <w:szCs w:val="21"/>
          <w:highlight w:val="none"/>
        </w:rPr>
        <w:t xml:space="preserve"> </w:t>
      </w:r>
      <w:r>
        <w:rPr>
          <w:rFonts w:hint="eastAsia" w:ascii="宋体" w:hAnsi="宋体"/>
          <w:b/>
          <w:color w:val="auto"/>
          <w:sz w:val="21"/>
          <w:szCs w:val="21"/>
          <w:highlight w:val="none"/>
        </w:rPr>
        <w:t>终止公开招标采购</w:t>
      </w:r>
    </w:p>
    <w:p w14:paraId="6E006D8C">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bCs/>
          <w:color w:val="auto"/>
          <w:szCs w:val="21"/>
          <w:highlight w:val="none"/>
        </w:rPr>
        <w:t>31.1</w:t>
      </w:r>
      <w:r>
        <w:rPr>
          <w:rFonts w:hint="eastAsia" w:ascii="宋体" w:hAnsi="宋体" w:cs="宋体"/>
          <w:color w:val="auto"/>
          <w:kern w:val="0"/>
          <w:szCs w:val="21"/>
          <w:highlight w:val="none"/>
        </w:rPr>
        <w:t>出现下列情形之一的，采购人或者采购代理机构应当终止公开招标采购活动，</w:t>
      </w:r>
      <w:r>
        <w:rPr>
          <w:rFonts w:hint="eastAsia" w:ascii="宋体" w:hAnsi="宋体"/>
          <w:color w:val="auto"/>
          <w:szCs w:val="21"/>
          <w:highlight w:val="none"/>
        </w:rPr>
        <w:t>在财政部门指定的媒体上</w:t>
      </w:r>
      <w:r>
        <w:rPr>
          <w:rFonts w:hint="eastAsia" w:ascii="宋体" w:hAnsi="宋体" w:cs="宋体"/>
          <w:color w:val="auto"/>
          <w:kern w:val="0"/>
          <w:szCs w:val="21"/>
          <w:highlight w:val="none"/>
        </w:rPr>
        <w:t xml:space="preserve">发布项目终止公告并说明原因，重新开展采购活动： </w:t>
      </w:r>
    </w:p>
    <w:p w14:paraId="4EEBA331">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（1）因情况变化，不再符合规定的公开招标采购方式适用情形的；</w:t>
      </w:r>
    </w:p>
    <w:p w14:paraId="509941DF">
      <w:pPr>
        <w:widowControl/>
        <w:adjustRightInd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（2）出现影响采购公正的违法、违规行为的；</w:t>
      </w:r>
    </w:p>
    <w:p w14:paraId="3DBD29C1">
      <w:pPr>
        <w:widowControl/>
        <w:adjustRightInd w:val="0"/>
        <w:snapToGrid w:val="0"/>
        <w:spacing w:line="360" w:lineRule="auto"/>
        <w:ind w:firstLine="420"/>
        <w:jc w:val="left"/>
        <w:rPr>
          <w:rFonts w:ascii="宋体" w:hAnsi="宋体"/>
          <w:b/>
          <w:bCs/>
          <w:color w:val="auto"/>
          <w:szCs w:val="21"/>
          <w:highlight w:val="none"/>
        </w:rPr>
      </w:pPr>
      <w:r>
        <w:rPr>
          <w:rFonts w:hint="eastAsia" w:ascii="宋体" w:hAnsi="宋体" w:cs="宋体"/>
          <w:color w:val="auto"/>
          <w:kern w:val="0"/>
          <w:szCs w:val="21"/>
          <w:highlight w:val="none"/>
        </w:rPr>
        <w:t>（3）除市场竞争不充分的科研项目，以及需要扶持的科技成果转化项目外，在采购过程中符合竞争要求的投标人或者报价未超过采购预算的投标人不足3家的，或者提交最后报价的投标人少于3家的。</w:t>
      </w:r>
    </w:p>
    <w:p w14:paraId="5B33A027">
      <w:pPr>
        <w:widowControl/>
        <w:adjustRightInd w:val="0"/>
        <w:snapToGrid w:val="0"/>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32．重新评审</w:t>
      </w:r>
    </w:p>
    <w:p w14:paraId="637E78E7">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32.1除资格性审查认定错误和分值汇总计算错误、分项评分超出评分标准范围、客观分评分不一致、经评审小组一致认定评分畸高、畸低的情形外，采购人或者采购代理机构不以任何理由组织重新评审。采购人、采购代理机构发现评审小组未按照采购文件规定的评定中标的标准进行评审的，应当重新开展采购活动，并同时书面报告本级财政部门。</w:t>
      </w:r>
    </w:p>
    <w:p w14:paraId="1BFE8859">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33.保密及串通行为</w:t>
      </w:r>
    </w:p>
    <w:p w14:paraId="135E6578">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33.1评审小组成员以及与评审工作有关的人员不得泄露评审情况以及评审过程中获悉的国家秘密、商业秘密。</w:t>
      </w:r>
    </w:p>
    <w:p w14:paraId="601424E2">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33.2</w:t>
      </w:r>
      <w:r>
        <w:rPr>
          <w:rFonts w:hint="eastAsia" w:ascii="宋体" w:hAnsi="宋体" w:cs="宋体"/>
          <w:color w:val="auto"/>
          <w:kern w:val="0"/>
          <w:szCs w:val="21"/>
          <w:highlight w:val="none"/>
        </w:rPr>
        <w:t>投标人</w:t>
      </w:r>
      <w:r>
        <w:rPr>
          <w:rFonts w:hint="eastAsia" w:ascii="宋体" w:hAnsi="宋体"/>
          <w:color w:val="auto"/>
          <w:szCs w:val="21"/>
          <w:highlight w:val="none"/>
        </w:rPr>
        <w:t>不得与</w:t>
      </w:r>
      <w:r>
        <w:rPr>
          <w:rFonts w:hint="eastAsia" w:ascii="宋体" w:hAnsi="宋体" w:cs="宋体"/>
          <w:color w:val="auto"/>
          <w:kern w:val="0"/>
          <w:szCs w:val="21"/>
          <w:highlight w:val="none"/>
        </w:rPr>
        <w:t>采购人、采购代理机构、其他投标人恶意</w:t>
      </w:r>
      <w:r>
        <w:rPr>
          <w:rFonts w:hint="eastAsia" w:ascii="宋体" w:hAnsi="宋体"/>
          <w:color w:val="auto"/>
          <w:szCs w:val="21"/>
          <w:highlight w:val="none"/>
        </w:rPr>
        <w:t>串通；不得向</w:t>
      </w:r>
      <w:r>
        <w:rPr>
          <w:rFonts w:hint="eastAsia" w:ascii="宋体" w:hAnsi="宋体" w:cs="宋体"/>
          <w:color w:val="auto"/>
          <w:kern w:val="0"/>
          <w:szCs w:val="21"/>
          <w:highlight w:val="none"/>
        </w:rPr>
        <w:t>采购人、采购代理机构</w:t>
      </w:r>
      <w:r>
        <w:rPr>
          <w:rFonts w:hint="eastAsia" w:ascii="宋体" w:hAnsi="宋体"/>
          <w:color w:val="auto"/>
          <w:szCs w:val="21"/>
          <w:highlight w:val="none"/>
        </w:rPr>
        <w:t>或者评审小组成员行贿或者提供其他不正当利益；不得提供虚假材料谋取中标；不得以任何方式干扰、影响采购工作。</w:t>
      </w:r>
    </w:p>
    <w:p w14:paraId="6419055B">
      <w:pPr>
        <w:pStyle w:val="43"/>
        <w:adjustRightInd w:val="0"/>
        <w:snapToGrid w:val="0"/>
        <w:spacing w:before="0" w:beforeAutospacing="0" w:after="0" w:afterAutospacing="0" w:line="360" w:lineRule="auto"/>
        <w:ind w:firstLine="420" w:firstLineChars="200"/>
        <w:rPr>
          <w:color w:val="auto"/>
          <w:sz w:val="21"/>
          <w:szCs w:val="21"/>
          <w:highlight w:val="none"/>
          <w:lang w:val="zh-CN"/>
        </w:rPr>
      </w:pPr>
      <w:r>
        <w:rPr>
          <w:rFonts w:hint="eastAsia" w:cs="Arial"/>
          <w:color w:val="auto"/>
          <w:sz w:val="21"/>
          <w:szCs w:val="21"/>
          <w:highlight w:val="none"/>
        </w:rPr>
        <w:t>33.3</w:t>
      </w:r>
      <w:r>
        <w:rPr>
          <w:rFonts w:cs="Arial"/>
          <w:color w:val="auto"/>
          <w:sz w:val="21"/>
          <w:szCs w:val="21"/>
          <w:highlight w:val="none"/>
        </w:rPr>
        <w:t>有下列情形之一的，</w:t>
      </w:r>
      <w:r>
        <w:rPr>
          <w:color w:val="auto"/>
          <w:sz w:val="21"/>
          <w:szCs w:val="21"/>
          <w:highlight w:val="none"/>
          <w:lang w:val="zh-CN"/>
        </w:rPr>
        <w:t>属于恶意串通，</w:t>
      </w:r>
      <w:r>
        <w:rPr>
          <w:rFonts w:hint="eastAsia"/>
          <w:color w:val="auto"/>
          <w:sz w:val="21"/>
          <w:szCs w:val="21"/>
          <w:highlight w:val="none"/>
        </w:rPr>
        <w:t>中标</w:t>
      </w:r>
      <w:r>
        <w:rPr>
          <w:color w:val="auto"/>
          <w:sz w:val="21"/>
          <w:szCs w:val="21"/>
          <w:highlight w:val="none"/>
        </w:rPr>
        <w:t>无效，并</w:t>
      </w:r>
      <w:r>
        <w:rPr>
          <w:color w:val="auto"/>
          <w:sz w:val="21"/>
          <w:szCs w:val="21"/>
          <w:highlight w:val="none"/>
          <w:lang w:val="zh-CN"/>
        </w:rPr>
        <w:t>依照《政府采购法》第七十七条的规定追究法律责任：</w:t>
      </w:r>
    </w:p>
    <w:p w14:paraId="2DCF3D46">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s="宋体"/>
          <w:color w:val="auto"/>
          <w:kern w:val="0"/>
          <w:szCs w:val="21"/>
          <w:highlight w:val="none"/>
        </w:rPr>
        <w:t>投标人</w:t>
      </w:r>
      <w:r>
        <w:rPr>
          <w:rFonts w:hint="eastAsia" w:ascii="宋体" w:hAnsi="宋体"/>
          <w:color w:val="auto"/>
          <w:szCs w:val="21"/>
          <w:highlight w:val="none"/>
        </w:rPr>
        <w:t>直接或者间接从</w:t>
      </w:r>
      <w:r>
        <w:rPr>
          <w:rFonts w:hint="eastAsia" w:ascii="宋体" w:hAnsi="宋体"/>
          <w:bCs/>
          <w:color w:val="auto"/>
          <w:szCs w:val="21"/>
          <w:highlight w:val="none"/>
        </w:rPr>
        <w:t>采购人、采购代理机构</w:t>
      </w:r>
      <w:r>
        <w:rPr>
          <w:rFonts w:hint="eastAsia" w:ascii="宋体" w:hAnsi="宋体"/>
          <w:color w:val="auto"/>
          <w:szCs w:val="21"/>
          <w:highlight w:val="none"/>
        </w:rPr>
        <w:t>获得其他</w:t>
      </w:r>
      <w:r>
        <w:rPr>
          <w:rFonts w:hint="eastAsia" w:ascii="宋体" w:hAnsi="宋体" w:cs="宋体"/>
          <w:color w:val="auto"/>
          <w:kern w:val="0"/>
          <w:szCs w:val="21"/>
          <w:highlight w:val="none"/>
        </w:rPr>
        <w:t>投标人</w:t>
      </w:r>
      <w:r>
        <w:rPr>
          <w:rFonts w:hint="eastAsia" w:ascii="宋体" w:hAnsi="宋体"/>
          <w:color w:val="auto"/>
          <w:szCs w:val="21"/>
          <w:highlight w:val="none"/>
        </w:rPr>
        <w:t>的相应情况，并修改其投标文件的；</w:t>
      </w:r>
    </w:p>
    <w:p w14:paraId="50D45071">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bCs/>
          <w:color w:val="auto"/>
          <w:szCs w:val="21"/>
          <w:highlight w:val="none"/>
        </w:rPr>
        <w:t>采购人、采购代理机构</w:t>
      </w:r>
      <w:r>
        <w:rPr>
          <w:rFonts w:hint="eastAsia" w:ascii="宋体" w:hAnsi="宋体"/>
          <w:color w:val="auto"/>
          <w:szCs w:val="21"/>
          <w:highlight w:val="none"/>
        </w:rPr>
        <w:t>授意</w:t>
      </w:r>
      <w:r>
        <w:rPr>
          <w:rFonts w:hint="eastAsia" w:ascii="宋体" w:hAnsi="宋体" w:cs="宋体"/>
          <w:color w:val="auto"/>
          <w:kern w:val="0"/>
          <w:szCs w:val="21"/>
          <w:highlight w:val="none"/>
        </w:rPr>
        <w:t>投标人</w:t>
      </w:r>
      <w:r>
        <w:rPr>
          <w:rFonts w:hint="eastAsia" w:ascii="宋体" w:hAnsi="宋体"/>
          <w:color w:val="auto"/>
          <w:szCs w:val="21"/>
          <w:highlight w:val="none"/>
        </w:rPr>
        <w:t>撤换、修改投标文件的；</w:t>
      </w:r>
    </w:p>
    <w:p w14:paraId="0E5A7C18">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s="宋体"/>
          <w:color w:val="auto"/>
          <w:kern w:val="0"/>
          <w:szCs w:val="21"/>
          <w:highlight w:val="none"/>
        </w:rPr>
        <w:t>投标人</w:t>
      </w:r>
      <w:r>
        <w:rPr>
          <w:rFonts w:hint="eastAsia" w:ascii="宋体" w:hAnsi="宋体"/>
          <w:color w:val="auto"/>
          <w:szCs w:val="21"/>
          <w:highlight w:val="none"/>
        </w:rPr>
        <w:t>之间协商技术方案、合同条款以及报价等投标文件实质性内容的；</w:t>
      </w:r>
    </w:p>
    <w:p w14:paraId="0E5FDD9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（4）属于同一集团、协会、商会等组织成员的</w:t>
      </w:r>
      <w:r>
        <w:rPr>
          <w:rFonts w:hint="eastAsia" w:ascii="宋体" w:hAnsi="宋体" w:cs="宋体"/>
          <w:color w:val="auto"/>
          <w:kern w:val="0"/>
          <w:szCs w:val="21"/>
          <w:highlight w:val="none"/>
        </w:rPr>
        <w:t>投标人</w:t>
      </w:r>
      <w:r>
        <w:rPr>
          <w:rFonts w:hint="eastAsia" w:ascii="宋体" w:hAnsi="宋体"/>
          <w:color w:val="auto"/>
          <w:szCs w:val="21"/>
          <w:highlight w:val="none"/>
        </w:rPr>
        <w:t>按照该组织要求协同参加公开招标政府采购活动的；</w:t>
      </w:r>
    </w:p>
    <w:p w14:paraId="214AAB3A">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cs="宋体"/>
          <w:color w:val="auto"/>
          <w:kern w:val="0"/>
          <w:szCs w:val="21"/>
          <w:highlight w:val="none"/>
        </w:rPr>
        <w:t>投标人</w:t>
      </w:r>
      <w:r>
        <w:rPr>
          <w:rFonts w:hint="eastAsia" w:ascii="宋体" w:hAnsi="宋体"/>
          <w:color w:val="auto"/>
          <w:szCs w:val="21"/>
          <w:highlight w:val="none"/>
        </w:rPr>
        <w:t>之间事先约定由某一特定</w:t>
      </w:r>
      <w:r>
        <w:rPr>
          <w:rFonts w:hint="eastAsia" w:ascii="宋体" w:hAnsi="宋体" w:cs="宋体"/>
          <w:color w:val="auto"/>
          <w:kern w:val="0"/>
          <w:szCs w:val="21"/>
          <w:highlight w:val="none"/>
        </w:rPr>
        <w:t>投标人</w:t>
      </w:r>
      <w:r>
        <w:rPr>
          <w:rFonts w:hint="eastAsia" w:ascii="宋体" w:hAnsi="宋体"/>
          <w:color w:val="auto"/>
          <w:szCs w:val="21"/>
          <w:highlight w:val="none"/>
        </w:rPr>
        <w:t>中标的；</w:t>
      </w:r>
    </w:p>
    <w:p w14:paraId="58EC0545">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kern w:val="0"/>
          <w:szCs w:val="21"/>
          <w:highlight w:val="none"/>
        </w:rPr>
        <w:t>投标人</w:t>
      </w:r>
      <w:r>
        <w:rPr>
          <w:rFonts w:hint="eastAsia" w:ascii="宋体" w:hAnsi="宋体"/>
          <w:color w:val="auto"/>
          <w:szCs w:val="21"/>
          <w:highlight w:val="none"/>
        </w:rPr>
        <w:t>之间商定部分</w:t>
      </w:r>
      <w:r>
        <w:rPr>
          <w:rFonts w:hint="eastAsia" w:ascii="宋体" w:hAnsi="宋体" w:cs="宋体"/>
          <w:color w:val="auto"/>
          <w:kern w:val="0"/>
          <w:szCs w:val="21"/>
          <w:highlight w:val="none"/>
        </w:rPr>
        <w:t>投标人</w:t>
      </w:r>
      <w:r>
        <w:rPr>
          <w:rFonts w:hint="eastAsia" w:ascii="宋体" w:hAnsi="宋体"/>
          <w:color w:val="auto"/>
          <w:szCs w:val="21"/>
          <w:highlight w:val="none"/>
        </w:rPr>
        <w:t>放弃提交投标文件或者退出投标或者放弃中标的；</w:t>
      </w:r>
    </w:p>
    <w:p w14:paraId="32D335CE">
      <w:pPr>
        <w:adjustRightInd w:val="0"/>
        <w:snapToGrid w:val="0"/>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（7）</w:t>
      </w:r>
      <w:r>
        <w:rPr>
          <w:rFonts w:hint="eastAsia" w:ascii="宋体" w:hAnsi="宋体" w:cs="宋体"/>
          <w:color w:val="auto"/>
          <w:kern w:val="0"/>
          <w:szCs w:val="21"/>
          <w:highlight w:val="none"/>
        </w:rPr>
        <w:t>投标人</w:t>
      </w:r>
      <w:r>
        <w:rPr>
          <w:rFonts w:hint="eastAsia" w:ascii="宋体" w:hAnsi="宋体"/>
          <w:color w:val="auto"/>
          <w:szCs w:val="21"/>
          <w:highlight w:val="none"/>
        </w:rPr>
        <w:t>与</w:t>
      </w:r>
      <w:r>
        <w:rPr>
          <w:rFonts w:hint="eastAsia" w:ascii="宋体" w:hAnsi="宋体"/>
          <w:bCs/>
          <w:color w:val="auto"/>
          <w:szCs w:val="21"/>
          <w:highlight w:val="none"/>
        </w:rPr>
        <w:t>采购人、采购代理机构以及</w:t>
      </w:r>
      <w:r>
        <w:rPr>
          <w:rFonts w:hint="eastAsia" w:ascii="宋体" w:hAnsi="宋体"/>
          <w:color w:val="auto"/>
          <w:szCs w:val="21"/>
          <w:highlight w:val="none"/>
        </w:rPr>
        <w:t>评审小组成员之间、</w:t>
      </w:r>
      <w:r>
        <w:rPr>
          <w:rFonts w:hint="eastAsia" w:ascii="宋体" w:hAnsi="宋体" w:cs="宋体"/>
          <w:color w:val="auto"/>
          <w:kern w:val="0"/>
          <w:szCs w:val="21"/>
          <w:highlight w:val="none"/>
        </w:rPr>
        <w:t>投标人</w:t>
      </w:r>
      <w:r>
        <w:rPr>
          <w:rFonts w:hint="eastAsia" w:ascii="宋体" w:hAnsi="宋体"/>
          <w:color w:val="auto"/>
          <w:szCs w:val="21"/>
          <w:highlight w:val="none"/>
        </w:rPr>
        <w:t>相互之间，为谋求特定</w:t>
      </w:r>
      <w:r>
        <w:rPr>
          <w:rFonts w:hint="eastAsia" w:ascii="宋体" w:hAnsi="宋体" w:cs="宋体"/>
          <w:color w:val="auto"/>
          <w:kern w:val="0"/>
          <w:szCs w:val="21"/>
          <w:highlight w:val="none"/>
        </w:rPr>
        <w:t>投标人</w:t>
      </w:r>
      <w:r>
        <w:rPr>
          <w:rFonts w:hint="eastAsia" w:ascii="宋体" w:hAnsi="宋体"/>
          <w:color w:val="auto"/>
          <w:szCs w:val="21"/>
          <w:highlight w:val="none"/>
        </w:rPr>
        <w:t>中标或者排斥其他</w:t>
      </w:r>
      <w:r>
        <w:rPr>
          <w:rFonts w:hint="eastAsia" w:ascii="宋体" w:hAnsi="宋体" w:cs="宋体"/>
          <w:color w:val="auto"/>
          <w:kern w:val="0"/>
          <w:szCs w:val="21"/>
          <w:highlight w:val="none"/>
        </w:rPr>
        <w:t>投标人</w:t>
      </w:r>
      <w:r>
        <w:rPr>
          <w:rFonts w:hint="eastAsia" w:ascii="宋体" w:hAnsi="宋体"/>
          <w:color w:val="auto"/>
          <w:szCs w:val="21"/>
          <w:highlight w:val="none"/>
        </w:rPr>
        <w:t>的其他串通行为的。</w:t>
      </w:r>
    </w:p>
    <w:p w14:paraId="650766BD">
      <w:pPr>
        <w:adjustRightInd w:val="0"/>
        <w:snapToGrid w:val="0"/>
        <w:spacing w:line="360" w:lineRule="auto"/>
        <w:ind w:firstLine="420" w:firstLineChars="200"/>
        <w:rPr>
          <w:rFonts w:ascii="宋体" w:hAnsi="宋体"/>
          <w:color w:val="auto"/>
          <w:szCs w:val="21"/>
          <w:highlight w:val="none"/>
        </w:rPr>
      </w:pPr>
      <w:r>
        <w:rPr>
          <w:rFonts w:ascii="宋体" w:hAnsi="宋体" w:cs="Arial"/>
          <w:color w:val="auto"/>
          <w:szCs w:val="21"/>
          <w:highlight w:val="none"/>
        </w:rPr>
        <w:t>（</w:t>
      </w:r>
      <w:r>
        <w:rPr>
          <w:rFonts w:hint="eastAsia" w:ascii="宋体" w:hAnsi="宋体" w:cs="Arial"/>
          <w:color w:val="auto"/>
          <w:szCs w:val="21"/>
          <w:highlight w:val="none"/>
        </w:rPr>
        <w:t>8</w:t>
      </w:r>
      <w:r>
        <w:rPr>
          <w:rFonts w:ascii="宋体" w:hAnsi="宋体" w:cs="Arial"/>
          <w:color w:val="auto"/>
          <w:szCs w:val="21"/>
          <w:highlight w:val="none"/>
        </w:rPr>
        <w:t>）</w:t>
      </w:r>
      <w:r>
        <w:rPr>
          <w:rFonts w:ascii="宋体" w:hAnsi="宋体"/>
          <w:color w:val="auto"/>
          <w:szCs w:val="21"/>
          <w:highlight w:val="none"/>
        </w:rPr>
        <w:t>法律、行政法规或规章规定的其他串通行为。</w:t>
      </w:r>
    </w:p>
    <w:p w14:paraId="50D07D67">
      <w:pPr>
        <w:pStyle w:val="3"/>
        <w:rPr>
          <w:rFonts w:ascii="宋体" w:hAnsi="宋体"/>
          <w:color w:val="auto"/>
          <w:sz w:val="21"/>
          <w:szCs w:val="21"/>
          <w:highlight w:val="none"/>
        </w:rPr>
      </w:pPr>
      <w:bookmarkStart w:id="32" w:name="_Toc161933891"/>
      <w:r>
        <w:rPr>
          <w:rFonts w:hint="eastAsia" w:ascii="宋体" w:hAnsi="宋体"/>
          <w:color w:val="auto"/>
          <w:sz w:val="21"/>
          <w:szCs w:val="21"/>
          <w:highlight w:val="none"/>
        </w:rPr>
        <w:t>六、中标结果信息公布与授予合同</w:t>
      </w:r>
      <w:bookmarkEnd w:id="32"/>
    </w:p>
    <w:p w14:paraId="40B461EB">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34.中标信息的公布</w:t>
      </w:r>
    </w:p>
    <w:p w14:paraId="7277E38D">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34.1中标投标人确定后2个工作日内，采购人或者采购代理机构应将中标结果信息在</w:t>
      </w:r>
      <w:r>
        <w:rPr>
          <w:rFonts w:hint="eastAsia" w:ascii="宋体" w:hAnsi="宋体"/>
          <w:b/>
          <w:color w:val="auto"/>
          <w:sz w:val="21"/>
          <w:szCs w:val="21"/>
          <w:highlight w:val="none"/>
        </w:rPr>
        <w:t>投标须知前附表</w:t>
      </w:r>
      <w:r>
        <w:rPr>
          <w:rFonts w:hint="eastAsia" w:ascii="宋体" w:hAnsi="宋体"/>
          <w:color w:val="auto"/>
          <w:sz w:val="21"/>
          <w:szCs w:val="21"/>
          <w:highlight w:val="none"/>
        </w:rPr>
        <w:t>指定的媒体上公布。</w:t>
      </w:r>
    </w:p>
    <w:p w14:paraId="2862B81A">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35.询问及质疑</w:t>
      </w:r>
    </w:p>
    <w:p w14:paraId="3D95EB8F">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35.1投标人对采购文件提出询问或者质疑的，必须遵守政府采购的相关法规，且应提交纸质的质询或者质疑文件原件，并须附证明材料，同时说明投标人联系人、联系方式。原件需加盖投标人公章并由被授权代表签署。</w:t>
      </w:r>
    </w:p>
    <w:p w14:paraId="3E16ECA4">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36.中标通知</w:t>
      </w:r>
    </w:p>
    <w:p w14:paraId="4777094F">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36.1中标单位确定后，采购人或采购代理机构将以书面形式向中标</w:t>
      </w:r>
      <w:r>
        <w:rPr>
          <w:rFonts w:hint="eastAsia" w:ascii="宋体" w:hAnsi="宋体" w:cs="宋体"/>
          <w:color w:val="auto"/>
          <w:kern w:val="0"/>
          <w:sz w:val="21"/>
          <w:szCs w:val="21"/>
          <w:highlight w:val="none"/>
        </w:rPr>
        <w:t>单位</w:t>
      </w:r>
      <w:r>
        <w:rPr>
          <w:rFonts w:hint="eastAsia" w:ascii="宋体" w:hAnsi="宋体"/>
          <w:color w:val="auto"/>
          <w:sz w:val="21"/>
          <w:szCs w:val="21"/>
          <w:highlight w:val="none"/>
        </w:rPr>
        <w:t>发出中标通知书。中标通知书对采购人和中标单位具有同等法律效力。</w:t>
      </w:r>
    </w:p>
    <w:p w14:paraId="432829D7">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36.2 中标通知书是合同文件的组成部分。</w:t>
      </w:r>
    </w:p>
    <w:p w14:paraId="258A3E56">
      <w:pPr>
        <w:tabs>
          <w:tab w:val="left" w:pos="7560"/>
          <w:tab w:val="left" w:pos="7740"/>
          <w:tab w:val="left" w:pos="7920"/>
        </w:tabs>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s="宋体"/>
          <w:color w:val="auto"/>
          <w:kern w:val="0"/>
          <w:szCs w:val="21"/>
          <w:highlight w:val="none"/>
        </w:rPr>
        <w:t xml:space="preserve">36.3 </w:t>
      </w:r>
      <w:r>
        <w:rPr>
          <w:rFonts w:hint="eastAsia" w:ascii="宋体" w:hAnsi="宋体"/>
          <w:color w:val="auto"/>
          <w:szCs w:val="21"/>
          <w:highlight w:val="none"/>
        </w:rPr>
        <w:t>中标单位在收到采购代理机构的中标通知书后10日内，应按照</w:t>
      </w:r>
      <w:r>
        <w:rPr>
          <w:rFonts w:hint="eastAsia" w:ascii="宋体" w:hAnsi="宋体"/>
          <w:b/>
          <w:color w:val="auto"/>
          <w:szCs w:val="21"/>
          <w:highlight w:val="none"/>
        </w:rPr>
        <w:t>投标须知前附表</w:t>
      </w:r>
      <w:r>
        <w:rPr>
          <w:rFonts w:hint="eastAsia" w:ascii="宋体" w:hAnsi="宋体"/>
          <w:color w:val="auto"/>
          <w:szCs w:val="21"/>
          <w:highlight w:val="none"/>
        </w:rPr>
        <w:t>的规定，向采购人提交履约担保。</w:t>
      </w:r>
    </w:p>
    <w:p w14:paraId="2EAB25A6">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36.4 中标单位</w:t>
      </w:r>
      <w:r>
        <w:rPr>
          <w:rFonts w:hint="eastAsia" w:ascii="宋体" w:hAnsi="宋体"/>
          <w:color w:val="auto"/>
          <w:spacing w:val="4"/>
          <w:sz w:val="21"/>
          <w:szCs w:val="21"/>
          <w:highlight w:val="none"/>
        </w:rPr>
        <w:t>没有按照本章第37.3</w:t>
      </w:r>
      <w:r>
        <w:rPr>
          <w:rFonts w:hint="eastAsia" w:ascii="宋体" w:hAnsi="宋体" w:cs="宋体"/>
          <w:color w:val="auto"/>
          <w:kern w:val="0"/>
          <w:sz w:val="21"/>
          <w:szCs w:val="21"/>
          <w:highlight w:val="none"/>
          <w:lang w:val="zh-CN"/>
        </w:rPr>
        <w:t>款</w:t>
      </w:r>
      <w:r>
        <w:rPr>
          <w:rFonts w:hint="eastAsia" w:ascii="宋体" w:hAnsi="宋体"/>
          <w:color w:val="auto"/>
          <w:spacing w:val="4"/>
          <w:sz w:val="21"/>
          <w:szCs w:val="21"/>
          <w:highlight w:val="none"/>
        </w:rPr>
        <w:t>规定</w:t>
      </w:r>
      <w:r>
        <w:rPr>
          <w:rFonts w:hint="eastAsia" w:ascii="宋体" w:hAnsi="宋体"/>
          <w:color w:val="auto"/>
          <w:sz w:val="21"/>
          <w:szCs w:val="21"/>
          <w:highlight w:val="none"/>
        </w:rPr>
        <w:t>提交履约担保的</w:t>
      </w:r>
      <w:r>
        <w:rPr>
          <w:rFonts w:hint="eastAsia" w:ascii="宋体" w:hAnsi="宋体"/>
          <w:color w:val="auto"/>
          <w:spacing w:val="4"/>
          <w:sz w:val="21"/>
          <w:szCs w:val="21"/>
          <w:highlight w:val="none"/>
        </w:rPr>
        <w:t>，视为放弃</w:t>
      </w:r>
      <w:r>
        <w:rPr>
          <w:rFonts w:hint="eastAsia" w:ascii="宋体" w:hAnsi="宋体"/>
          <w:color w:val="auto"/>
          <w:sz w:val="21"/>
          <w:szCs w:val="21"/>
          <w:highlight w:val="none"/>
        </w:rPr>
        <w:t>中标资格</w:t>
      </w:r>
      <w:r>
        <w:rPr>
          <w:rFonts w:hint="eastAsia" w:ascii="宋体" w:hAnsi="宋体"/>
          <w:color w:val="auto"/>
          <w:spacing w:val="4"/>
          <w:sz w:val="21"/>
          <w:szCs w:val="21"/>
          <w:highlight w:val="none"/>
        </w:rPr>
        <w:t>，</w:t>
      </w:r>
      <w:r>
        <w:rPr>
          <w:rFonts w:hint="eastAsia" w:ascii="宋体" w:hAnsi="宋体"/>
          <w:color w:val="auto"/>
          <w:spacing w:val="2"/>
          <w:sz w:val="21"/>
          <w:szCs w:val="21"/>
          <w:highlight w:val="none"/>
        </w:rPr>
        <w:t>其投标保证金不予退还。</w:t>
      </w:r>
    </w:p>
    <w:p w14:paraId="74E7D91E">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37.签订合同</w:t>
      </w:r>
    </w:p>
    <w:p w14:paraId="5EBA54B7">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37.1 采购文件、中标单位的投标文件及其补充的投标文件等均为签订政府采购合同的依据。</w:t>
      </w:r>
    </w:p>
    <w:p w14:paraId="30CB9200">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37.2 中标单位应当在中标通知书发出之日起30日内与采购人签订政府采购合同。</w:t>
      </w:r>
    </w:p>
    <w:p w14:paraId="63B35301">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37.3 中标单位应当按照合同约定履行义务。中标单位不得向他人转让中标项目，也不得将中标项目分包后分别向他人转让。</w:t>
      </w:r>
    </w:p>
    <w:p w14:paraId="35C79904">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37.4 中标单位有下列情形之一的，责令限期改正，情节严重的，列入不良行为记录名单，在1至3年内禁止参加政府采购活动，并予以通报：</w:t>
      </w:r>
    </w:p>
    <w:p w14:paraId="103301E2">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（一）中标后无正当理由不与采购人签订合同的；</w:t>
      </w:r>
    </w:p>
    <w:p w14:paraId="42C9DB62">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（二）未按照采购文件确定的事项签订政府采购合同，或者与采购人另行订立背离合同实质性内容的协议的；</w:t>
      </w:r>
    </w:p>
    <w:p w14:paraId="18B349B5">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（三）拒绝履行合同义务的；</w:t>
      </w:r>
    </w:p>
    <w:p w14:paraId="19BC570A">
      <w:pPr>
        <w:pStyle w:val="25"/>
        <w:adjustRightInd w:val="0"/>
        <w:snapToGrid w:val="0"/>
        <w:spacing w:line="360" w:lineRule="auto"/>
        <w:ind w:firstLine="420" w:firstLineChars="200"/>
        <w:rPr>
          <w:rFonts w:ascii="宋体" w:hAnsi="宋体" w:cs="宋体"/>
          <w:color w:val="auto"/>
          <w:kern w:val="0"/>
          <w:sz w:val="21"/>
          <w:szCs w:val="21"/>
          <w:highlight w:val="none"/>
        </w:rPr>
      </w:pPr>
      <w:r>
        <w:rPr>
          <w:rFonts w:hint="eastAsia" w:ascii="宋体" w:hAnsi="宋体"/>
          <w:color w:val="auto"/>
          <w:sz w:val="21"/>
          <w:szCs w:val="21"/>
          <w:highlight w:val="none"/>
        </w:rPr>
        <w:t>（四）</w:t>
      </w:r>
      <w:r>
        <w:rPr>
          <w:rFonts w:hint="eastAsia" w:ascii="宋体" w:hAnsi="宋体" w:cs="宋体"/>
          <w:color w:val="auto"/>
          <w:kern w:val="0"/>
          <w:sz w:val="21"/>
          <w:szCs w:val="21"/>
          <w:highlight w:val="none"/>
        </w:rPr>
        <w:t>违反法律、规章、规范性文件规定的。</w:t>
      </w:r>
    </w:p>
    <w:p w14:paraId="1804C291">
      <w:pPr>
        <w:pStyle w:val="25"/>
        <w:adjustRightInd w:val="0"/>
        <w:snapToGrid w:val="0"/>
        <w:spacing w:line="360" w:lineRule="auto"/>
        <w:ind w:firstLine="422" w:firstLineChars="200"/>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38.验收</w:t>
      </w:r>
    </w:p>
    <w:p w14:paraId="5F38067B">
      <w:pPr>
        <w:pStyle w:val="25"/>
        <w:adjustRightInd w:val="0"/>
        <w:snapToGrid w:val="0"/>
        <w:spacing w:line="360" w:lineRule="auto"/>
        <w:ind w:firstLine="422" w:firstLineChars="20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w:t>
      </w:r>
      <w:r>
        <w:rPr>
          <w:rFonts w:hint="eastAsia" w:ascii="宋体" w:hAnsi="宋体" w:cs="宋体"/>
          <w:b/>
          <w:bCs/>
          <w:color w:val="auto"/>
          <w:kern w:val="0"/>
          <w:sz w:val="21"/>
          <w:szCs w:val="21"/>
          <w:highlight w:val="none"/>
          <w:lang w:val="en-US" w:eastAsia="zh-CN"/>
        </w:rPr>
        <w:t>8.1由使用科室、设备科工程师、维保工程师共同验收，并签署验收报告，</w:t>
      </w:r>
    </w:p>
    <w:p w14:paraId="661E4F3A">
      <w:pPr>
        <w:pStyle w:val="25"/>
        <w:adjustRightInd w:val="0"/>
        <w:snapToGrid w:val="0"/>
        <w:spacing w:line="360" w:lineRule="auto"/>
        <w:ind w:firstLine="422" w:firstLineChars="200"/>
        <w:rPr>
          <w:rFonts w:hint="eastAsia" w:ascii="宋体" w:hAnsi="宋体" w:eastAsia="宋体" w:cs="宋体"/>
          <w:b/>
          <w:bCs/>
          <w:color w:val="auto"/>
          <w:kern w:val="0"/>
          <w:sz w:val="21"/>
          <w:szCs w:val="21"/>
          <w:highlight w:val="none"/>
        </w:rPr>
      </w:pPr>
      <w:bookmarkStart w:id="33" w:name="_Toc425613608"/>
      <w:bookmarkStart w:id="34" w:name="_Toc161933892"/>
      <w:r>
        <w:rPr>
          <w:rFonts w:hint="eastAsia" w:ascii="宋体" w:hAnsi="宋体" w:eastAsia="宋体" w:cs="宋体"/>
          <w:b/>
          <w:bCs/>
          <w:color w:val="auto"/>
          <w:kern w:val="0"/>
          <w:sz w:val="21"/>
          <w:szCs w:val="21"/>
          <w:highlight w:val="none"/>
        </w:rPr>
        <w:t>七、</w:t>
      </w:r>
      <w:bookmarkEnd w:id="33"/>
      <w:bookmarkEnd w:id="34"/>
      <w:r>
        <w:rPr>
          <w:rFonts w:hint="eastAsia" w:ascii="宋体" w:hAnsi="宋体" w:eastAsia="宋体" w:cs="宋体"/>
          <w:b/>
          <w:bCs/>
          <w:color w:val="auto"/>
          <w:kern w:val="0"/>
          <w:sz w:val="21"/>
          <w:szCs w:val="21"/>
          <w:highlight w:val="none"/>
        </w:rPr>
        <w:t>质疑及答复</w:t>
      </w:r>
    </w:p>
    <w:p w14:paraId="61106218">
      <w:pPr>
        <w:widowControl w:val="0"/>
        <w:wordWrap/>
        <w:adjustRightInd/>
        <w:snapToGrid/>
        <w:spacing w:line="408" w:lineRule="auto"/>
        <w:ind w:firstLine="422" w:firstLineChars="200"/>
        <w:textAlignment w:val="auto"/>
        <w:rPr>
          <w:rFonts w:hint="eastAsia" w:ascii="仿宋" w:hAnsi="仿宋" w:eastAsia="仿宋" w:cs="仿宋"/>
          <w:color w:val="auto"/>
          <w:sz w:val="24"/>
          <w:szCs w:val="24"/>
          <w:highlight w:val="none"/>
        </w:rPr>
      </w:pPr>
      <w:r>
        <w:rPr>
          <w:rFonts w:hint="eastAsia" w:ascii="宋体" w:hAnsi="宋体" w:eastAsia="宋体" w:cs="宋体"/>
          <w:b/>
          <w:bCs/>
          <w:color w:val="auto"/>
          <w:kern w:val="0"/>
          <w:sz w:val="21"/>
          <w:szCs w:val="21"/>
          <w:highlight w:val="none"/>
          <w:lang w:val="en-US" w:eastAsia="zh-CN" w:bidi="ar-SA"/>
        </w:rPr>
        <w:t>39、质疑的提出</w:t>
      </w:r>
      <w:r>
        <w:rPr>
          <w:rFonts w:hint="eastAsia" w:ascii="仿宋" w:hAnsi="仿宋" w:eastAsia="仿宋" w:cs="仿宋"/>
          <w:color w:val="auto"/>
          <w:sz w:val="24"/>
          <w:szCs w:val="24"/>
          <w:highlight w:val="none"/>
        </w:rPr>
        <w:tab/>
      </w:r>
    </w:p>
    <w:p w14:paraId="6A5BF9BA">
      <w:pPr>
        <w:pStyle w:val="25"/>
        <w:adjustRightInd w:val="0"/>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39.1 本采购文件中所称质疑及答复，是指参加本次采购活动的供应商对政府采购活动中的采购文件、采购过程和中标结果向采购方提出质疑，采购方答复质疑的行为。</w:t>
      </w:r>
    </w:p>
    <w:p w14:paraId="4C74D027">
      <w:pPr>
        <w:pStyle w:val="25"/>
        <w:adjustRightInd w:val="0"/>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39.2 供应商认为采购文件、采购过程和中标结果使自己的权益受到损害的，可以在知道或者应知其权益受到损害之日起 7 个工作日内，以书面形式向采购方提出质疑。</w:t>
      </w:r>
      <w:r>
        <w:rPr>
          <w:rFonts w:hint="eastAsia" w:ascii="宋体" w:hAnsi="宋体" w:eastAsia="宋体" w:cs="Times New Roman"/>
          <w:color w:val="auto"/>
          <w:sz w:val="21"/>
          <w:szCs w:val="21"/>
          <w:highlight w:val="none"/>
          <w:lang w:val="en-US" w:eastAsia="zh-CN"/>
        </w:rPr>
        <w:t>供应商在法定质疑期内一次性提出针对同一采购程序环节的质疑。</w:t>
      </w:r>
    </w:p>
    <w:p w14:paraId="7F57A168">
      <w:pPr>
        <w:pStyle w:val="25"/>
        <w:adjustRightInd w:val="0"/>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39.2.1供应商应知其权益受到损害之日，是指：</w:t>
      </w:r>
    </w:p>
    <w:p w14:paraId="214DBD08">
      <w:pPr>
        <w:pStyle w:val="25"/>
        <w:adjustRightInd w:val="0"/>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（一）对可以质疑的采购文件提出质疑的，为收到采购文件之日或者采购文件公告期限届满之日；</w:t>
      </w:r>
    </w:p>
    <w:p w14:paraId="79B33E07">
      <w:pPr>
        <w:pStyle w:val="25"/>
        <w:adjustRightInd w:val="0"/>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（二）对采购过程提出质疑的，为各采购程序环节结束之日；</w:t>
      </w:r>
    </w:p>
    <w:p w14:paraId="12740AB4">
      <w:pPr>
        <w:pStyle w:val="25"/>
        <w:adjustRightInd w:val="0"/>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（三）对中标结果提出质疑的，为中标结果公告期限届满之日。</w:t>
      </w:r>
    </w:p>
    <w:p w14:paraId="19B4A1A1">
      <w:pPr>
        <w:pStyle w:val="25"/>
        <w:adjustRightInd w:val="0"/>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39.3 对可以质疑的采购文件提出质疑的，质疑人为参与本项目的报价方或潜在报价方。可质疑的文件为采购公告以及采购文件（包括属于其组成部分的澄清、修改、补充文件和评审标准、合同文本等）。</w:t>
      </w:r>
    </w:p>
    <w:p w14:paraId="3F41E898">
      <w:pPr>
        <w:pStyle w:val="25"/>
        <w:adjustRightInd w:val="0"/>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39.4 对采购过程和中标结果提出质疑的，质疑人为直接参与本项目的报价方。采购过程,即从采购项目信息公告发布起到中标结果公告止，包括采购文件的发出、提交投标文件、投标文件开启、评审等各个采购程序环节。</w:t>
      </w:r>
    </w:p>
    <w:p w14:paraId="3B92338C">
      <w:pPr>
        <w:pStyle w:val="25"/>
        <w:adjustRightInd w:val="0"/>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39.5   提出质疑应当符合下列条件：</w:t>
      </w:r>
    </w:p>
    <w:p w14:paraId="3CB2A5A7">
      <w:pPr>
        <w:pStyle w:val="25"/>
        <w:adjustRightInd w:val="0"/>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（一）质疑主体应当符合有关规定；</w:t>
      </w:r>
    </w:p>
    <w:p w14:paraId="47DC5170">
      <w:pPr>
        <w:pStyle w:val="25"/>
        <w:adjustRightInd w:val="0"/>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（二）在质疑法定期限内提出；</w:t>
      </w:r>
    </w:p>
    <w:p w14:paraId="6F3A16CF">
      <w:pPr>
        <w:pStyle w:val="25"/>
        <w:adjustRightInd w:val="0"/>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（三）属于可以提出质疑的政府采购事项受理范围和本项目采购人的管辖权范围；</w:t>
      </w:r>
    </w:p>
    <w:p w14:paraId="22904AFB">
      <w:pPr>
        <w:pStyle w:val="25"/>
        <w:adjustRightInd w:val="0"/>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（四）政府采购法律、法规、规章规定的其他条件。</w:t>
      </w:r>
    </w:p>
    <w:p w14:paraId="2125E142">
      <w:pPr>
        <w:pStyle w:val="25"/>
        <w:adjustRightInd w:val="0"/>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39.6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09ACA380">
      <w:pPr>
        <w:pStyle w:val="25"/>
        <w:adjustRightInd w:val="0"/>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39.7 质疑人所提供的证明材料应当具有真实性、合法性以及与质疑事项的关联性和证明力，否则不能作为认定该质疑事项成立的依据。</w:t>
      </w:r>
    </w:p>
    <w:p w14:paraId="24C7324B">
      <w:pPr>
        <w:pStyle w:val="25"/>
        <w:adjustRightInd w:val="0"/>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39.8 质疑人提出质疑时应当提交质疑函。质疑函包括下列内容：</w:t>
      </w:r>
    </w:p>
    <w:p w14:paraId="78F5AE8C">
      <w:pPr>
        <w:pStyle w:val="25"/>
        <w:adjustRightInd w:val="0"/>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（一）提出质疑的质疑人的名称、地址、邮编、联系人及联系电话等；</w:t>
      </w:r>
    </w:p>
    <w:p w14:paraId="0CD9CE6E">
      <w:pPr>
        <w:pStyle w:val="25"/>
        <w:adjustRightInd w:val="0"/>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（二）质疑项目的名称、编号；</w:t>
      </w:r>
    </w:p>
    <w:p w14:paraId="6BF64FA4">
      <w:pPr>
        <w:pStyle w:val="25"/>
        <w:adjustRightInd w:val="0"/>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（三）质疑事项；</w:t>
      </w:r>
    </w:p>
    <w:p w14:paraId="5B429A2E">
      <w:pPr>
        <w:pStyle w:val="25"/>
        <w:adjustRightInd w:val="0"/>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（四）事实依据和证明材料；</w:t>
      </w:r>
    </w:p>
    <w:p w14:paraId="7009194E">
      <w:pPr>
        <w:pStyle w:val="25"/>
        <w:adjustRightInd w:val="0"/>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（五）法律依据；</w:t>
      </w:r>
    </w:p>
    <w:p w14:paraId="697D54FC">
      <w:pPr>
        <w:pStyle w:val="25"/>
        <w:adjustRightInd w:val="0"/>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（六）提出质疑的日期。</w:t>
      </w:r>
    </w:p>
    <w:p w14:paraId="2E31FC17">
      <w:pPr>
        <w:pStyle w:val="25"/>
        <w:adjustRightInd w:val="0"/>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39.9  质疑函采用实名制。质疑人为自然人的应当由本人签字，并附有效身份证明文件；质疑人为法人或者非法人组织的应当由法定代表人或者负责人签字并加盖公章，并附有效身份证明文件。</w:t>
      </w:r>
    </w:p>
    <w:p w14:paraId="27A8A839">
      <w:pPr>
        <w:pStyle w:val="25"/>
        <w:adjustRightInd w:val="0"/>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39.10 质疑人可以委托代理人进行质疑。代理人应当提交授权委托书。授权委托书应当载明委托代理的具体权限、期限和相关事项。</w:t>
      </w:r>
    </w:p>
    <w:p w14:paraId="01EF1297">
      <w:pPr>
        <w:widowControl w:val="0"/>
        <w:wordWrap/>
        <w:adjustRightInd/>
        <w:snapToGrid/>
        <w:spacing w:line="408"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40、质疑的审查和受理</w:t>
      </w:r>
    </w:p>
    <w:p w14:paraId="662B8B16">
      <w:pPr>
        <w:widowControl w:val="0"/>
        <w:wordWrap/>
        <w:adjustRightInd/>
        <w:snapToGrid/>
        <w:spacing w:line="384"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40.1 采购方在收到质疑函后应当及时审查是否符合质疑受理条件，对符合质疑受理条件的，及时予以受理。</w:t>
      </w:r>
    </w:p>
    <w:p w14:paraId="3F5BAB80">
      <w:pPr>
        <w:widowControl w:val="0"/>
        <w:wordWrap/>
        <w:adjustRightInd/>
        <w:snapToGrid/>
        <w:spacing w:line="384"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对不符合质疑受理条件的，分别按照下列不同情形予以处理：</w:t>
      </w:r>
    </w:p>
    <w:p w14:paraId="1A445F88">
      <w:pPr>
        <w:widowControl w:val="0"/>
        <w:wordWrap/>
        <w:adjustRightInd/>
        <w:snapToGrid/>
        <w:spacing w:line="384"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（一）质疑函内容不符合规定的，告知质疑人进行修改并重新提出质疑。修改后质疑事项仍不具体、不明确或者最终递交质疑函的时间超过质疑法定期限的，不予受理；</w:t>
      </w:r>
    </w:p>
    <w:p w14:paraId="62F73375">
      <w:pPr>
        <w:widowControl w:val="0"/>
        <w:wordWrap/>
        <w:adjustRightInd/>
        <w:snapToGrid/>
        <w:spacing w:line="384"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（二）质疑主体不符合有关规定的，告知质疑人不予受理；</w:t>
      </w:r>
    </w:p>
    <w:p w14:paraId="4E4C4A85">
      <w:pPr>
        <w:widowControl w:val="0"/>
        <w:wordWrap/>
        <w:adjustRightInd/>
        <w:snapToGrid/>
        <w:spacing w:line="384"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（三）超过质疑法定期限提出质疑的，告知质疑人不予受理；</w:t>
      </w:r>
    </w:p>
    <w:p w14:paraId="39811851">
      <w:pPr>
        <w:widowControl w:val="0"/>
        <w:wordWrap/>
        <w:adjustRightInd/>
        <w:snapToGrid/>
        <w:spacing w:line="384"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（四）对不属于可以提出质疑的政府采购事项提出质疑的，告知质疑人不予受理；</w:t>
      </w:r>
    </w:p>
    <w:p w14:paraId="1EDF9259">
      <w:pPr>
        <w:widowControl w:val="0"/>
        <w:wordWrap/>
        <w:adjustRightInd/>
        <w:snapToGrid/>
        <w:spacing w:line="384"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（五）质疑不属于本项目采购方管辖的，告知质疑人向有管辖权的采购人提出质疑；</w:t>
      </w:r>
    </w:p>
    <w:p w14:paraId="47C1079C">
      <w:pPr>
        <w:widowControl w:val="0"/>
        <w:wordWrap/>
        <w:adjustRightInd/>
        <w:snapToGrid/>
        <w:spacing w:line="384"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（六）质疑不符合其他条件的，告知质疑人不予受理。</w:t>
      </w:r>
    </w:p>
    <w:p w14:paraId="40EA697A">
      <w:pPr>
        <w:widowControl w:val="0"/>
        <w:wordWrap/>
        <w:adjustRightInd/>
        <w:snapToGrid/>
        <w:spacing w:line="384"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41、质疑的处理和答复</w:t>
      </w:r>
    </w:p>
    <w:p w14:paraId="7CE000B7">
      <w:pPr>
        <w:widowControl w:val="0"/>
        <w:wordWrap/>
        <w:adjustRightInd/>
        <w:snapToGrid/>
        <w:spacing w:line="384"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41.1 </w:t>
      </w:r>
      <w:r>
        <w:rPr>
          <w:rFonts w:hint="eastAsia" w:ascii="宋体" w:hAnsi="宋体" w:eastAsia="宋体" w:cs="宋体"/>
          <w:color w:val="auto"/>
          <w:sz w:val="21"/>
          <w:szCs w:val="21"/>
          <w:highlight w:val="none"/>
          <w:lang w:val="en-US" w:eastAsia="zh-CN"/>
        </w:rPr>
        <w:t>采购人授权委托代理机构，</w:t>
      </w:r>
      <w:r>
        <w:rPr>
          <w:rFonts w:hint="eastAsia" w:ascii="宋体" w:hAnsi="宋体" w:eastAsia="宋体" w:cs="宋体"/>
          <w:color w:val="auto"/>
          <w:sz w:val="21"/>
          <w:szCs w:val="21"/>
          <w:highlight w:val="none"/>
        </w:rPr>
        <w:t>按照《政府采购质疑和投诉办法（财政部94号令）》处理及答复质疑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质疑答复内容须经采购人确认后方可予以答复</w:t>
      </w:r>
      <w:r>
        <w:rPr>
          <w:rFonts w:hint="eastAsia" w:ascii="宋体" w:hAnsi="宋体" w:eastAsia="宋体" w:cs="宋体"/>
          <w:color w:val="auto"/>
          <w:sz w:val="21"/>
          <w:szCs w:val="21"/>
          <w:highlight w:val="none"/>
        </w:rPr>
        <w:t>。</w:t>
      </w:r>
    </w:p>
    <w:p w14:paraId="1F4B9B2B">
      <w:pPr>
        <w:widowControl w:val="0"/>
        <w:wordWrap/>
        <w:adjustRightInd/>
        <w:snapToGrid/>
        <w:spacing w:line="384"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 采购方受理质疑后，将及时把质疑函</w:t>
      </w:r>
      <w:r>
        <w:rPr>
          <w:rFonts w:hint="eastAsia" w:ascii="宋体" w:hAnsi="宋体" w:eastAsia="宋体" w:cs="宋体"/>
          <w:color w:val="auto"/>
          <w:sz w:val="21"/>
          <w:szCs w:val="21"/>
          <w:highlight w:val="none"/>
          <w:lang w:val="en-US" w:eastAsia="zh-CN"/>
        </w:rPr>
        <w:t>的相关内容（非涉及商业秘密的）</w:t>
      </w:r>
      <w:r>
        <w:rPr>
          <w:rFonts w:hint="eastAsia" w:ascii="宋体" w:hAnsi="宋体" w:eastAsia="宋体" w:cs="宋体"/>
          <w:color w:val="auto"/>
          <w:sz w:val="21"/>
          <w:szCs w:val="21"/>
          <w:highlight w:val="none"/>
        </w:rPr>
        <w:t>发送给被质疑人，并要求其在一定限期</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rPr>
        <w:t>提交书面答复，同时提供有关证据、依据和相关材料。</w:t>
      </w:r>
    </w:p>
    <w:p w14:paraId="632964CD">
      <w:pPr>
        <w:widowControl w:val="0"/>
        <w:wordWrap/>
        <w:adjustRightInd/>
        <w:snapToGrid/>
        <w:spacing w:line="384"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 对于质疑事项中涉及的问题较多、情况比较复杂的，为了全面查清事实、取得充分的证据，采购方认为有必要时，可以进行调查取证或者组织质证。</w:t>
      </w:r>
    </w:p>
    <w:p w14:paraId="1EE60CCE">
      <w:pPr>
        <w:widowControl w:val="0"/>
        <w:wordWrap/>
        <w:adjustRightInd/>
        <w:snapToGrid/>
        <w:spacing w:line="384"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41.4对评审过程、中标结果提出质疑的，采购方可以组织原评审委员会协助答复质疑。</w:t>
      </w:r>
    </w:p>
    <w:p w14:paraId="73B07DAF">
      <w:pPr>
        <w:widowControl w:val="0"/>
        <w:wordWrap/>
        <w:adjustRightInd/>
        <w:snapToGrid/>
        <w:spacing w:line="384"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41.5质疑处理过程中，质疑人书面申请撤回质疑的，将终止质疑处理程序。</w:t>
      </w:r>
    </w:p>
    <w:p w14:paraId="627D2860">
      <w:pPr>
        <w:widowControl w:val="0"/>
        <w:wordWrap/>
        <w:adjustRightInd/>
        <w:snapToGrid/>
        <w:spacing w:line="384"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41.6质疑人拒绝配合采购方依法对质疑进行调查处理的，采购方将按质疑人自动撤回质疑处理；被质疑人拒绝配合采购方依法对质疑进行调查处理的，采购方将视同其认可质疑事项。</w:t>
      </w:r>
    </w:p>
    <w:p w14:paraId="736FF106">
      <w:pPr>
        <w:widowControl w:val="0"/>
        <w:wordWrap/>
        <w:adjustRightInd/>
        <w:snapToGrid/>
        <w:spacing w:line="384"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41.7 采购方将在正式受理质疑后 7 个工作日内作出答复，但处理质疑需要进行调查取证、组织专家评审、质疑人及被质疑人提交或补正材料等所需时间，不计算在质疑处理期限内。</w:t>
      </w:r>
    </w:p>
    <w:p w14:paraId="1C750DA9">
      <w:pPr>
        <w:widowControl w:val="0"/>
        <w:wordWrap/>
        <w:adjustRightInd/>
        <w:snapToGrid/>
        <w:spacing w:line="384"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41.8 采购方经调查、论证、核实，认定质疑不能成立的，继续开展采购活动；认定质疑成立的，按照以下情况处理：</w:t>
      </w:r>
    </w:p>
    <w:p w14:paraId="3A40370B">
      <w:pPr>
        <w:widowControl w:val="0"/>
        <w:wordWrap/>
        <w:adjustRightInd/>
        <w:snapToGrid/>
        <w:spacing w:line="384"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14:paraId="0D721C4D">
      <w:pPr>
        <w:widowControl w:val="0"/>
        <w:wordWrap/>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14:paraId="54D6130A">
      <w:pPr>
        <w:widowControl w:val="0"/>
        <w:wordWrap/>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41.9 采购方将书面答复质疑，质疑答复包括下列内容：</w:t>
      </w:r>
    </w:p>
    <w:p w14:paraId="2329D458">
      <w:pPr>
        <w:widowControl w:val="0"/>
        <w:wordWrap/>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（一）质疑人名称；</w:t>
      </w:r>
    </w:p>
    <w:p w14:paraId="61F43935">
      <w:pPr>
        <w:widowControl w:val="0"/>
        <w:wordWrap/>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（二）收到质疑函的日期、质疑项目名称及编号;</w:t>
      </w:r>
    </w:p>
    <w:p w14:paraId="3EDA2A65">
      <w:pPr>
        <w:widowControl w:val="0"/>
        <w:wordWrap/>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（三）质疑事项、质疑答复的具体内容、事实依据和法律依据；</w:t>
      </w:r>
    </w:p>
    <w:p w14:paraId="1DB07276">
      <w:pPr>
        <w:widowControl w:val="0"/>
        <w:wordWrap/>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（四）告知质疑人依法投诉的权利；</w:t>
      </w:r>
    </w:p>
    <w:p w14:paraId="44A740F9">
      <w:pPr>
        <w:widowControl w:val="0"/>
        <w:wordWrap/>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（五）质疑答复日期。</w:t>
      </w:r>
    </w:p>
    <w:p w14:paraId="78506D06">
      <w:pPr>
        <w:widowControl w:val="0"/>
        <w:wordWrap/>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41.10 质疑人有下列行为之一的，属于虚假、恶意质疑，将由采购方建议财政部门将其列入不良行为记录名单，禁止其 1 至 3 年内参加政府采购活动：</w:t>
      </w:r>
    </w:p>
    <w:p w14:paraId="4C34E8D3">
      <w:pPr>
        <w:widowControl w:val="0"/>
        <w:wordWrap/>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（一）受理后发现投诉不符合法定受理条件；</w:t>
      </w:r>
    </w:p>
    <w:p w14:paraId="767A4D07">
      <w:pPr>
        <w:widowControl w:val="0"/>
        <w:wordWrap/>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（二）质疑事项缺乏事实依据，质疑事项不成立；</w:t>
      </w:r>
    </w:p>
    <w:p w14:paraId="2232BCE4">
      <w:pPr>
        <w:widowControl w:val="0"/>
        <w:wordWrap/>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（三）质疑人捏造事实或者提供虚假材料；</w:t>
      </w:r>
    </w:p>
    <w:p w14:paraId="119770FE">
      <w:pPr>
        <w:widowControl w:val="0"/>
        <w:wordWrap/>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（四）质疑人以非法手段取得证明材料。证据来源的合法性存在明显疑问，质疑人无法证明其取得方式合法的，视为以非法手段取得证明材料。</w:t>
      </w:r>
    </w:p>
    <w:p w14:paraId="19B2D09C">
      <w:pPr>
        <w:widowControl w:val="0"/>
        <w:wordWrap/>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（五）法律法规规定的其他违法情形。</w:t>
      </w:r>
    </w:p>
    <w:p w14:paraId="2EA72C2F">
      <w:pPr>
        <w:spacing w:beforeAutospacing="0" w:afterAutospacing="0"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42.投诉及处理</w:t>
      </w:r>
    </w:p>
    <w:p w14:paraId="22FB92D4">
      <w:pPr>
        <w:widowControl w:val="0"/>
        <w:wordWrap/>
        <w:adjustRightInd/>
        <w:snapToGrid/>
        <w:spacing w:beforeAutospacing="0" w:afterAutospacing="0" w:line="432"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42.1</w:t>
      </w:r>
      <w:r>
        <w:rPr>
          <w:rFonts w:hint="eastAsia" w:ascii="宋体" w:hAnsi="宋体" w:eastAsia="宋体" w:cs="宋体"/>
          <w:color w:val="auto"/>
          <w:kern w:val="0"/>
          <w:sz w:val="21"/>
          <w:szCs w:val="21"/>
          <w:highlight w:val="none"/>
        </w:rPr>
        <w:t>质疑供应商对采购人、采购代理机构的答复不满意，或者采购人、采购代理机构未在规定时间内作出答复的，可以在答复期满后15个工作日内向</w:t>
      </w:r>
      <w:r>
        <w:rPr>
          <w:rFonts w:hint="eastAsia" w:ascii="宋体" w:hAnsi="宋体" w:eastAsia="宋体" w:cs="宋体"/>
          <w:color w:val="auto"/>
          <w:kern w:val="0"/>
          <w:sz w:val="21"/>
          <w:szCs w:val="21"/>
          <w:highlight w:val="none"/>
          <w:lang w:val="en-US" w:eastAsia="zh-CN"/>
        </w:rPr>
        <w:t>监督</w:t>
      </w:r>
      <w:r>
        <w:rPr>
          <w:rFonts w:hint="eastAsia" w:ascii="宋体" w:hAnsi="宋体" w:eastAsia="宋体" w:cs="宋体"/>
          <w:color w:val="auto"/>
          <w:kern w:val="0"/>
          <w:sz w:val="21"/>
          <w:szCs w:val="21"/>
          <w:highlight w:val="none"/>
        </w:rPr>
        <w:t>财政部门提起投诉。</w:t>
      </w:r>
    </w:p>
    <w:p w14:paraId="355B7136">
      <w:pPr>
        <w:widowControl w:val="0"/>
        <w:wordWrap/>
        <w:adjustRightInd/>
        <w:snapToGrid/>
        <w:spacing w:beforeAutospacing="0" w:afterAutospacing="0" w:line="432"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42.2</w:t>
      </w:r>
      <w:r>
        <w:rPr>
          <w:rFonts w:hint="eastAsia" w:ascii="宋体" w:hAnsi="宋体" w:eastAsia="宋体" w:cs="宋体"/>
          <w:color w:val="auto"/>
          <w:kern w:val="0"/>
          <w:sz w:val="21"/>
          <w:szCs w:val="21"/>
          <w:highlight w:val="none"/>
        </w:rPr>
        <w:t>投诉人投诉时,应当提交投诉书和必要的证明材料，并按照被投诉采购人、采购代理机构（以下简称被投诉人）和与投诉事项有关的供应商数量提供投诉书的副本。投诉书应当包括下列内容：</w:t>
      </w:r>
    </w:p>
    <w:p w14:paraId="0AFB7CED">
      <w:pPr>
        <w:widowControl w:val="0"/>
        <w:wordWrap/>
        <w:adjustRightInd/>
        <w:snapToGrid/>
        <w:spacing w:beforeAutospacing="0" w:afterAutospacing="0" w:line="432"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）投诉人和被投诉人的姓名或者名称、通讯地址、邮编、联系人及联系电话；</w:t>
      </w:r>
    </w:p>
    <w:p w14:paraId="55A0922A">
      <w:pPr>
        <w:widowControl w:val="0"/>
        <w:wordWrap/>
        <w:adjustRightInd/>
        <w:snapToGrid/>
        <w:spacing w:beforeAutospacing="0" w:afterAutospacing="0" w:line="432"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）质疑和质疑答复情况说明及相关证明材料；</w:t>
      </w:r>
    </w:p>
    <w:p w14:paraId="34B0FF3E">
      <w:pPr>
        <w:widowControl w:val="0"/>
        <w:wordWrap/>
        <w:adjustRightInd/>
        <w:snapToGrid/>
        <w:spacing w:beforeAutospacing="0" w:afterAutospacing="0" w:line="432"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）具体、明确的投诉事项和与投诉事项相关的投诉请求；</w:t>
      </w:r>
    </w:p>
    <w:p w14:paraId="45ABCEFF">
      <w:pPr>
        <w:widowControl w:val="0"/>
        <w:wordWrap/>
        <w:adjustRightInd/>
        <w:snapToGrid/>
        <w:spacing w:beforeAutospacing="0" w:afterAutospacing="0" w:line="432"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）事实依据；</w:t>
      </w:r>
    </w:p>
    <w:p w14:paraId="47102F66">
      <w:pPr>
        <w:widowControl w:val="0"/>
        <w:wordWrap/>
        <w:adjustRightInd/>
        <w:snapToGrid/>
        <w:spacing w:beforeAutospacing="0" w:afterAutospacing="0" w:line="432"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）法律依据；</w:t>
      </w:r>
    </w:p>
    <w:p w14:paraId="26AD4F92">
      <w:pPr>
        <w:widowControl w:val="0"/>
        <w:wordWrap/>
        <w:adjustRightInd/>
        <w:snapToGrid/>
        <w:spacing w:beforeAutospacing="0" w:afterAutospacing="0" w:line="432"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）提起投诉的日期。</w:t>
      </w:r>
    </w:p>
    <w:p w14:paraId="3C094263">
      <w:pPr>
        <w:widowControl w:val="0"/>
        <w:wordWrap/>
        <w:adjustRightInd/>
        <w:snapToGrid/>
        <w:spacing w:beforeAutospacing="0" w:afterAutospacing="0" w:line="432"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42.3</w:t>
      </w:r>
      <w:r>
        <w:rPr>
          <w:rFonts w:hint="eastAsia" w:ascii="宋体" w:hAnsi="宋体" w:eastAsia="宋体" w:cs="宋体"/>
          <w:color w:val="auto"/>
          <w:kern w:val="0"/>
          <w:sz w:val="21"/>
          <w:szCs w:val="21"/>
          <w:highlight w:val="none"/>
        </w:rPr>
        <w:t>投诉人为自然人的，应当由本人签字；投诉人为法人或者其他组织的，应当由法定代表人、主要负责人，或者其授权代表签字或者盖章，并加盖公章。</w:t>
      </w:r>
    </w:p>
    <w:p w14:paraId="6992BB5A">
      <w:pPr>
        <w:widowControl w:val="0"/>
        <w:wordWrap/>
        <w:adjustRightInd/>
        <w:snapToGrid/>
        <w:spacing w:beforeAutospacing="0" w:afterAutospacing="0" w:line="432"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42.4</w:t>
      </w:r>
      <w:r>
        <w:rPr>
          <w:rFonts w:hint="eastAsia" w:ascii="宋体" w:hAnsi="宋体" w:eastAsia="宋体" w:cs="宋体"/>
          <w:color w:val="auto"/>
          <w:kern w:val="0"/>
          <w:sz w:val="21"/>
          <w:szCs w:val="21"/>
          <w:highlight w:val="none"/>
        </w:rPr>
        <w:t>投诉人应当根据规定的信息内容，并按照规定的方式提起投诉。</w:t>
      </w:r>
    </w:p>
    <w:p w14:paraId="4E9EB7BA">
      <w:pPr>
        <w:widowControl w:val="0"/>
        <w:wordWrap/>
        <w:adjustRightInd/>
        <w:snapToGrid/>
        <w:spacing w:beforeAutospacing="0" w:afterAutospacing="0" w:line="432" w:lineRule="auto"/>
        <w:ind w:firstLine="210" w:firstLineChars="1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r>
        <w:rPr>
          <w:rFonts w:hint="eastAsia" w:ascii="宋体" w:hAnsi="宋体" w:eastAsia="宋体" w:cs="宋体"/>
          <w:color w:val="auto"/>
          <w:kern w:val="0"/>
          <w:sz w:val="21"/>
          <w:szCs w:val="21"/>
          <w:highlight w:val="none"/>
          <w:lang w:val="en-US" w:eastAsia="zh-CN"/>
        </w:rPr>
        <w:t>42.5</w:t>
      </w:r>
      <w:r>
        <w:rPr>
          <w:rFonts w:hint="eastAsia" w:ascii="宋体" w:hAnsi="宋体" w:eastAsia="宋体" w:cs="宋体"/>
          <w:color w:val="auto"/>
          <w:kern w:val="0"/>
          <w:sz w:val="21"/>
          <w:szCs w:val="21"/>
          <w:highlight w:val="none"/>
        </w:rPr>
        <w:t>投诉人提起投诉应当符合下列条件：</w:t>
      </w:r>
    </w:p>
    <w:p w14:paraId="4F924CFB">
      <w:pPr>
        <w:widowControl w:val="0"/>
        <w:wordWrap/>
        <w:adjustRightInd/>
        <w:snapToGrid/>
        <w:spacing w:beforeAutospacing="0" w:afterAutospacing="0" w:line="432"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）提起投诉前已依法进行质疑；</w:t>
      </w:r>
    </w:p>
    <w:p w14:paraId="79532943">
      <w:pPr>
        <w:widowControl w:val="0"/>
        <w:wordWrap/>
        <w:adjustRightInd/>
        <w:snapToGrid/>
        <w:spacing w:beforeAutospacing="0" w:afterAutospacing="0" w:line="432"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）投诉书内容符合本办法的规定；</w:t>
      </w:r>
    </w:p>
    <w:p w14:paraId="74A72062">
      <w:pPr>
        <w:widowControl w:val="0"/>
        <w:wordWrap/>
        <w:adjustRightInd/>
        <w:snapToGrid/>
        <w:spacing w:beforeAutospacing="0" w:afterAutospacing="0" w:line="432"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）在投诉有效期限内提起投诉；</w:t>
      </w:r>
    </w:p>
    <w:p w14:paraId="2D19DFA0">
      <w:pPr>
        <w:widowControl w:val="0"/>
        <w:wordWrap/>
        <w:adjustRightInd/>
        <w:snapToGrid/>
        <w:spacing w:beforeAutospacing="0" w:afterAutospacing="0" w:line="432"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）同一投诉事项未经财政部门投诉处理；</w:t>
      </w:r>
    </w:p>
    <w:p w14:paraId="21C79413">
      <w:pPr>
        <w:widowControl w:val="0"/>
        <w:wordWrap/>
        <w:adjustRightInd/>
        <w:snapToGrid/>
        <w:spacing w:beforeAutospacing="0" w:afterAutospacing="0" w:line="432"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）财政部规定的其他条件。</w:t>
      </w:r>
    </w:p>
    <w:p w14:paraId="22001D57">
      <w:pPr>
        <w:widowControl w:val="0"/>
        <w:wordWrap/>
        <w:adjustRightInd/>
        <w:snapToGrid/>
        <w:spacing w:beforeAutospacing="0" w:afterAutospacing="0" w:line="432" w:lineRule="auto"/>
        <w:ind w:firstLine="420" w:firstLineChars="200"/>
        <w:textAlignment w:val="auto"/>
        <w:rPr>
          <w:rFonts w:hint="eastAsia" w:ascii="宋体" w:hAnsi="宋体" w:eastAsia="宋体" w:cs="宋体"/>
          <w:color w:val="auto"/>
          <w:sz w:val="21"/>
          <w:szCs w:val="21"/>
          <w:highlight w:val="none"/>
        </w:rPr>
        <w:sectPr>
          <w:footerReference r:id="rId6" w:type="default"/>
          <w:type w:val="continuous"/>
          <w:pgSz w:w="11906" w:h="16838"/>
          <w:pgMar w:top="1270" w:right="1080" w:bottom="1270" w:left="108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宋体" w:hAnsi="宋体" w:eastAsia="宋体" w:cs="宋体"/>
          <w:color w:val="auto"/>
          <w:kern w:val="0"/>
          <w:sz w:val="21"/>
          <w:szCs w:val="21"/>
          <w:highlight w:val="none"/>
          <w:lang w:val="en-US" w:eastAsia="zh-CN"/>
        </w:rPr>
        <w:t>42.6</w:t>
      </w:r>
      <w:r>
        <w:rPr>
          <w:rFonts w:hint="eastAsia" w:ascii="宋体" w:hAnsi="宋体" w:eastAsia="宋体" w:cs="宋体"/>
          <w:color w:val="auto"/>
          <w:kern w:val="0"/>
          <w:sz w:val="21"/>
          <w:szCs w:val="21"/>
          <w:highlight w:val="none"/>
        </w:rPr>
        <w:t>供应商投诉的事项不得超出已质疑事项的范围，但基于质疑答复内容提出的投诉事项除外</w:t>
      </w:r>
    </w:p>
    <w:p w14:paraId="0B54AEA8">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lang w:val="en-US" w:eastAsia="zh-CN"/>
        </w:rPr>
        <w:t>43</w:t>
      </w:r>
      <w:r>
        <w:rPr>
          <w:rFonts w:hint="eastAsia" w:ascii="宋体" w:hAnsi="宋体"/>
          <w:b/>
          <w:color w:val="auto"/>
          <w:szCs w:val="21"/>
          <w:highlight w:val="none"/>
        </w:rPr>
        <w:t>.采购代理服务费</w:t>
      </w:r>
    </w:p>
    <w:p w14:paraId="42B6B7F9">
      <w:pPr>
        <w:tabs>
          <w:tab w:val="left" w:pos="420"/>
          <w:tab w:val="left" w:pos="7560"/>
          <w:tab w:val="left" w:pos="7740"/>
          <w:tab w:val="left" w:pos="7920"/>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43</w:t>
      </w:r>
      <w:r>
        <w:rPr>
          <w:rFonts w:hint="eastAsia" w:ascii="宋体" w:hAnsi="宋体"/>
          <w:color w:val="auto"/>
          <w:szCs w:val="21"/>
          <w:highlight w:val="none"/>
        </w:rPr>
        <w:t>.1采购代理机构应按</w:t>
      </w:r>
      <w:r>
        <w:rPr>
          <w:rFonts w:hint="eastAsia" w:ascii="宋体" w:hAnsi="宋体"/>
          <w:b/>
          <w:color w:val="auto"/>
          <w:szCs w:val="21"/>
          <w:highlight w:val="none"/>
        </w:rPr>
        <w:t>投标须知前附表</w:t>
      </w:r>
      <w:r>
        <w:rPr>
          <w:rFonts w:hint="eastAsia" w:ascii="宋体" w:hAnsi="宋体"/>
          <w:color w:val="auto"/>
          <w:szCs w:val="21"/>
          <w:highlight w:val="none"/>
        </w:rPr>
        <w:t>规定收取采购代理服务费。</w:t>
      </w:r>
    </w:p>
    <w:p w14:paraId="3F9028DF">
      <w:pPr>
        <w:tabs>
          <w:tab w:val="left" w:pos="420"/>
          <w:tab w:val="left" w:pos="7560"/>
          <w:tab w:val="left" w:pos="7740"/>
          <w:tab w:val="left" w:pos="7920"/>
        </w:tabs>
        <w:adjustRightInd w:val="0"/>
        <w:snapToGrid w:val="0"/>
        <w:spacing w:line="360" w:lineRule="auto"/>
        <w:rPr>
          <w:rFonts w:ascii="宋体" w:hAnsi="宋体"/>
          <w:b/>
          <w:color w:val="auto"/>
          <w:szCs w:val="21"/>
          <w:highlight w:val="none"/>
        </w:rPr>
      </w:pPr>
      <w:r>
        <w:rPr>
          <w:rFonts w:hint="eastAsia" w:ascii="宋体" w:hAnsi="宋体"/>
          <w:b/>
          <w:color w:val="auto"/>
          <w:szCs w:val="21"/>
          <w:highlight w:val="none"/>
          <w:lang w:val="en-US" w:eastAsia="zh-CN"/>
        </w:rPr>
        <w:t>44</w:t>
      </w:r>
      <w:r>
        <w:rPr>
          <w:rFonts w:hint="eastAsia" w:ascii="宋体" w:hAnsi="宋体"/>
          <w:b/>
          <w:color w:val="auto"/>
          <w:szCs w:val="21"/>
          <w:highlight w:val="none"/>
        </w:rPr>
        <w:t>. 其他规定</w:t>
      </w:r>
    </w:p>
    <w:p w14:paraId="62027BC7">
      <w:pPr>
        <w:spacing w:line="360" w:lineRule="auto"/>
        <w:ind w:firstLine="420" w:firstLineChars="200"/>
        <w:rPr>
          <w:b/>
          <w:bCs/>
          <w:color w:val="auto"/>
          <w:sz w:val="28"/>
          <w:szCs w:val="20"/>
          <w:highlight w:val="none"/>
        </w:rPr>
      </w:pPr>
      <w:r>
        <w:rPr>
          <w:rFonts w:hint="eastAsia" w:ascii="宋体" w:hAnsi="宋体"/>
          <w:color w:val="auto"/>
          <w:szCs w:val="21"/>
          <w:highlight w:val="none"/>
          <w:lang w:val="en-US" w:eastAsia="zh-CN"/>
        </w:rPr>
        <w:t>44</w:t>
      </w:r>
      <w:r>
        <w:rPr>
          <w:rFonts w:hint="eastAsia" w:ascii="宋体" w:hAnsi="宋体"/>
          <w:color w:val="auto"/>
          <w:szCs w:val="21"/>
          <w:highlight w:val="none"/>
        </w:rPr>
        <w:t>.1采购文件的其他规定见</w:t>
      </w:r>
      <w:r>
        <w:rPr>
          <w:rFonts w:hint="eastAsia" w:ascii="宋体" w:hAnsi="宋体"/>
          <w:b/>
          <w:color w:val="auto"/>
          <w:szCs w:val="21"/>
          <w:highlight w:val="none"/>
        </w:rPr>
        <w:t>投标须知前附表</w:t>
      </w:r>
      <w:r>
        <w:rPr>
          <w:rFonts w:hint="eastAsia" w:ascii="宋体" w:hAnsi="宋体"/>
          <w:color w:val="auto"/>
          <w:szCs w:val="21"/>
          <w:highlight w:val="none"/>
        </w:rPr>
        <w:t>。</w:t>
      </w:r>
      <w:bookmarkStart w:id="35" w:name="_Toc433113176"/>
      <w:bookmarkStart w:id="36" w:name="_Toc420948016"/>
      <w:r>
        <w:rPr>
          <w:color w:val="auto"/>
          <w:highlight w:val="none"/>
        </w:rPr>
        <w:br w:type="page"/>
      </w:r>
    </w:p>
    <w:p w14:paraId="58C7D913">
      <w:pPr>
        <w:pStyle w:val="2"/>
        <w:rPr>
          <w:color w:val="auto"/>
          <w:highlight w:val="none"/>
        </w:rPr>
      </w:pPr>
      <w:bookmarkStart w:id="37" w:name="_Toc161933893"/>
      <w:r>
        <w:rPr>
          <w:rFonts w:hint="eastAsia"/>
          <w:color w:val="auto"/>
          <w:highlight w:val="none"/>
        </w:rPr>
        <w:t xml:space="preserve">第三章  </w:t>
      </w:r>
      <w:bookmarkEnd w:id="35"/>
      <w:bookmarkEnd w:id="36"/>
      <w:r>
        <w:rPr>
          <w:rFonts w:hint="eastAsia"/>
          <w:color w:val="auto"/>
          <w:highlight w:val="none"/>
        </w:rPr>
        <w:t>合同协议书</w:t>
      </w:r>
      <w:bookmarkEnd w:id="37"/>
      <w:bookmarkStart w:id="38" w:name="_Toc420948017"/>
      <w:bookmarkStart w:id="39" w:name="_Toc433187361"/>
    </w:p>
    <w:p w14:paraId="119BEEDB">
      <w:pPr>
        <w:spacing w:line="440" w:lineRule="exact"/>
        <w:ind w:firstLine="442" w:firstLineChars="200"/>
        <w:jc w:val="center"/>
        <w:rPr>
          <w:b/>
          <w:color w:val="auto"/>
          <w:sz w:val="22"/>
          <w:szCs w:val="22"/>
          <w:highlight w:val="none"/>
        </w:rPr>
      </w:pPr>
      <w:bookmarkStart w:id="40" w:name="_Toc420948020"/>
      <w:bookmarkStart w:id="41" w:name="_Toc446500166"/>
      <w:r>
        <w:rPr>
          <w:rFonts w:hint="eastAsia"/>
          <w:b/>
          <w:color w:val="auto"/>
          <w:sz w:val="22"/>
          <w:szCs w:val="22"/>
          <w:highlight w:val="none"/>
        </w:rPr>
        <w:t>（本合同仅供参考，具体以实际签订的为准）</w:t>
      </w:r>
    </w:p>
    <w:bookmarkEnd w:id="40"/>
    <w:bookmarkEnd w:id="41"/>
    <w:p w14:paraId="5978B352">
      <w:pPr>
        <w:spacing w:line="360" w:lineRule="auto"/>
        <w:ind w:left="178" w:leftChars="85"/>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技 术 服 务 合 同</w:t>
      </w:r>
    </w:p>
    <w:p w14:paraId="47AA53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甲方（技术服务接受方）：</w:t>
      </w:r>
      <w:r>
        <w:rPr>
          <w:rFonts w:hint="eastAsia" w:ascii="宋体" w:hAnsi="宋体" w:eastAsia="宋体" w:cs="宋体"/>
          <w:color w:val="auto"/>
          <w:sz w:val="21"/>
          <w:szCs w:val="21"/>
          <w:highlight w:val="none"/>
          <w:u w:val="single"/>
          <w:lang w:val="en-US" w:eastAsia="zh-CN"/>
        </w:rPr>
        <w:t xml:space="preserve">                </w:t>
      </w:r>
    </w:p>
    <w:p w14:paraId="247B63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14:paraId="69C0B1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乙方（技术服务提供方）：</w:t>
      </w:r>
      <w:r>
        <w:rPr>
          <w:rFonts w:hint="eastAsia" w:ascii="宋体" w:hAnsi="宋体" w:eastAsia="宋体" w:cs="宋体"/>
          <w:color w:val="auto"/>
          <w:sz w:val="21"/>
          <w:szCs w:val="21"/>
          <w:highlight w:val="none"/>
          <w:u w:val="single"/>
          <w:lang w:val="en-US" w:eastAsia="zh-CN"/>
        </w:rPr>
        <w:t xml:space="preserve">                </w:t>
      </w:r>
    </w:p>
    <w:p w14:paraId="3F70B3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14:paraId="513C5E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根据《中华人民共和国合同法》的有关规定，甲乙双方经协商一致，就甲方委托乙方提供技术服务事宜，达成如下协议：</w:t>
      </w:r>
    </w:p>
    <w:p w14:paraId="294444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一、技术服务内容：</w:t>
      </w:r>
    </w:p>
    <w:p w14:paraId="1C8137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乙方为甲方提供的技术服务内容为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3A7151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二、技术服务期限：</w:t>
      </w:r>
    </w:p>
    <w:p w14:paraId="2C2C52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本合同的技术服务期限自</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日起至</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日止。</w:t>
      </w:r>
    </w:p>
    <w:p w14:paraId="2CC329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三、技术服务费用：</w:t>
      </w:r>
    </w:p>
    <w:p w14:paraId="57B828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 本合同的技术服务费用总额为人民币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元，这笔费用将用于支付与合同相关的技术服务活动。具体的支付方式是分期付款，每月支付一次，由甲方在每月的第一天通过</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向乙方支付应支付的款项。双方将根据本合同约定的支付时间和方式，对支付的金额和支付时间进行核对，确保双方权益得到保障。</w:t>
      </w:r>
    </w:p>
    <w:p w14:paraId="629AA6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3.2 在合同生效后，乙方应当在五日内向甲方开具等额的技术服务费用发票。甲方应在收到发票后十日内通过银行转账方式支付技术服务费用。甲方支付的技术服务费用应当以人民币支付。同时，乙方有权根据实际情况收取合同金额的一定比例作为技术服务费用的折扣。具体支付方式为银行转账。</w:t>
      </w:r>
    </w:p>
    <w:p w14:paraId="50A805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四、双方权利和义务：</w:t>
      </w:r>
    </w:p>
    <w:p w14:paraId="25E6FA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 甲方应按照约定向乙方支付技术服务费用。</w:t>
      </w:r>
    </w:p>
    <w:p w14:paraId="4CD679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 乙方应按照约定向甲方提供技术服务，并保证提供的技术服务质量。</w:t>
      </w:r>
    </w:p>
    <w:p w14:paraId="6E32FD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 乙方应保守甲方的商业秘密和技术秘密。</w:t>
      </w:r>
    </w:p>
    <w:p w14:paraId="1962F9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4.4 乙方应承担由于其提供的技术服务而引发的纠纷和法律责任，并及时采取必要的补救措施。</w:t>
      </w:r>
    </w:p>
    <w:p w14:paraId="362E29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4.5 乙方应协助甲方确保其核心技术和信息的安全，采取必要的技术措施防止数据泄露、篡改和非法使用。</w:t>
      </w:r>
    </w:p>
    <w:p w14:paraId="77EE1B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4.6 如乙方在履行约定过程中违反了本协议的任何条款，甲方有权终止本协议并要求乙方赔偿由此产生的损失。</w:t>
      </w:r>
    </w:p>
    <w:p w14:paraId="5EA4AE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五、违约责任：</w:t>
      </w:r>
    </w:p>
    <w:p w14:paraId="62A608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如果甲方未按照约定向乙方支付技术服务费用，乙方有权要求甲方支付欠款并支付滞纳金。</w:t>
      </w:r>
    </w:p>
    <w:p w14:paraId="6E092D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 如果乙方提供的技术服务质量不符合约定，甲方有权要求乙方进行维修或者重新提供技术服务。</w:t>
      </w:r>
    </w:p>
    <w:p w14:paraId="105E3D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5.3 如果因乙方提供的技术服务造成甲方的损失，乙方应当承担赔偿责任。赔偿金额以乙方造成甲方的实际损失为准。</w:t>
      </w:r>
    </w:p>
    <w:p w14:paraId="226818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5.4 甲方在乙方提供技术服务期间，应按照乙方的要求，提供相应的技术资料或者协助乙方进行技术服务。如甲方未按照约定提供，则视为甲方违约，乙方有权要求甲方支付未提供的技术资料的费用。</w:t>
      </w:r>
    </w:p>
    <w:p w14:paraId="367281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5.5 乙方应当在约定的时间内完成技术服务。如因乙方的原因导致技术服务不能在约定的时间内完成，甲方有权要求乙方赔偿因此产生的损失，并按照约定的违约金额支付违约金。</w:t>
      </w:r>
    </w:p>
    <w:p w14:paraId="350BBF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5.6 若双方因本协议的履行发生争议，双方应首先尝试友好协商解决。如协商不成，可提交至签约地的仲裁机构进行仲裁或提交至签约地的人民法院进行诉讼。</w:t>
      </w:r>
    </w:p>
    <w:p w14:paraId="76FF16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六、争议解决：</w:t>
      </w:r>
    </w:p>
    <w:p w14:paraId="5AA0B4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 如果双方在履行本合同过程中发生争议，应首先通过友好协商解决。</w:t>
      </w:r>
    </w:p>
    <w:p w14:paraId="56C5C5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 如果协商不成，任何一方均可向乙方所在地人民法院提起诉讼。</w:t>
      </w:r>
    </w:p>
    <w:p w14:paraId="33CA7B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七、其他约定：</w:t>
      </w:r>
    </w:p>
    <w:p w14:paraId="053138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 本合同自双方签字或盖章之日起生效。</w:t>
      </w:r>
    </w:p>
    <w:p w14:paraId="428D31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 本合同一式两份，甲乙双方各执一份。</w:t>
      </w:r>
    </w:p>
    <w:p w14:paraId="76C7B3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14:paraId="02DD63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甲方（签章）：</w:t>
      </w:r>
      <w:r>
        <w:rPr>
          <w:rFonts w:hint="eastAsia" w:ascii="宋体" w:hAnsi="宋体" w:eastAsia="宋体" w:cs="宋体"/>
          <w:color w:val="auto"/>
          <w:sz w:val="21"/>
          <w:szCs w:val="21"/>
          <w:highlight w:val="none"/>
          <w:u w:val="single"/>
          <w:lang w:val="en-US" w:eastAsia="zh-CN"/>
        </w:rPr>
        <w:t xml:space="preserve">                </w:t>
      </w:r>
    </w:p>
    <w:p w14:paraId="40B622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乙方（签章）：</w:t>
      </w:r>
      <w:r>
        <w:rPr>
          <w:rFonts w:hint="eastAsia" w:ascii="宋体" w:hAnsi="宋体" w:eastAsia="宋体" w:cs="宋体"/>
          <w:color w:val="auto"/>
          <w:sz w:val="21"/>
          <w:szCs w:val="21"/>
          <w:highlight w:val="none"/>
          <w:u w:val="single"/>
          <w:lang w:val="en-US" w:eastAsia="zh-CN"/>
        </w:rPr>
        <w:t xml:space="preserve">                </w:t>
      </w:r>
    </w:p>
    <w:p w14:paraId="4A13C9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lang w:val="en-US" w:eastAsia="zh-CN"/>
        </w:rPr>
        <w:t xml:space="preserve">                </w:t>
      </w:r>
    </w:p>
    <w:p w14:paraId="173C236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p>
    <w:bookmarkEnd w:id="38"/>
    <w:bookmarkEnd w:id="39"/>
    <w:p w14:paraId="3EA3A567">
      <w:pPr>
        <w:rPr>
          <w:rFonts w:hint="eastAsia"/>
          <w:color w:val="auto"/>
          <w:highlight w:val="none"/>
        </w:rPr>
      </w:pPr>
      <w:bookmarkStart w:id="42" w:name="_Toc12906820"/>
      <w:bookmarkStart w:id="43" w:name="_Toc161933894"/>
      <w:bookmarkStart w:id="44" w:name="_Toc420948022"/>
      <w:bookmarkStart w:id="45" w:name="_Toc433113178"/>
      <w:r>
        <w:rPr>
          <w:rFonts w:hint="eastAsia"/>
          <w:color w:val="auto"/>
          <w:highlight w:val="none"/>
        </w:rPr>
        <w:br w:type="page"/>
      </w:r>
    </w:p>
    <w:p w14:paraId="33295090">
      <w:pPr>
        <w:pStyle w:val="2"/>
        <w:rPr>
          <w:rFonts w:hint="eastAsia"/>
          <w:color w:val="auto"/>
          <w:highlight w:val="none"/>
        </w:rPr>
      </w:pPr>
      <w:r>
        <w:rPr>
          <w:rFonts w:hint="eastAsia"/>
          <w:color w:val="auto"/>
          <w:highlight w:val="none"/>
        </w:rPr>
        <w:t>第四章  采购需求</w:t>
      </w:r>
      <w:bookmarkEnd w:id="42"/>
      <w:bookmarkEnd w:id="43"/>
    </w:p>
    <w:p w14:paraId="7FD3DBBB">
      <w:pPr>
        <w:rPr>
          <w:rFonts w:hint="eastAsia" w:eastAsia="宋体"/>
          <w:highlight w:val="none"/>
          <w:lang w:eastAsia="zh-CN"/>
        </w:rPr>
      </w:pPr>
      <w:r>
        <w:rPr>
          <w:rFonts w:hint="eastAsia"/>
          <w:highlight w:val="none"/>
          <w:lang w:eastAsia="zh-CN"/>
        </w:rPr>
        <w:t>标项一：</w:t>
      </w:r>
    </w:p>
    <w:p w14:paraId="281ECC47">
      <w:pPr>
        <w:pStyle w:val="46"/>
        <w:rPr>
          <w:color w:val="auto"/>
          <w:highlight w:val="none"/>
        </w:rPr>
      </w:pPr>
    </w:p>
    <w:tbl>
      <w:tblPr>
        <w:tblStyle w:val="4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7645"/>
      </w:tblGrid>
      <w:tr w14:paraId="74732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77" w:type="dxa"/>
            <w:noWrap/>
            <w:vAlign w:val="center"/>
          </w:tcPr>
          <w:p w14:paraId="20FB4273">
            <w:pPr>
              <w:numPr>
                <w:ilvl w:val="0"/>
                <w:numId w:val="3"/>
              </w:numPr>
              <w:ind w:left="425" w:leftChars="0" w:hanging="425" w:firstLineChars="0"/>
              <w:jc w:val="right"/>
              <w:rPr>
                <w:rFonts w:hint="eastAsia" w:ascii="宋体" w:hAnsi="宋体" w:eastAsia="宋体" w:cs="宋体"/>
                <w:b/>
                <w:color w:val="000000"/>
                <w:sz w:val="24"/>
                <w:szCs w:val="24"/>
                <w:highlight w:val="none"/>
              </w:rPr>
            </w:pPr>
          </w:p>
        </w:tc>
        <w:tc>
          <w:tcPr>
            <w:tcW w:w="7645" w:type="dxa"/>
            <w:noWrap/>
            <w:vAlign w:val="center"/>
          </w:tcPr>
          <w:p w14:paraId="7BE3837C">
            <w:pP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维保范围：球管（原厂全新、不限数量更换）</w:t>
            </w:r>
          </w:p>
        </w:tc>
      </w:tr>
      <w:tr w14:paraId="795D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877" w:type="dxa"/>
            <w:noWrap/>
            <w:vAlign w:val="center"/>
          </w:tcPr>
          <w:p w14:paraId="3C7DF025">
            <w:pPr>
              <w:numPr>
                <w:ilvl w:val="0"/>
                <w:numId w:val="3"/>
              </w:numPr>
              <w:ind w:left="425" w:leftChars="0" w:hanging="425" w:firstLineChars="0"/>
              <w:jc w:val="righ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w:t>
            </w:r>
          </w:p>
        </w:tc>
        <w:tc>
          <w:tcPr>
            <w:tcW w:w="7645" w:type="dxa"/>
            <w:noWrap/>
            <w:vAlign w:val="center"/>
          </w:tcPr>
          <w:p w14:paraId="387E6A21">
            <w:pPr>
              <w:rPr>
                <w:rFonts w:hint="eastAsia" w:ascii="宋体" w:hAnsi="宋体" w:eastAsia="宋体" w:cs="宋体"/>
                <w:sz w:val="24"/>
                <w:szCs w:val="24"/>
                <w:highlight w:val="none"/>
              </w:rPr>
            </w:pPr>
            <w:r>
              <w:rPr>
                <w:rFonts w:hint="eastAsia" w:ascii="宋体" w:hAnsi="宋体" w:eastAsia="宋体" w:cs="宋体"/>
                <w:sz w:val="24"/>
                <w:szCs w:val="24"/>
                <w:highlight w:val="none"/>
              </w:rPr>
              <w:t>提供投标型号球管的原版技术白皮书（DATA SHEET），且以下球管应标参数均以此技术白皮书为准</w:t>
            </w:r>
          </w:p>
        </w:tc>
      </w:tr>
      <w:tr w14:paraId="29F8E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77" w:type="dxa"/>
            <w:noWrap/>
            <w:vAlign w:val="center"/>
          </w:tcPr>
          <w:p w14:paraId="170966F1">
            <w:pPr>
              <w:numPr>
                <w:ilvl w:val="0"/>
                <w:numId w:val="3"/>
              </w:numPr>
              <w:ind w:left="425" w:leftChars="0" w:hanging="425" w:firstLineChars="0"/>
              <w:jc w:val="righ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w:t>
            </w:r>
          </w:p>
        </w:tc>
        <w:tc>
          <w:tcPr>
            <w:tcW w:w="7645" w:type="dxa"/>
            <w:noWrap/>
            <w:vAlign w:val="center"/>
          </w:tcPr>
          <w:p w14:paraId="5EB0BBB7">
            <w:pPr>
              <w:rPr>
                <w:rFonts w:hint="eastAsia" w:ascii="宋体" w:hAnsi="宋体" w:eastAsia="宋体" w:cs="宋体"/>
                <w:sz w:val="24"/>
                <w:szCs w:val="24"/>
                <w:highlight w:val="none"/>
              </w:rPr>
            </w:pPr>
            <w:r>
              <w:rPr>
                <w:rFonts w:hint="eastAsia" w:ascii="宋体" w:hAnsi="宋体" w:eastAsia="宋体" w:cs="宋体"/>
                <w:sz w:val="24"/>
                <w:szCs w:val="24"/>
                <w:highlight w:val="none"/>
              </w:rPr>
              <w:t>阳极热容量：5.7MJ</w:t>
            </w:r>
          </w:p>
        </w:tc>
      </w:tr>
      <w:tr w14:paraId="2EB3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77" w:type="dxa"/>
            <w:noWrap/>
            <w:vAlign w:val="center"/>
          </w:tcPr>
          <w:p w14:paraId="5CE5A64A">
            <w:pPr>
              <w:numPr>
                <w:ilvl w:val="0"/>
                <w:numId w:val="3"/>
              </w:numPr>
              <w:ind w:left="425" w:leftChars="0" w:hanging="425" w:firstLineChars="0"/>
              <w:jc w:val="righ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w:t>
            </w:r>
          </w:p>
        </w:tc>
        <w:tc>
          <w:tcPr>
            <w:tcW w:w="7645" w:type="dxa"/>
            <w:noWrap/>
            <w:vAlign w:val="center"/>
          </w:tcPr>
          <w:p w14:paraId="7B8E1EAD">
            <w:pPr>
              <w:rPr>
                <w:rFonts w:hint="eastAsia" w:ascii="宋体" w:hAnsi="宋体" w:eastAsia="宋体" w:cs="宋体"/>
                <w:sz w:val="24"/>
                <w:szCs w:val="24"/>
                <w:highlight w:val="none"/>
              </w:rPr>
            </w:pPr>
            <w:r>
              <w:rPr>
                <w:rFonts w:hint="eastAsia" w:ascii="宋体" w:hAnsi="宋体" w:eastAsia="宋体" w:cs="宋体"/>
                <w:sz w:val="24"/>
                <w:szCs w:val="24"/>
                <w:highlight w:val="none"/>
              </w:rPr>
              <w:t>焦点数量：≥两个</w:t>
            </w:r>
          </w:p>
        </w:tc>
      </w:tr>
      <w:tr w14:paraId="11B3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77" w:type="dxa"/>
            <w:noWrap/>
            <w:vAlign w:val="center"/>
          </w:tcPr>
          <w:p w14:paraId="704FE77F">
            <w:pPr>
              <w:numPr>
                <w:ilvl w:val="0"/>
                <w:numId w:val="3"/>
              </w:numPr>
              <w:ind w:left="425" w:leftChars="0" w:hanging="425" w:firstLineChars="0"/>
              <w:jc w:val="right"/>
              <w:rPr>
                <w:rFonts w:hint="eastAsia" w:ascii="宋体" w:hAnsi="宋体" w:eastAsia="宋体" w:cs="宋体"/>
                <w:sz w:val="24"/>
                <w:szCs w:val="24"/>
                <w:highlight w:val="none"/>
              </w:rPr>
            </w:pPr>
          </w:p>
        </w:tc>
        <w:tc>
          <w:tcPr>
            <w:tcW w:w="7645" w:type="dxa"/>
            <w:noWrap/>
            <w:vAlign w:val="center"/>
          </w:tcPr>
          <w:p w14:paraId="1907B752">
            <w:pPr>
              <w:rPr>
                <w:rFonts w:hint="eastAsia" w:ascii="宋体" w:hAnsi="宋体" w:eastAsia="宋体" w:cs="宋体"/>
                <w:sz w:val="24"/>
                <w:szCs w:val="24"/>
                <w:highlight w:val="none"/>
              </w:rPr>
            </w:pPr>
            <w:r>
              <w:rPr>
                <w:rFonts w:hint="eastAsia" w:ascii="宋体" w:hAnsi="宋体" w:eastAsia="宋体" w:cs="宋体"/>
                <w:sz w:val="24"/>
                <w:szCs w:val="24"/>
                <w:highlight w:val="none"/>
              </w:rPr>
              <w:t>小焦点（per IEC 60336/2005 ）≤1.0mm x 0.7 mm</w:t>
            </w:r>
          </w:p>
        </w:tc>
      </w:tr>
      <w:tr w14:paraId="7F0DD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77" w:type="dxa"/>
            <w:noWrap/>
            <w:vAlign w:val="center"/>
          </w:tcPr>
          <w:p w14:paraId="1B8DDB92">
            <w:pPr>
              <w:numPr>
                <w:ilvl w:val="0"/>
                <w:numId w:val="3"/>
              </w:numPr>
              <w:ind w:left="425" w:leftChars="0" w:hanging="425" w:firstLineChars="0"/>
              <w:jc w:val="right"/>
              <w:rPr>
                <w:rFonts w:hint="eastAsia" w:ascii="宋体" w:hAnsi="宋体" w:eastAsia="宋体" w:cs="宋体"/>
                <w:sz w:val="24"/>
                <w:szCs w:val="24"/>
                <w:highlight w:val="none"/>
              </w:rPr>
            </w:pPr>
          </w:p>
        </w:tc>
        <w:tc>
          <w:tcPr>
            <w:tcW w:w="7645" w:type="dxa"/>
            <w:noWrap/>
            <w:vAlign w:val="center"/>
          </w:tcPr>
          <w:p w14:paraId="2CE22376">
            <w:pPr>
              <w:rPr>
                <w:rFonts w:hint="eastAsia" w:ascii="宋体" w:hAnsi="宋体" w:eastAsia="宋体" w:cs="宋体"/>
                <w:sz w:val="24"/>
                <w:szCs w:val="24"/>
                <w:highlight w:val="none"/>
              </w:rPr>
            </w:pPr>
            <w:r>
              <w:rPr>
                <w:rFonts w:hint="eastAsia" w:ascii="宋体" w:hAnsi="宋体" w:eastAsia="宋体" w:cs="宋体"/>
                <w:sz w:val="24"/>
                <w:szCs w:val="24"/>
                <w:highlight w:val="none"/>
              </w:rPr>
              <w:t>小焦点可输出最大mA≥680mA</w:t>
            </w:r>
          </w:p>
        </w:tc>
      </w:tr>
      <w:tr w14:paraId="02416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77" w:type="dxa"/>
            <w:noWrap/>
            <w:vAlign w:val="center"/>
          </w:tcPr>
          <w:p w14:paraId="1616436E">
            <w:pPr>
              <w:numPr>
                <w:ilvl w:val="0"/>
                <w:numId w:val="3"/>
              </w:numPr>
              <w:ind w:left="425" w:leftChars="0" w:hanging="425" w:firstLineChars="0"/>
              <w:jc w:val="righ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w:t>
            </w:r>
          </w:p>
        </w:tc>
        <w:tc>
          <w:tcPr>
            <w:tcW w:w="7645" w:type="dxa"/>
            <w:noWrap/>
            <w:vAlign w:val="center"/>
          </w:tcPr>
          <w:p w14:paraId="2C9A067D">
            <w:pPr>
              <w:rPr>
                <w:rFonts w:hint="eastAsia" w:ascii="宋体" w:hAnsi="宋体" w:eastAsia="宋体" w:cs="宋体"/>
                <w:sz w:val="24"/>
                <w:szCs w:val="24"/>
                <w:highlight w:val="none"/>
              </w:rPr>
            </w:pPr>
            <w:r>
              <w:rPr>
                <w:rFonts w:hint="eastAsia" w:ascii="宋体" w:hAnsi="宋体" w:eastAsia="宋体" w:cs="宋体"/>
                <w:sz w:val="24"/>
                <w:szCs w:val="24"/>
                <w:highlight w:val="none"/>
              </w:rPr>
              <w:t>大焦点（per IEC 60336/2005 ）≤1.6mm x 1.2mm</w:t>
            </w:r>
          </w:p>
        </w:tc>
      </w:tr>
      <w:tr w14:paraId="2805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77" w:type="dxa"/>
            <w:noWrap/>
            <w:vAlign w:val="center"/>
          </w:tcPr>
          <w:p w14:paraId="0786F6D3">
            <w:pPr>
              <w:numPr>
                <w:ilvl w:val="0"/>
                <w:numId w:val="3"/>
              </w:numPr>
              <w:ind w:left="425" w:leftChars="0" w:hanging="425" w:firstLineChars="0"/>
              <w:jc w:val="right"/>
              <w:rPr>
                <w:rFonts w:hint="eastAsia" w:ascii="宋体" w:hAnsi="宋体" w:eastAsia="宋体" w:cs="宋体"/>
                <w:sz w:val="24"/>
                <w:szCs w:val="24"/>
                <w:highlight w:val="none"/>
              </w:rPr>
            </w:pPr>
          </w:p>
        </w:tc>
        <w:tc>
          <w:tcPr>
            <w:tcW w:w="7645" w:type="dxa"/>
            <w:noWrap/>
            <w:vAlign w:val="center"/>
          </w:tcPr>
          <w:p w14:paraId="74DA9F40">
            <w:pPr>
              <w:rPr>
                <w:rFonts w:hint="eastAsia" w:ascii="宋体" w:hAnsi="宋体" w:eastAsia="宋体" w:cs="宋体"/>
                <w:sz w:val="24"/>
                <w:szCs w:val="24"/>
                <w:highlight w:val="none"/>
              </w:rPr>
            </w:pPr>
            <w:r>
              <w:rPr>
                <w:rFonts w:hint="eastAsia" w:ascii="宋体" w:hAnsi="宋体" w:eastAsia="宋体" w:cs="宋体"/>
                <w:sz w:val="24"/>
                <w:szCs w:val="24"/>
                <w:highlight w:val="none"/>
              </w:rPr>
              <w:t>大焦点可输出最大mA≥835mA</w:t>
            </w:r>
          </w:p>
        </w:tc>
      </w:tr>
      <w:tr w14:paraId="17204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77" w:type="dxa"/>
            <w:noWrap/>
            <w:vAlign w:val="center"/>
          </w:tcPr>
          <w:p w14:paraId="0C4D02FA">
            <w:pPr>
              <w:numPr>
                <w:ilvl w:val="0"/>
                <w:numId w:val="3"/>
              </w:numPr>
              <w:ind w:left="425" w:leftChars="0" w:hanging="425" w:firstLineChars="0"/>
              <w:jc w:val="righ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w:t>
            </w:r>
          </w:p>
        </w:tc>
        <w:tc>
          <w:tcPr>
            <w:tcW w:w="7645" w:type="dxa"/>
            <w:noWrap/>
            <w:vAlign w:val="center"/>
          </w:tcPr>
          <w:p w14:paraId="2440BFA0">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GSI焦点 per IEC 60336/2005 ≤2.0 x 1.2 </w:t>
            </w:r>
          </w:p>
        </w:tc>
      </w:tr>
      <w:tr w14:paraId="2E2E4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77" w:type="dxa"/>
            <w:noWrap/>
            <w:vAlign w:val="center"/>
          </w:tcPr>
          <w:p w14:paraId="2BA2EE51">
            <w:pPr>
              <w:numPr>
                <w:ilvl w:val="0"/>
                <w:numId w:val="3"/>
              </w:numPr>
              <w:ind w:left="425" w:leftChars="0" w:hanging="425" w:firstLineChars="0"/>
              <w:jc w:val="right"/>
              <w:rPr>
                <w:rFonts w:hint="eastAsia" w:ascii="宋体" w:hAnsi="宋体" w:eastAsia="宋体" w:cs="宋体"/>
                <w:sz w:val="24"/>
                <w:szCs w:val="24"/>
                <w:highlight w:val="none"/>
              </w:rPr>
            </w:pPr>
          </w:p>
        </w:tc>
        <w:tc>
          <w:tcPr>
            <w:tcW w:w="7645" w:type="dxa"/>
            <w:noWrap/>
            <w:vAlign w:val="center"/>
          </w:tcPr>
          <w:p w14:paraId="08B59B66">
            <w:pPr>
              <w:rPr>
                <w:rFonts w:hint="eastAsia" w:ascii="宋体" w:hAnsi="宋体" w:eastAsia="宋体" w:cs="宋体"/>
                <w:sz w:val="24"/>
                <w:szCs w:val="24"/>
                <w:highlight w:val="none"/>
              </w:rPr>
            </w:pPr>
            <w:r>
              <w:rPr>
                <w:rFonts w:hint="eastAsia" w:ascii="宋体" w:hAnsi="宋体" w:eastAsia="宋体" w:cs="宋体"/>
                <w:sz w:val="24"/>
                <w:szCs w:val="24"/>
                <w:highlight w:val="none"/>
              </w:rPr>
              <w:t>GSI焦点 per IEC 60336/2005可输出最大mA≥890mA</w:t>
            </w:r>
          </w:p>
        </w:tc>
      </w:tr>
      <w:tr w14:paraId="52A96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77" w:type="dxa"/>
            <w:noWrap/>
            <w:vAlign w:val="center"/>
          </w:tcPr>
          <w:p w14:paraId="730CD0AE">
            <w:pPr>
              <w:numPr>
                <w:ilvl w:val="0"/>
                <w:numId w:val="3"/>
              </w:numPr>
              <w:ind w:left="425" w:leftChars="0" w:hanging="425" w:firstLineChars="0"/>
              <w:jc w:val="right"/>
              <w:rPr>
                <w:rFonts w:hint="eastAsia" w:ascii="宋体" w:hAnsi="宋体" w:eastAsia="宋体" w:cs="宋体"/>
                <w:sz w:val="24"/>
                <w:szCs w:val="24"/>
                <w:highlight w:val="none"/>
              </w:rPr>
            </w:pPr>
          </w:p>
        </w:tc>
        <w:tc>
          <w:tcPr>
            <w:tcW w:w="7645" w:type="dxa"/>
            <w:noWrap/>
            <w:vAlign w:val="center"/>
          </w:tcPr>
          <w:p w14:paraId="57A07355">
            <w:pPr>
              <w:rPr>
                <w:rFonts w:hint="eastAsia" w:ascii="宋体" w:hAnsi="宋体" w:eastAsia="宋体" w:cs="宋体"/>
                <w:sz w:val="24"/>
                <w:szCs w:val="24"/>
                <w:highlight w:val="none"/>
              </w:rPr>
            </w:pPr>
            <w:r>
              <w:rPr>
                <w:rFonts w:hint="eastAsia" w:ascii="宋体" w:hAnsi="宋体" w:eastAsia="宋体" w:cs="宋体"/>
                <w:sz w:val="24"/>
                <w:szCs w:val="24"/>
                <w:highlight w:val="none"/>
              </w:rPr>
              <w:t>提供以技术白皮书为准的普通扫描和螺旋扫描在80kv、100kv、120kv、140kv四种条件下，可持续5秒扫描的大焦点最大mA输出单数）</w:t>
            </w:r>
          </w:p>
        </w:tc>
      </w:tr>
      <w:tr w14:paraId="30344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77" w:type="dxa"/>
            <w:noWrap/>
            <w:vAlign w:val="center"/>
          </w:tcPr>
          <w:p w14:paraId="14453BA5">
            <w:pPr>
              <w:numPr>
                <w:ilvl w:val="0"/>
                <w:numId w:val="3"/>
              </w:numPr>
              <w:ind w:left="425" w:leftChars="0" w:hanging="425" w:firstLineChars="0"/>
              <w:jc w:val="right"/>
              <w:rPr>
                <w:rFonts w:hint="eastAsia" w:ascii="宋体" w:hAnsi="宋体" w:eastAsia="宋体" w:cs="宋体"/>
                <w:sz w:val="24"/>
                <w:szCs w:val="24"/>
                <w:highlight w:val="none"/>
              </w:rPr>
            </w:pPr>
          </w:p>
        </w:tc>
        <w:tc>
          <w:tcPr>
            <w:tcW w:w="7645" w:type="dxa"/>
            <w:noWrap/>
            <w:vAlign w:val="center"/>
          </w:tcPr>
          <w:p w14:paraId="6F25DD2C">
            <w:pPr>
              <w:rPr>
                <w:rFonts w:hint="eastAsia" w:ascii="宋体" w:hAnsi="宋体" w:eastAsia="宋体" w:cs="宋体"/>
                <w:sz w:val="24"/>
                <w:szCs w:val="24"/>
                <w:highlight w:val="none"/>
              </w:rPr>
            </w:pPr>
            <w:r>
              <w:rPr>
                <w:rFonts w:hint="eastAsia" w:ascii="宋体" w:hAnsi="宋体" w:eastAsia="宋体" w:cs="宋体"/>
                <w:sz w:val="24"/>
                <w:szCs w:val="24"/>
                <w:highlight w:val="none"/>
              </w:rPr>
              <w:t>提供以技术白皮书为准的普通扫描和螺旋扫描在80kv、100kv、120kv、140kv四种条件下，可持续5秒扫描的小焦点最大mA输出单数）</w:t>
            </w:r>
          </w:p>
        </w:tc>
      </w:tr>
      <w:tr w14:paraId="28C40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77" w:type="dxa"/>
            <w:noWrap/>
            <w:vAlign w:val="center"/>
          </w:tcPr>
          <w:p w14:paraId="07C6FB7C">
            <w:pPr>
              <w:numPr>
                <w:ilvl w:val="0"/>
                <w:numId w:val="3"/>
              </w:numPr>
              <w:ind w:left="425" w:leftChars="0" w:hanging="425" w:firstLineChars="0"/>
              <w:jc w:val="right"/>
              <w:rPr>
                <w:rFonts w:hint="eastAsia" w:ascii="宋体" w:hAnsi="宋体" w:eastAsia="宋体" w:cs="宋体"/>
                <w:sz w:val="24"/>
                <w:szCs w:val="24"/>
                <w:highlight w:val="none"/>
              </w:rPr>
            </w:pPr>
          </w:p>
        </w:tc>
        <w:tc>
          <w:tcPr>
            <w:tcW w:w="7645" w:type="dxa"/>
            <w:noWrap/>
            <w:vAlign w:val="center"/>
          </w:tcPr>
          <w:p w14:paraId="480418B2">
            <w:pPr>
              <w:rPr>
                <w:rFonts w:hint="eastAsia" w:ascii="宋体" w:hAnsi="宋体" w:eastAsia="宋体" w:cs="宋体"/>
                <w:sz w:val="24"/>
                <w:szCs w:val="24"/>
                <w:highlight w:val="none"/>
              </w:rPr>
            </w:pPr>
            <w:r>
              <w:rPr>
                <w:rFonts w:hint="eastAsia" w:ascii="宋体" w:hAnsi="宋体" w:eastAsia="宋体" w:cs="宋体"/>
                <w:sz w:val="24"/>
                <w:szCs w:val="24"/>
                <w:highlight w:val="none"/>
              </w:rPr>
              <w:t>提供以技术白皮书为准的普通扫描和螺旋扫描在80kv、100kv、120kv、140kv四种条件下，可持续10秒扫描的大焦点最大mA输出单数）</w:t>
            </w:r>
          </w:p>
        </w:tc>
      </w:tr>
      <w:tr w14:paraId="5FA9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exact"/>
        </w:trPr>
        <w:tc>
          <w:tcPr>
            <w:tcW w:w="877" w:type="dxa"/>
            <w:noWrap/>
            <w:vAlign w:val="center"/>
          </w:tcPr>
          <w:p w14:paraId="261C3EB5">
            <w:pPr>
              <w:numPr>
                <w:ilvl w:val="0"/>
                <w:numId w:val="3"/>
              </w:numPr>
              <w:ind w:left="425" w:leftChars="0" w:hanging="425" w:firstLineChars="0"/>
              <w:jc w:val="right"/>
              <w:rPr>
                <w:rFonts w:hint="eastAsia" w:ascii="宋体" w:hAnsi="宋体" w:eastAsia="宋体" w:cs="宋体"/>
                <w:sz w:val="24"/>
                <w:szCs w:val="24"/>
                <w:highlight w:val="none"/>
              </w:rPr>
            </w:pPr>
          </w:p>
        </w:tc>
        <w:tc>
          <w:tcPr>
            <w:tcW w:w="7645" w:type="dxa"/>
            <w:noWrap/>
            <w:vAlign w:val="center"/>
          </w:tcPr>
          <w:p w14:paraId="779C74B0">
            <w:pPr>
              <w:rPr>
                <w:rFonts w:hint="eastAsia" w:ascii="宋体" w:hAnsi="宋体" w:eastAsia="宋体" w:cs="宋体"/>
                <w:sz w:val="24"/>
                <w:szCs w:val="24"/>
                <w:highlight w:val="none"/>
              </w:rPr>
            </w:pPr>
            <w:r>
              <w:rPr>
                <w:rFonts w:hint="eastAsia" w:ascii="宋体" w:hAnsi="宋体" w:eastAsia="宋体" w:cs="宋体"/>
                <w:sz w:val="24"/>
                <w:szCs w:val="24"/>
                <w:highlight w:val="none"/>
              </w:rPr>
              <w:t>提供以技术白皮书为准的普通扫描和螺旋扫描在80kv、100kv、120kv、140kv四种条件下，可持续10秒扫描的小焦点最大mA输出单数）</w:t>
            </w:r>
          </w:p>
        </w:tc>
      </w:tr>
      <w:tr w14:paraId="48D1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77" w:type="dxa"/>
            <w:noWrap/>
            <w:vAlign w:val="center"/>
          </w:tcPr>
          <w:p w14:paraId="2F4677BA">
            <w:pPr>
              <w:numPr>
                <w:ilvl w:val="0"/>
                <w:numId w:val="3"/>
              </w:numPr>
              <w:ind w:left="425" w:leftChars="0" w:hanging="425" w:firstLineChars="0"/>
              <w:jc w:val="right"/>
              <w:rPr>
                <w:rFonts w:hint="eastAsia" w:ascii="宋体" w:hAnsi="宋体" w:eastAsia="宋体" w:cs="宋体"/>
                <w:sz w:val="24"/>
                <w:szCs w:val="24"/>
                <w:highlight w:val="none"/>
              </w:rPr>
            </w:pPr>
          </w:p>
        </w:tc>
        <w:tc>
          <w:tcPr>
            <w:tcW w:w="7645" w:type="dxa"/>
            <w:noWrap/>
            <w:vAlign w:val="center"/>
          </w:tcPr>
          <w:p w14:paraId="3E074579">
            <w:pPr>
              <w:rPr>
                <w:rFonts w:hint="eastAsia" w:ascii="宋体" w:hAnsi="宋体" w:eastAsia="宋体" w:cs="宋体"/>
                <w:sz w:val="24"/>
                <w:szCs w:val="24"/>
                <w:highlight w:val="none"/>
              </w:rPr>
            </w:pPr>
            <w:r>
              <w:rPr>
                <w:rFonts w:hint="eastAsia" w:ascii="宋体" w:hAnsi="宋体" w:eastAsia="宋体" w:cs="宋体"/>
                <w:sz w:val="24"/>
                <w:szCs w:val="24"/>
                <w:highlight w:val="none"/>
              </w:rPr>
              <w:t>120KV，5秒单层扫描时，球管最大电流输出≥835mA</w:t>
            </w:r>
          </w:p>
        </w:tc>
      </w:tr>
      <w:tr w14:paraId="62F39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77" w:type="dxa"/>
            <w:noWrap/>
            <w:vAlign w:val="center"/>
          </w:tcPr>
          <w:p w14:paraId="1E3CAA8E">
            <w:pPr>
              <w:numPr>
                <w:ilvl w:val="0"/>
                <w:numId w:val="3"/>
              </w:numPr>
              <w:ind w:left="425" w:leftChars="0" w:hanging="425" w:firstLineChars="0"/>
              <w:jc w:val="right"/>
              <w:rPr>
                <w:rFonts w:hint="eastAsia" w:ascii="宋体" w:hAnsi="宋体" w:eastAsia="宋体" w:cs="宋体"/>
                <w:sz w:val="24"/>
                <w:szCs w:val="24"/>
                <w:highlight w:val="none"/>
              </w:rPr>
            </w:pPr>
          </w:p>
        </w:tc>
        <w:tc>
          <w:tcPr>
            <w:tcW w:w="7645" w:type="dxa"/>
            <w:noWrap/>
            <w:vAlign w:val="center"/>
          </w:tcPr>
          <w:p w14:paraId="7EC01A96">
            <w:pPr>
              <w:rPr>
                <w:rFonts w:hint="eastAsia" w:ascii="宋体" w:hAnsi="宋体" w:eastAsia="宋体" w:cs="宋体"/>
                <w:sz w:val="24"/>
                <w:szCs w:val="24"/>
                <w:highlight w:val="none"/>
              </w:rPr>
            </w:pPr>
            <w:r>
              <w:rPr>
                <w:rFonts w:hint="eastAsia" w:ascii="宋体" w:hAnsi="宋体" w:eastAsia="宋体" w:cs="宋体"/>
                <w:sz w:val="24"/>
                <w:szCs w:val="24"/>
                <w:highlight w:val="none"/>
              </w:rPr>
              <w:t>提供以技术白皮书（技术白皮书）为准的HD750多层扫描时毫安输出参数（120KV时）</w:t>
            </w:r>
          </w:p>
        </w:tc>
      </w:tr>
      <w:tr w14:paraId="1F202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77" w:type="dxa"/>
            <w:noWrap/>
            <w:vAlign w:val="center"/>
          </w:tcPr>
          <w:p w14:paraId="28BAC5F8">
            <w:pPr>
              <w:numPr>
                <w:ilvl w:val="0"/>
                <w:numId w:val="3"/>
              </w:numPr>
              <w:ind w:left="425" w:leftChars="0" w:hanging="425" w:firstLineChars="0"/>
              <w:jc w:val="right"/>
              <w:rPr>
                <w:rFonts w:hint="eastAsia" w:ascii="宋体" w:hAnsi="宋体" w:eastAsia="宋体" w:cs="宋体"/>
                <w:sz w:val="24"/>
                <w:szCs w:val="24"/>
                <w:highlight w:val="none"/>
              </w:rPr>
            </w:pPr>
          </w:p>
        </w:tc>
        <w:tc>
          <w:tcPr>
            <w:tcW w:w="7645" w:type="dxa"/>
            <w:noWrap/>
            <w:vAlign w:val="center"/>
          </w:tcPr>
          <w:p w14:paraId="32216ABB">
            <w:pPr>
              <w:rPr>
                <w:rFonts w:hint="eastAsia" w:ascii="宋体" w:hAnsi="宋体" w:eastAsia="宋体" w:cs="宋体"/>
                <w:sz w:val="24"/>
                <w:szCs w:val="24"/>
                <w:highlight w:val="none"/>
              </w:rPr>
            </w:pPr>
            <w:r>
              <w:rPr>
                <w:rFonts w:hint="eastAsia" w:ascii="宋体" w:hAnsi="宋体" w:eastAsia="宋体" w:cs="宋体"/>
                <w:sz w:val="24"/>
                <w:szCs w:val="24"/>
                <w:highlight w:val="none"/>
              </w:rPr>
              <w:t>120KV，5秒多层扫描时，球管最大电流输出≥705mA</w:t>
            </w:r>
          </w:p>
        </w:tc>
      </w:tr>
      <w:tr w14:paraId="6800A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77" w:type="dxa"/>
            <w:noWrap/>
            <w:vAlign w:val="center"/>
          </w:tcPr>
          <w:p w14:paraId="6DE14612">
            <w:pPr>
              <w:numPr>
                <w:ilvl w:val="0"/>
                <w:numId w:val="3"/>
              </w:numPr>
              <w:ind w:left="425" w:leftChars="0" w:hanging="425" w:firstLineChars="0"/>
              <w:jc w:val="right"/>
              <w:rPr>
                <w:rFonts w:hint="eastAsia" w:ascii="宋体" w:hAnsi="宋体" w:eastAsia="宋体" w:cs="宋体"/>
                <w:sz w:val="24"/>
                <w:szCs w:val="24"/>
                <w:highlight w:val="none"/>
              </w:rPr>
            </w:pPr>
          </w:p>
        </w:tc>
        <w:tc>
          <w:tcPr>
            <w:tcW w:w="7645" w:type="dxa"/>
            <w:noWrap/>
            <w:vAlign w:val="center"/>
          </w:tcPr>
          <w:p w14:paraId="6F569120">
            <w:pPr>
              <w:rPr>
                <w:rFonts w:hint="eastAsia" w:ascii="宋体" w:hAnsi="宋体" w:eastAsia="宋体" w:cs="宋体"/>
                <w:sz w:val="24"/>
                <w:szCs w:val="24"/>
                <w:highlight w:val="none"/>
              </w:rPr>
            </w:pPr>
            <w:r>
              <w:rPr>
                <w:rFonts w:hint="eastAsia" w:ascii="宋体" w:hAnsi="宋体" w:eastAsia="宋体" w:cs="宋体"/>
                <w:sz w:val="24"/>
                <w:szCs w:val="24"/>
                <w:highlight w:val="none"/>
              </w:rPr>
              <w:t>球管最大电压≥140KV</w:t>
            </w:r>
          </w:p>
        </w:tc>
      </w:tr>
      <w:tr w14:paraId="2D62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77" w:type="dxa"/>
            <w:noWrap/>
            <w:vAlign w:val="center"/>
          </w:tcPr>
          <w:p w14:paraId="18985CBB">
            <w:pPr>
              <w:numPr>
                <w:ilvl w:val="0"/>
                <w:numId w:val="3"/>
              </w:numPr>
              <w:ind w:left="425" w:leftChars="0" w:hanging="425" w:firstLineChars="0"/>
              <w:jc w:val="right"/>
              <w:rPr>
                <w:rFonts w:hint="eastAsia" w:ascii="宋体" w:hAnsi="宋体" w:eastAsia="宋体" w:cs="宋体"/>
                <w:sz w:val="24"/>
                <w:szCs w:val="24"/>
                <w:highlight w:val="none"/>
              </w:rPr>
            </w:pPr>
          </w:p>
        </w:tc>
        <w:tc>
          <w:tcPr>
            <w:tcW w:w="7645" w:type="dxa"/>
            <w:noWrap/>
            <w:vAlign w:val="center"/>
          </w:tcPr>
          <w:p w14:paraId="6F795674">
            <w:pPr>
              <w:rPr>
                <w:rFonts w:hint="eastAsia" w:ascii="宋体" w:hAnsi="宋体" w:eastAsia="宋体" w:cs="宋体"/>
                <w:sz w:val="24"/>
                <w:szCs w:val="24"/>
                <w:highlight w:val="none"/>
              </w:rPr>
            </w:pPr>
            <w:r>
              <w:rPr>
                <w:rFonts w:hint="eastAsia" w:ascii="宋体" w:hAnsi="宋体" w:eastAsia="宋体" w:cs="宋体"/>
                <w:sz w:val="24"/>
                <w:szCs w:val="24"/>
                <w:highlight w:val="none"/>
              </w:rPr>
              <w:t>阳极靶面角度：7度</w:t>
            </w:r>
          </w:p>
        </w:tc>
      </w:tr>
      <w:tr w14:paraId="11961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77" w:type="dxa"/>
            <w:noWrap/>
            <w:vAlign w:val="center"/>
          </w:tcPr>
          <w:p w14:paraId="6B32CF3C">
            <w:pPr>
              <w:numPr>
                <w:ilvl w:val="0"/>
                <w:numId w:val="3"/>
              </w:numPr>
              <w:ind w:left="425" w:leftChars="0" w:hanging="425" w:firstLineChars="0"/>
              <w:jc w:val="right"/>
              <w:rPr>
                <w:rFonts w:hint="eastAsia" w:ascii="宋体" w:hAnsi="宋体" w:eastAsia="宋体" w:cs="宋体"/>
                <w:sz w:val="24"/>
                <w:szCs w:val="24"/>
                <w:highlight w:val="none"/>
              </w:rPr>
            </w:pPr>
            <w:bookmarkStart w:id="46" w:name="_Hlk308730968"/>
          </w:p>
        </w:tc>
        <w:tc>
          <w:tcPr>
            <w:tcW w:w="7645" w:type="dxa"/>
            <w:noWrap/>
            <w:vAlign w:val="center"/>
          </w:tcPr>
          <w:p w14:paraId="7539611C">
            <w:pPr>
              <w:rPr>
                <w:rFonts w:hint="eastAsia" w:ascii="宋体" w:hAnsi="宋体" w:eastAsia="宋体" w:cs="宋体"/>
                <w:sz w:val="24"/>
                <w:szCs w:val="24"/>
                <w:highlight w:val="none"/>
              </w:rPr>
            </w:pPr>
            <w:r>
              <w:rPr>
                <w:rFonts w:hint="eastAsia" w:ascii="宋体" w:hAnsi="宋体" w:eastAsia="宋体" w:cs="宋体"/>
                <w:sz w:val="24"/>
                <w:szCs w:val="24"/>
                <w:highlight w:val="none"/>
              </w:rPr>
              <w:t>球管持续散热能力≥5.1kW</w:t>
            </w:r>
          </w:p>
        </w:tc>
      </w:tr>
      <w:bookmarkEnd w:id="46"/>
      <w:tr w14:paraId="3BC0F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exact"/>
        </w:trPr>
        <w:tc>
          <w:tcPr>
            <w:tcW w:w="877" w:type="dxa"/>
            <w:noWrap/>
            <w:vAlign w:val="center"/>
          </w:tcPr>
          <w:p w14:paraId="255A0D92">
            <w:pPr>
              <w:numPr>
                <w:ilvl w:val="0"/>
                <w:numId w:val="3"/>
              </w:numPr>
              <w:ind w:left="425" w:leftChars="0" w:hanging="425" w:firstLineChars="0"/>
              <w:jc w:val="right"/>
              <w:rPr>
                <w:rFonts w:hint="eastAsia" w:ascii="宋体" w:hAnsi="宋体" w:eastAsia="宋体" w:cs="宋体"/>
                <w:sz w:val="24"/>
                <w:szCs w:val="24"/>
                <w:highlight w:val="none"/>
              </w:rPr>
            </w:pPr>
          </w:p>
        </w:tc>
        <w:tc>
          <w:tcPr>
            <w:tcW w:w="7645" w:type="dxa"/>
            <w:noWrap/>
            <w:vAlign w:val="center"/>
          </w:tcPr>
          <w:p w14:paraId="04BD0036">
            <w:pPr>
              <w:rPr>
                <w:rFonts w:hint="eastAsia" w:ascii="宋体" w:hAnsi="宋体" w:eastAsia="宋体" w:cs="宋体"/>
                <w:sz w:val="24"/>
                <w:szCs w:val="24"/>
                <w:highlight w:val="none"/>
              </w:rPr>
            </w:pPr>
            <w:r>
              <w:rPr>
                <w:rFonts w:hint="eastAsia" w:ascii="宋体" w:hAnsi="宋体" w:eastAsia="宋体" w:cs="宋体"/>
                <w:sz w:val="24"/>
                <w:szCs w:val="24"/>
                <w:highlight w:val="none"/>
              </w:rPr>
              <w:t>投标供应商须承诺，中标后须配备至少有五名服务工程师，提供所投设备在原厂培训合格的证明材料且证明材料在有效期内，提供</w:t>
            </w:r>
            <w:r>
              <w:rPr>
                <w:rFonts w:hint="eastAsia" w:ascii="宋体" w:hAnsi="宋体" w:eastAsia="宋体" w:cs="宋体"/>
                <w:sz w:val="24"/>
                <w:szCs w:val="24"/>
                <w:highlight w:val="none"/>
                <w:lang w:val="en-US" w:eastAsia="zh-CN"/>
              </w:rPr>
              <w:t>近半年</w:t>
            </w:r>
            <w:r>
              <w:rPr>
                <w:rFonts w:hint="eastAsia" w:ascii="宋体" w:hAnsi="宋体" w:eastAsia="宋体" w:cs="宋体"/>
                <w:sz w:val="24"/>
                <w:szCs w:val="24"/>
                <w:highlight w:val="none"/>
              </w:rPr>
              <w:t>疆内的社保证明。</w:t>
            </w:r>
          </w:p>
        </w:tc>
      </w:tr>
      <w:tr w14:paraId="56905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77" w:type="dxa"/>
            <w:noWrap/>
            <w:vAlign w:val="center"/>
          </w:tcPr>
          <w:p w14:paraId="12D174AB">
            <w:pPr>
              <w:numPr>
                <w:ilvl w:val="0"/>
                <w:numId w:val="3"/>
              </w:numPr>
              <w:ind w:left="425" w:leftChars="0" w:hanging="425" w:firstLineChars="0"/>
              <w:jc w:val="righ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w:t>
            </w:r>
          </w:p>
        </w:tc>
        <w:tc>
          <w:tcPr>
            <w:tcW w:w="7645" w:type="dxa"/>
            <w:noWrap/>
            <w:vAlign w:val="center"/>
          </w:tcPr>
          <w:p w14:paraId="5618B83F">
            <w:pPr>
              <w:rPr>
                <w:rFonts w:hint="eastAsia" w:ascii="宋体" w:hAnsi="宋体" w:eastAsia="宋体" w:cs="宋体"/>
                <w:sz w:val="24"/>
                <w:szCs w:val="24"/>
                <w:highlight w:val="none"/>
              </w:rPr>
            </w:pPr>
            <w:r>
              <w:rPr>
                <w:rFonts w:hint="eastAsia" w:ascii="宋体" w:hAnsi="宋体" w:eastAsia="宋体" w:cs="宋体"/>
                <w:sz w:val="24"/>
                <w:szCs w:val="24"/>
                <w:highlight w:val="none"/>
              </w:rPr>
              <w:t>提供球管与CT整机匹配的SFDA认证报告</w:t>
            </w:r>
          </w:p>
        </w:tc>
      </w:tr>
      <w:tr w14:paraId="46FC2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77" w:type="dxa"/>
            <w:noWrap/>
            <w:vAlign w:val="center"/>
          </w:tcPr>
          <w:p w14:paraId="3C0907A8">
            <w:pPr>
              <w:numPr>
                <w:ilvl w:val="0"/>
                <w:numId w:val="3"/>
              </w:numPr>
              <w:ind w:left="425" w:leftChars="0" w:hanging="425" w:firstLineChars="0"/>
              <w:jc w:val="right"/>
              <w:rPr>
                <w:rFonts w:hint="eastAsia" w:ascii="宋体" w:hAnsi="宋体" w:eastAsia="宋体" w:cs="宋体"/>
                <w:sz w:val="24"/>
                <w:szCs w:val="24"/>
                <w:highlight w:val="none"/>
              </w:rPr>
            </w:pPr>
          </w:p>
        </w:tc>
        <w:tc>
          <w:tcPr>
            <w:tcW w:w="7645" w:type="dxa"/>
            <w:noWrap/>
            <w:vAlign w:val="center"/>
          </w:tcPr>
          <w:p w14:paraId="658C47B3">
            <w:pPr>
              <w:rPr>
                <w:rFonts w:hint="eastAsia" w:ascii="宋体" w:hAnsi="宋体" w:eastAsia="宋体" w:cs="宋体"/>
                <w:sz w:val="24"/>
                <w:szCs w:val="24"/>
                <w:highlight w:val="none"/>
              </w:rPr>
            </w:pPr>
            <w:r>
              <w:rPr>
                <w:rFonts w:hint="eastAsia" w:ascii="宋体" w:hAnsi="宋体" w:eastAsia="宋体" w:cs="宋体"/>
                <w:sz w:val="24"/>
                <w:szCs w:val="24"/>
                <w:highlight w:val="none"/>
              </w:rPr>
              <w:t>球管到货时间：报修后的3日内</w:t>
            </w:r>
          </w:p>
        </w:tc>
      </w:tr>
      <w:tr w14:paraId="7599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77" w:type="dxa"/>
            <w:noWrap/>
            <w:vAlign w:val="center"/>
          </w:tcPr>
          <w:p w14:paraId="2BEE8571">
            <w:pPr>
              <w:numPr>
                <w:ilvl w:val="0"/>
                <w:numId w:val="3"/>
              </w:numPr>
              <w:ind w:left="425" w:leftChars="0" w:hanging="425" w:firstLineChars="0"/>
              <w:jc w:val="right"/>
              <w:rPr>
                <w:rFonts w:hint="eastAsia" w:ascii="宋体" w:hAnsi="宋体" w:eastAsia="宋体" w:cs="宋体"/>
                <w:sz w:val="24"/>
                <w:szCs w:val="24"/>
                <w:highlight w:val="none"/>
              </w:rPr>
            </w:pPr>
          </w:p>
        </w:tc>
        <w:tc>
          <w:tcPr>
            <w:tcW w:w="7645" w:type="dxa"/>
            <w:noWrap/>
            <w:vAlign w:val="center"/>
          </w:tcPr>
          <w:p w14:paraId="57E5A18F">
            <w:pPr>
              <w:rPr>
                <w:rFonts w:hint="eastAsia" w:ascii="宋体" w:hAnsi="宋体" w:eastAsia="宋体" w:cs="宋体"/>
                <w:sz w:val="24"/>
                <w:szCs w:val="24"/>
                <w:highlight w:val="none"/>
              </w:rPr>
            </w:pPr>
            <w:r>
              <w:rPr>
                <w:rFonts w:hint="eastAsia" w:ascii="宋体" w:hAnsi="宋体" w:eastAsia="宋体" w:cs="宋体"/>
                <w:sz w:val="24"/>
                <w:szCs w:val="24"/>
                <w:highlight w:val="none"/>
              </w:rPr>
              <w:t>开机保证率95%</w:t>
            </w:r>
          </w:p>
        </w:tc>
      </w:tr>
      <w:tr w14:paraId="7100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exact"/>
        </w:trPr>
        <w:tc>
          <w:tcPr>
            <w:tcW w:w="877" w:type="dxa"/>
            <w:noWrap/>
            <w:vAlign w:val="center"/>
          </w:tcPr>
          <w:p w14:paraId="5369867C">
            <w:pPr>
              <w:numPr>
                <w:ilvl w:val="0"/>
                <w:numId w:val="3"/>
              </w:numPr>
              <w:ind w:left="425" w:leftChars="0" w:hanging="425" w:firstLineChars="0"/>
              <w:jc w:val="right"/>
              <w:rPr>
                <w:rFonts w:hint="eastAsia" w:ascii="宋体" w:hAnsi="宋体" w:eastAsia="宋体" w:cs="宋体"/>
                <w:sz w:val="24"/>
                <w:szCs w:val="24"/>
                <w:highlight w:val="none"/>
              </w:rPr>
            </w:pPr>
          </w:p>
        </w:tc>
        <w:tc>
          <w:tcPr>
            <w:tcW w:w="7645" w:type="dxa"/>
            <w:noWrap/>
            <w:vAlign w:val="center"/>
          </w:tcPr>
          <w:p w14:paraId="65949E2A">
            <w:pPr>
              <w:rPr>
                <w:rFonts w:hint="eastAsia" w:ascii="宋体" w:hAnsi="宋体" w:eastAsia="宋体" w:cs="宋体"/>
                <w:sz w:val="24"/>
                <w:szCs w:val="24"/>
                <w:highlight w:val="none"/>
              </w:rPr>
            </w:pPr>
            <w:r>
              <w:rPr>
                <w:rFonts w:hint="eastAsia" w:ascii="宋体" w:hAnsi="宋体" w:eastAsia="宋体" w:cs="宋体"/>
                <w:sz w:val="24"/>
                <w:szCs w:val="24"/>
                <w:highlight w:val="none"/>
              </w:rPr>
              <w:t>在维修保养期间内投标单位必须为最终用户提供技术服务热线（7*24小时），负责解答用户在设备使用中遇到的问题，并及时提出解决问题的建议和操作方法。</w:t>
            </w:r>
          </w:p>
        </w:tc>
      </w:tr>
      <w:tr w14:paraId="01972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77" w:type="dxa"/>
            <w:noWrap/>
            <w:vAlign w:val="center"/>
          </w:tcPr>
          <w:p w14:paraId="25E389FF">
            <w:pPr>
              <w:numPr>
                <w:ilvl w:val="0"/>
                <w:numId w:val="3"/>
              </w:numPr>
              <w:ind w:left="425" w:leftChars="0" w:hanging="425" w:firstLineChars="0"/>
              <w:jc w:val="right"/>
              <w:rPr>
                <w:rFonts w:hint="eastAsia" w:ascii="宋体" w:hAnsi="宋体" w:eastAsia="宋体" w:cs="宋体"/>
                <w:sz w:val="24"/>
                <w:szCs w:val="24"/>
                <w:highlight w:val="none"/>
              </w:rPr>
            </w:pPr>
          </w:p>
        </w:tc>
        <w:tc>
          <w:tcPr>
            <w:tcW w:w="7645" w:type="dxa"/>
            <w:noWrap/>
            <w:vAlign w:val="center"/>
          </w:tcPr>
          <w:p w14:paraId="37CFE63D">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故障报修响应时间（小时）≤2小时</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工程师到场时间（小时）≤48小时</w:t>
            </w:r>
          </w:p>
        </w:tc>
      </w:tr>
      <w:tr w14:paraId="0445D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exact"/>
        </w:trPr>
        <w:tc>
          <w:tcPr>
            <w:tcW w:w="877" w:type="dxa"/>
            <w:noWrap/>
            <w:vAlign w:val="center"/>
          </w:tcPr>
          <w:p w14:paraId="02F03C90">
            <w:pPr>
              <w:numPr>
                <w:ilvl w:val="0"/>
                <w:numId w:val="3"/>
              </w:numPr>
              <w:ind w:left="425" w:leftChars="0" w:hanging="425" w:firstLineChars="0"/>
              <w:jc w:val="right"/>
              <w:rPr>
                <w:rFonts w:hint="eastAsia" w:ascii="宋体" w:hAnsi="宋体" w:eastAsia="宋体" w:cs="宋体"/>
                <w:sz w:val="24"/>
                <w:szCs w:val="24"/>
                <w:highlight w:val="none"/>
              </w:rPr>
            </w:pPr>
          </w:p>
        </w:tc>
        <w:tc>
          <w:tcPr>
            <w:tcW w:w="7645" w:type="dxa"/>
            <w:noWrap/>
            <w:vAlign w:val="center"/>
          </w:tcPr>
          <w:p w14:paraId="4E7D0F2D">
            <w:pPr>
              <w:rPr>
                <w:rFonts w:hint="eastAsia" w:ascii="宋体" w:hAnsi="宋体" w:eastAsia="宋体" w:cs="宋体"/>
                <w:sz w:val="24"/>
                <w:szCs w:val="24"/>
                <w:highlight w:val="none"/>
              </w:rPr>
            </w:pPr>
            <w:r>
              <w:rPr>
                <w:rFonts w:hint="eastAsia" w:ascii="宋体" w:hAnsi="宋体" w:eastAsia="宋体" w:cs="宋体"/>
                <w:sz w:val="24"/>
                <w:szCs w:val="24"/>
                <w:highlight w:val="none"/>
              </w:rPr>
              <w:t>提供基于宽带接入的、可动态远程监测标的设备温湿度实时曲线的软件及硬件,具备对标的设备的电气环境进行24小时实时监测能力</w:t>
            </w:r>
          </w:p>
        </w:tc>
      </w:tr>
      <w:tr w14:paraId="3A121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trPr>
        <w:tc>
          <w:tcPr>
            <w:tcW w:w="877" w:type="dxa"/>
            <w:noWrap/>
            <w:vAlign w:val="center"/>
          </w:tcPr>
          <w:p w14:paraId="4EDA5B64">
            <w:pPr>
              <w:numPr>
                <w:ilvl w:val="0"/>
                <w:numId w:val="3"/>
              </w:numPr>
              <w:ind w:left="425" w:leftChars="0" w:hanging="425" w:firstLineChars="0"/>
              <w:jc w:val="righ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w:t>
            </w:r>
          </w:p>
        </w:tc>
        <w:tc>
          <w:tcPr>
            <w:tcW w:w="7645" w:type="dxa"/>
            <w:noWrap/>
            <w:vAlign w:val="center"/>
          </w:tcPr>
          <w:p w14:paraId="0EA51389">
            <w:pPr>
              <w:rPr>
                <w:rFonts w:hint="eastAsia" w:ascii="宋体" w:hAnsi="宋体" w:eastAsia="宋体" w:cs="宋体"/>
                <w:sz w:val="24"/>
                <w:szCs w:val="24"/>
                <w:highlight w:val="none"/>
              </w:rPr>
            </w:pPr>
            <w:r>
              <w:rPr>
                <w:rFonts w:hint="eastAsia" w:ascii="宋体" w:hAnsi="宋体" w:eastAsia="宋体" w:cs="宋体"/>
                <w:sz w:val="24"/>
                <w:szCs w:val="24"/>
                <w:highlight w:val="none"/>
              </w:rPr>
              <w:t>维修工程师可显示全套原厂诊断软件，并保证能够解决所有需要原厂service key才能解决的设备故障</w:t>
            </w:r>
          </w:p>
        </w:tc>
      </w:tr>
      <w:tr w14:paraId="5251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exact"/>
        </w:trPr>
        <w:tc>
          <w:tcPr>
            <w:tcW w:w="877" w:type="dxa"/>
            <w:noWrap/>
            <w:vAlign w:val="center"/>
          </w:tcPr>
          <w:p w14:paraId="4CA0F789">
            <w:pPr>
              <w:numPr>
                <w:ilvl w:val="0"/>
                <w:numId w:val="3"/>
              </w:numPr>
              <w:ind w:left="425" w:leftChars="0" w:hanging="425" w:firstLineChars="0"/>
              <w:jc w:val="righ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w:t>
            </w:r>
          </w:p>
        </w:tc>
        <w:tc>
          <w:tcPr>
            <w:tcW w:w="7645" w:type="dxa"/>
            <w:noWrap/>
            <w:vAlign w:val="center"/>
          </w:tcPr>
          <w:p w14:paraId="0647D4A0">
            <w:pPr>
              <w:rPr>
                <w:rFonts w:hint="eastAsia" w:ascii="宋体" w:hAnsi="宋体" w:eastAsia="宋体" w:cs="宋体"/>
                <w:sz w:val="24"/>
                <w:szCs w:val="24"/>
                <w:highlight w:val="none"/>
              </w:rPr>
            </w:pPr>
            <w:r>
              <w:rPr>
                <w:rFonts w:hint="eastAsia" w:ascii="宋体" w:hAnsi="宋体" w:eastAsia="宋体" w:cs="宋体"/>
                <w:sz w:val="24"/>
                <w:szCs w:val="24"/>
                <w:highlight w:val="none"/>
              </w:rPr>
              <w:t>提供能及时获取并实施原厂系统安全性软硬件改版通知(FMI)能力的证明，保修期内免费提供设备系统软件升级补丁和技术支持，保证所有系统软件为最新版本。</w:t>
            </w:r>
          </w:p>
        </w:tc>
      </w:tr>
      <w:tr w14:paraId="40315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trPr>
        <w:tc>
          <w:tcPr>
            <w:tcW w:w="877" w:type="dxa"/>
            <w:noWrap/>
            <w:vAlign w:val="center"/>
          </w:tcPr>
          <w:p w14:paraId="174DC3A3">
            <w:pPr>
              <w:numPr>
                <w:ilvl w:val="0"/>
                <w:numId w:val="3"/>
              </w:numPr>
              <w:ind w:left="425" w:leftChars="0" w:hanging="425" w:firstLineChars="0"/>
              <w:jc w:val="righ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w:t>
            </w:r>
          </w:p>
        </w:tc>
        <w:tc>
          <w:tcPr>
            <w:tcW w:w="7645" w:type="dxa"/>
            <w:noWrap/>
            <w:vAlign w:val="center"/>
          </w:tcPr>
          <w:p w14:paraId="4A8F7A80">
            <w:pPr>
              <w:rPr>
                <w:rFonts w:hint="eastAsia" w:ascii="宋体" w:hAnsi="宋体" w:eastAsia="宋体" w:cs="宋体"/>
                <w:sz w:val="24"/>
                <w:szCs w:val="24"/>
                <w:highlight w:val="none"/>
              </w:rPr>
            </w:pPr>
            <w:r>
              <w:rPr>
                <w:rFonts w:hint="eastAsia" w:ascii="宋体" w:hAnsi="宋体" w:eastAsia="宋体" w:cs="宋体"/>
                <w:sz w:val="24"/>
                <w:szCs w:val="24"/>
                <w:highlight w:val="none"/>
              </w:rPr>
              <w:t>更换符合国家医疗器械管理条例要求的原厂原包装全新球管，以保证图像质量及设备完整性和稳定性，投标人需提供球管报关单、注册证</w:t>
            </w:r>
            <w:r>
              <w:rPr>
                <w:rFonts w:hint="eastAsia" w:ascii="宋体" w:hAnsi="宋体" w:cs="宋体"/>
                <w:sz w:val="24"/>
                <w:szCs w:val="24"/>
                <w:highlight w:val="none"/>
                <w:lang w:val="en-US" w:eastAsia="zh-CN"/>
              </w:rPr>
              <w:t>等资料。</w:t>
            </w:r>
          </w:p>
        </w:tc>
      </w:tr>
      <w:tr w14:paraId="5389D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exact"/>
        </w:trPr>
        <w:tc>
          <w:tcPr>
            <w:tcW w:w="877" w:type="dxa"/>
            <w:noWrap/>
            <w:vAlign w:val="center"/>
          </w:tcPr>
          <w:p w14:paraId="1604637C">
            <w:pPr>
              <w:numPr>
                <w:ilvl w:val="0"/>
                <w:numId w:val="3"/>
              </w:numPr>
              <w:ind w:left="425" w:leftChars="0" w:hanging="425" w:firstLineChars="0"/>
              <w:jc w:val="right"/>
              <w:rPr>
                <w:rFonts w:hint="eastAsia" w:ascii="宋体" w:hAnsi="宋体" w:eastAsia="宋体" w:cs="宋体"/>
                <w:color w:val="auto"/>
                <w:sz w:val="24"/>
                <w:szCs w:val="24"/>
                <w:highlight w:val="none"/>
              </w:rPr>
            </w:pPr>
          </w:p>
        </w:tc>
        <w:tc>
          <w:tcPr>
            <w:tcW w:w="7645" w:type="dxa"/>
            <w:noWrap/>
            <w:vAlign w:val="center"/>
          </w:tcPr>
          <w:p w14:paraId="7B87A2B7">
            <w:pPr>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国内设有专门的球管、零备件仓库</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提供证明文件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p>
        </w:tc>
      </w:tr>
      <w:tr w14:paraId="2E194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exact"/>
        </w:trPr>
        <w:tc>
          <w:tcPr>
            <w:tcW w:w="877" w:type="dxa"/>
            <w:noWrap/>
            <w:vAlign w:val="center"/>
          </w:tcPr>
          <w:p w14:paraId="1B063E1C">
            <w:pPr>
              <w:numPr>
                <w:ilvl w:val="0"/>
                <w:numId w:val="3"/>
              </w:numPr>
              <w:ind w:left="425" w:leftChars="0" w:hanging="425" w:firstLineChars="0"/>
              <w:jc w:val="righ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w:t>
            </w:r>
          </w:p>
        </w:tc>
        <w:tc>
          <w:tcPr>
            <w:tcW w:w="7645" w:type="dxa"/>
            <w:noWrap/>
            <w:vAlign w:val="center"/>
          </w:tcPr>
          <w:p w14:paraId="28AE172B">
            <w:pPr>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须提</w:t>
            </w:r>
            <w:r>
              <w:rPr>
                <w:rFonts w:hint="eastAsia" w:ascii="宋体" w:hAnsi="宋体" w:eastAsia="宋体" w:cs="宋体"/>
                <w:color w:val="auto"/>
                <w:sz w:val="24"/>
                <w:szCs w:val="24"/>
                <w:highlight w:val="none"/>
                <w:lang w:val="en-US" w:eastAsia="zh-CN"/>
              </w:rPr>
              <w:t>供</w:t>
            </w:r>
            <w:r>
              <w:rPr>
                <w:rFonts w:hint="eastAsia" w:ascii="宋体" w:hAnsi="宋体" w:cs="宋体"/>
                <w:color w:val="auto"/>
                <w:sz w:val="24"/>
                <w:szCs w:val="24"/>
                <w:highlight w:val="none"/>
                <w:lang w:val="en-US" w:eastAsia="zh-CN"/>
              </w:rPr>
              <w:t>GE64排</w:t>
            </w:r>
            <w:r>
              <w:rPr>
                <w:rFonts w:hint="eastAsia" w:ascii="宋体" w:hAnsi="宋体" w:eastAsia="宋体" w:cs="宋体"/>
                <w:color w:val="auto"/>
                <w:sz w:val="24"/>
                <w:szCs w:val="24"/>
                <w:highlight w:val="none"/>
                <w:lang w:val="en-US" w:eastAsia="zh-CN"/>
              </w:rPr>
              <w:t>CT</w:t>
            </w:r>
            <w:r>
              <w:rPr>
                <w:rFonts w:hint="eastAsia" w:ascii="宋体" w:hAnsi="宋体" w:cs="宋体"/>
                <w:color w:val="auto"/>
                <w:sz w:val="24"/>
                <w:szCs w:val="24"/>
                <w:highlight w:val="none"/>
                <w:lang w:val="en-US" w:eastAsia="zh-CN"/>
              </w:rPr>
              <w:t>及以上类似</w:t>
            </w:r>
            <w:r>
              <w:rPr>
                <w:rFonts w:hint="eastAsia" w:ascii="宋体" w:hAnsi="宋体" w:eastAsia="宋体" w:cs="宋体"/>
                <w:color w:val="auto"/>
                <w:sz w:val="24"/>
                <w:szCs w:val="24"/>
                <w:highlight w:val="none"/>
              </w:rPr>
              <w:t>业绩至少</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家</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rPr>
              <w:t>以上，并提供合同或中标通知书。</w:t>
            </w:r>
          </w:p>
        </w:tc>
      </w:tr>
    </w:tbl>
    <w:p w14:paraId="52F462C1">
      <w:pPr>
        <w:rPr>
          <w:rFonts w:hint="eastAsia"/>
          <w:color w:val="auto"/>
          <w:highlight w:val="none"/>
          <w:lang w:eastAsia="zh-CN"/>
        </w:rPr>
      </w:pPr>
    </w:p>
    <w:p w14:paraId="3AECFD79">
      <w:pPr>
        <w:rPr>
          <w:rFonts w:hint="eastAsia"/>
          <w:color w:val="auto"/>
          <w:highlight w:val="none"/>
          <w:lang w:eastAsia="zh-CN"/>
        </w:rPr>
      </w:pPr>
    </w:p>
    <w:p w14:paraId="3C9E1778">
      <w:pPr>
        <w:rPr>
          <w:rFonts w:hint="eastAsia"/>
          <w:color w:val="auto"/>
          <w:highlight w:val="none"/>
          <w:lang w:eastAsia="zh-CN"/>
        </w:rPr>
      </w:pPr>
      <w:r>
        <w:rPr>
          <w:rFonts w:hint="eastAsia"/>
          <w:color w:val="auto"/>
          <w:highlight w:val="none"/>
          <w:lang w:eastAsia="zh-CN"/>
        </w:rPr>
        <w:br w:type="page"/>
      </w:r>
    </w:p>
    <w:p w14:paraId="202C33A5">
      <w:pPr>
        <w:pStyle w:val="18"/>
        <w:jc w:val="both"/>
        <w:rPr>
          <w:color w:val="auto"/>
          <w:highlight w:val="none"/>
          <w:lang w:eastAsia="zh-CN"/>
        </w:rPr>
      </w:pPr>
      <w:r>
        <w:rPr>
          <w:rFonts w:hint="eastAsia"/>
          <w:color w:val="auto"/>
          <w:highlight w:val="none"/>
          <w:lang w:eastAsia="zh-CN"/>
        </w:rPr>
        <w:t>标项二：</w:t>
      </w:r>
    </w:p>
    <w:p w14:paraId="7E6B3EEA">
      <w:pPr>
        <w:rPr>
          <w:rFonts w:hint="eastAsia"/>
          <w:highlight w:val="none"/>
        </w:rPr>
      </w:pPr>
    </w:p>
    <w:p w14:paraId="37ADD8E8">
      <w:pPr>
        <w:jc w:val="center"/>
        <w:rPr>
          <w:rFonts w:hint="eastAsia"/>
          <w:sz w:val="28"/>
          <w:szCs w:val="28"/>
          <w:highlight w:val="none"/>
        </w:rPr>
      </w:pPr>
      <w:r>
        <w:rPr>
          <w:rFonts w:hint="eastAsia"/>
          <w:sz w:val="44"/>
          <w:szCs w:val="44"/>
          <w:highlight w:val="none"/>
        </w:rPr>
        <w:t>东芝80排CT维保服务招标参数</w:t>
      </w:r>
    </w:p>
    <w:p w14:paraId="64F85F8D">
      <w:pPr>
        <w:rPr>
          <w:rFonts w:hint="eastAsia"/>
          <w:b/>
          <w:bCs/>
          <w:sz w:val="28"/>
          <w:szCs w:val="28"/>
          <w:highlight w:val="none"/>
        </w:rPr>
      </w:pPr>
      <w:r>
        <w:rPr>
          <w:rFonts w:hint="eastAsia"/>
          <w:b/>
          <w:bCs/>
          <w:sz w:val="28"/>
          <w:szCs w:val="28"/>
          <w:highlight w:val="none"/>
        </w:rPr>
        <w:t xml:space="preserve">一、项目概况 </w:t>
      </w:r>
    </w:p>
    <w:p w14:paraId="4D6F5E0F">
      <w:pPr>
        <w:rPr>
          <w:rFonts w:hint="eastAsia"/>
          <w:sz w:val="28"/>
          <w:szCs w:val="28"/>
          <w:highlight w:val="none"/>
        </w:rPr>
      </w:pPr>
      <w:r>
        <w:rPr>
          <w:rFonts w:hint="eastAsia"/>
          <w:sz w:val="28"/>
          <w:szCs w:val="28"/>
          <w:highlight w:val="none"/>
        </w:rPr>
        <w:t xml:space="preserve">1. 设备信息 </w:t>
      </w:r>
    </w:p>
    <w:p w14:paraId="6474CEBE">
      <w:pPr>
        <w:rPr>
          <w:rFonts w:hint="eastAsia"/>
          <w:sz w:val="28"/>
          <w:szCs w:val="28"/>
          <w:highlight w:val="none"/>
        </w:rPr>
      </w:pPr>
      <w:r>
        <w:rPr>
          <w:rFonts w:hint="eastAsia"/>
          <w:sz w:val="28"/>
          <w:szCs w:val="28"/>
          <w:highlight w:val="none"/>
        </w:rPr>
        <w:t xml:space="preserve">   - 设备名称：东芝80排螺旋CT（型号：Aquilion PRM</w:t>
      </w:r>
      <w:r>
        <w:rPr>
          <w:rFonts w:hint="eastAsia"/>
          <w:sz w:val="28"/>
          <w:szCs w:val="28"/>
          <w:highlight w:val="none"/>
          <w:lang w:val="en-US" w:eastAsia="zh-CN"/>
        </w:rPr>
        <w:t>I</w:t>
      </w:r>
      <w:r>
        <w:rPr>
          <w:rFonts w:hint="eastAsia"/>
          <w:sz w:val="28"/>
          <w:szCs w:val="28"/>
          <w:highlight w:val="none"/>
        </w:rPr>
        <w:t>E TSX</w:t>
      </w:r>
      <w:r>
        <w:rPr>
          <w:rFonts w:hint="eastAsia"/>
          <w:sz w:val="28"/>
          <w:szCs w:val="28"/>
          <w:highlight w:val="none"/>
          <w:lang w:val="en-US" w:eastAsia="zh-CN"/>
        </w:rPr>
        <w:t>-303A</w:t>
      </w:r>
      <w:r>
        <w:rPr>
          <w:rFonts w:hint="eastAsia"/>
          <w:sz w:val="28"/>
          <w:szCs w:val="28"/>
          <w:highlight w:val="none"/>
        </w:rPr>
        <w:t xml:space="preserve">）    </w:t>
      </w:r>
    </w:p>
    <w:p w14:paraId="719DA1B5">
      <w:pPr>
        <w:rPr>
          <w:rFonts w:hint="eastAsia"/>
          <w:sz w:val="28"/>
          <w:szCs w:val="28"/>
          <w:highlight w:val="none"/>
        </w:rPr>
      </w:pPr>
      <w:r>
        <w:rPr>
          <w:rFonts w:hint="eastAsia"/>
          <w:sz w:val="28"/>
          <w:szCs w:val="28"/>
          <w:highlight w:val="none"/>
        </w:rPr>
        <w:t xml:space="preserve">   - 服务范围：整机全保（含球管、高压发生器、探测器、后处理工作站等所有配件及软件系统）。  </w:t>
      </w:r>
    </w:p>
    <w:p w14:paraId="185CB4C8">
      <w:pPr>
        <w:rPr>
          <w:rFonts w:hint="eastAsia"/>
          <w:sz w:val="28"/>
          <w:szCs w:val="28"/>
          <w:highlight w:val="none"/>
        </w:rPr>
      </w:pPr>
      <w:r>
        <w:rPr>
          <w:rFonts w:hint="eastAsia"/>
          <w:sz w:val="28"/>
          <w:szCs w:val="28"/>
          <w:highlight w:val="none"/>
        </w:rPr>
        <w:t>2. 服务期限：3年（</w:t>
      </w:r>
      <w:r>
        <w:rPr>
          <w:rFonts w:hint="eastAsia"/>
          <w:sz w:val="28"/>
          <w:szCs w:val="28"/>
          <w:highlight w:val="none"/>
          <w:lang w:eastAsia="zh-CN"/>
        </w:rPr>
        <w:t>合同一年一签</w:t>
      </w:r>
      <w:r>
        <w:rPr>
          <w:rFonts w:hint="eastAsia"/>
          <w:sz w:val="28"/>
          <w:szCs w:val="28"/>
          <w:highlight w:val="none"/>
        </w:rPr>
        <w:t xml:space="preserve">）。  </w:t>
      </w:r>
    </w:p>
    <w:p w14:paraId="08C6C84A">
      <w:pPr>
        <w:rPr>
          <w:rFonts w:hint="eastAsia"/>
          <w:sz w:val="28"/>
          <w:szCs w:val="28"/>
          <w:highlight w:val="none"/>
        </w:rPr>
      </w:pPr>
      <w:r>
        <w:rPr>
          <w:rFonts w:hint="eastAsia"/>
          <w:sz w:val="28"/>
          <w:szCs w:val="28"/>
          <w:highlight w:val="none"/>
        </w:rPr>
        <w:t xml:space="preserve">3. 预算金额：人民币260万元（含税全包价，超出预算的投标视为无效）。  </w:t>
      </w:r>
    </w:p>
    <w:p w14:paraId="247C5DA7">
      <w:pPr>
        <w:rPr>
          <w:rFonts w:hint="eastAsia"/>
          <w:b/>
          <w:bCs/>
          <w:sz w:val="28"/>
          <w:szCs w:val="28"/>
          <w:highlight w:val="none"/>
        </w:rPr>
      </w:pPr>
      <w:r>
        <w:rPr>
          <w:rFonts w:hint="eastAsia"/>
          <w:b/>
          <w:bCs/>
          <w:sz w:val="28"/>
          <w:szCs w:val="28"/>
          <w:highlight w:val="none"/>
        </w:rPr>
        <w:t>二、服务内容及技术要求</w:t>
      </w:r>
    </w:p>
    <w:p w14:paraId="28D5693A">
      <w:pPr>
        <w:rPr>
          <w:rFonts w:hint="eastAsia"/>
          <w:sz w:val="28"/>
          <w:szCs w:val="28"/>
          <w:highlight w:val="none"/>
        </w:rPr>
      </w:pPr>
      <w:r>
        <w:rPr>
          <w:rFonts w:hint="eastAsia"/>
          <w:sz w:val="28"/>
          <w:szCs w:val="28"/>
          <w:highlight w:val="none"/>
        </w:rPr>
        <w:t xml:space="preserve">1. 维护保养要求 </w:t>
      </w:r>
    </w:p>
    <w:p w14:paraId="080F4383">
      <w:pPr>
        <w:rPr>
          <w:rFonts w:hint="eastAsia"/>
          <w:sz w:val="28"/>
          <w:szCs w:val="28"/>
          <w:highlight w:val="none"/>
        </w:rPr>
      </w:pPr>
      <w:r>
        <w:rPr>
          <w:rFonts w:hint="eastAsia"/>
          <w:sz w:val="28"/>
          <w:szCs w:val="28"/>
          <w:highlight w:val="none"/>
        </w:rPr>
        <w:t xml:space="preserve">   定期维护：</w:t>
      </w:r>
      <w:r>
        <w:rPr>
          <w:rFonts w:hint="eastAsia"/>
          <w:sz w:val="28"/>
          <w:szCs w:val="28"/>
          <w:highlight w:val="none"/>
          <w:lang w:eastAsia="zh-CN"/>
        </w:rPr>
        <w:t>有完善的保养计划，</w:t>
      </w:r>
      <w:r>
        <w:rPr>
          <w:rFonts w:hint="eastAsia"/>
          <w:sz w:val="28"/>
          <w:szCs w:val="28"/>
          <w:highlight w:val="none"/>
        </w:rPr>
        <w:t xml:space="preserve">每年提供不少于4次现场预防性维护（每季度至少1次），包括但不限于：  </w:t>
      </w:r>
    </w:p>
    <w:p w14:paraId="11600B0A">
      <w:pPr>
        <w:ind w:firstLine="560" w:firstLineChars="200"/>
        <w:rPr>
          <w:rFonts w:hint="eastAsia"/>
          <w:sz w:val="28"/>
          <w:szCs w:val="28"/>
          <w:highlight w:val="none"/>
          <w:lang w:eastAsia="zh-CN"/>
        </w:rPr>
      </w:pPr>
      <w:r>
        <w:rPr>
          <w:rFonts w:hint="eastAsia"/>
          <w:sz w:val="28"/>
          <w:szCs w:val="28"/>
          <w:highlight w:val="none"/>
          <w:lang w:eastAsia="zh-CN"/>
        </w:rPr>
        <w:t>按照制定的保养计划检测校验设备的各项技术指标，确保设备性能优越；</w:t>
      </w:r>
    </w:p>
    <w:p w14:paraId="64DF96A4">
      <w:pPr>
        <w:ind w:firstLine="560" w:firstLineChars="200"/>
        <w:rPr>
          <w:rFonts w:hint="eastAsia"/>
          <w:sz w:val="28"/>
          <w:szCs w:val="28"/>
          <w:highlight w:val="none"/>
          <w:lang w:eastAsia="zh-CN"/>
        </w:rPr>
      </w:pPr>
      <w:r>
        <w:rPr>
          <w:rFonts w:hint="eastAsia"/>
          <w:sz w:val="28"/>
          <w:szCs w:val="28"/>
          <w:highlight w:val="none"/>
          <w:lang w:eastAsia="zh-CN"/>
        </w:rPr>
        <w:t>机器的除尘、清洁，性能测试，校准，电气安全测试，更换易损件，系统升级等；</w:t>
      </w:r>
    </w:p>
    <w:p w14:paraId="12DE18C8">
      <w:pPr>
        <w:rPr>
          <w:rFonts w:hint="eastAsia"/>
          <w:sz w:val="28"/>
          <w:szCs w:val="28"/>
          <w:highlight w:val="none"/>
        </w:rPr>
      </w:pPr>
      <w:r>
        <w:rPr>
          <w:rFonts w:hint="eastAsia"/>
          <w:sz w:val="28"/>
          <w:szCs w:val="28"/>
          <w:highlight w:val="none"/>
        </w:rPr>
        <w:t xml:space="preserve">     - 设备机械校准、电气安全检测、辐射剂量测试；  </w:t>
      </w:r>
    </w:p>
    <w:p w14:paraId="6FE446BA">
      <w:pPr>
        <w:rPr>
          <w:rFonts w:hint="eastAsia"/>
          <w:sz w:val="28"/>
          <w:szCs w:val="28"/>
          <w:highlight w:val="none"/>
        </w:rPr>
      </w:pPr>
      <w:r>
        <w:rPr>
          <w:rFonts w:hint="eastAsia"/>
          <w:sz w:val="28"/>
          <w:szCs w:val="28"/>
          <w:highlight w:val="none"/>
        </w:rPr>
        <w:t xml:space="preserve">     - 系统软件升级及性能优化；  </w:t>
      </w:r>
    </w:p>
    <w:p w14:paraId="0F4233AA">
      <w:pPr>
        <w:rPr>
          <w:rFonts w:hint="eastAsia"/>
          <w:sz w:val="28"/>
          <w:szCs w:val="28"/>
          <w:highlight w:val="none"/>
        </w:rPr>
      </w:pPr>
      <w:r>
        <w:rPr>
          <w:rFonts w:hint="eastAsia"/>
          <w:sz w:val="28"/>
          <w:szCs w:val="28"/>
          <w:highlight w:val="none"/>
        </w:rPr>
        <w:t xml:space="preserve">     - 提交书面维护报告（含检测数据及整改建议）。  </w:t>
      </w:r>
    </w:p>
    <w:p w14:paraId="3B900994">
      <w:pPr>
        <w:rPr>
          <w:rFonts w:hint="eastAsia"/>
          <w:sz w:val="28"/>
          <w:szCs w:val="28"/>
          <w:highlight w:val="none"/>
        </w:rPr>
      </w:pPr>
      <w:r>
        <w:rPr>
          <w:rFonts w:hint="eastAsia"/>
          <w:sz w:val="28"/>
          <w:szCs w:val="28"/>
          <w:highlight w:val="none"/>
        </w:rPr>
        <w:t xml:space="preserve">   紧急响应：  </w:t>
      </w:r>
    </w:p>
    <w:p w14:paraId="2E8E9BE6">
      <w:pPr>
        <w:rPr>
          <w:rFonts w:hint="eastAsia"/>
          <w:sz w:val="28"/>
          <w:szCs w:val="28"/>
          <w:highlight w:val="none"/>
        </w:rPr>
      </w:pPr>
      <w:r>
        <w:rPr>
          <w:rFonts w:hint="eastAsia"/>
          <w:sz w:val="28"/>
          <w:szCs w:val="28"/>
          <w:highlight w:val="none"/>
        </w:rPr>
        <w:t xml:space="preserve">     报修后电话支持无法解决的，</w:t>
      </w:r>
      <w:r>
        <w:rPr>
          <w:rFonts w:hint="eastAsia"/>
          <w:sz w:val="28"/>
          <w:szCs w:val="28"/>
          <w:highlight w:val="none"/>
          <w:lang w:val="en-US" w:eastAsia="zh-CN"/>
        </w:rPr>
        <w:t>24</w:t>
      </w:r>
      <w:r>
        <w:rPr>
          <w:rFonts w:hint="eastAsia"/>
          <w:sz w:val="28"/>
          <w:szCs w:val="28"/>
          <w:highlight w:val="none"/>
        </w:rPr>
        <w:t>小时内工程师到达现场</w:t>
      </w:r>
      <w:r>
        <w:rPr>
          <w:rFonts w:hint="eastAsia"/>
          <w:sz w:val="28"/>
          <w:szCs w:val="28"/>
          <w:highlight w:val="none"/>
          <w:lang w:eastAsia="zh-CN"/>
        </w:rPr>
        <w:t>予以解决</w:t>
      </w:r>
      <w:r>
        <w:rPr>
          <w:rFonts w:hint="eastAsia"/>
          <w:sz w:val="28"/>
          <w:szCs w:val="28"/>
          <w:highlight w:val="none"/>
        </w:rPr>
        <w:t xml:space="preserve">；  </w:t>
      </w:r>
    </w:p>
    <w:p w14:paraId="5F164305">
      <w:pPr>
        <w:rPr>
          <w:rFonts w:hint="eastAsia"/>
          <w:sz w:val="28"/>
          <w:szCs w:val="28"/>
          <w:highlight w:val="none"/>
        </w:rPr>
      </w:pPr>
      <w:r>
        <w:rPr>
          <w:rFonts w:hint="eastAsia"/>
          <w:sz w:val="28"/>
          <w:szCs w:val="28"/>
          <w:highlight w:val="none"/>
        </w:rPr>
        <w:t xml:space="preserve">     </w:t>
      </w:r>
      <w:r>
        <w:rPr>
          <w:rFonts w:hint="eastAsia"/>
          <w:sz w:val="28"/>
          <w:szCs w:val="28"/>
          <w:highlight w:val="none"/>
          <w:lang w:eastAsia="zh-CN"/>
        </w:rPr>
        <w:t>保证一年的开机率大于</w:t>
      </w:r>
      <w:r>
        <w:rPr>
          <w:rFonts w:hint="eastAsia"/>
          <w:sz w:val="28"/>
          <w:szCs w:val="28"/>
          <w:highlight w:val="none"/>
          <w:lang w:val="en-US" w:eastAsia="zh-CN"/>
        </w:rPr>
        <w:t>96%（一年按照365天计算，每年停机时间小于等于14天），停机时间超过14，每超过1天，延长维保期2天，以此类推。</w:t>
      </w:r>
    </w:p>
    <w:p w14:paraId="58B480DB">
      <w:pPr>
        <w:rPr>
          <w:rFonts w:hint="eastAsia"/>
          <w:sz w:val="28"/>
          <w:szCs w:val="28"/>
          <w:highlight w:val="none"/>
        </w:rPr>
      </w:pPr>
      <w:r>
        <w:rPr>
          <w:rFonts w:hint="eastAsia"/>
          <w:sz w:val="28"/>
          <w:szCs w:val="28"/>
          <w:highlight w:val="none"/>
        </w:rPr>
        <w:t xml:space="preserve">2. 配件更换 </w:t>
      </w:r>
    </w:p>
    <w:p w14:paraId="75C55F0E">
      <w:pPr>
        <w:rPr>
          <w:rFonts w:hint="eastAsia"/>
          <w:sz w:val="28"/>
          <w:szCs w:val="28"/>
          <w:highlight w:val="none"/>
        </w:rPr>
      </w:pPr>
      <w:r>
        <w:rPr>
          <w:rFonts w:hint="eastAsia"/>
          <w:sz w:val="28"/>
          <w:szCs w:val="28"/>
          <w:highlight w:val="none"/>
          <w:lang w:val="en-US" w:eastAsia="zh-CN"/>
        </w:rPr>
        <w:t xml:space="preserve">    </w:t>
      </w:r>
      <w:r>
        <w:rPr>
          <w:rFonts w:hint="eastAsia"/>
          <w:sz w:val="28"/>
          <w:szCs w:val="28"/>
          <w:highlight w:val="none"/>
        </w:rPr>
        <w:t>全免费更换：维保期内所有故障配件（含球管、探测器、高压发生器等）须免费更换，且必须为东芝原厂全新备件，进口配件</w:t>
      </w:r>
      <w:r>
        <w:rPr>
          <w:rFonts w:hint="eastAsia"/>
          <w:sz w:val="28"/>
          <w:szCs w:val="28"/>
          <w:highlight w:val="none"/>
          <w:lang w:eastAsia="zh-CN"/>
        </w:rPr>
        <w:t>需提供</w:t>
      </w:r>
      <w:r>
        <w:rPr>
          <w:rFonts w:hint="eastAsia"/>
          <w:sz w:val="28"/>
          <w:szCs w:val="28"/>
          <w:highlight w:val="none"/>
        </w:rPr>
        <w:t xml:space="preserve">海关报关单、完税证明及装箱单。   </w:t>
      </w:r>
    </w:p>
    <w:p w14:paraId="710C2F28">
      <w:pPr>
        <w:rPr>
          <w:rFonts w:hint="eastAsia"/>
          <w:sz w:val="28"/>
          <w:szCs w:val="28"/>
          <w:highlight w:val="none"/>
        </w:rPr>
      </w:pPr>
      <w:r>
        <w:rPr>
          <w:rFonts w:hint="eastAsia"/>
          <w:sz w:val="28"/>
          <w:szCs w:val="28"/>
          <w:highlight w:val="none"/>
        </w:rPr>
        <w:t xml:space="preserve">3. 技术支持与培训 </w:t>
      </w:r>
    </w:p>
    <w:p w14:paraId="2955A0F1">
      <w:pPr>
        <w:rPr>
          <w:rFonts w:hint="eastAsia"/>
          <w:sz w:val="28"/>
          <w:szCs w:val="28"/>
          <w:highlight w:val="none"/>
        </w:rPr>
      </w:pPr>
      <w:r>
        <w:rPr>
          <w:rFonts w:hint="eastAsia"/>
          <w:sz w:val="28"/>
          <w:szCs w:val="28"/>
          <w:highlight w:val="none"/>
        </w:rPr>
        <w:t xml:space="preserve">   - 提供7×24小时远程技术支持及故障诊断；  </w:t>
      </w:r>
    </w:p>
    <w:p w14:paraId="6D29C9AB">
      <w:pPr>
        <w:rPr>
          <w:rFonts w:hint="eastAsia"/>
          <w:sz w:val="28"/>
          <w:szCs w:val="28"/>
          <w:highlight w:val="none"/>
        </w:rPr>
      </w:pPr>
      <w:r>
        <w:rPr>
          <w:rFonts w:hint="eastAsia"/>
          <w:sz w:val="28"/>
          <w:szCs w:val="28"/>
          <w:highlight w:val="none"/>
        </w:rPr>
        <w:t xml:space="preserve">   - 每年至少2次操作培训（覆盖设备使用、日常维护及应急处理）；  </w:t>
      </w:r>
    </w:p>
    <w:p w14:paraId="3D645D54">
      <w:pPr>
        <w:rPr>
          <w:rFonts w:hint="eastAsia"/>
          <w:sz w:val="28"/>
          <w:szCs w:val="28"/>
          <w:highlight w:val="none"/>
        </w:rPr>
      </w:pPr>
      <w:r>
        <w:rPr>
          <w:rFonts w:hint="eastAsia"/>
          <w:sz w:val="28"/>
          <w:szCs w:val="28"/>
          <w:highlight w:val="none"/>
        </w:rPr>
        <w:t xml:space="preserve">   -</w:t>
      </w:r>
      <w:r>
        <w:rPr>
          <w:rFonts w:hint="eastAsia"/>
          <w:sz w:val="28"/>
          <w:szCs w:val="28"/>
          <w:highlight w:val="none"/>
          <w:lang w:val="en-US" w:eastAsia="zh-CN"/>
        </w:rPr>
        <w:t xml:space="preserve"> </w:t>
      </w:r>
      <w:r>
        <w:rPr>
          <w:rFonts w:hint="eastAsia"/>
          <w:sz w:val="28"/>
          <w:szCs w:val="28"/>
          <w:highlight w:val="none"/>
        </w:rPr>
        <w:t>工程师资质：服务工程师需持有东芝官方认证的CT维修资质</w:t>
      </w:r>
      <w:r>
        <w:rPr>
          <w:rFonts w:hint="eastAsia"/>
          <w:sz w:val="28"/>
          <w:szCs w:val="28"/>
          <w:highlight w:val="none"/>
          <w:lang w:eastAsia="zh-CN"/>
        </w:rPr>
        <w:t>或者东芝公司的</w:t>
      </w:r>
      <w:r>
        <w:rPr>
          <w:rFonts w:hint="eastAsia"/>
          <w:sz w:val="28"/>
          <w:szCs w:val="28"/>
          <w:highlight w:val="none"/>
        </w:rPr>
        <w:t xml:space="preserve">培训经历证明。  </w:t>
      </w:r>
    </w:p>
    <w:p w14:paraId="60A324D9">
      <w:pPr>
        <w:rPr>
          <w:rFonts w:hint="eastAsia"/>
          <w:sz w:val="28"/>
          <w:szCs w:val="28"/>
          <w:highlight w:val="none"/>
        </w:rPr>
      </w:pPr>
      <w:r>
        <w:rPr>
          <w:rFonts w:hint="eastAsia"/>
          <w:sz w:val="28"/>
          <w:szCs w:val="28"/>
          <w:highlight w:val="none"/>
          <w:lang w:val="en-US" w:eastAsia="zh-CN"/>
        </w:rPr>
        <w:t xml:space="preserve">    -每一年度保修结束后，需提供年度设备运行评价报告。</w:t>
      </w:r>
    </w:p>
    <w:p w14:paraId="2216581A">
      <w:pPr>
        <w:rPr>
          <w:rFonts w:hint="eastAsia"/>
          <w:b/>
          <w:bCs/>
          <w:sz w:val="28"/>
          <w:szCs w:val="28"/>
          <w:highlight w:val="none"/>
        </w:rPr>
      </w:pPr>
      <w:r>
        <w:rPr>
          <w:rFonts w:hint="eastAsia"/>
          <w:b/>
          <w:bCs/>
          <w:sz w:val="28"/>
          <w:szCs w:val="28"/>
          <w:highlight w:val="none"/>
        </w:rPr>
        <w:t>三、供应商资质要求</w:t>
      </w:r>
    </w:p>
    <w:p w14:paraId="5907F8B8">
      <w:pPr>
        <w:rPr>
          <w:rFonts w:hint="eastAsia"/>
          <w:sz w:val="28"/>
          <w:szCs w:val="28"/>
          <w:highlight w:val="none"/>
        </w:rPr>
      </w:pPr>
      <w:r>
        <w:rPr>
          <w:rFonts w:hint="eastAsia"/>
          <w:sz w:val="28"/>
          <w:szCs w:val="28"/>
          <w:highlight w:val="none"/>
        </w:rPr>
        <w:t>1. 基本资质</w:t>
      </w:r>
    </w:p>
    <w:p w14:paraId="606F4268">
      <w:pPr>
        <w:rPr>
          <w:rFonts w:hint="eastAsia"/>
          <w:sz w:val="28"/>
          <w:szCs w:val="28"/>
          <w:highlight w:val="none"/>
        </w:rPr>
      </w:pPr>
      <w:r>
        <w:rPr>
          <w:rFonts w:hint="eastAsia"/>
          <w:sz w:val="28"/>
          <w:szCs w:val="28"/>
          <w:highlight w:val="none"/>
        </w:rPr>
        <w:t xml:space="preserve">  </w:t>
      </w:r>
      <w:r>
        <w:rPr>
          <w:rFonts w:hint="eastAsia"/>
          <w:sz w:val="28"/>
          <w:szCs w:val="28"/>
          <w:highlight w:val="none"/>
          <w:lang w:val="en-US" w:eastAsia="zh-CN"/>
        </w:rPr>
        <w:t xml:space="preserve">   -</w:t>
      </w:r>
      <w:r>
        <w:rPr>
          <w:rFonts w:hint="eastAsia"/>
          <w:sz w:val="28"/>
          <w:szCs w:val="28"/>
          <w:highlight w:val="none"/>
          <w:lang w:eastAsia="zh-CN"/>
        </w:rPr>
        <w:t>供应商具有相关设备维修能力，提供证明材料（维修资质、专业工程师资质、维修设备工具清单等）；</w:t>
      </w:r>
      <w:r>
        <w:rPr>
          <w:rFonts w:hint="eastAsia"/>
          <w:sz w:val="28"/>
          <w:szCs w:val="28"/>
          <w:highlight w:val="none"/>
        </w:rPr>
        <w:t xml:space="preserve"> </w:t>
      </w:r>
    </w:p>
    <w:p w14:paraId="47A745FD">
      <w:pPr>
        <w:rPr>
          <w:rFonts w:hint="eastAsia"/>
          <w:b/>
          <w:bCs/>
          <w:sz w:val="28"/>
          <w:szCs w:val="28"/>
          <w:highlight w:val="none"/>
        </w:rPr>
      </w:pPr>
      <w:r>
        <w:rPr>
          <w:rFonts w:hint="eastAsia"/>
          <w:b/>
          <w:bCs/>
          <w:sz w:val="28"/>
          <w:szCs w:val="28"/>
          <w:highlight w:val="none"/>
        </w:rPr>
        <w:t>四、验收与违约责任</w:t>
      </w:r>
    </w:p>
    <w:p w14:paraId="6824D111">
      <w:pPr>
        <w:rPr>
          <w:rFonts w:hint="eastAsia"/>
          <w:sz w:val="28"/>
          <w:szCs w:val="28"/>
          <w:highlight w:val="none"/>
        </w:rPr>
      </w:pPr>
      <w:r>
        <w:rPr>
          <w:rFonts w:hint="eastAsia"/>
          <w:sz w:val="28"/>
          <w:szCs w:val="28"/>
          <w:highlight w:val="none"/>
        </w:rPr>
        <w:t xml:space="preserve">1. 验收标准 </w:t>
      </w:r>
    </w:p>
    <w:p w14:paraId="7E167E98">
      <w:pPr>
        <w:rPr>
          <w:rFonts w:hint="eastAsia"/>
          <w:sz w:val="28"/>
          <w:szCs w:val="28"/>
          <w:highlight w:val="none"/>
          <w:lang w:val="en-US" w:eastAsia="zh-CN"/>
        </w:rPr>
      </w:pPr>
      <w:r>
        <w:rPr>
          <w:rFonts w:hint="eastAsia"/>
          <w:sz w:val="28"/>
          <w:szCs w:val="28"/>
          <w:highlight w:val="none"/>
          <w:lang w:val="en-US" w:eastAsia="zh-CN"/>
        </w:rPr>
        <w:t xml:space="preserve">   - 每次维护后由院方使用科室及设备科签字确认，并留存验收报告，验收报告需包含当前设备的运行状态及日后注意事项；  </w:t>
      </w:r>
    </w:p>
    <w:p w14:paraId="69659E1F">
      <w:pPr>
        <w:rPr>
          <w:rFonts w:hint="eastAsia"/>
          <w:sz w:val="28"/>
          <w:szCs w:val="28"/>
          <w:highlight w:val="none"/>
        </w:rPr>
      </w:pPr>
      <w:r>
        <w:rPr>
          <w:rFonts w:hint="eastAsia"/>
          <w:sz w:val="28"/>
          <w:szCs w:val="28"/>
          <w:highlight w:val="none"/>
          <w:lang w:val="en-US" w:eastAsia="zh-CN"/>
        </w:rPr>
        <w:t xml:space="preserve">   -CT设备每年进行计量检测和性能检测，维保方需配合院方做好此项工作，若检测不达标视为设备故障，维保方需及时维修调试，确保通过检测。</w:t>
      </w:r>
      <w:r>
        <w:rPr>
          <w:rFonts w:hint="eastAsia"/>
          <w:sz w:val="28"/>
          <w:szCs w:val="28"/>
          <w:highlight w:val="none"/>
        </w:rPr>
        <w:t xml:space="preserve">   </w:t>
      </w:r>
    </w:p>
    <w:p w14:paraId="5008CEAF">
      <w:pPr>
        <w:rPr>
          <w:rFonts w:hint="eastAsia"/>
          <w:sz w:val="28"/>
          <w:szCs w:val="28"/>
          <w:highlight w:val="none"/>
        </w:rPr>
      </w:pPr>
      <w:r>
        <w:rPr>
          <w:rFonts w:hint="eastAsia"/>
          <w:sz w:val="28"/>
          <w:szCs w:val="28"/>
          <w:highlight w:val="none"/>
        </w:rPr>
        <w:t>2. 违约责任</w:t>
      </w:r>
    </w:p>
    <w:p w14:paraId="290E4C68">
      <w:pPr>
        <w:rPr>
          <w:rFonts w:hint="eastAsia"/>
          <w:sz w:val="28"/>
          <w:szCs w:val="28"/>
          <w:highlight w:val="none"/>
        </w:rPr>
      </w:pPr>
      <w:r>
        <w:rPr>
          <w:rFonts w:hint="eastAsia"/>
          <w:sz w:val="28"/>
          <w:szCs w:val="28"/>
          <w:highlight w:val="none"/>
        </w:rPr>
        <w:t xml:space="preserve">   - 未达到</w:t>
      </w:r>
      <w:r>
        <w:rPr>
          <w:rFonts w:hint="eastAsia"/>
          <w:sz w:val="28"/>
          <w:szCs w:val="28"/>
          <w:highlight w:val="none"/>
          <w:lang w:val="en-US" w:eastAsia="zh-CN"/>
        </w:rPr>
        <w:t>24</w:t>
      </w:r>
      <w:r>
        <w:rPr>
          <w:rFonts w:hint="eastAsia"/>
          <w:sz w:val="28"/>
          <w:szCs w:val="28"/>
          <w:highlight w:val="none"/>
        </w:rPr>
        <w:t>小时响应时限</w:t>
      </w:r>
      <w:r>
        <w:rPr>
          <w:rFonts w:hint="eastAsia"/>
          <w:sz w:val="28"/>
          <w:szCs w:val="28"/>
          <w:highlight w:val="none"/>
          <w:lang w:eastAsia="zh-CN"/>
        </w:rPr>
        <w:t>要求到达现场解决故障的</w:t>
      </w:r>
      <w:r>
        <w:rPr>
          <w:rFonts w:hint="eastAsia"/>
          <w:sz w:val="28"/>
          <w:szCs w:val="28"/>
          <w:highlight w:val="none"/>
        </w:rPr>
        <w:t>，每次扣减</w:t>
      </w:r>
      <w:r>
        <w:rPr>
          <w:rFonts w:hint="eastAsia"/>
          <w:sz w:val="28"/>
          <w:szCs w:val="28"/>
          <w:highlight w:val="none"/>
          <w:lang w:eastAsia="zh-CN"/>
        </w:rPr>
        <w:t>一年</w:t>
      </w:r>
      <w:r>
        <w:rPr>
          <w:rFonts w:hint="eastAsia"/>
          <w:sz w:val="28"/>
          <w:szCs w:val="28"/>
          <w:highlight w:val="none"/>
        </w:rPr>
        <w:t>合同金额的1%</w:t>
      </w:r>
      <w:r>
        <w:rPr>
          <w:rFonts w:hint="eastAsia"/>
          <w:sz w:val="28"/>
          <w:szCs w:val="28"/>
          <w:highlight w:val="none"/>
          <w:lang w:eastAsia="zh-CN"/>
        </w:rPr>
        <w:t>，不可抗力原因除外</w:t>
      </w:r>
      <w:r>
        <w:rPr>
          <w:rFonts w:hint="eastAsia"/>
          <w:sz w:val="28"/>
          <w:szCs w:val="28"/>
          <w:highlight w:val="none"/>
        </w:rPr>
        <w:t xml:space="preserve">；  </w:t>
      </w:r>
    </w:p>
    <w:p w14:paraId="12169993">
      <w:pPr>
        <w:rPr>
          <w:rFonts w:hint="eastAsia"/>
          <w:sz w:val="28"/>
          <w:szCs w:val="28"/>
          <w:highlight w:val="none"/>
        </w:rPr>
      </w:pPr>
      <w:r>
        <w:rPr>
          <w:rFonts w:hint="eastAsia"/>
          <w:sz w:val="28"/>
          <w:szCs w:val="28"/>
          <w:highlight w:val="none"/>
        </w:rPr>
        <w:t xml:space="preserve">   - 更换配件非原厂或未提供</w:t>
      </w:r>
      <w:r>
        <w:rPr>
          <w:rFonts w:hint="eastAsia"/>
          <w:sz w:val="28"/>
          <w:szCs w:val="28"/>
          <w:highlight w:val="none"/>
          <w:lang w:eastAsia="zh-CN"/>
        </w:rPr>
        <w:t>相关</w:t>
      </w:r>
      <w:r>
        <w:rPr>
          <w:rFonts w:hint="eastAsia"/>
          <w:sz w:val="28"/>
          <w:szCs w:val="28"/>
          <w:highlight w:val="none"/>
        </w:rPr>
        <w:t xml:space="preserve">资料，视为重大违约，采购人有权终止合同并索赔。  </w:t>
      </w:r>
    </w:p>
    <w:p w14:paraId="17794844">
      <w:pPr>
        <w:rPr>
          <w:rFonts w:hint="eastAsia"/>
          <w:b/>
          <w:bCs/>
          <w:sz w:val="28"/>
          <w:szCs w:val="28"/>
          <w:highlight w:val="none"/>
        </w:rPr>
      </w:pPr>
      <w:r>
        <w:rPr>
          <w:rFonts w:hint="eastAsia"/>
          <w:b/>
          <w:bCs/>
          <w:sz w:val="28"/>
          <w:szCs w:val="28"/>
          <w:highlight w:val="none"/>
        </w:rPr>
        <w:t>五、报价与合同条款</w:t>
      </w:r>
    </w:p>
    <w:p w14:paraId="4353ADF4">
      <w:pPr>
        <w:rPr>
          <w:rFonts w:hint="eastAsia"/>
          <w:sz w:val="28"/>
          <w:szCs w:val="28"/>
          <w:highlight w:val="none"/>
        </w:rPr>
      </w:pPr>
      <w:r>
        <w:rPr>
          <w:rFonts w:hint="eastAsia"/>
          <w:sz w:val="28"/>
          <w:szCs w:val="28"/>
          <w:highlight w:val="none"/>
        </w:rPr>
        <w:t xml:space="preserve">1. 报价要求 </w:t>
      </w:r>
    </w:p>
    <w:p w14:paraId="4EB1300A">
      <w:pPr>
        <w:rPr>
          <w:rFonts w:hint="eastAsia"/>
          <w:sz w:val="28"/>
          <w:szCs w:val="28"/>
          <w:highlight w:val="none"/>
        </w:rPr>
      </w:pPr>
      <w:r>
        <w:rPr>
          <w:rFonts w:hint="eastAsia"/>
          <w:sz w:val="28"/>
          <w:szCs w:val="28"/>
          <w:highlight w:val="none"/>
        </w:rPr>
        <w:t xml:space="preserve">   - 总价包干，包含人工、配件、差旅、培训等所有费用</w:t>
      </w:r>
      <w:r>
        <w:rPr>
          <w:rFonts w:hint="eastAsia"/>
          <w:sz w:val="28"/>
          <w:szCs w:val="28"/>
          <w:highlight w:val="none"/>
          <w:lang w:eastAsia="zh-CN"/>
        </w:rPr>
        <w:t>。</w:t>
      </w:r>
      <w:r>
        <w:rPr>
          <w:rFonts w:hint="eastAsia"/>
          <w:sz w:val="28"/>
          <w:szCs w:val="28"/>
          <w:highlight w:val="none"/>
        </w:rPr>
        <w:t xml:space="preserve">  </w:t>
      </w:r>
    </w:p>
    <w:p w14:paraId="686C1DA5">
      <w:pPr>
        <w:rPr>
          <w:rFonts w:hint="eastAsia"/>
          <w:sz w:val="28"/>
          <w:szCs w:val="28"/>
          <w:highlight w:val="none"/>
        </w:rPr>
      </w:pPr>
      <w:r>
        <w:rPr>
          <w:rFonts w:hint="eastAsia"/>
          <w:sz w:val="28"/>
          <w:szCs w:val="28"/>
          <w:highlight w:val="none"/>
        </w:rPr>
        <w:t xml:space="preserve">2. 付款方式  </w:t>
      </w:r>
    </w:p>
    <w:p w14:paraId="5BCCA169">
      <w:pPr>
        <w:rPr>
          <w:rFonts w:hint="eastAsia" w:eastAsia="宋体"/>
          <w:sz w:val="28"/>
          <w:szCs w:val="28"/>
          <w:highlight w:val="none"/>
          <w:lang w:eastAsia="zh-CN"/>
        </w:rPr>
      </w:pPr>
      <w:r>
        <w:rPr>
          <w:rFonts w:hint="eastAsia"/>
          <w:sz w:val="28"/>
          <w:szCs w:val="28"/>
          <w:highlight w:val="none"/>
        </w:rPr>
        <w:t xml:space="preserve">   - 分期支付：合同签订付30%，</w:t>
      </w:r>
      <w:r>
        <w:rPr>
          <w:rFonts w:hint="eastAsia"/>
          <w:sz w:val="28"/>
          <w:szCs w:val="28"/>
          <w:highlight w:val="none"/>
          <w:lang w:eastAsia="zh-CN"/>
        </w:rPr>
        <w:t>维保半年后付</w:t>
      </w:r>
      <w:r>
        <w:rPr>
          <w:rFonts w:hint="eastAsia"/>
          <w:sz w:val="28"/>
          <w:szCs w:val="28"/>
          <w:highlight w:val="none"/>
          <w:lang w:val="en-US" w:eastAsia="zh-CN"/>
        </w:rPr>
        <w:t>50%，</w:t>
      </w:r>
      <w:r>
        <w:rPr>
          <w:rFonts w:hint="eastAsia"/>
          <w:sz w:val="28"/>
          <w:szCs w:val="28"/>
          <w:highlight w:val="none"/>
        </w:rPr>
        <w:t>每年服务</w:t>
      </w:r>
      <w:r>
        <w:rPr>
          <w:rFonts w:hint="eastAsia"/>
          <w:sz w:val="28"/>
          <w:szCs w:val="28"/>
          <w:highlight w:val="none"/>
          <w:lang w:eastAsia="zh-CN"/>
        </w:rPr>
        <w:t>期满后付</w:t>
      </w:r>
      <w:r>
        <w:rPr>
          <w:rFonts w:hint="eastAsia"/>
          <w:sz w:val="28"/>
          <w:szCs w:val="28"/>
          <w:highlight w:val="none"/>
          <w:lang w:val="en-US" w:eastAsia="zh-CN"/>
        </w:rPr>
        <w:t>20%</w:t>
      </w:r>
      <w:r>
        <w:rPr>
          <w:rFonts w:hint="eastAsia"/>
          <w:sz w:val="28"/>
          <w:szCs w:val="28"/>
          <w:highlight w:val="none"/>
        </w:rPr>
        <w:t xml:space="preserve">。  </w:t>
      </w:r>
    </w:p>
    <w:p w14:paraId="39F3A07D">
      <w:pPr>
        <w:rPr>
          <w:rFonts w:hint="eastAsia"/>
          <w:sz w:val="28"/>
          <w:szCs w:val="28"/>
          <w:highlight w:val="none"/>
          <w:lang w:val="en-US" w:eastAsia="zh-CN"/>
        </w:rPr>
      </w:pPr>
    </w:p>
    <w:p w14:paraId="60BBDC67">
      <w:pPr>
        <w:widowControl/>
        <w:jc w:val="left"/>
        <w:rPr>
          <w:rFonts w:hint="eastAsia" w:ascii="仿宋" w:hAnsi="仿宋" w:eastAsia="仿宋"/>
          <w:b/>
          <w:bCs/>
          <w:color w:val="auto"/>
          <w:sz w:val="32"/>
          <w:szCs w:val="32"/>
          <w:highlight w:val="none"/>
          <w:lang w:eastAsia="zh-CN"/>
        </w:rPr>
      </w:pPr>
    </w:p>
    <w:p w14:paraId="2DFDA84B">
      <w:pPr>
        <w:rPr>
          <w:rFonts w:hint="eastAsia" w:ascii="仿宋" w:hAnsi="仿宋" w:eastAsia="仿宋"/>
          <w:b/>
          <w:bCs/>
          <w:color w:val="auto"/>
          <w:sz w:val="44"/>
          <w:szCs w:val="44"/>
          <w:highlight w:val="none"/>
          <w:lang w:val="en-US" w:eastAsia="zh-CN"/>
        </w:rPr>
      </w:pPr>
      <w:r>
        <w:rPr>
          <w:rFonts w:hint="eastAsia" w:ascii="仿宋" w:hAnsi="仿宋" w:eastAsia="仿宋"/>
          <w:b/>
          <w:bCs/>
          <w:color w:val="auto"/>
          <w:sz w:val="44"/>
          <w:szCs w:val="44"/>
          <w:highlight w:val="none"/>
          <w:lang w:val="en-US" w:eastAsia="zh-CN"/>
        </w:rPr>
        <w:br w:type="page"/>
      </w:r>
    </w:p>
    <w:p w14:paraId="749243E9">
      <w:pPr>
        <w:pStyle w:val="2"/>
        <w:rPr>
          <w:rFonts w:ascii="宋体" w:hAnsi="宋体"/>
          <w:color w:val="auto"/>
          <w:highlight w:val="none"/>
        </w:rPr>
      </w:pPr>
      <w:bookmarkStart w:id="47" w:name="_Toc161933895"/>
      <w:r>
        <w:rPr>
          <w:rFonts w:hint="eastAsia" w:ascii="宋体" w:hAnsi="宋体"/>
          <w:color w:val="auto"/>
          <w:highlight w:val="none"/>
        </w:rPr>
        <w:t xml:space="preserve">第五章  </w:t>
      </w:r>
      <w:bookmarkEnd w:id="44"/>
      <w:bookmarkEnd w:id="45"/>
      <w:r>
        <w:rPr>
          <w:rFonts w:hint="eastAsia" w:ascii="宋体" w:hAnsi="宋体"/>
          <w:color w:val="auto"/>
          <w:highlight w:val="none"/>
        </w:rPr>
        <w:t>投标文件格式</w:t>
      </w:r>
      <w:bookmarkEnd w:id="47"/>
    </w:p>
    <w:p w14:paraId="3EAB7520">
      <w:pPr>
        <w:adjustRightInd w:val="0"/>
        <w:snapToGrid w:val="0"/>
        <w:spacing w:line="400" w:lineRule="atLeast"/>
        <w:jc w:val="center"/>
        <w:rPr>
          <w:rFonts w:ascii="宋体" w:hAnsi="宋体"/>
          <w:bCs/>
          <w:color w:val="auto"/>
          <w:sz w:val="52"/>
          <w:szCs w:val="52"/>
          <w:highlight w:val="none"/>
        </w:rPr>
      </w:pPr>
    </w:p>
    <w:p w14:paraId="55835E29">
      <w:pPr>
        <w:adjustRightInd w:val="0"/>
        <w:snapToGrid w:val="0"/>
        <w:spacing w:line="400" w:lineRule="atLeast"/>
        <w:jc w:val="center"/>
        <w:rPr>
          <w:rFonts w:ascii="宋体" w:hAnsi="宋体"/>
          <w:bCs/>
          <w:color w:val="auto"/>
          <w:sz w:val="44"/>
          <w:szCs w:val="44"/>
          <w:highlight w:val="none"/>
        </w:rPr>
        <w:sectPr>
          <w:footerReference r:id="rId7" w:type="default"/>
          <w:type w:val="continuous"/>
          <w:pgSz w:w="11906" w:h="16838"/>
          <w:pgMar w:top="1440" w:right="1797" w:bottom="1440" w:left="1797" w:header="851" w:footer="992" w:gutter="0"/>
          <w:pgNumType w:fmt="decimal" w:start="1"/>
          <w:cols w:space="720" w:num="1"/>
          <w:docGrid w:linePitch="312" w:charSpace="0"/>
        </w:sectPr>
      </w:pPr>
    </w:p>
    <w:p w14:paraId="690A7C41">
      <w:pPr>
        <w:adjustRightInd w:val="0"/>
        <w:snapToGrid w:val="0"/>
        <w:spacing w:line="400" w:lineRule="atLeast"/>
        <w:jc w:val="center"/>
        <w:rPr>
          <w:rFonts w:ascii="宋体" w:hAnsi="宋体"/>
          <w:bCs/>
          <w:color w:val="auto"/>
          <w:sz w:val="52"/>
          <w:szCs w:val="52"/>
          <w:highlight w:val="none"/>
        </w:rPr>
      </w:pPr>
    </w:p>
    <w:p w14:paraId="19EBF6ED">
      <w:pPr>
        <w:adjustRightInd w:val="0"/>
        <w:snapToGrid w:val="0"/>
        <w:spacing w:line="400" w:lineRule="atLeast"/>
        <w:jc w:val="center"/>
        <w:rPr>
          <w:rFonts w:ascii="宋体" w:hAnsi="宋体"/>
          <w:bCs/>
          <w:color w:val="auto"/>
          <w:sz w:val="52"/>
          <w:szCs w:val="52"/>
          <w:highlight w:val="none"/>
        </w:rPr>
      </w:pPr>
    </w:p>
    <w:p w14:paraId="10628DAD">
      <w:pPr>
        <w:adjustRightInd w:val="0"/>
        <w:snapToGrid w:val="0"/>
        <w:spacing w:line="400" w:lineRule="atLeast"/>
        <w:jc w:val="center"/>
        <w:rPr>
          <w:rFonts w:ascii="宋体" w:hAnsi="宋体"/>
          <w:bCs/>
          <w:color w:val="auto"/>
          <w:sz w:val="48"/>
          <w:szCs w:val="48"/>
          <w:highlight w:val="none"/>
        </w:rPr>
      </w:pPr>
      <w:r>
        <w:rPr>
          <w:rFonts w:hint="eastAsia" w:ascii="宋体" w:hAnsi="宋体"/>
          <w:bCs/>
          <w:color w:val="auto"/>
          <w:sz w:val="48"/>
          <w:szCs w:val="48"/>
          <w:highlight w:val="none"/>
        </w:rPr>
        <w:t>投 标 文 件</w:t>
      </w:r>
    </w:p>
    <w:p w14:paraId="3FB09DB4">
      <w:pPr>
        <w:snapToGrid w:val="0"/>
        <w:spacing w:before="120" w:beforeLines="50" w:after="50"/>
        <w:jc w:val="center"/>
        <w:rPr>
          <w:rFonts w:ascii="宋体" w:hAnsi="宋体"/>
          <w:b/>
          <w:bCs/>
          <w:color w:val="auto"/>
          <w:sz w:val="28"/>
          <w:szCs w:val="28"/>
          <w:highlight w:val="none"/>
        </w:rPr>
      </w:pPr>
    </w:p>
    <w:p w14:paraId="3BCA7139">
      <w:pPr>
        <w:snapToGrid w:val="0"/>
        <w:spacing w:before="120" w:beforeLines="50" w:after="50"/>
        <w:jc w:val="center"/>
        <w:rPr>
          <w:rFonts w:ascii="宋体" w:hAnsi="宋体"/>
          <w:b/>
          <w:bCs/>
          <w:color w:val="auto"/>
          <w:sz w:val="28"/>
          <w:szCs w:val="28"/>
          <w:highlight w:val="none"/>
        </w:rPr>
      </w:pPr>
    </w:p>
    <w:p w14:paraId="5735AFA8">
      <w:pPr>
        <w:spacing w:before="240" w:beforeLines="100"/>
        <w:jc w:val="center"/>
        <w:rPr>
          <w:rFonts w:ascii="宋体" w:hAnsi="宋体"/>
          <w:b/>
          <w:color w:val="auto"/>
          <w:sz w:val="44"/>
          <w:szCs w:val="44"/>
          <w:highlight w:val="none"/>
        </w:rPr>
      </w:pPr>
    </w:p>
    <w:p w14:paraId="470ACD1E">
      <w:pPr>
        <w:rPr>
          <w:rFonts w:ascii="宋体" w:hAnsi="宋体"/>
          <w:color w:val="auto"/>
          <w:sz w:val="28"/>
          <w:szCs w:val="28"/>
          <w:highlight w:val="none"/>
        </w:rPr>
      </w:pPr>
    </w:p>
    <w:p w14:paraId="727F18A6">
      <w:pPr>
        <w:snapToGrid w:val="0"/>
        <w:spacing w:before="240" w:beforeLines="100" w:after="240" w:afterLines="100" w:line="360" w:lineRule="auto"/>
        <w:ind w:firstLine="993" w:firstLineChars="412"/>
        <w:rPr>
          <w:rFonts w:hint="eastAsia" w:ascii="宋体" w:hAnsi="宋体"/>
          <w:b/>
          <w:bCs/>
          <w:color w:val="auto"/>
          <w:sz w:val="24"/>
          <w:highlight w:val="none"/>
        </w:rPr>
      </w:pPr>
      <w:r>
        <w:rPr>
          <w:rFonts w:hint="eastAsia" w:ascii="宋体" w:hAnsi="宋体"/>
          <w:b/>
          <w:bCs/>
          <w:color w:val="auto"/>
          <w:sz w:val="24"/>
          <w:highlight w:val="none"/>
        </w:rPr>
        <w:t>项目名称：</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 xml:space="preserve"> </w:t>
      </w:r>
    </w:p>
    <w:p w14:paraId="0CA180EF">
      <w:pPr>
        <w:snapToGrid w:val="0"/>
        <w:spacing w:before="240" w:beforeLines="100" w:after="240" w:afterLines="100" w:line="360" w:lineRule="auto"/>
        <w:ind w:firstLine="993" w:firstLineChars="412"/>
        <w:rPr>
          <w:rFonts w:ascii="宋体" w:hAnsi="宋体"/>
          <w:b/>
          <w:bCs/>
          <w:color w:val="auto"/>
          <w:sz w:val="24"/>
          <w:highlight w:val="none"/>
        </w:rPr>
      </w:pPr>
      <w:r>
        <w:rPr>
          <w:rFonts w:hint="eastAsia" w:ascii="宋体" w:hAnsi="宋体"/>
          <w:b/>
          <w:bCs/>
          <w:color w:val="auto"/>
          <w:sz w:val="24"/>
          <w:highlight w:val="none"/>
          <w:lang w:eastAsia="zh-CN"/>
        </w:rPr>
        <w:t>标</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lang w:eastAsia="zh-CN"/>
        </w:rPr>
        <w:t>项</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lang w:eastAsia="zh-CN"/>
        </w:rPr>
        <w:t>号：</w:t>
      </w:r>
      <w:r>
        <w:rPr>
          <w:rFonts w:hint="eastAsia" w:ascii="宋体" w:hAnsi="宋体"/>
          <w:b/>
          <w:bCs/>
          <w:color w:val="auto"/>
          <w:sz w:val="24"/>
          <w:highlight w:val="none"/>
          <w:u w:val="single"/>
        </w:rPr>
        <w:t xml:space="preserve"> </w:t>
      </w:r>
      <w:r>
        <w:rPr>
          <w:rFonts w:hint="eastAsia" w:ascii="宋体" w:hAnsi="宋体"/>
          <w:b/>
          <w:bCs/>
          <w:color w:val="auto"/>
          <w:sz w:val="24"/>
          <w:highlight w:val="none"/>
          <w:u w:val="single"/>
          <w:lang w:val="en-US" w:eastAsia="zh-CN"/>
        </w:rPr>
        <w:t xml:space="preserve">                                 </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 xml:space="preserve">   </w:t>
      </w:r>
    </w:p>
    <w:p w14:paraId="5410D375">
      <w:pPr>
        <w:snapToGrid w:val="0"/>
        <w:spacing w:before="240" w:beforeLines="100" w:after="240" w:afterLines="100" w:line="360" w:lineRule="auto"/>
        <w:ind w:firstLine="985" w:firstLineChars="409"/>
        <w:rPr>
          <w:rFonts w:ascii="宋体" w:hAnsi="宋体"/>
          <w:b/>
          <w:bCs/>
          <w:color w:val="auto"/>
          <w:sz w:val="24"/>
          <w:highlight w:val="none"/>
        </w:rPr>
      </w:pPr>
      <w:r>
        <w:rPr>
          <w:rFonts w:hint="eastAsia" w:ascii="宋体" w:hAnsi="宋体"/>
          <w:b/>
          <w:bCs/>
          <w:color w:val="auto"/>
          <w:sz w:val="24"/>
          <w:highlight w:val="none"/>
        </w:rPr>
        <w:t>项目编号：</w:t>
      </w:r>
      <w:r>
        <w:rPr>
          <w:rFonts w:hint="eastAsia" w:ascii="宋体" w:hAnsi="宋体"/>
          <w:b/>
          <w:bCs/>
          <w:color w:val="auto"/>
          <w:sz w:val="24"/>
          <w:highlight w:val="none"/>
          <w:u w:val="single"/>
        </w:rPr>
        <w:t xml:space="preserve">                                  </w:t>
      </w:r>
      <w:r>
        <w:rPr>
          <w:rFonts w:ascii="宋体" w:hAnsi="宋体"/>
          <w:b/>
          <w:bCs/>
          <w:color w:val="auto"/>
          <w:sz w:val="24"/>
          <w:highlight w:val="none"/>
        </w:rPr>
        <w:t xml:space="preserve"> </w:t>
      </w:r>
      <w:r>
        <w:rPr>
          <w:rFonts w:hint="eastAsia" w:ascii="宋体" w:hAnsi="宋体"/>
          <w:b/>
          <w:bCs/>
          <w:color w:val="auto"/>
          <w:sz w:val="24"/>
          <w:highlight w:val="none"/>
        </w:rPr>
        <w:t xml:space="preserve">    </w:t>
      </w:r>
    </w:p>
    <w:p w14:paraId="26DFA887">
      <w:pPr>
        <w:snapToGrid w:val="0"/>
        <w:spacing w:before="240" w:beforeLines="100" w:after="240" w:afterLines="100" w:line="360" w:lineRule="auto"/>
        <w:ind w:firstLine="985" w:firstLineChars="409"/>
        <w:rPr>
          <w:rFonts w:ascii="宋体" w:hAnsi="宋体"/>
          <w:b/>
          <w:bCs/>
          <w:color w:val="auto"/>
          <w:sz w:val="24"/>
          <w:highlight w:val="none"/>
          <w:u w:val="single"/>
        </w:rPr>
      </w:pPr>
      <w:r>
        <w:rPr>
          <w:rFonts w:hint="eastAsia" w:ascii="宋体" w:hAnsi="宋体"/>
          <w:b/>
          <w:bCs/>
          <w:color w:val="auto"/>
          <w:sz w:val="24"/>
          <w:highlight w:val="none"/>
        </w:rPr>
        <w:t>投标内容：</w:t>
      </w:r>
      <w:r>
        <w:rPr>
          <w:rFonts w:hint="eastAsia" w:ascii="宋体" w:hAnsi="宋体"/>
          <w:b/>
          <w:bCs/>
          <w:color w:val="auto"/>
          <w:sz w:val="24"/>
          <w:highlight w:val="none"/>
          <w:u w:val="single"/>
        </w:rPr>
        <w:t xml:space="preserve">                                  </w:t>
      </w:r>
    </w:p>
    <w:p w14:paraId="135E0E84">
      <w:pPr>
        <w:pStyle w:val="12"/>
        <w:snapToGrid w:val="0"/>
        <w:spacing w:before="240" w:beforeLines="100" w:after="240" w:afterLines="100" w:line="360" w:lineRule="auto"/>
        <w:ind w:firstLine="981" w:firstLineChars="407"/>
        <w:rPr>
          <w:rFonts w:ascii="宋体" w:hAnsi="宋体"/>
          <w:b/>
          <w:bCs/>
          <w:color w:val="auto"/>
          <w:sz w:val="24"/>
          <w:szCs w:val="24"/>
          <w:highlight w:val="none"/>
        </w:rPr>
      </w:pPr>
      <w:r>
        <w:rPr>
          <w:rFonts w:hint="eastAsia" w:ascii="宋体" w:hAnsi="宋体"/>
          <w:b/>
          <w:bCs/>
          <w:color w:val="auto"/>
          <w:sz w:val="24"/>
          <w:szCs w:val="24"/>
          <w:highlight w:val="none"/>
        </w:rPr>
        <w:t>投标人名称：</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rPr>
        <w:t>加盖公章）</w:t>
      </w:r>
    </w:p>
    <w:p w14:paraId="4EF5A92B">
      <w:pPr>
        <w:pStyle w:val="12"/>
        <w:snapToGrid w:val="0"/>
        <w:spacing w:before="240" w:beforeLines="100" w:after="240" w:afterLines="100" w:line="360" w:lineRule="auto"/>
        <w:ind w:firstLine="985" w:firstLineChars="409"/>
        <w:rPr>
          <w:rFonts w:ascii="宋体" w:hAnsi="宋体"/>
          <w:b/>
          <w:bCs/>
          <w:color w:val="auto"/>
          <w:sz w:val="24"/>
          <w:szCs w:val="24"/>
          <w:highlight w:val="none"/>
          <w:u w:val="single"/>
        </w:rPr>
      </w:pPr>
      <w:r>
        <w:rPr>
          <w:rFonts w:hint="eastAsia" w:ascii="宋体" w:hAnsi="宋体"/>
          <w:b/>
          <w:bCs/>
          <w:color w:val="auto"/>
          <w:sz w:val="24"/>
          <w:szCs w:val="24"/>
          <w:highlight w:val="none"/>
        </w:rPr>
        <w:t>投标人地址：</w:t>
      </w:r>
      <w:r>
        <w:rPr>
          <w:rFonts w:hint="eastAsia" w:ascii="宋体" w:hAnsi="宋体"/>
          <w:b/>
          <w:bCs/>
          <w:color w:val="auto"/>
          <w:sz w:val="24"/>
          <w:szCs w:val="24"/>
          <w:highlight w:val="none"/>
          <w:u w:val="single"/>
        </w:rPr>
        <w:t xml:space="preserve">                                </w:t>
      </w:r>
    </w:p>
    <w:p w14:paraId="4ABB3912">
      <w:pPr>
        <w:pStyle w:val="12"/>
        <w:snapToGrid w:val="0"/>
        <w:spacing w:before="240" w:beforeLines="100" w:after="240" w:afterLines="100" w:line="360" w:lineRule="auto"/>
        <w:ind w:firstLine="985" w:firstLineChars="409"/>
        <w:rPr>
          <w:rFonts w:ascii="宋体" w:hAnsi="宋体"/>
          <w:b/>
          <w:bCs/>
          <w:color w:val="auto"/>
          <w:sz w:val="24"/>
          <w:szCs w:val="24"/>
          <w:highlight w:val="none"/>
          <w:u w:val="single"/>
        </w:rPr>
      </w:pPr>
      <w:r>
        <w:rPr>
          <w:rFonts w:hint="eastAsia" w:ascii="宋体" w:hAnsi="宋体"/>
          <w:b/>
          <w:bCs/>
          <w:color w:val="auto"/>
          <w:sz w:val="24"/>
          <w:szCs w:val="24"/>
          <w:highlight w:val="none"/>
        </w:rPr>
        <w:t>联</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系</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人：</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rPr>
        <w:t>电</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话:</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u w:val="single"/>
          <w:lang w:val="en-US" w:eastAsia="zh-CN"/>
        </w:rPr>
        <w:t xml:space="preserve">    </w:t>
      </w:r>
      <w:r>
        <w:rPr>
          <w:rFonts w:hint="eastAsia" w:ascii="宋体" w:hAnsi="宋体"/>
          <w:b/>
          <w:bCs/>
          <w:color w:val="auto"/>
          <w:sz w:val="24"/>
          <w:szCs w:val="24"/>
          <w:highlight w:val="none"/>
          <w:u w:val="single"/>
        </w:rPr>
        <w:t xml:space="preserve">       </w:t>
      </w:r>
    </w:p>
    <w:p w14:paraId="3B2161AB">
      <w:pPr>
        <w:snapToGrid w:val="0"/>
        <w:spacing w:before="120" w:beforeLines="50" w:after="50"/>
        <w:ind w:firstLine="628" w:firstLineChars="262"/>
        <w:rPr>
          <w:rFonts w:ascii="宋体" w:hAnsi="宋体"/>
          <w:bCs/>
          <w:color w:val="auto"/>
          <w:sz w:val="24"/>
          <w:highlight w:val="none"/>
        </w:rPr>
      </w:pPr>
    </w:p>
    <w:p w14:paraId="16BD2223">
      <w:pPr>
        <w:autoSpaceDE w:val="0"/>
        <w:autoSpaceDN w:val="0"/>
        <w:adjustRightInd w:val="0"/>
        <w:snapToGrid w:val="0"/>
        <w:spacing w:before="120" w:beforeLines="50" w:after="120" w:afterLines="50" w:line="360" w:lineRule="auto"/>
        <w:jc w:val="center"/>
        <w:rPr>
          <w:rFonts w:ascii="宋体" w:hAnsi="宋体"/>
          <w:b/>
          <w:color w:val="auto"/>
          <w:sz w:val="32"/>
          <w:szCs w:val="32"/>
          <w:highlight w:val="none"/>
        </w:rPr>
      </w:pPr>
      <w:r>
        <w:rPr>
          <w:rFonts w:ascii="宋体" w:hAnsi="宋体"/>
          <w:bCs/>
          <w:color w:val="auto"/>
          <w:sz w:val="24"/>
          <w:highlight w:val="none"/>
        </w:rPr>
        <w:t xml:space="preserve">     </w:t>
      </w:r>
      <w:bookmarkStart w:id="48" w:name="_Toc437365964"/>
      <w:bookmarkStart w:id="49" w:name="_Toc437365891"/>
      <w:bookmarkStart w:id="50" w:name="_Toc430714682"/>
      <w:bookmarkStart w:id="51" w:name="_Toc437359752"/>
      <w:r>
        <w:rPr>
          <w:rFonts w:hint="eastAsia" w:ascii="宋体" w:hAnsi="宋体"/>
          <w:bCs/>
          <w:color w:val="auto"/>
          <w:sz w:val="24"/>
          <w:highlight w:val="none"/>
        </w:rPr>
        <w:t>年</w:t>
      </w:r>
      <w:r>
        <w:rPr>
          <w:rFonts w:ascii="宋体" w:hAnsi="宋体"/>
          <w:bCs/>
          <w:color w:val="auto"/>
          <w:sz w:val="24"/>
          <w:highlight w:val="none"/>
        </w:rPr>
        <w:t xml:space="preserve">  </w:t>
      </w:r>
      <w:r>
        <w:rPr>
          <w:rFonts w:hint="eastAsia" w:ascii="宋体" w:hAnsi="宋体"/>
          <w:bCs/>
          <w:color w:val="auto"/>
          <w:sz w:val="24"/>
          <w:highlight w:val="none"/>
        </w:rPr>
        <w:t xml:space="preserve"> 月</w:t>
      </w:r>
      <w:r>
        <w:rPr>
          <w:rFonts w:ascii="宋体" w:hAnsi="宋体"/>
          <w:bCs/>
          <w:color w:val="auto"/>
          <w:sz w:val="24"/>
          <w:highlight w:val="none"/>
        </w:rPr>
        <w:t xml:space="preserve">  </w:t>
      </w:r>
      <w:r>
        <w:rPr>
          <w:rFonts w:hint="eastAsia" w:ascii="宋体" w:hAnsi="宋体"/>
          <w:bCs/>
          <w:color w:val="auto"/>
          <w:sz w:val="24"/>
          <w:highlight w:val="none"/>
        </w:rPr>
        <w:t xml:space="preserve"> 日</w:t>
      </w:r>
      <w:bookmarkEnd w:id="48"/>
      <w:bookmarkEnd w:id="49"/>
      <w:bookmarkEnd w:id="50"/>
      <w:bookmarkEnd w:id="51"/>
    </w:p>
    <w:p w14:paraId="429418A9">
      <w:pPr>
        <w:spacing w:line="360" w:lineRule="exact"/>
        <w:rPr>
          <w:rFonts w:ascii="宋体" w:hAnsi="宋体"/>
          <w:color w:val="auto"/>
          <w:highlight w:val="none"/>
        </w:rPr>
      </w:pPr>
    </w:p>
    <w:p w14:paraId="6E14E7D2">
      <w:pPr>
        <w:rPr>
          <w:rFonts w:ascii="宋体" w:hAnsi="宋体"/>
          <w:color w:val="auto"/>
          <w:highlight w:val="none"/>
        </w:rPr>
      </w:pPr>
      <w:r>
        <w:rPr>
          <w:rFonts w:ascii="宋体" w:hAnsi="宋体"/>
          <w:color w:val="auto"/>
          <w:highlight w:val="none"/>
        </w:rPr>
        <w:br w:type="page"/>
      </w:r>
    </w:p>
    <w:p w14:paraId="7EB0CC1A">
      <w:pPr>
        <w:adjustRightInd w:val="0"/>
        <w:snapToGrid w:val="0"/>
        <w:spacing w:line="360" w:lineRule="auto"/>
        <w:jc w:val="left"/>
        <w:rPr>
          <w:rFonts w:ascii="宋体" w:hAnsi="宋体"/>
          <w:b/>
          <w:color w:val="auto"/>
          <w:szCs w:val="21"/>
          <w:highlight w:val="none"/>
        </w:rPr>
      </w:pPr>
    </w:p>
    <w:p w14:paraId="3CFA5BB5">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一、资格性自查表</w:t>
      </w:r>
    </w:p>
    <w:p w14:paraId="59B17B49">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二、投标函、投标声明</w:t>
      </w:r>
    </w:p>
    <w:p w14:paraId="75B3DA2C">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附件1：法定代表人身份证明(法定代表人参加投标)</w:t>
      </w:r>
    </w:p>
    <w:p w14:paraId="185D74AB">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附件2：法定代表人授权书(委托代理人参加投标)</w:t>
      </w:r>
    </w:p>
    <w:p w14:paraId="67997E63">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三、投标保证金</w:t>
      </w:r>
    </w:p>
    <w:p w14:paraId="0FB78BA1">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附件3：投标保证金</w:t>
      </w:r>
    </w:p>
    <w:p w14:paraId="2B6E12BE">
      <w:pPr>
        <w:pStyle w:val="25"/>
        <w:adjustRightInd w:val="0"/>
        <w:snapToGrid w:val="0"/>
        <w:spacing w:line="360" w:lineRule="auto"/>
        <w:rPr>
          <w:rFonts w:ascii="宋体" w:hAnsi="宋体"/>
          <w:b/>
          <w:color w:val="auto"/>
          <w:sz w:val="21"/>
          <w:szCs w:val="21"/>
          <w:highlight w:val="none"/>
        </w:rPr>
      </w:pPr>
      <w:r>
        <w:rPr>
          <w:rFonts w:hint="eastAsia" w:ascii="宋体" w:hAnsi="宋体"/>
          <w:b/>
          <w:color w:val="auto"/>
          <w:sz w:val="21"/>
          <w:szCs w:val="21"/>
          <w:highlight w:val="none"/>
        </w:rPr>
        <w:t>四</w:t>
      </w:r>
      <w:r>
        <w:rPr>
          <w:rFonts w:hint="eastAsia" w:ascii="宋体" w:hAnsi="宋体"/>
          <w:color w:val="auto"/>
          <w:sz w:val="21"/>
          <w:szCs w:val="21"/>
          <w:highlight w:val="none"/>
        </w:rPr>
        <w:t>、</w:t>
      </w:r>
      <w:r>
        <w:rPr>
          <w:rFonts w:hint="eastAsia" w:ascii="宋体" w:hAnsi="宋体"/>
          <w:b/>
          <w:color w:val="auto"/>
          <w:sz w:val="21"/>
          <w:szCs w:val="21"/>
          <w:highlight w:val="none"/>
        </w:rPr>
        <w:t>报价一览表报价明细表及报价说明</w:t>
      </w:r>
    </w:p>
    <w:p w14:paraId="3105F325">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附件4：报价一览表</w:t>
      </w:r>
    </w:p>
    <w:p w14:paraId="601F921B">
      <w:pPr>
        <w:adjustRightInd w:val="0"/>
        <w:snapToGrid w:val="0"/>
        <w:spacing w:line="360" w:lineRule="auto"/>
        <w:ind w:firstLine="420" w:firstLineChars="200"/>
        <w:jc w:val="left"/>
        <w:rPr>
          <w:rFonts w:ascii="宋体" w:hAnsi="宋体"/>
          <w:bCs/>
          <w:color w:val="auto"/>
          <w:szCs w:val="21"/>
          <w:highlight w:val="none"/>
        </w:rPr>
      </w:pPr>
      <w:r>
        <w:rPr>
          <w:rFonts w:hint="eastAsia" w:ascii="宋体" w:hAnsi="宋体"/>
          <w:color w:val="auto"/>
          <w:szCs w:val="21"/>
          <w:highlight w:val="none"/>
        </w:rPr>
        <w:t>附件5：</w:t>
      </w:r>
      <w:r>
        <w:rPr>
          <w:rFonts w:hint="eastAsia" w:ascii="宋体" w:hAnsi="宋体"/>
          <w:bCs/>
          <w:color w:val="auto"/>
          <w:szCs w:val="21"/>
          <w:highlight w:val="none"/>
        </w:rPr>
        <w:t>报价明细表及报价说明</w:t>
      </w:r>
    </w:p>
    <w:p w14:paraId="2088CB2A">
      <w:pPr>
        <w:adjustRightInd w:val="0"/>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附件6</w:t>
      </w:r>
      <w:r>
        <w:rPr>
          <w:rFonts w:hint="eastAsia" w:ascii="宋体" w:hAnsi="宋体"/>
          <w:color w:val="auto"/>
          <w:szCs w:val="21"/>
          <w:highlight w:val="none"/>
        </w:rPr>
        <w:t>：</w:t>
      </w:r>
      <w:r>
        <w:rPr>
          <w:rFonts w:hint="eastAsia" w:ascii="宋体" w:hAnsi="宋体"/>
          <w:bCs/>
          <w:color w:val="auto"/>
          <w:szCs w:val="21"/>
          <w:highlight w:val="none"/>
        </w:rPr>
        <w:t>节能、环境标志产品证明材料</w:t>
      </w:r>
    </w:p>
    <w:p w14:paraId="770F5326">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附件7：中小企业声明函</w:t>
      </w:r>
    </w:p>
    <w:p w14:paraId="267C003B">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附件8：残疾人福利性单位声明函</w:t>
      </w:r>
    </w:p>
    <w:p w14:paraId="442E9E06">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附件9：监狱企业声明函</w:t>
      </w:r>
    </w:p>
    <w:p w14:paraId="6B33B374">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五、投标人的资格审查材料</w:t>
      </w:r>
    </w:p>
    <w:p w14:paraId="710B47E5">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附件10：投标人基本情况表</w:t>
      </w:r>
    </w:p>
    <w:p w14:paraId="5F967B3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附件11：具备履行合同所必需的设备和专业技术能力的承诺</w:t>
      </w:r>
    </w:p>
    <w:p w14:paraId="334B7E90">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附件12：无重大违法记录声明书</w:t>
      </w:r>
    </w:p>
    <w:p w14:paraId="6CF75832">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附件13：信用记录</w:t>
      </w:r>
    </w:p>
    <w:p w14:paraId="0CA4F6D9">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六、项目方案</w:t>
      </w:r>
    </w:p>
    <w:p w14:paraId="2324A7DC">
      <w:pPr>
        <w:adjustRightInd w:val="0"/>
        <w:snapToGrid w:val="0"/>
        <w:spacing w:line="360" w:lineRule="auto"/>
        <w:ind w:firstLine="435"/>
        <w:jc w:val="left"/>
        <w:rPr>
          <w:rFonts w:ascii="宋体" w:hAnsi="宋体"/>
          <w:color w:val="auto"/>
          <w:szCs w:val="21"/>
          <w:highlight w:val="none"/>
        </w:rPr>
      </w:pPr>
      <w:r>
        <w:rPr>
          <w:rFonts w:hint="eastAsia" w:ascii="宋体" w:hAnsi="宋体"/>
          <w:color w:val="auto"/>
          <w:szCs w:val="21"/>
          <w:highlight w:val="none"/>
        </w:rPr>
        <w:t>附件14：拟投入本项目的人员及设备一览表</w:t>
      </w:r>
    </w:p>
    <w:p w14:paraId="0CF6A0C6">
      <w:pPr>
        <w:adjustRightInd w:val="0"/>
        <w:snapToGrid w:val="0"/>
        <w:spacing w:line="360" w:lineRule="auto"/>
        <w:ind w:firstLine="435"/>
        <w:jc w:val="left"/>
        <w:rPr>
          <w:rFonts w:ascii="宋体" w:hAnsi="宋体"/>
          <w:color w:val="auto"/>
          <w:szCs w:val="21"/>
          <w:highlight w:val="none"/>
        </w:rPr>
      </w:pPr>
      <w:r>
        <w:rPr>
          <w:rFonts w:hint="eastAsia" w:ascii="宋体" w:hAnsi="宋体"/>
          <w:color w:val="auto"/>
          <w:szCs w:val="21"/>
          <w:highlight w:val="none"/>
        </w:rPr>
        <w:t>附件15：服务附表</w:t>
      </w:r>
    </w:p>
    <w:p w14:paraId="4C81BE07">
      <w:pPr>
        <w:adjustRightInd w:val="0"/>
        <w:snapToGrid w:val="0"/>
        <w:spacing w:line="360" w:lineRule="auto"/>
        <w:jc w:val="left"/>
        <w:rPr>
          <w:rFonts w:ascii="宋体" w:hAnsi="宋体"/>
          <w:color w:val="auto"/>
          <w:szCs w:val="21"/>
          <w:highlight w:val="none"/>
        </w:rPr>
      </w:pPr>
      <w:r>
        <w:rPr>
          <w:rFonts w:hint="eastAsia" w:ascii="宋体" w:hAnsi="宋体"/>
          <w:b/>
          <w:color w:val="auto"/>
          <w:szCs w:val="21"/>
          <w:highlight w:val="none"/>
        </w:rPr>
        <w:t>七、响应/偏离表</w:t>
      </w:r>
    </w:p>
    <w:p w14:paraId="38F5081B">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八、投标人认为需提供的其它资料</w:t>
      </w:r>
    </w:p>
    <w:p w14:paraId="6C835532">
      <w:pPr>
        <w:adjustRightInd w:val="0"/>
        <w:snapToGrid w:val="0"/>
        <w:spacing w:line="360" w:lineRule="auto"/>
        <w:rPr>
          <w:rFonts w:ascii="宋体" w:hAnsi="宋体"/>
          <w:b/>
          <w:color w:val="auto"/>
          <w:szCs w:val="21"/>
          <w:highlight w:val="none"/>
        </w:rPr>
      </w:pPr>
    </w:p>
    <w:p w14:paraId="6350EE86">
      <w:pPr>
        <w:adjustRightInd w:val="0"/>
        <w:snapToGrid w:val="0"/>
        <w:spacing w:line="360" w:lineRule="auto"/>
        <w:rPr>
          <w:rFonts w:ascii="宋体" w:hAnsi="宋体"/>
          <w:b/>
          <w:color w:val="auto"/>
          <w:szCs w:val="21"/>
          <w:highlight w:val="none"/>
        </w:rPr>
      </w:pPr>
    </w:p>
    <w:p w14:paraId="0C699BE4">
      <w:pPr>
        <w:adjustRightInd w:val="0"/>
        <w:snapToGrid w:val="0"/>
        <w:spacing w:line="360" w:lineRule="auto"/>
        <w:rPr>
          <w:rFonts w:ascii="宋体" w:hAnsi="宋体"/>
          <w:b/>
          <w:color w:val="auto"/>
          <w:highlight w:val="none"/>
        </w:rPr>
      </w:pPr>
      <w:r>
        <w:rPr>
          <w:rFonts w:ascii="宋体" w:hAnsi="宋体"/>
          <w:b/>
          <w:color w:val="auto"/>
          <w:szCs w:val="21"/>
          <w:highlight w:val="none"/>
        </w:rPr>
        <w:br w:type="page"/>
      </w:r>
    </w:p>
    <w:p w14:paraId="452CDFA3">
      <w:pPr>
        <w:spacing w:line="400" w:lineRule="exact"/>
        <w:jc w:val="center"/>
        <w:outlineLvl w:val="1"/>
        <w:rPr>
          <w:rFonts w:ascii="宋体" w:hAnsi="宋体" w:cs="宋体"/>
          <w:b/>
          <w:color w:val="auto"/>
          <w:sz w:val="24"/>
          <w:highlight w:val="none"/>
        </w:rPr>
      </w:pPr>
      <w:bookmarkStart w:id="52" w:name="_Toc161933896"/>
      <w:bookmarkStart w:id="53" w:name="_Toc433187366"/>
      <w:r>
        <w:rPr>
          <w:rFonts w:hint="eastAsia" w:ascii="宋体" w:hAnsi="宋体" w:cs="宋体"/>
          <w:b/>
          <w:color w:val="auto"/>
          <w:sz w:val="24"/>
          <w:highlight w:val="none"/>
        </w:rPr>
        <w:t>一、资格性自查表</w:t>
      </w:r>
      <w:bookmarkEnd w:id="52"/>
    </w:p>
    <w:p w14:paraId="424179A9">
      <w:pPr>
        <w:spacing w:line="400" w:lineRule="exact"/>
        <w:rPr>
          <w:rFonts w:ascii="宋体" w:hAnsi="宋体"/>
          <w:b/>
          <w:color w:val="auto"/>
          <w:highlight w:val="none"/>
        </w:rPr>
      </w:pPr>
    </w:p>
    <w:tbl>
      <w:tblPr>
        <w:tblStyle w:val="47"/>
        <w:tblW w:w="832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341"/>
        <w:gridCol w:w="1275"/>
      </w:tblGrid>
      <w:tr w14:paraId="5F265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709" w:type="dxa"/>
            <w:vAlign w:val="center"/>
          </w:tcPr>
          <w:p w14:paraId="75D092CB">
            <w:pPr>
              <w:topLinePunct/>
              <w:spacing w:line="440" w:lineRule="exact"/>
              <w:jc w:val="center"/>
              <w:rPr>
                <w:rFonts w:ascii="宋体" w:hAnsi="宋体"/>
                <w:color w:val="auto"/>
                <w:szCs w:val="21"/>
                <w:highlight w:val="none"/>
              </w:rPr>
            </w:pPr>
            <w:r>
              <w:rPr>
                <w:rFonts w:hint="eastAsia" w:ascii="宋体" w:hAnsi="宋体"/>
                <w:color w:val="auto"/>
                <w:szCs w:val="21"/>
                <w:highlight w:val="none"/>
              </w:rPr>
              <w:t>序号</w:t>
            </w:r>
          </w:p>
        </w:tc>
        <w:tc>
          <w:tcPr>
            <w:tcW w:w="6341" w:type="dxa"/>
            <w:vAlign w:val="center"/>
          </w:tcPr>
          <w:p w14:paraId="14C82E3D">
            <w:pPr>
              <w:topLinePunct/>
              <w:spacing w:line="440" w:lineRule="exact"/>
              <w:jc w:val="center"/>
              <w:rPr>
                <w:rFonts w:ascii="宋体" w:hAnsi="宋体"/>
                <w:color w:val="auto"/>
                <w:szCs w:val="21"/>
                <w:highlight w:val="none"/>
              </w:rPr>
            </w:pPr>
            <w:r>
              <w:rPr>
                <w:rFonts w:hint="eastAsia" w:ascii="宋体" w:hAnsi="宋体"/>
                <w:color w:val="auto"/>
                <w:szCs w:val="21"/>
                <w:highlight w:val="none"/>
              </w:rPr>
              <w:t>审查因素</w:t>
            </w:r>
          </w:p>
        </w:tc>
        <w:tc>
          <w:tcPr>
            <w:tcW w:w="1275" w:type="dxa"/>
            <w:vAlign w:val="center"/>
          </w:tcPr>
          <w:p w14:paraId="4087693F">
            <w:pPr>
              <w:topLinePunct/>
              <w:spacing w:line="440" w:lineRule="exact"/>
              <w:jc w:val="center"/>
              <w:rPr>
                <w:rFonts w:ascii="宋体" w:hAnsi="宋体"/>
                <w:color w:val="auto"/>
                <w:szCs w:val="21"/>
                <w:highlight w:val="none"/>
              </w:rPr>
            </w:pPr>
            <w:r>
              <w:rPr>
                <w:rFonts w:hint="eastAsia" w:ascii="宋体" w:hAnsi="宋体"/>
                <w:color w:val="auto"/>
                <w:szCs w:val="21"/>
                <w:highlight w:val="none"/>
              </w:rPr>
              <w:t>投标文件中</w:t>
            </w:r>
          </w:p>
          <w:p w14:paraId="448F8FCC">
            <w:pPr>
              <w:topLinePunct/>
              <w:spacing w:line="440" w:lineRule="exact"/>
              <w:jc w:val="center"/>
              <w:rPr>
                <w:rFonts w:ascii="宋体" w:hAnsi="宋体"/>
                <w:color w:val="auto"/>
                <w:szCs w:val="21"/>
                <w:highlight w:val="none"/>
              </w:rPr>
            </w:pPr>
            <w:r>
              <w:rPr>
                <w:rFonts w:hint="eastAsia" w:ascii="宋体" w:hAnsi="宋体"/>
                <w:color w:val="auto"/>
                <w:szCs w:val="21"/>
                <w:highlight w:val="none"/>
              </w:rPr>
              <w:t>对应页码</w:t>
            </w:r>
          </w:p>
        </w:tc>
      </w:tr>
      <w:tr w14:paraId="2739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27BD85DD">
            <w:pPr>
              <w:topLinePunct/>
              <w:spacing w:line="440" w:lineRule="exact"/>
              <w:jc w:val="center"/>
              <w:rPr>
                <w:rFonts w:ascii="宋体" w:hAnsi="宋体"/>
                <w:color w:val="auto"/>
                <w:szCs w:val="21"/>
                <w:highlight w:val="none"/>
              </w:rPr>
            </w:pPr>
            <w:r>
              <w:rPr>
                <w:rFonts w:hint="eastAsia" w:ascii="宋体" w:hAnsi="宋体"/>
                <w:color w:val="auto"/>
                <w:szCs w:val="21"/>
                <w:highlight w:val="none"/>
              </w:rPr>
              <w:t>1</w:t>
            </w:r>
          </w:p>
        </w:tc>
        <w:tc>
          <w:tcPr>
            <w:tcW w:w="6341" w:type="dxa"/>
            <w:vAlign w:val="center"/>
          </w:tcPr>
          <w:p w14:paraId="51C850E8">
            <w:pPr>
              <w:topLinePunct/>
              <w:spacing w:line="440" w:lineRule="exact"/>
              <w:rPr>
                <w:rFonts w:ascii="宋体" w:hAnsi="宋体"/>
                <w:color w:val="auto"/>
                <w:szCs w:val="21"/>
                <w:highlight w:val="none"/>
              </w:rPr>
            </w:pPr>
            <w:r>
              <w:rPr>
                <w:rFonts w:hint="eastAsia" w:ascii="宋体" w:hAnsi="宋体"/>
                <w:color w:val="auto"/>
                <w:szCs w:val="21"/>
                <w:highlight w:val="none"/>
              </w:rPr>
              <w:t>有效的营业执照</w:t>
            </w:r>
          </w:p>
        </w:tc>
        <w:tc>
          <w:tcPr>
            <w:tcW w:w="1275" w:type="dxa"/>
            <w:vAlign w:val="center"/>
          </w:tcPr>
          <w:p w14:paraId="38CD622C">
            <w:pPr>
              <w:topLinePunct/>
              <w:spacing w:line="440" w:lineRule="exact"/>
              <w:jc w:val="center"/>
              <w:rPr>
                <w:rFonts w:ascii="宋体" w:hAnsi="宋体"/>
                <w:color w:val="auto"/>
                <w:szCs w:val="21"/>
                <w:highlight w:val="none"/>
              </w:rPr>
            </w:pPr>
          </w:p>
        </w:tc>
      </w:tr>
      <w:tr w14:paraId="37891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4CBF8A09">
            <w:pPr>
              <w:topLinePunct/>
              <w:spacing w:line="440" w:lineRule="exact"/>
              <w:jc w:val="center"/>
              <w:rPr>
                <w:rFonts w:ascii="宋体" w:hAnsi="宋体"/>
                <w:color w:val="auto"/>
                <w:szCs w:val="21"/>
                <w:highlight w:val="none"/>
              </w:rPr>
            </w:pPr>
            <w:r>
              <w:rPr>
                <w:rFonts w:hint="eastAsia" w:ascii="宋体" w:hAnsi="宋体"/>
                <w:color w:val="auto"/>
                <w:szCs w:val="21"/>
                <w:highlight w:val="none"/>
              </w:rPr>
              <w:t>2</w:t>
            </w:r>
          </w:p>
        </w:tc>
        <w:tc>
          <w:tcPr>
            <w:tcW w:w="6341" w:type="dxa"/>
            <w:vAlign w:val="center"/>
          </w:tcPr>
          <w:p w14:paraId="2EAFDBA8">
            <w:pPr>
              <w:topLinePunct/>
              <w:spacing w:line="440" w:lineRule="exact"/>
              <w:rPr>
                <w:rFonts w:ascii="宋体" w:hAnsi="宋体"/>
                <w:color w:val="auto"/>
                <w:szCs w:val="21"/>
                <w:highlight w:val="none"/>
              </w:rPr>
            </w:pPr>
            <w:r>
              <w:rPr>
                <w:rFonts w:hint="eastAsia" w:ascii="宋体" w:hAnsi="宋体"/>
                <w:color w:val="auto"/>
                <w:szCs w:val="21"/>
                <w:highlight w:val="none"/>
              </w:rPr>
              <w:t>上一年度经审计财务审计报告，或基本开户银行出具的资信证明</w:t>
            </w:r>
          </w:p>
        </w:tc>
        <w:tc>
          <w:tcPr>
            <w:tcW w:w="1275" w:type="dxa"/>
            <w:vAlign w:val="center"/>
          </w:tcPr>
          <w:p w14:paraId="2B17D526">
            <w:pPr>
              <w:topLinePunct/>
              <w:spacing w:line="440" w:lineRule="exact"/>
              <w:jc w:val="center"/>
              <w:rPr>
                <w:rFonts w:ascii="宋体" w:hAnsi="宋体"/>
                <w:color w:val="auto"/>
                <w:szCs w:val="21"/>
                <w:highlight w:val="none"/>
              </w:rPr>
            </w:pPr>
          </w:p>
        </w:tc>
      </w:tr>
      <w:tr w14:paraId="1E56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6FE77D0C">
            <w:pPr>
              <w:topLinePunct/>
              <w:spacing w:line="440" w:lineRule="exact"/>
              <w:jc w:val="center"/>
              <w:rPr>
                <w:rFonts w:ascii="宋体" w:hAnsi="宋体"/>
                <w:color w:val="auto"/>
                <w:szCs w:val="21"/>
                <w:highlight w:val="none"/>
              </w:rPr>
            </w:pPr>
            <w:r>
              <w:rPr>
                <w:rFonts w:hint="eastAsia" w:ascii="宋体" w:hAnsi="宋体"/>
                <w:color w:val="auto"/>
                <w:szCs w:val="21"/>
                <w:highlight w:val="none"/>
              </w:rPr>
              <w:t>3</w:t>
            </w:r>
          </w:p>
        </w:tc>
        <w:tc>
          <w:tcPr>
            <w:tcW w:w="6341" w:type="dxa"/>
            <w:vAlign w:val="center"/>
          </w:tcPr>
          <w:p w14:paraId="42C4451B">
            <w:pPr>
              <w:topLinePunct/>
              <w:spacing w:line="440" w:lineRule="exact"/>
              <w:rPr>
                <w:rFonts w:ascii="宋体" w:hAnsi="宋体"/>
                <w:color w:val="auto"/>
                <w:szCs w:val="21"/>
                <w:highlight w:val="none"/>
              </w:rPr>
            </w:pPr>
            <w:r>
              <w:rPr>
                <w:rFonts w:hint="eastAsia" w:ascii="宋体" w:hAnsi="宋体"/>
                <w:color w:val="auto"/>
                <w:szCs w:val="21"/>
                <w:highlight w:val="none"/>
              </w:rPr>
              <w:t>缴纳税收证明</w:t>
            </w:r>
          </w:p>
        </w:tc>
        <w:tc>
          <w:tcPr>
            <w:tcW w:w="1275" w:type="dxa"/>
            <w:vAlign w:val="center"/>
          </w:tcPr>
          <w:p w14:paraId="0A8BC959">
            <w:pPr>
              <w:topLinePunct/>
              <w:spacing w:line="440" w:lineRule="exact"/>
              <w:jc w:val="center"/>
              <w:rPr>
                <w:rFonts w:ascii="宋体" w:hAnsi="宋体"/>
                <w:color w:val="auto"/>
                <w:szCs w:val="21"/>
                <w:highlight w:val="none"/>
              </w:rPr>
            </w:pPr>
          </w:p>
        </w:tc>
      </w:tr>
      <w:tr w14:paraId="6DFD7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2BA53B19">
            <w:pPr>
              <w:topLinePunct/>
              <w:spacing w:line="440" w:lineRule="exact"/>
              <w:jc w:val="center"/>
              <w:rPr>
                <w:rFonts w:ascii="宋体" w:hAnsi="宋体"/>
                <w:color w:val="auto"/>
                <w:szCs w:val="21"/>
                <w:highlight w:val="none"/>
              </w:rPr>
            </w:pPr>
            <w:r>
              <w:rPr>
                <w:rFonts w:hint="eastAsia" w:ascii="宋体" w:hAnsi="宋体"/>
                <w:color w:val="auto"/>
                <w:szCs w:val="21"/>
                <w:highlight w:val="none"/>
              </w:rPr>
              <w:t>4</w:t>
            </w:r>
          </w:p>
        </w:tc>
        <w:tc>
          <w:tcPr>
            <w:tcW w:w="6341" w:type="dxa"/>
            <w:vAlign w:val="center"/>
          </w:tcPr>
          <w:p w14:paraId="531A2EEF">
            <w:pPr>
              <w:topLinePunct/>
              <w:spacing w:line="440" w:lineRule="exact"/>
              <w:rPr>
                <w:rFonts w:ascii="宋体" w:hAnsi="宋体"/>
                <w:color w:val="auto"/>
                <w:szCs w:val="21"/>
                <w:highlight w:val="none"/>
              </w:rPr>
            </w:pPr>
            <w:r>
              <w:rPr>
                <w:rFonts w:hint="eastAsia" w:ascii="宋体" w:hAnsi="宋体"/>
                <w:color w:val="auto"/>
                <w:szCs w:val="21"/>
                <w:highlight w:val="none"/>
              </w:rPr>
              <w:t>保缴纳证明</w:t>
            </w:r>
          </w:p>
        </w:tc>
        <w:tc>
          <w:tcPr>
            <w:tcW w:w="1275" w:type="dxa"/>
            <w:vAlign w:val="center"/>
          </w:tcPr>
          <w:p w14:paraId="1399BD98">
            <w:pPr>
              <w:topLinePunct/>
              <w:spacing w:line="440" w:lineRule="exact"/>
              <w:jc w:val="center"/>
              <w:rPr>
                <w:rFonts w:ascii="宋体" w:hAnsi="宋体"/>
                <w:color w:val="auto"/>
                <w:szCs w:val="21"/>
                <w:highlight w:val="none"/>
              </w:rPr>
            </w:pPr>
          </w:p>
        </w:tc>
      </w:tr>
      <w:tr w14:paraId="0F03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2CD230D4">
            <w:pPr>
              <w:topLinePunct/>
              <w:spacing w:line="440" w:lineRule="exact"/>
              <w:jc w:val="center"/>
              <w:rPr>
                <w:rFonts w:ascii="宋体" w:hAnsi="宋体"/>
                <w:color w:val="auto"/>
                <w:szCs w:val="21"/>
                <w:highlight w:val="none"/>
              </w:rPr>
            </w:pPr>
            <w:r>
              <w:rPr>
                <w:rFonts w:hint="eastAsia" w:ascii="宋体" w:hAnsi="宋体"/>
                <w:color w:val="auto"/>
                <w:szCs w:val="21"/>
                <w:highlight w:val="none"/>
              </w:rPr>
              <w:t>5</w:t>
            </w:r>
          </w:p>
        </w:tc>
        <w:tc>
          <w:tcPr>
            <w:tcW w:w="6341" w:type="dxa"/>
            <w:vAlign w:val="center"/>
          </w:tcPr>
          <w:p w14:paraId="07F50B68">
            <w:pPr>
              <w:widowControl/>
              <w:spacing w:line="440" w:lineRule="exact"/>
              <w:jc w:val="left"/>
              <w:rPr>
                <w:rFonts w:ascii="宋体" w:hAnsi="宋体" w:cs="宋体"/>
                <w:color w:val="auto"/>
                <w:kern w:val="0"/>
                <w:szCs w:val="21"/>
                <w:highlight w:val="none"/>
              </w:rPr>
            </w:pPr>
            <w:r>
              <w:rPr>
                <w:rFonts w:hint="eastAsia" w:ascii="宋体" w:hAnsi="宋体"/>
                <w:color w:val="auto"/>
                <w:szCs w:val="21"/>
                <w:highlight w:val="none"/>
              </w:rPr>
              <w:t>无重大违法记录声明书</w:t>
            </w:r>
          </w:p>
        </w:tc>
        <w:tc>
          <w:tcPr>
            <w:tcW w:w="1275" w:type="dxa"/>
            <w:vAlign w:val="center"/>
          </w:tcPr>
          <w:p w14:paraId="0EF539ED">
            <w:pPr>
              <w:topLinePunct/>
              <w:spacing w:line="440" w:lineRule="exact"/>
              <w:jc w:val="center"/>
              <w:rPr>
                <w:rFonts w:ascii="宋体" w:hAnsi="宋体"/>
                <w:color w:val="auto"/>
                <w:szCs w:val="21"/>
                <w:highlight w:val="none"/>
              </w:rPr>
            </w:pPr>
          </w:p>
        </w:tc>
      </w:tr>
      <w:tr w14:paraId="22F17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08430058">
            <w:pPr>
              <w:topLinePunct/>
              <w:spacing w:line="440" w:lineRule="exact"/>
              <w:jc w:val="center"/>
              <w:rPr>
                <w:rFonts w:ascii="宋体" w:hAnsi="宋体"/>
                <w:color w:val="auto"/>
                <w:szCs w:val="21"/>
                <w:highlight w:val="none"/>
              </w:rPr>
            </w:pPr>
            <w:r>
              <w:rPr>
                <w:rFonts w:hint="eastAsia" w:ascii="宋体" w:hAnsi="宋体"/>
                <w:color w:val="auto"/>
                <w:szCs w:val="21"/>
                <w:highlight w:val="none"/>
              </w:rPr>
              <w:t>6</w:t>
            </w:r>
          </w:p>
        </w:tc>
        <w:tc>
          <w:tcPr>
            <w:tcW w:w="6341" w:type="dxa"/>
            <w:vAlign w:val="center"/>
          </w:tcPr>
          <w:p w14:paraId="3990E8CF">
            <w:pPr>
              <w:widowControl/>
              <w:spacing w:line="440" w:lineRule="exact"/>
              <w:jc w:val="left"/>
              <w:rPr>
                <w:rFonts w:ascii="宋体" w:hAnsi="宋体" w:cs="宋体"/>
                <w:b/>
                <w:color w:val="auto"/>
                <w:kern w:val="0"/>
                <w:szCs w:val="21"/>
                <w:highlight w:val="none"/>
              </w:rPr>
            </w:pPr>
            <w:r>
              <w:rPr>
                <w:rFonts w:hint="eastAsia" w:ascii="宋体" w:hAnsi="宋体"/>
                <w:color w:val="auto"/>
                <w:szCs w:val="21"/>
                <w:highlight w:val="none"/>
              </w:rPr>
              <w:t>保证金缴纳凭证</w:t>
            </w:r>
          </w:p>
        </w:tc>
        <w:tc>
          <w:tcPr>
            <w:tcW w:w="1275" w:type="dxa"/>
            <w:vAlign w:val="center"/>
          </w:tcPr>
          <w:p w14:paraId="44F166DB">
            <w:pPr>
              <w:topLinePunct/>
              <w:spacing w:line="440" w:lineRule="exact"/>
              <w:jc w:val="center"/>
              <w:rPr>
                <w:rFonts w:ascii="宋体" w:hAnsi="宋体"/>
                <w:color w:val="auto"/>
                <w:szCs w:val="21"/>
                <w:highlight w:val="none"/>
              </w:rPr>
            </w:pPr>
          </w:p>
        </w:tc>
      </w:tr>
      <w:tr w14:paraId="2E79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5B924833">
            <w:pPr>
              <w:topLinePunct/>
              <w:spacing w:line="440" w:lineRule="exact"/>
              <w:jc w:val="center"/>
              <w:rPr>
                <w:rFonts w:ascii="宋体" w:hAnsi="宋体"/>
                <w:color w:val="auto"/>
                <w:szCs w:val="21"/>
                <w:highlight w:val="none"/>
              </w:rPr>
            </w:pPr>
            <w:r>
              <w:rPr>
                <w:rFonts w:ascii="宋体" w:hAnsi="宋体"/>
                <w:color w:val="auto"/>
                <w:szCs w:val="21"/>
                <w:highlight w:val="none"/>
              </w:rPr>
              <w:t>7</w:t>
            </w:r>
          </w:p>
        </w:tc>
        <w:tc>
          <w:tcPr>
            <w:tcW w:w="6341" w:type="dxa"/>
            <w:vAlign w:val="center"/>
          </w:tcPr>
          <w:p w14:paraId="32872B21">
            <w:pPr>
              <w:widowControl/>
              <w:spacing w:line="440" w:lineRule="exact"/>
              <w:jc w:val="left"/>
              <w:rPr>
                <w:rFonts w:ascii="宋体" w:hAnsi="宋体"/>
                <w:color w:val="auto"/>
                <w:sz w:val="24"/>
                <w:highlight w:val="none"/>
              </w:rPr>
            </w:pPr>
            <w:r>
              <w:rPr>
                <w:rFonts w:hint="eastAsia" w:ascii="宋体" w:hAnsi="宋体"/>
                <w:color w:val="auto"/>
                <w:szCs w:val="21"/>
                <w:highlight w:val="none"/>
              </w:rPr>
              <w:t>中小企业声明函</w:t>
            </w:r>
          </w:p>
        </w:tc>
        <w:tc>
          <w:tcPr>
            <w:tcW w:w="1275" w:type="dxa"/>
            <w:vAlign w:val="center"/>
          </w:tcPr>
          <w:p w14:paraId="601395AD">
            <w:pPr>
              <w:topLinePunct/>
              <w:spacing w:line="440" w:lineRule="exact"/>
              <w:jc w:val="center"/>
              <w:rPr>
                <w:rFonts w:ascii="宋体" w:hAnsi="宋体"/>
                <w:color w:val="auto"/>
                <w:szCs w:val="21"/>
                <w:highlight w:val="none"/>
              </w:rPr>
            </w:pPr>
          </w:p>
        </w:tc>
      </w:tr>
    </w:tbl>
    <w:p w14:paraId="7164BCD1">
      <w:pPr>
        <w:rPr>
          <w:color w:val="auto"/>
          <w:highlight w:val="none"/>
        </w:rPr>
      </w:pPr>
    </w:p>
    <w:p w14:paraId="1884C47D">
      <w:pPr>
        <w:pStyle w:val="18"/>
        <w:rPr>
          <w:color w:val="auto"/>
          <w:highlight w:val="none"/>
        </w:rPr>
      </w:pPr>
      <w:r>
        <w:rPr>
          <w:rFonts w:hint="eastAsia"/>
          <w:color w:val="auto"/>
          <w:highlight w:val="none"/>
        </w:rPr>
        <w:t>注：根据资格性审查表自行调整</w:t>
      </w:r>
    </w:p>
    <w:p w14:paraId="5552FC6F">
      <w:pPr>
        <w:pStyle w:val="3"/>
        <w:jc w:val="center"/>
        <w:rPr>
          <w:rFonts w:ascii="宋体" w:hAnsi="宋体"/>
          <w:color w:val="auto"/>
          <w:highlight w:val="none"/>
        </w:rPr>
      </w:pPr>
      <w:r>
        <w:rPr>
          <w:rFonts w:ascii="宋体" w:hAnsi="宋体"/>
          <w:color w:val="auto"/>
          <w:highlight w:val="none"/>
        </w:rPr>
        <w:br w:type="page"/>
      </w:r>
      <w:bookmarkStart w:id="54" w:name="_Toc161933897"/>
      <w:r>
        <w:rPr>
          <w:rFonts w:hint="eastAsia" w:ascii="宋体" w:hAnsi="宋体"/>
          <w:color w:val="auto"/>
          <w:highlight w:val="none"/>
        </w:rPr>
        <w:t>二、投标函</w:t>
      </w:r>
      <w:bookmarkEnd w:id="53"/>
      <w:bookmarkEnd w:id="54"/>
    </w:p>
    <w:p w14:paraId="421BC40F">
      <w:pPr>
        <w:adjustRightInd w:val="0"/>
        <w:snapToGrid w:val="0"/>
        <w:spacing w:line="360" w:lineRule="auto"/>
        <w:rPr>
          <w:rFonts w:ascii="宋体" w:hAnsi="宋体"/>
          <w:color w:val="auto"/>
          <w:sz w:val="24"/>
          <w:highlight w:val="none"/>
        </w:rPr>
      </w:pPr>
    </w:p>
    <w:p w14:paraId="012A8065">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(采购人或代理机构)：</w:t>
      </w:r>
    </w:p>
    <w:p w14:paraId="7A1474A5">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我方己仔细研究了</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w:t>
      </w:r>
      <w:r>
        <w:rPr>
          <w:rFonts w:hint="eastAsia" w:ascii="宋体" w:hAnsi="宋体"/>
          <w:color w:val="auto"/>
          <w:szCs w:val="21"/>
          <w:highlight w:val="none"/>
          <w:lang w:eastAsia="zh-CN"/>
        </w:rPr>
        <w:t>、标项号</w:t>
      </w:r>
      <w:r>
        <w:rPr>
          <w:rFonts w:hint="eastAsia" w:ascii="宋体" w:hAnsi="宋体"/>
          <w:color w:val="auto"/>
          <w:szCs w:val="21"/>
          <w:highlight w:val="none"/>
        </w:rPr>
        <w:t>)的采购文件（项目编号：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）的全部内容，知悉参加投标的风险，我方承诺接受采购文件的全部条款且无任何异议。</w:t>
      </w:r>
    </w:p>
    <w:p w14:paraId="3E8D63E6">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一、我方同意在采购文件中规定的提交投标文件截止时间起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日内(投标文件有效期)遵守本投标文件中的承诺且在此期限期满之前均具有法律约束力。</w:t>
      </w:r>
    </w:p>
    <w:p w14:paraId="71300448">
      <w:pPr>
        <w:pStyle w:val="25"/>
        <w:adjustRightInd w:val="0"/>
        <w:snapToGrid w:val="0"/>
        <w:spacing w:line="360" w:lineRule="auto"/>
        <w:ind w:firstLine="420" w:firstLineChars="200"/>
        <w:rPr>
          <w:rFonts w:ascii="宋体" w:hAnsi="宋体"/>
          <w:bCs/>
          <w:color w:val="auto"/>
          <w:sz w:val="21"/>
          <w:szCs w:val="21"/>
          <w:highlight w:val="none"/>
        </w:rPr>
      </w:pPr>
      <w:r>
        <w:rPr>
          <w:rFonts w:hint="eastAsia" w:ascii="宋体" w:hAnsi="宋体"/>
          <w:color w:val="auto"/>
          <w:sz w:val="21"/>
          <w:szCs w:val="21"/>
          <w:highlight w:val="none"/>
        </w:rPr>
        <w:t>二、我方提交经加密的投标文件</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壹</w:t>
      </w:r>
      <w:r>
        <w:rPr>
          <w:rFonts w:ascii="宋体" w:hAnsi="宋体"/>
          <w:color w:val="auto"/>
          <w:sz w:val="21"/>
          <w:szCs w:val="21"/>
          <w:highlight w:val="none"/>
          <w:u w:val="single"/>
        </w:rPr>
        <w:t xml:space="preserve"> </w:t>
      </w:r>
      <w:r>
        <w:rPr>
          <w:rFonts w:hint="eastAsia" w:ascii="宋体" w:hAnsi="宋体"/>
          <w:color w:val="auto"/>
          <w:sz w:val="21"/>
          <w:szCs w:val="21"/>
          <w:highlight w:val="none"/>
        </w:rPr>
        <w:t>份，并保证投标文件提供的数据和材料是真实、准确的。否则，愿承担《政府采购法》</w:t>
      </w:r>
      <w:r>
        <w:rPr>
          <w:rFonts w:hint="eastAsia" w:ascii="宋体" w:hAnsi="宋体"/>
          <w:bCs/>
          <w:color w:val="auto"/>
          <w:sz w:val="21"/>
          <w:szCs w:val="21"/>
          <w:highlight w:val="none"/>
        </w:rPr>
        <w:t>第七十七条规定的法律责任。</w:t>
      </w:r>
    </w:p>
    <w:p w14:paraId="561EC720">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三、我方愿意向贵方提供任何与本项采购有关的数据、情况和技术资料。若贵方需要，我方愿意提供我方作出的一切承诺的证明材料。</w:t>
      </w:r>
    </w:p>
    <w:p w14:paraId="3B5EF6E9">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四、我方承诺遵守《政府采购法》的有关规定，保证在获得中标资格后，按照采购文件确定的事项签订政府采购合同，履行双方所签订的合同，并承担合同规定的责任和义务。</w:t>
      </w:r>
    </w:p>
    <w:p w14:paraId="13E436CF">
      <w:pPr>
        <w:pStyle w:val="25"/>
        <w:adjustRightInd w:val="0"/>
        <w:snapToGrid w:val="0"/>
        <w:spacing w:line="360" w:lineRule="auto"/>
        <w:ind w:firstLine="420" w:firstLineChars="200"/>
        <w:rPr>
          <w:rFonts w:ascii="宋体" w:hAnsi="宋体"/>
          <w:color w:val="auto"/>
          <w:sz w:val="21"/>
          <w:szCs w:val="21"/>
          <w:highlight w:val="none"/>
        </w:rPr>
      </w:pPr>
    </w:p>
    <w:p w14:paraId="36F61DF2">
      <w:pPr>
        <w:adjustRightInd w:val="0"/>
        <w:snapToGrid w:val="0"/>
        <w:spacing w:line="360" w:lineRule="auto"/>
        <w:ind w:right="24"/>
        <w:rPr>
          <w:rFonts w:ascii="宋体" w:hAnsi="宋体"/>
          <w:bCs/>
          <w:color w:val="auto"/>
          <w:szCs w:val="21"/>
          <w:highlight w:val="none"/>
        </w:rPr>
      </w:pPr>
    </w:p>
    <w:p w14:paraId="2F635F14">
      <w:pPr>
        <w:adjustRightInd w:val="0"/>
        <w:snapToGrid w:val="0"/>
        <w:spacing w:line="360" w:lineRule="auto"/>
        <w:ind w:right="24"/>
        <w:rPr>
          <w:rFonts w:ascii="宋体" w:hAnsi="宋体"/>
          <w:bCs/>
          <w:color w:val="auto"/>
          <w:szCs w:val="21"/>
          <w:highlight w:val="none"/>
        </w:rPr>
      </w:pPr>
    </w:p>
    <w:p w14:paraId="1485850C">
      <w:pPr>
        <w:adjustRightInd w:val="0"/>
        <w:snapToGrid w:val="0"/>
        <w:spacing w:line="360" w:lineRule="auto"/>
        <w:ind w:right="24"/>
        <w:rPr>
          <w:rFonts w:ascii="宋体" w:hAnsi="宋体"/>
          <w:bCs/>
          <w:color w:val="auto"/>
          <w:szCs w:val="21"/>
          <w:highlight w:val="none"/>
        </w:rPr>
      </w:pPr>
    </w:p>
    <w:p w14:paraId="34734052">
      <w:pPr>
        <w:adjustRightInd w:val="0"/>
        <w:snapToGrid w:val="0"/>
        <w:spacing w:line="360" w:lineRule="auto"/>
        <w:ind w:right="24"/>
        <w:rPr>
          <w:rFonts w:ascii="宋体" w:hAnsi="宋体"/>
          <w:bCs/>
          <w:color w:val="auto"/>
          <w:szCs w:val="21"/>
          <w:highlight w:val="none"/>
        </w:rPr>
      </w:pPr>
    </w:p>
    <w:p w14:paraId="7B0A69E3">
      <w:pPr>
        <w:adjustRightInd w:val="0"/>
        <w:snapToGrid w:val="0"/>
        <w:spacing w:line="360" w:lineRule="auto"/>
        <w:ind w:right="24"/>
        <w:rPr>
          <w:rFonts w:ascii="宋体" w:hAnsi="宋体"/>
          <w:color w:val="auto"/>
          <w:szCs w:val="21"/>
          <w:highlight w:val="none"/>
        </w:rPr>
      </w:pPr>
      <w:r>
        <w:rPr>
          <w:rFonts w:hint="eastAsia" w:ascii="宋体" w:hAnsi="宋体"/>
          <w:bCs/>
          <w:color w:val="auto"/>
          <w:szCs w:val="21"/>
          <w:highlight w:val="none"/>
        </w:rPr>
        <w:t>附件1：</w:t>
      </w:r>
      <w:r>
        <w:rPr>
          <w:rFonts w:hint="eastAsia" w:ascii="宋体" w:hAnsi="宋体"/>
          <w:color w:val="auto"/>
          <w:szCs w:val="21"/>
          <w:highlight w:val="none"/>
        </w:rPr>
        <w:t>法定代表人身份证明(法定代表人参加投标)</w:t>
      </w:r>
    </w:p>
    <w:p w14:paraId="6D96ABE8">
      <w:pPr>
        <w:adjustRightInd w:val="0"/>
        <w:snapToGrid w:val="0"/>
        <w:spacing w:line="360" w:lineRule="auto"/>
        <w:ind w:right="24"/>
        <w:rPr>
          <w:rFonts w:ascii="宋体" w:hAnsi="宋体"/>
          <w:color w:val="auto"/>
          <w:szCs w:val="21"/>
          <w:highlight w:val="none"/>
        </w:rPr>
      </w:pPr>
      <w:r>
        <w:rPr>
          <w:rFonts w:hint="eastAsia" w:ascii="宋体" w:hAnsi="宋体"/>
          <w:bCs/>
          <w:color w:val="auto"/>
          <w:szCs w:val="21"/>
          <w:highlight w:val="none"/>
        </w:rPr>
        <w:t>附件2</w:t>
      </w:r>
      <w:r>
        <w:rPr>
          <w:rFonts w:hint="eastAsia" w:ascii="宋体" w:hAnsi="宋体"/>
          <w:color w:val="auto"/>
          <w:szCs w:val="21"/>
          <w:highlight w:val="none"/>
        </w:rPr>
        <w:t>：法定代表人授权书(委托代理人参加投标)</w:t>
      </w:r>
    </w:p>
    <w:p w14:paraId="1ACAA23B">
      <w:pPr>
        <w:pStyle w:val="25"/>
        <w:adjustRightInd w:val="0"/>
        <w:snapToGrid w:val="0"/>
        <w:spacing w:line="360" w:lineRule="auto"/>
        <w:rPr>
          <w:rFonts w:ascii="宋体" w:hAnsi="宋体"/>
          <w:color w:val="auto"/>
          <w:sz w:val="21"/>
          <w:szCs w:val="21"/>
          <w:highlight w:val="none"/>
        </w:rPr>
      </w:pPr>
    </w:p>
    <w:p w14:paraId="0B5BF98B">
      <w:pPr>
        <w:pStyle w:val="25"/>
        <w:adjustRightInd w:val="0"/>
        <w:snapToGrid w:val="0"/>
        <w:spacing w:line="360" w:lineRule="auto"/>
        <w:rPr>
          <w:rFonts w:ascii="宋体" w:hAnsi="宋体"/>
          <w:color w:val="auto"/>
          <w:sz w:val="21"/>
          <w:szCs w:val="21"/>
          <w:highlight w:val="none"/>
        </w:rPr>
      </w:pPr>
    </w:p>
    <w:p w14:paraId="5DACAA64">
      <w:pPr>
        <w:pStyle w:val="25"/>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68E6BC44">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5D02A46B">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17646687">
      <w:pPr>
        <w:adjustRightInd w:val="0"/>
        <w:snapToGrid w:val="0"/>
        <w:spacing w:line="360" w:lineRule="auto"/>
        <w:ind w:right="24"/>
        <w:rPr>
          <w:rFonts w:ascii="宋体" w:hAnsi="宋体"/>
          <w:bCs/>
          <w:color w:val="auto"/>
          <w:szCs w:val="21"/>
          <w:highlight w:val="none"/>
        </w:rPr>
      </w:pPr>
    </w:p>
    <w:p w14:paraId="556DEB3F">
      <w:pPr>
        <w:adjustRightInd w:val="0"/>
        <w:snapToGrid w:val="0"/>
        <w:spacing w:line="360" w:lineRule="auto"/>
        <w:ind w:right="24"/>
        <w:rPr>
          <w:rFonts w:ascii="宋体" w:hAnsi="宋体"/>
          <w:bCs/>
          <w:color w:val="auto"/>
          <w:sz w:val="28"/>
          <w:szCs w:val="28"/>
          <w:highlight w:val="none"/>
        </w:rPr>
      </w:pPr>
    </w:p>
    <w:p w14:paraId="5F679129">
      <w:pPr>
        <w:adjustRightInd w:val="0"/>
        <w:snapToGrid w:val="0"/>
        <w:spacing w:before="120" w:beforeLines="50" w:line="360" w:lineRule="auto"/>
        <w:jc w:val="center"/>
        <w:rPr>
          <w:rFonts w:ascii="宋体" w:hAnsi="宋体"/>
          <w:b/>
          <w:color w:val="auto"/>
          <w:sz w:val="24"/>
          <w:highlight w:val="none"/>
        </w:rPr>
      </w:pPr>
      <w:r>
        <w:rPr>
          <w:rFonts w:ascii="宋体" w:hAnsi="宋体"/>
          <w:bCs/>
          <w:color w:val="auto"/>
          <w:sz w:val="28"/>
          <w:szCs w:val="28"/>
          <w:highlight w:val="none"/>
        </w:rPr>
        <w:br w:type="page"/>
      </w:r>
      <w:r>
        <w:rPr>
          <w:rFonts w:hint="eastAsia" w:ascii="宋体" w:hAnsi="宋体"/>
          <w:b/>
          <w:color w:val="auto"/>
          <w:sz w:val="24"/>
          <w:highlight w:val="none"/>
        </w:rPr>
        <w:t>投标声明</w:t>
      </w:r>
    </w:p>
    <w:p w14:paraId="544C5882">
      <w:pPr>
        <w:widowControl/>
        <w:adjustRightInd w:val="0"/>
        <w:snapToGrid w:val="0"/>
        <w:spacing w:line="360" w:lineRule="auto"/>
        <w:ind w:firstLine="420" w:firstLineChars="200"/>
        <w:rPr>
          <w:rFonts w:ascii="宋体" w:hAnsi="宋体"/>
          <w:color w:val="auto"/>
          <w:szCs w:val="21"/>
          <w:highlight w:val="none"/>
        </w:rPr>
      </w:pPr>
    </w:p>
    <w:p w14:paraId="5511CD59">
      <w:pPr>
        <w:widowControl/>
        <w:adjustRightInd w:val="0"/>
        <w:snapToGrid w:val="0"/>
        <w:spacing w:line="360" w:lineRule="auto"/>
        <w:ind w:firstLine="420" w:firstLineChars="200"/>
        <w:rPr>
          <w:rFonts w:ascii="宋体" w:hAnsi="宋体"/>
          <w:color w:val="auto"/>
          <w:szCs w:val="21"/>
          <w:highlight w:val="none"/>
        </w:rPr>
      </w:pPr>
    </w:p>
    <w:p w14:paraId="0BEDAAE3">
      <w:pPr>
        <w:widowControl/>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我们，</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（投标人名称）已认真阅读</w:t>
      </w:r>
      <w:r>
        <w:rPr>
          <w:rFonts w:hint="eastAsia" w:ascii="宋体" w:hAnsi="宋体" w:cs="宋体"/>
          <w:color w:val="auto"/>
          <w:kern w:val="0"/>
          <w:szCs w:val="21"/>
          <w:highlight w:val="none"/>
        </w:rPr>
        <w:t>《中华人民共和国政府采购法》、《中华人民共和国政府采购法实施条例》及</w:t>
      </w:r>
      <w:r>
        <w:rPr>
          <w:rFonts w:hint="eastAsia" w:ascii="宋体" w:hAnsi="宋体"/>
          <w:color w:val="auto"/>
          <w:highlight w:val="none"/>
        </w:rPr>
        <w:t>采购文件</w:t>
      </w:r>
      <w:r>
        <w:rPr>
          <w:rFonts w:hint="eastAsia" w:ascii="宋体" w:hAnsi="宋体" w:cs="宋体"/>
          <w:color w:val="auto"/>
          <w:kern w:val="0"/>
          <w:szCs w:val="21"/>
          <w:highlight w:val="none"/>
        </w:rPr>
        <w:t>[项目名称</w:t>
      </w:r>
      <w:r>
        <w:rPr>
          <w:rFonts w:hint="eastAsia" w:ascii="宋体" w:hAnsi="宋体"/>
          <w:color w:val="auto"/>
          <w:szCs w:val="21"/>
          <w:highlight w:val="none"/>
          <w:lang w:eastAsia="zh-CN"/>
        </w:rPr>
        <w:t>、标项号</w:t>
      </w:r>
      <w:r>
        <w:rPr>
          <w:rFonts w:hint="eastAsia" w:ascii="宋体" w:hAnsi="宋体" w:cs="宋体"/>
          <w:color w:val="auto"/>
          <w:kern w:val="0"/>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highlight w:val="none"/>
        </w:rPr>
        <w:t>项目</w:t>
      </w:r>
      <w:r>
        <w:rPr>
          <w:rFonts w:hint="eastAsia" w:ascii="宋体" w:hAnsi="宋体"/>
          <w:color w:val="auto"/>
          <w:szCs w:val="21"/>
          <w:highlight w:val="none"/>
        </w:rPr>
        <w:t>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]相关内容，知悉投标人参加政府采购活动应当具备的条件。此次按</w:t>
      </w:r>
      <w:r>
        <w:rPr>
          <w:rFonts w:hint="eastAsia" w:ascii="宋体" w:hAnsi="宋体"/>
          <w:color w:val="auto"/>
          <w:highlight w:val="none"/>
        </w:rPr>
        <w:t>采购文件</w:t>
      </w:r>
      <w:r>
        <w:rPr>
          <w:rFonts w:hint="eastAsia" w:ascii="宋体" w:hAnsi="宋体"/>
          <w:color w:val="auto"/>
          <w:szCs w:val="21"/>
          <w:highlight w:val="none"/>
        </w:rPr>
        <w:t>要求提交的投标人资格证明材料，已经认真核对和检查，全部内容真实、合法、准确和完整，我们对此负责，并愿承担由此引起的法律责任。</w:t>
      </w:r>
    </w:p>
    <w:p w14:paraId="0320F30C">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一、我方在此声明： </w:t>
      </w:r>
    </w:p>
    <w:p w14:paraId="61DA8806">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（一）我方与采购人或代理机构不存在</w:t>
      </w:r>
      <w:r>
        <w:rPr>
          <w:rFonts w:hint="eastAsia" w:ascii="宋体" w:hAnsi="宋体"/>
          <w:bCs/>
          <w:color w:val="auto"/>
          <w:szCs w:val="21"/>
          <w:highlight w:val="none"/>
        </w:rPr>
        <w:t>隶属关系或者其他利害关系</w:t>
      </w:r>
      <w:r>
        <w:rPr>
          <w:rFonts w:hint="eastAsia" w:ascii="宋体" w:hAnsi="宋体"/>
          <w:color w:val="auto"/>
          <w:szCs w:val="21"/>
          <w:highlight w:val="none"/>
        </w:rPr>
        <w:t>。</w:t>
      </w:r>
    </w:p>
    <w:p w14:paraId="1C4125EE">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（二）我方与参加本项目的其他投标人不存在控股、关联关系，或者与其他投标人法定代表人（或者负责人）为同一人。</w:t>
      </w:r>
    </w:p>
    <w:p w14:paraId="6C5A177A">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（三）我方未为本项目前期准备提供设计或技术服务。</w:t>
      </w:r>
    </w:p>
    <w:p w14:paraId="721F5658">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二、我方承诺</w:t>
      </w:r>
    </w:p>
    <w:p w14:paraId="1E035E19">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参加政府采购近三年内：</w:t>
      </w:r>
    </w:p>
    <w:p w14:paraId="5AD2F539">
      <w:pPr>
        <w:adjustRightInd w:val="0"/>
        <w:snapToGrid w:val="0"/>
        <w:spacing w:line="360" w:lineRule="auto"/>
        <w:ind w:left="1" w:firstLine="420" w:firstLineChars="200"/>
        <w:rPr>
          <w:rFonts w:ascii="宋体" w:hAnsi="宋体"/>
          <w:color w:val="auto"/>
          <w:szCs w:val="21"/>
          <w:highlight w:val="none"/>
        </w:rPr>
      </w:pPr>
      <w:r>
        <w:rPr>
          <w:rFonts w:hint="eastAsia" w:ascii="宋体" w:hAnsi="宋体"/>
          <w:bCs/>
          <w:color w:val="auto"/>
          <w:szCs w:val="21"/>
          <w:highlight w:val="none"/>
        </w:rPr>
        <w:t>（一）我方</w:t>
      </w:r>
      <w:r>
        <w:rPr>
          <w:rFonts w:hint="eastAsia" w:ascii="宋体" w:hAnsi="宋体"/>
          <w:color w:val="auto"/>
          <w:szCs w:val="21"/>
          <w:highlight w:val="none"/>
        </w:rPr>
        <w:t>依法缴纳了各项税费及各项社会保障资金，没有偷税、漏税及欠缴行为。</w:t>
      </w:r>
    </w:p>
    <w:p w14:paraId="2DEA97F3">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（二）我方在经营活动中没有存在下列重大违法记录：</w:t>
      </w:r>
    </w:p>
    <w:p w14:paraId="76430FD3">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1、受到刑事处罚；</w:t>
      </w:r>
    </w:p>
    <w:p w14:paraId="0F0C2F07">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2、受到三万元以上的罚款、责令停产停业、在一至三年内禁止参加政府采购活动、暂扣或者吊销许可证、暂扣或者吊销执照的行政处罚。</w:t>
      </w:r>
    </w:p>
    <w:p w14:paraId="5DF52CA7">
      <w:pPr>
        <w:adjustRightInd w:val="0"/>
        <w:snapToGrid w:val="0"/>
        <w:spacing w:line="360" w:lineRule="auto"/>
        <w:ind w:firstLine="420" w:firstLineChars="200"/>
        <w:rPr>
          <w:rFonts w:ascii="宋体" w:hAnsi="宋体"/>
          <w:bCs/>
          <w:color w:val="auto"/>
          <w:szCs w:val="21"/>
          <w:highlight w:val="none"/>
        </w:rPr>
      </w:pPr>
    </w:p>
    <w:p w14:paraId="222D2D04">
      <w:pPr>
        <w:adjustRightInd w:val="0"/>
        <w:snapToGrid w:val="0"/>
        <w:spacing w:line="360" w:lineRule="auto"/>
        <w:ind w:firstLine="2723" w:firstLineChars="1297"/>
        <w:rPr>
          <w:rFonts w:ascii="宋体" w:hAnsi="宋体"/>
          <w:color w:val="auto"/>
          <w:szCs w:val="21"/>
          <w:highlight w:val="none"/>
        </w:rPr>
      </w:pPr>
    </w:p>
    <w:p w14:paraId="5C570924">
      <w:pPr>
        <w:pStyle w:val="25"/>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136D0881">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740D33EF">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26C86E37">
      <w:pPr>
        <w:adjustRightInd w:val="0"/>
        <w:snapToGrid w:val="0"/>
        <w:spacing w:line="360" w:lineRule="auto"/>
        <w:ind w:right="24"/>
        <w:rPr>
          <w:rFonts w:ascii="宋体" w:hAnsi="宋体"/>
          <w:bCs/>
          <w:color w:val="auto"/>
          <w:szCs w:val="21"/>
          <w:highlight w:val="none"/>
        </w:rPr>
        <w:sectPr>
          <w:pgSz w:w="11906" w:h="16838"/>
          <w:pgMar w:top="1440" w:right="1797" w:bottom="1440" w:left="1797" w:header="851" w:footer="992" w:gutter="0"/>
          <w:pgNumType w:fmt="decimal"/>
          <w:cols w:space="720" w:num="1"/>
          <w:docGrid w:linePitch="312" w:charSpace="0"/>
        </w:sectPr>
      </w:pPr>
    </w:p>
    <w:p w14:paraId="47B63779">
      <w:pPr>
        <w:adjustRightInd w:val="0"/>
        <w:snapToGrid w:val="0"/>
        <w:spacing w:line="360" w:lineRule="auto"/>
        <w:ind w:right="24"/>
        <w:rPr>
          <w:rFonts w:ascii="宋体" w:hAnsi="宋体"/>
          <w:bCs/>
          <w:color w:val="auto"/>
          <w:sz w:val="24"/>
          <w:highlight w:val="none"/>
        </w:rPr>
      </w:pPr>
      <w:r>
        <w:rPr>
          <w:rFonts w:hint="eastAsia" w:ascii="宋体" w:hAnsi="宋体"/>
          <w:bCs/>
          <w:color w:val="auto"/>
          <w:sz w:val="24"/>
          <w:highlight w:val="none"/>
        </w:rPr>
        <w:t>附件1</w:t>
      </w:r>
    </w:p>
    <w:p w14:paraId="449D697B">
      <w:pPr>
        <w:adjustRightInd w:val="0"/>
        <w:snapToGrid w:val="0"/>
        <w:spacing w:line="360" w:lineRule="auto"/>
        <w:ind w:right="24"/>
        <w:jc w:val="center"/>
        <w:rPr>
          <w:rFonts w:ascii="宋体" w:hAnsi="宋体"/>
          <w:b/>
          <w:color w:val="auto"/>
          <w:sz w:val="24"/>
          <w:highlight w:val="none"/>
        </w:rPr>
      </w:pPr>
      <w:r>
        <w:rPr>
          <w:rFonts w:hint="eastAsia" w:ascii="宋体" w:hAnsi="宋体"/>
          <w:b/>
          <w:color w:val="auto"/>
          <w:sz w:val="24"/>
          <w:highlight w:val="none"/>
        </w:rPr>
        <w:t>法定代表人身份证明(法定代表人参加投标)</w:t>
      </w:r>
    </w:p>
    <w:p w14:paraId="3A5569A6">
      <w:pPr>
        <w:snapToGrid w:val="0"/>
        <w:spacing w:line="480" w:lineRule="auto"/>
        <w:rPr>
          <w:rFonts w:ascii="宋体" w:hAnsi="宋体"/>
          <w:color w:val="auto"/>
          <w:szCs w:val="21"/>
          <w:highlight w:val="none"/>
        </w:rPr>
      </w:pPr>
    </w:p>
    <w:p w14:paraId="74DF44B9">
      <w:pPr>
        <w:autoSpaceDE w:val="0"/>
        <w:autoSpaceDN w:val="0"/>
        <w:adjustRightInd w:val="0"/>
        <w:snapToGrid w:val="0"/>
        <w:spacing w:before="120" w:beforeLines="50" w:line="360" w:lineRule="auto"/>
        <w:jc w:val="left"/>
        <w:rPr>
          <w:rFonts w:ascii="宋体" w:hAnsi="宋体" w:cs="宋体"/>
          <w:color w:val="auto"/>
          <w:kern w:val="0"/>
          <w:szCs w:val="21"/>
          <w:highlight w:val="none"/>
        </w:rPr>
      </w:pPr>
      <w:r>
        <w:rPr>
          <w:rFonts w:hint="eastAsia" w:ascii="宋体" w:hAnsi="宋体"/>
          <w:color w:val="auto"/>
          <w:szCs w:val="21"/>
          <w:highlight w:val="none"/>
        </w:rPr>
        <w:t>投标人</w:t>
      </w:r>
      <w:r>
        <w:rPr>
          <w:rFonts w:hint="eastAsia" w:ascii="宋体" w:hAnsi="宋体" w:cs="宋体"/>
          <w:color w:val="auto"/>
          <w:kern w:val="0"/>
          <w:szCs w:val="21"/>
          <w:highlight w:val="none"/>
        </w:rPr>
        <w:t>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55FCC43D">
      <w:pPr>
        <w:autoSpaceDE w:val="0"/>
        <w:autoSpaceDN w:val="0"/>
        <w:adjustRightInd w:val="0"/>
        <w:snapToGrid w:val="0"/>
        <w:spacing w:before="120" w:beforeLines="50"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注册地址：</w:t>
      </w:r>
      <w:r>
        <w:rPr>
          <w:rFonts w:hint="eastAsia" w:ascii="宋体" w:hAnsi="宋体" w:cs="宋体"/>
          <w:color w:val="auto"/>
          <w:kern w:val="0"/>
          <w:szCs w:val="21"/>
          <w:highlight w:val="none"/>
          <w:u w:val="single"/>
        </w:rPr>
        <w:t xml:space="preserve">                                    </w:t>
      </w:r>
    </w:p>
    <w:p w14:paraId="7B3EAB1E">
      <w:pPr>
        <w:autoSpaceDE w:val="0"/>
        <w:autoSpaceDN w:val="0"/>
        <w:adjustRightInd w:val="0"/>
        <w:snapToGrid w:val="0"/>
        <w:spacing w:before="120" w:beforeLines="50"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成立时间：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年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日</w:t>
      </w:r>
    </w:p>
    <w:p w14:paraId="6B2BADE0">
      <w:pPr>
        <w:autoSpaceDE w:val="0"/>
        <w:autoSpaceDN w:val="0"/>
        <w:adjustRightInd w:val="0"/>
        <w:snapToGrid w:val="0"/>
        <w:spacing w:before="120" w:beforeLines="50" w:line="360" w:lineRule="auto"/>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经营期限：</w:t>
      </w:r>
      <w:r>
        <w:rPr>
          <w:rFonts w:hint="eastAsia" w:ascii="宋体" w:hAnsi="宋体" w:cs="宋体"/>
          <w:color w:val="auto"/>
          <w:kern w:val="0"/>
          <w:szCs w:val="21"/>
          <w:highlight w:val="none"/>
          <w:u w:val="single"/>
        </w:rPr>
        <w:t xml:space="preserve">                  </w:t>
      </w:r>
    </w:p>
    <w:p w14:paraId="16B54226">
      <w:pPr>
        <w:autoSpaceDE w:val="0"/>
        <w:autoSpaceDN w:val="0"/>
        <w:adjustRightInd w:val="0"/>
        <w:snapToGrid w:val="0"/>
        <w:spacing w:before="120" w:beforeLines="50" w:line="360" w:lineRule="auto"/>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经营范围：主营：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；兼营：</w:t>
      </w:r>
      <w:r>
        <w:rPr>
          <w:rFonts w:hint="eastAsia" w:ascii="宋体" w:hAnsi="宋体" w:cs="宋体"/>
          <w:color w:val="auto"/>
          <w:kern w:val="0"/>
          <w:szCs w:val="21"/>
          <w:highlight w:val="none"/>
          <w:u w:val="single"/>
        </w:rPr>
        <w:t xml:space="preserve">              </w:t>
      </w:r>
    </w:p>
    <w:p w14:paraId="7EF9419A">
      <w:pPr>
        <w:autoSpaceDE w:val="0"/>
        <w:autoSpaceDN w:val="0"/>
        <w:adjustRightInd w:val="0"/>
        <w:snapToGrid w:val="0"/>
        <w:spacing w:before="120" w:beforeLines="50"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性别：</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年龄：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olor w:val="auto"/>
          <w:szCs w:val="21"/>
          <w:highlight w:val="none"/>
        </w:rPr>
        <w:t>投标人</w:t>
      </w:r>
      <w:r>
        <w:rPr>
          <w:rFonts w:hint="eastAsia" w:ascii="宋体" w:hAnsi="宋体" w:cs="宋体"/>
          <w:color w:val="auto"/>
          <w:kern w:val="0"/>
          <w:szCs w:val="21"/>
          <w:highlight w:val="none"/>
        </w:rPr>
        <w:t>名称）的法定代表人。</w:t>
      </w:r>
    </w:p>
    <w:p w14:paraId="2E04A27B">
      <w:pPr>
        <w:autoSpaceDE w:val="0"/>
        <w:autoSpaceDN w:val="0"/>
        <w:adjustRightInd w:val="0"/>
        <w:snapToGrid w:val="0"/>
        <w:spacing w:before="120" w:beforeLines="50"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特此证明。</w:t>
      </w:r>
    </w:p>
    <w:p w14:paraId="6F296C15">
      <w:pPr>
        <w:autoSpaceDE w:val="0"/>
        <w:autoSpaceDN w:val="0"/>
        <w:adjustRightInd w:val="0"/>
        <w:snapToGrid w:val="0"/>
        <w:spacing w:before="120" w:beforeLines="50" w:line="360" w:lineRule="auto"/>
        <w:jc w:val="left"/>
        <w:rPr>
          <w:rFonts w:ascii="宋体" w:hAnsi="宋体" w:cs="宋体"/>
          <w:color w:val="auto"/>
          <w:kern w:val="0"/>
          <w:szCs w:val="21"/>
          <w:highlight w:val="none"/>
        </w:rPr>
      </w:pPr>
      <w:r>
        <w:rPr>
          <w:rFonts w:hint="eastAsia" w:ascii="宋体" w:hAnsi="宋体"/>
          <w:color w:val="auto"/>
          <w:szCs w:val="21"/>
          <w:highlight w:val="none"/>
        </w:rPr>
        <w:t>附：法定代表人身份证复印件</w:t>
      </w:r>
    </w:p>
    <w:p w14:paraId="27449612">
      <w:pPr>
        <w:snapToGrid w:val="0"/>
        <w:spacing w:line="480" w:lineRule="auto"/>
        <w:rPr>
          <w:rFonts w:ascii="宋体" w:hAnsi="宋体"/>
          <w:color w:val="auto"/>
          <w:szCs w:val="21"/>
          <w:highlight w:val="none"/>
        </w:rPr>
      </w:pPr>
    </w:p>
    <w:p w14:paraId="5B9699FE">
      <w:pPr>
        <w:snapToGrid w:val="0"/>
        <w:rPr>
          <w:rFonts w:ascii="宋体" w:hAnsi="宋体"/>
          <w:color w:val="auto"/>
          <w:szCs w:val="21"/>
          <w:highlight w:val="none"/>
        </w:rPr>
      </w:pPr>
    </w:p>
    <w:p w14:paraId="1F3A49A9">
      <w:pPr>
        <w:snapToGrid w:val="0"/>
        <w:rPr>
          <w:rFonts w:ascii="宋体" w:hAnsi="宋体"/>
          <w:color w:val="auto"/>
          <w:szCs w:val="21"/>
          <w:highlight w:val="none"/>
        </w:rPr>
      </w:pPr>
    </w:p>
    <w:p w14:paraId="33E6E690">
      <w:pPr>
        <w:snapToGrid w:val="0"/>
        <w:rPr>
          <w:rFonts w:ascii="宋体" w:hAnsi="宋体"/>
          <w:color w:val="auto"/>
          <w:szCs w:val="21"/>
          <w:highlight w:val="none"/>
        </w:rPr>
      </w:pPr>
    </w:p>
    <w:p w14:paraId="4FE4B82C">
      <w:pPr>
        <w:snapToGrid w:val="0"/>
        <w:rPr>
          <w:rFonts w:ascii="宋体" w:hAnsi="宋体"/>
          <w:color w:val="auto"/>
          <w:szCs w:val="21"/>
          <w:highlight w:val="none"/>
        </w:rPr>
      </w:pPr>
    </w:p>
    <w:p w14:paraId="63A59706">
      <w:pPr>
        <w:adjustRightInd w:val="0"/>
        <w:snapToGrid w:val="0"/>
        <w:spacing w:line="360" w:lineRule="auto"/>
        <w:rPr>
          <w:rFonts w:ascii="宋体" w:hAnsi="宋体"/>
          <w:color w:val="auto"/>
          <w:szCs w:val="21"/>
          <w:highlight w:val="none"/>
        </w:rPr>
      </w:pPr>
    </w:p>
    <w:p w14:paraId="57A472A4">
      <w:pPr>
        <w:adjustRightInd w:val="0"/>
        <w:snapToGrid w:val="0"/>
        <w:spacing w:line="360" w:lineRule="auto"/>
        <w:ind w:right="420"/>
        <w:rPr>
          <w:rFonts w:ascii="宋体" w:hAnsi="宋体"/>
          <w:color w:val="auto"/>
          <w:szCs w:val="21"/>
          <w:highlight w:val="none"/>
        </w:rPr>
      </w:pPr>
      <w:r>
        <w:rPr>
          <w:rFonts w:hint="eastAsia" w:ascii="宋体" w:hAnsi="宋体"/>
          <w:color w:val="auto"/>
          <w:szCs w:val="21"/>
          <w:highlight w:val="none"/>
        </w:rPr>
        <w:t>投标人名称（盖单位章）：</w:t>
      </w:r>
      <w:r>
        <w:rPr>
          <w:rFonts w:hint="eastAsia" w:ascii="宋体" w:hAnsi="宋体"/>
          <w:color w:val="auto"/>
          <w:szCs w:val="21"/>
          <w:highlight w:val="none"/>
          <w:u w:val="single"/>
        </w:rPr>
        <w:t xml:space="preserve">           </w:t>
      </w:r>
    </w:p>
    <w:p w14:paraId="2E809777">
      <w:pPr>
        <w:adjustRightInd w:val="0"/>
        <w:snapToGrid w:val="0"/>
        <w:spacing w:line="360" w:lineRule="auto"/>
        <w:ind w:right="420"/>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p>
    <w:p w14:paraId="00989A2B">
      <w:pPr>
        <w:adjustRightInd w:val="0"/>
        <w:snapToGrid w:val="0"/>
        <w:spacing w:before="120" w:beforeLines="50" w:line="360" w:lineRule="auto"/>
        <w:rPr>
          <w:rFonts w:ascii="宋体" w:hAnsi="宋体"/>
          <w:color w:val="auto"/>
          <w:szCs w:val="21"/>
          <w:highlight w:val="none"/>
        </w:rPr>
      </w:pPr>
    </w:p>
    <w:p w14:paraId="24FDE16C">
      <w:pPr>
        <w:adjustRightInd w:val="0"/>
        <w:snapToGrid w:val="0"/>
        <w:spacing w:before="120" w:beforeLines="50" w:line="360" w:lineRule="auto"/>
        <w:rPr>
          <w:rFonts w:ascii="宋体" w:hAnsi="宋体"/>
          <w:color w:val="auto"/>
          <w:szCs w:val="21"/>
          <w:highlight w:val="none"/>
        </w:rPr>
      </w:pPr>
    </w:p>
    <w:p w14:paraId="0A0BC5B9">
      <w:pPr>
        <w:adjustRightInd w:val="0"/>
        <w:snapToGrid w:val="0"/>
        <w:spacing w:before="120" w:beforeLines="50" w:line="360" w:lineRule="auto"/>
        <w:rPr>
          <w:rFonts w:ascii="宋体" w:hAnsi="宋体"/>
          <w:color w:val="auto"/>
          <w:sz w:val="24"/>
          <w:highlight w:val="none"/>
        </w:rPr>
      </w:pPr>
      <w:r>
        <w:rPr>
          <w:rFonts w:ascii="宋体" w:hAnsi="宋体"/>
          <w:color w:val="auto"/>
          <w:highlight w:val="none"/>
        </w:rPr>
        <w:br w:type="page"/>
      </w:r>
      <w:r>
        <w:rPr>
          <w:rFonts w:hint="eastAsia" w:ascii="宋体" w:hAnsi="宋体"/>
          <w:bCs/>
          <w:color w:val="auto"/>
          <w:sz w:val="24"/>
          <w:highlight w:val="none"/>
        </w:rPr>
        <w:t>附件2</w:t>
      </w:r>
    </w:p>
    <w:p w14:paraId="1768EF4E">
      <w:pPr>
        <w:adjustRightInd w:val="0"/>
        <w:snapToGrid w:val="0"/>
        <w:spacing w:line="360" w:lineRule="auto"/>
        <w:ind w:right="24"/>
        <w:jc w:val="center"/>
        <w:rPr>
          <w:rFonts w:ascii="宋体" w:hAnsi="宋体"/>
          <w:b/>
          <w:color w:val="auto"/>
          <w:sz w:val="24"/>
          <w:highlight w:val="none"/>
        </w:rPr>
      </w:pPr>
      <w:r>
        <w:rPr>
          <w:rFonts w:hint="eastAsia" w:ascii="宋体" w:hAnsi="宋体"/>
          <w:b/>
          <w:color w:val="auto"/>
          <w:sz w:val="24"/>
          <w:highlight w:val="none"/>
        </w:rPr>
        <w:t>法定代表人授权书(委托代理人参加投标)</w:t>
      </w:r>
    </w:p>
    <w:p w14:paraId="42D55211">
      <w:pPr>
        <w:adjustRightInd w:val="0"/>
        <w:snapToGrid w:val="0"/>
        <w:spacing w:line="360" w:lineRule="auto"/>
        <w:jc w:val="center"/>
        <w:rPr>
          <w:rFonts w:ascii="宋体" w:hAnsi="宋体"/>
          <w:b/>
          <w:color w:val="auto"/>
          <w:sz w:val="28"/>
          <w:szCs w:val="28"/>
          <w:highlight w:val="none"/>
        </w:rPr>
      </w:pPr>
    </w:p>
    <w:p w14:paraId="5079FB9B">
      <w:pPr>
        <w:autoSpaceDE w:val="0"/>
        <w:autoSpaceDN w:val="0"/>
        <w:adjustRightInd w:val="0"/>
        <w:snapToGrid w:val="0"/>
        <w:spacing w:before="120" w:beforeLines="50"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（姓名、职务）系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r>
        <w:rPr>
          <w:rFonts w:hint="eastAsia" w:ascii="宋体" w:hAnsi="宋体"/>
          <w:color w:val="auto"/>
          <w:szCs w:val="21"/>
          <w:highlight w:val="none"/>
        </w:rPr>
        <w:t>投标人</w:t>
      </w:r>
      <w:r>
        <w:rPr>
          <w:rFonts w:hint="eastAsia" w:ascii="宋体" w:hAnsi="宋体" w:cs="宋体"/>
          <w:color w:val="auto"/>
          <w:kern w:val="0"/>
          <w:szCs w:val="21"/>
          <w:highlight w:val="none"/>
        </w:rPr>
        <w:t>名称）的法定代表人，现授权</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（姓名、职务）为我方代理人。代理人根据授权，以我方名义：(1)签署、澄清、补正、修改、撤回、提交</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（项目名称</w:t>
      </w:r>
      <w:r>
        <w:rPr>
          <w:rFonts w:hint="eastAsia" w:ascii="宋体" w:hAnsi="宋体"/>
          <w:color w:val="auto"/>
          <w:szCs w:val="21"/>
          <w:highlight w:val="none"/>
          <w:lang w:eastAsia="zh-CN"/>
        </w:rPr>
        <w:t>、标项号</w:t>
      </w:r>
      <w:r>
        <w:rPr>
          <w:rFonts w:hint="eastAsia" w:ascii="宋体" w:hAnsi="宋体"/>
          <w:color w:val="auto"/>
          <w:szCs w:val="21"/>
          <w:highlight w:val="none"/>
          <w:lang w:val="en-US" w:eastAsia="zh-CN"/>
        </w:rPr>
        <w:t>、</w:t>
      </w:r>
      <w:r>
        <w:rPr>
          <w:rFonts w:hint="eastAsia" w:ascii="宋体" w:hAnsi="宋体"/>
          <w:color w:val="auto"/>
          <w:szCs w:val="21"/>
          <w:highlight w:val="none"/>
        </w:rPr>
        <w:t>项目</w:t>
      </w:r>
      <w:r>
        <w:rPr>
          <w:rFonts w:hint="eastAsia" w:ascii="宋体" w:hAnsi="宋体" w:cs="宋体"/>
          <w:color w:val="auto"/>
          <w:kern w:val="0"/>
          <w:szCs w:val="21"/>
          <w:highlight w:val="none"/>
        </w:rPr>
        <w:t>编号）</w:t>
      </w:r>
      <w:r>
        <w:rPr>
          <w:rFonts w:hint="eastAsia" w:ascii="宋体" w:hAnsi="宋体"/>
          <w:color w:val="auto"/>
          <w:highlight w:val="none"/>
        </w:rPr>
        <w:t>投标文件</w:t>
      </w:r>
      <w:r>
        <w:rPr>
          <w:rFonts w:hint="eastAsia" w:ascii="宋体" w:hAnsi="宋体" w:cs="宋体"/>
          <w:color w:val="auto"/>
          <w:kern w:val="0"/>
          <w:szCs w:val="21"/>
          <w:highlight w:val="none"/>
        </w:rPr>
        <w:t>及报价；</w:t>
      </w:r>
    </w:p>
    <w:p w14:paraId="5D1F2554">
      <w:pPr>
        <w:autoSpaceDE w:val="0"/>
        <w:autoSpaceDN w:val="0"/>
        <w:adjustRightInd w:val="0"/>
        <w:snapToGrid w:val="0"/>
        <w:spacing w:before="120" w:beforeLines="50"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(2)签订合同和处理有关事宜，其法律后果由我方承担。</w:t>
      </w:r>
    </w:p>
    <w:p w14:paraId="7F7BE596">
      <w:pPr>
        <w:autoSpaceDE w:val="0"/>
        <w:autoSpaceDN w:val="0"/>
        <w:adjustRightInd w:val="0"/>
        <w:snapToGrid w:val="0"/>
        <w:spacing w:before="120" w:beforeLines="50"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委托期限：</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7CD1D3B7">
      <w:pPr>
        <w:spacing w:line="360" w:lineRule="auto"/>
        <w:ind w:firstLine="435"/>
        <w:rPr>
          <w:rFonts w:ascii="宋体" w:hAnsi="宋体" w:cs="宋体"/>
          <w:color w:val="auto"/>
          <w:kern w:val="0"/>
          <w:szCs w:val="21"/>
          <w:highlight w:val="none"/>
        </w:rPr>
      </w:pPr>
      <w:r>
        <w:rPr>
          <w:rFonts w:hint="eastAsia" w:ascii="宋体" w:hAnsi="宋体" w:cs="宋体"/>
          <w:color w:val="auto"/>
          <w:kern w:val="0"/>
          <w:szCs w:val="21"/>
          <w:highlight w:val="none"/>
        </w:rPr>
        <w:t>代理人无转委托权。</w:t>
      </w:r>
    </w:p>
    <w:p w14:paraId="554D8575">
      <w:pPr>
        <w:spacing w:line="360" w:lineRule="auto"/>
        <w:ind w:firstLine="435"/>
        <w:rPr>
          <w:rFonts w:ascii="宋体" w:hAnsi="宋体"/>
          <w:color w:val="auto"/>
          <w:szCs w:val="21"/>
          <w:highlight w:val="none"/>
        </w:rPr>
      </w:pPr>
      <w:r>
        <w:rPr>
          <w:rFonts w:hint="eastAsia" w:ascii="宋体" w:hAnsi="宋体"/>
          <w:color w:val="auto"/>
          <w:szCs w:val="21"/>
          <w:highlight w:val="none"/>
        </w:rPr>
        <w:t>本授权书于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日签字生效，特此声明。</w:t>
      </w:r>
    </w:p>
    <w:p w14:paraId="103569DC">
      <w:pPr>
        <w:adjustRightInd w:val="0"/>
        <w:snapToGrid w:val="0"/>
        <w:spacing w:before="120" w:beforeLines="50" w:line="360" w:lineRule="auto"/>
        <w:ind w:firstLine="420" w:firstLineChars="200"/>
        <w:rPr>
          <w:rFonts w:ascii="宋体" w:hAnsi="宋体"/>
          <w:color w:val="auto"/>
          <w:szCs w:val="21"/>
          <w:highlight w:val="none"/>
        </w:rPr>
      </w:pPr>
    </w:p>
    <w:p w14:paraId="57412F9C">
      <w:pPr>
        <w:adjustRightInd w:val="0"/>
        <w:snapToGrid w:val="0"/>
        <w:spacing w:before="120" w:beforeLines="50" w:line="360" w:lineRule="auto"/>
        <w:ind w:firstLine="420" w:firstLineChars="200"/>
        <w:rPr>
          <w:rFonts w:ascii="宋体" w:hAnsi="宋体"/>
          <w:color w:val="auto"/>
          <w:szCs w:val="21"/>
          <w:highlight w:val="none"/>
        </w:rPr>
      </w:pPr>
    </w:p>
    <w:p w14:paraId="13339F5E">
      <w:pPr>
        <w:adjustRightInd w:val="0"/>
        <w:snapToGrid w:val="0"/>
        <w:spacing w:before="120" w:beforeLines="50" w:line="360" w:lineRule="auto"/>
        <w:ind w:firstLine="420" w:firstLineChars="200"/>
        <w:rPr>
          <w:rFonts w:ascii="宋体" w:hAnsi="宋体"/>
          <w:color w:val="auto"/>
          <w:szCs w:val="21"/>
          <w:highlight w:val="none"/>
        </w:rPr>
      </w:pPr>
    </w:p>
    <w:p w14:paraId="3C7E64BB">
      <w:pPr>
        <w:adjustRightInd w:val="0"/>
        <w:snapToGrid w:val="0"/>
        <w:spacing w:before="120"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rPr>
        <w:t>附：法定代表人身份证复印件</w:t>
      </w:r>
    </w:p>
    <w:p w14:paraId="5367209E">
      <w:pPr>
        <w:adjustRightInd w:val="0"/>
        <w:snapToGrid w:val="0"/>
        <w:spacing w:before="120" w:beforeLines="50" w:line="360" w:lineRule="auto"/>
        <w:ind w:firstLine="420" w:firstLineChars="200"/>
        <w:rPr>
          <w:rFonts w:ascii="宋体" w:hAnsi="宋体"/>
          <w:color w:val="auto"/>
          <w:szCs w:val="21"/>
          <w:highlight w:val="none"/>
        </w:rPr>
      </w:pPr>
    </w:p>
    <w:p w14:paraId="09BE1154">
      <w:pPr>
        <w:adjustRightInd w:val="0"/>
        <w:snapToGrid w:val="0"/>
        <w:spacing w:before="120"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rPr>
        <w:t>附：委托代理人身份证复印件</w:t>
      </w:r>
    </w:p>
    <w:p w14:paraId="7E8307AA">
      <w:pPr>
        <w:adjustRightInd w:val="0"/>
        <w:snapToGrid w:val="0"/>
        <w:spacing w:before="120" w:beforeLines="50" w:line="360" w:lineRule="auto"/>
        <w:ind w:firstLine="420" w:firstLineChars="200"/>
        <w:rPr>
          <w:rFonts w:ascii="宋体" w:hAnsi="宋体"/>
          <w:color w:val="auto"/>
          <w:szCs w:val="21"/>
          <w:highlight w:val="none"/>
        </w:rPr>
      </w:pPr>
    </w:p>
    <w:p w14:paraId="12752775">
      <w:pPr>
        <w:adjustRightInd w:val="0"/>
        <w:snapToGrid w:val="0"/>
        <w:spacing w:line="360" w:lineRule="auto"/>
        <w:ind w:right="420"/>
        <w:rPr>
          <w:rFonts w:ascii="宋体" w:hAnsi="宋体"/>
          <w:color w:val="auto"/>
          <w:szCs w:val="21"/>
          <w:highlight w:val="none"/>
        </w:rPr>
      </w:pPr>
    </w:p>
    <w:p w14:paraId="076F9EB2">
      <w:pPr>
        <w:adjustRightInd w:val="0"/>
        <w:snapToGrid w:val="0"/>
        <w:spacing w:line="360" w:lineRule="auto"/>
        <w:ind w:right="420"/>
        <w:rPr>
          <w:rFonts w:ascii="宋体" w:hAnsi="宋体"/>
          <w:color w:val="auto"/>
          <w:szCs w:val="21"/>
          <w:highlight w:val="none"/>
        </w:rPr>
      </w:pPr>
    </w:p>
    <w:p w14:paraId="643D743A">
      <w:pPr>
        <w:adjustRightInd w:val="0"/>
        <w:snapToGrid w:val="0"/>
        <w:spacing w:line="360" w:lineRule="auto"/>
        <w:ind w:right="420"/>
        <w:rPr>
          <w:rFonts w:ascii="宋体" w:hAnsi="宋体"/>
          <w:color w:val="auto"/>
          <w:szCs w:val="21"/>
          <w:highlight w:val="none"/>
        </w:rPr>
      </w:pPr>
    </w:p>
    <w:p w14:paraId="0BA048FB">
      <w:pPr>
        <w:adjustRightInd w:val="0"/>
        <w:snapToGrid w:val="0"/>
        <w:spacing w:line="360" w:lineRule="auto"/>
        <w:ind w:right="420"/>
        <w:rPr>
          <w:rFonts w:ascii="宋体" w:hAnsi="宋体"/>
          <w:color w:val="auto"/>
          <w:szCs w:val="21"/>
          <w:highlight w:val="none"/>
        </w:rPr>
      </w:pPr>
    </w:p>
    <w:p w14:paraId="35C0C774">
      <w:pPr>
        <w:adjustRightInd w:val="0"/>
        <w:snapToGrid w:val="0"/>
        <w:spacing w:line="360" w:lineRule="auto"/>
        <w:ind w:right="420"/>
        <w:rPr>
          <w:rFonts w:ascii="宋体" w:hAnsi="宋体"/>
          <w:color w:val="auto"/>
          <w:szCs w:val="21"/>
          <w:highlight w:val="none"/>
        </w:rPr>
      </w:pPr>
      <w:r>
        <w:rPr>
          <w:rFonts w:hint="eastAsia" w:ascii="宋体" w:hAnsi="宋体"/>
          <w:color w:val="auto"/>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7A99FE5C">
      <w:pPr>
        <w:adjustRightInd w:val="0"/>
        <w:snapToGrid w:val="0"/>
        <w:spacing w:line="360" w:lineRule="auto"/>
        <w:ind w:right="420"/>
        <w:rPr>
          <w:rFonts w:ascii="宋体" w:hAnsi="宋体"/>
          <w:color w:val="auto"/>
          <w:szCs w:val="21"/>
          <w:highlight w:val="none"/>
        </w:rPr>
      </w:pPr>
      <w:r>
        <w:rPr>
          <w:rFonts w:hint="eastAsia" w:ascii="宋体" w:hAnsi="宋体"/>
          <w:color w:val="auto"/>
          <w:szCs w:val="21"/>
          <w:highlight w:val="none"/>
        </w:rPr>
        <w:t>法定代表人（签字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25E342C7">
      <w:pPr>
        <w:adjustRightInd w:val="0"/>
        <w:snapToGrid w:val="0"/>
        <w:spacing w:line="360" w:lineRule="auto"/>
        <w:ind w:right="420"/>
        <w:rPr>
          <w:rFonts w:ascii="宋体" w:hAnsi="宋体"/>
          <w:color w:val="auto"/>
          <w:szCs w:val="21"/>
          <w:highlight w:val="none"/>
        </w:rPr>
      </w:pPr>
      <w:r>
        <w:rPr>
          <w:rFonts w:hint="eastAsia" w:ascii="宋体" w:hAnsi="宋体"/>
          <w:color w:val="auto"/>
          <w:szCs w:val="21"/>
          <w:highlight w:val="none"/>
        </w:rPr>
        <w:t>委托代理人（签字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7FD5997D">
      <w:pPr>
        <w:adjustRightInd w:val="0"/>
        <w:snapToGrid w:val="0"/>
        <w:spacing w:line="360" w:lineRule="auto"/>
        <w:ind w:right="24"/>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406A4D89">
      <w:pPr>
        <w:spacing w:line="360" w:lineRule="exact"/>
        <w:rPr>
          <w:rFonts w:ascii="宋体" w:hAnsi="宋体"/>
          <w:b/>
          <w:color w:val="auto"/>
          <w:highlight w:val="none"/>
        </w:rPr>
      </w:pPr>
      <w:r>
        <w:rPr>
          <w:rFonts w:ascii="宋体" w:hAnsi="宋体"/>
          <w:color w:val="auto"/>
          <w:highlight w:val="none"/>
        </w:rPr>
        <w:br w:type="page"/>
      </w:r>
    </w:p>
    <w:p w14:paraId="1C940681">
      <w:pPr>
        <w:pStyle w:val="3"/>
        <w:jc w:val="center"/>
        <w:rPr>
          <w:rFonts w:ascii="宋体" w:hAnsi="宋体"/>
          <w:color w:val="auto"/>
          <w:sz w:val="28"/>
          <w:szCs w:val="28"/>
          <w:highlight w:val="none"/>
        </w:rPr>
      </w:pPr>
      <w:bookmarkStart w:id="55" w:name="_Toc433187367"/>
      <w:bookmarkStart w:id="56" w:name="_Toc161933898"/>
      <w:r>
        <w:rPr>
          <w:rFonts w:hint="eastAsia" w:ascii="宋体" w:hAnsi="宋体"/>
          <w:color w:val="auto"/>
          <w:sz w:val="28"/>
          <w:szCs w:val="28"/>
          <w:highlight w:val="none"/>
        </w:rPr>
        <w:t>三、</w:t>
      </w:r>
      <w:bookmarkEnd w:id="55"/>
      <w:r>
        <w:rPr>
          <w:rFonts w:hint="eastAsia" w:ascii="宋体" w:hAnsi="宋体"/>
          <w:color w:val="auto"/>
          <w:sz w:val="28"/>
          <w:szCs w:val="28"/>
          <w:highlight w:val="none"/>
        </w:rPr>
        <w:t>投标保证金</w:t>
      </w:r>
      <w:bookmarkEnd w:id="56"/>
    </w:p>
    <w:p w14:paraId="126009C1">
      <w:pPr>
        <w:spacing w:line="480" w:lineRule="exact"/>
        <w:rPr>
          <w:rFonts w:ascii="宋体" w:hAnsi="宋体"/>
          <w:color w:val="auto"/>
          <w:sz w:val="24"/>
          <w:highlight w:val="none"/>
        </w:rPr>
      </w:pPr>
      <w:r>
        <w:rPr>
          <w:rFonts w:hint="eastAsia" w:ascii="宋体" w:hAnsi="宋体"/>
          <w:color w:val="auto"/>
          <w:sz w:val="24"/>
          <w:highlight w:val="none"/>
        </w:rPr>
        <w:t>附件3：</w:t>
      </w:r>
    </w:p>
    <w:p w14:paraId="4C59C756">
      <w:pPr>
        <w:spacing w:line="480" w:lineRule="exact"/>
        <w:jc w:val="center"/>
        <w:rPr>
          <w:rFonts w:ascii="宋体" w:hAnsi="宋体"/>
          <w:b/>
          <w:bCs/>
          <w:color w:val="auto"/>
          <w:sz w:val="24"/>
          <w:highlight w:val="none"/>
        </w:rPr>
      </w:pPr>
      <w:r>
        <w:rPr>
          <w:rFonts w:hint="eastAsia" w:ascii="宋体" w:hAnsi="宋体"/>
          <w:b/>
          <w:bCs/>
          <w:color w:val="auto"/>
          <w:sz w:val="24"/>
          <w:highlight w:val="none"/>
        </w:rPr>
        <w:t>投标保证金缴纳凭证</w:t>
      </w:r>
    </w:p>
    <w:p w14:paraId="3434CB8A">
      <w:pPr>
        <w:spacing w:line="480" w:lineRule="exact"/>
        <w:jc w:val="center"/>
        <w:rPr>
          <w:rFonts w:ascii="宋体" w:hAnsi="宋体"/>
          <w:b/>
          <w:bCs/>
          <w:color w:val="auto"/>
          <w:sz w:val="28"/>
          <w:szCs w:val="28"/>
          <w:highlight w:val="none"/>
        </w:rPr>
      </w:pPr>
    </w:p>
    <w:p w14:paraId="5288CDF5">
      <w:pPr>
        <w:spacing w:line="480" w:lineRule="exact"/>
        <w:jc w:val="center"/>
        <w:rPr>
          <w:rFonts w:ascii="宋体" w:hAnsi="宋体"/>
          <w:b/>
          <w:bCs/>
          <w:color w:val="auto"/>
          <w:sz w:val="28"/>
          <w:szCs w:val="28"/>
          <w:highlight w:val="none"/>
        </w:rPr>
      </w:pPr>
    </w:p>
    <w:p w14:paraId="017FE7DE">
      <w:pPr>
        <w:spacing w:line="480" w:lineRule="exact"/>
        <w:jc w:val="center"/>
        <w:rPr>
          <w:rFonts w:ascii="宋体" w:hAnsi="宋体"/>
          <w:b/>
          <w:bCs/>
          <w:color w:val="auto"/>
          <w:sz w:val="28"/>
          <w:szCs w:val="28"/>
          <w:highlight w:val="none"/>
        </w:rPr>
      </w:pPr>
    </w:p>
    <w:p w14:paraId="68DE22E7">
      <w:pPr>
        <w:spacing w:line="480" w:lineRule="exact"/>
        <w:jc w:val="center"/>
        <w:rPr>
          <w:rFonts w:ascii="宋体" w:hAnsi="宋体"/>
          <w:b/>
          <w:bCs/>
          <w:color w:val="auto"/>
          <w:sz w:val="28"/>
          <w:szCs w:val="28"/>
          <w:highlight w:val="none"/>
        </w:rPr>
      </w:pPr>
    </w:p>
    <w:p w14:paraId="15AB46A2">
      <w:pPr>
        <w:pStyle w:val="3"/>
        <w:jc w:val="center"/>
        <w:rPr>
          <w:rFonts w:ascii="宋体" w:hAnsi="宋体"/>
          <w:color w:val="auto"/>
          <w:sz w:val="28"/>
          <w:szCs w:val="28"/>
          <w:highlight w:val="none"/>
        </w:rPr>
      </w:pPr>
      <w:r>
        <w:rPr>
          <w:rFonts w:ascii="宋体" w:hAnsi="宋体"/>
          <w:color w:val="auto"/>
          <w:highlight w:val="none"/>
        </w:rPr>
        <w:br w:type="page"/>
      </w:r>
      <w:bookmarkStart w:id="57" w:name="_Toc161933899"/>
      <w:bookmarkStart w:id="58" w:name="_Toc433187368"/>
      <w:r>
        <w:rPr>
          <w:rFonts w:hint="eastAsia" w:ascii="宋体" w:hAnsi="宋体"/>
          <w:color w:val="auto"/>
          <w:sz w:val="28"/>
          <w:szCs w:val="28"/>
          <w:highlight w:val="none"/>
        </w:rPr>
        <w:t>四、报价一览表及报价明细表</w:t>
      </w:r>
      <w:bookmarkEnd w:id="57"/>
    </w:p>
    <w:p w14:paraId="733FBC3A">
      <w:pPr>
        <w:rPr>
          <w:rFonts w:ascii="宋体" w:hAnsi="宋体"/>
          <w:color w:val="auto"/>
          <w:highlight w:val="none"/>
        </w:rPr>
      </w:pPr>
    </w:p>
    <w:p w14:paraId="2C9E93ED">
      <w:pPr>
        <w:rPr>
          <w:rFonts w:ascii="宋体" w:hAnsi="宋体"/>
          <w:color w:val="auto"/>
          <w:sz w:val="24"/>
          <w:highlight w:val="none"/>
        </w:rPr>
      </w:pPr>
    </w:p>
    <w:p w14:paraId="0E589FA3">
      <w:pPr>
        <w:rPr>
          <w:rFonts w:ascii="宋体" w:hAnsi="宋体"/>
          <w:color w:val="auto"/>
          <w:sz w:val="24"/>
          <w:highlight w:val="none"/>
        </w:rPr>
      </w:pPr>
      <w:r>
        <w:rPr>
          <w:rFonts w:hint="eastAsia" w:ascii="宋体" w:hAnsi="宋体"/>
          <w:color w:val="auto"/>
          <w:sz w:val="24"/>
          <w:highlight w:val="none"/>
        </w:rPr>
        <w:t xml:space="preserve">附件4    </w:t>
      </w:r>
    </w:p>
    <w:p w14:paraId="47C6204E">
      <w:pPr>
        <w:adjustRightInd w:val="0"/>
        <w:snapToGrid w:val="0"/>
        <w:jc w:val="center"/>
        <w:rPr>
          <w:rFonts w:ascii="宋体" w:hAnsi="宋体"/>
          <w:b/>
          <w:color w:val="auto"/>
          <w:sz w:val="28"/>
          <w:szCs w:val="28"/>
          <w:highlight w:val="none"/>
        </w:rPr>
      </w:pPr>
      <w:r>
        <w:rPr>
          <w:rFonts w:hint="eastAsia" w:ascii="宋体" w:hAnsi="宋体"/>
          <w:b/>
          <w:bCs/>
          <w:color w:val="auto"/>
          <w:sz w:val="28"/>
          <w:szCs w:val="28"/>
          <w:highlight w:val="none"/>
        </w:rPr>
        <w:t>报价一览表</w:t>
      </w:r>
    </w:p>
    <w:p w14:paraId="1AB0715E">
      <w:pPr>
        <w:spacing w:line="360" w:lineRule="exact"/>
        <w:jc w:val="left"/>
        <w:rPr>
          <w:rFonts w:ascii="宋体" w:hAnsi="宋体"/>
          <w:b/>
          <w:color w:val="auto"/>
          <w:highlight w:val="none"/>
        </w:rPr>
      </w:pPr>
    </w:p>
    <w:p w14:paraId="42BD66CA">
      <w:pPr>
        <w:spacing w:line="360" w:lineRule="exact"/>
        <w:jc w:val="left"/>
        <w:rPr>
          <w:rFonts w:hint="eastAsia" w:ascii="宋体" w:hAnsi="宋体"/>
          <w:b/>
          <w:color w:val="auto"/>
          <w:highlight w:val="none"/>
        </w:rPr>
      </w:pPr>
      <w:r>
        <w:rPr>
          <w:rFonts w:hint="eastAsia" w:ascii="宋体" w:hAnsi="宋体"/>
          <w:b/>
          <w:color w:val="auto"/>
          <w:highlight w:val="none"/>
        </w:rPr>
        <w:t xml:space="preserve">项目名称：                                                                                  项目编号： </w:t>
      </w:r>
    </w:p>
    <w:p w14:paraId="533A611E">
      <w:pPr>
        <w:spacing w:line="360" w:lineRule="exact"/>
        <w:jc w:val="left"/>
        <w:rPr>
          <w:rFonts w:ascii="宋体" w:hAnsi="宋体"/>
          <w:color w:val="auto"/>
          <w:sz w:val="24"/>
          <w:highlight w:val="none"/>
        </w:rPr>
      </w:pPr>
      <w:r>
        <w:rPr>
          <w:rFonts w:hint="eastAsia" w:ascii="宋体" w:hAnsi="宋体"/>
          <w:b/>
          <w:color w:val="auto"/>
          <w:highlight w:val="none"/>
          <w:lang w:eastAsia="zh-CN"/>
        </w:rPr>
        <w:t>标项号：</w:t>
      </w:r>
      <w:r>
        <w:rPr>
          <w:rFonts w:hint="eastAsia" w:ascii="宋体" w:hAnsi="宋体"/>
          <w:b/>
          <w:color w:val="auto"/>
          <w:highlight w:val="none"/>
        </w:rPr>
        <w:t xml:space="preserve">     </w:t>
      </w:r>
    </w:p>
    <w:tbl>
      <w:tblPr>
        <w:tblStyle w:val="47"/>
        <w:tblW w:w="84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3"/>
        <w:gridCol w:w="1827"/>
        <w:gridCol w:w="4668"/>
        <w:gridCol w:w="1299"/>
      </w:tblGrid>
      <w:tr w14:paraId="4A3428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93" w:type="dxa"/>
            <w:tcBorders>
              <w:top w:val="single" w:color="auto" w:sz="4" w:space="0"/>
              <w:left w:val="single" w:color="auto" w:sz="4" w:space="0"/>
              <w:right w:val="single" w:color="auto" w:sz="4" w:space="0"/>
            </w:tcBorders>
            <w:vAlign w:val="center"/>
          </w:tcPr>
          <w:p w14:paraId="047D2268">
            <w:pPr>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6495" w:type="dxa"/>
            <w:gridSpan w:val="2"/>
            <w:tcBorders>
              <w:top w:val="single" w:color="auto" w:sz="4" w:space="0"/>
              <w:left w:val="single" w:color="auto" w:sz="4" w:space="0"/>
              <w:right w:val="single" w:color="auto" w:sz="4" w:space="0"/>
            </w:tcBorders>
            <w:vAlign w:val="center"/>
          </w:tcPr>
          <w:p w14:paraId="73F739AC">
            <w:pPr>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内容</w:t>
            </w:r>
          </w:p>
        </w:tc>
        <w:tc>
          <w:tcPr>
            <w:tcW w:w="1299" w:type="dxa"/>
            <w:tcBorders>
              <w:top w:val="single" w:color="auto" w:sz="4" w:space="0"/>
              <w:left w:val="single" w:color="auto" w:sz="4" w:space="0"/>
              <w:right w:val="single" w:color="auto" w:sz="4" w:space="0"/>
            </w:tcBorders>
            <w:vAlign w:val="center"/>
          </w:tcPr>
          <w:p w14:paraId="25D70ADF">
            <w:pPr>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备注</w:t>
            </w:r>
          </w:p>
        </w:tc>
      </w:tr>
      <w:tr w14:paraId="556CE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right w:val="single" w:color="auto" w:sz="4" w:space="0"/>
            </w:tcBorders>
            <w:vAlign w:val="center"/>
          </w:tcPr>
          <w:p w14:paraId="0B02607A">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1827" w:type="dxa"/>
            <w:tcBorders>
              <w:top w:val="single" w:color="auto" w:sz="4" w:space="0"/>
              <w:left w:val="single" w:color="auto" w:sz="4" w:space="0"/>
              <w:right w:val="single" w:color="auto" w:sz="4" w:space="0"/>
            </w:tcBorders>
            <w:vAlign w:val="center"/>
          </w:tcPr>
          <w:p w14:paraId="231DD5A6">
            <w:pPr>
              <w:snapToGrid w:val="0"/>
              <w:spacing w:line="400" w:lineRule="exact"/>
              <w:rPr>
                <w:rFonts w:ascii="宋体" w:hAnsi="宋体"/>
                <w:color w:val="auto"/>
                <w:szCs w:val="21"/>
                <w:highlight w:val="none"/>
              </w:rPr>
            </w:pPr>
            <w:r>
              <w:rPr>
                <w:rFonts w:hint="eastAsia" w:ascii="宋体" w:hAnsi="宋体"/>
                <w:color w:val="auto"/>
                <w:szCs w:val="21"/>
                <w:highlight w:val="none"/>
              </w:rPr>
              <w:t>投标人名称</w:t>
            </w:r>
          </w:p>
        </w:tc>
        <w:tc>
          <w:tcPr>
            <w:tcW w:w="4668" w:type="dxa"/>
            <w:tcBorders>
              <w:top w:val="single" w:color="auto" w:sz="4" w:space="0"/>
              <w:left w:val="single" w:color="auto" w:sz="4" w:space="0"/>
              <w:right w:val="single" w:color="auto" w:sz="4" w:space="0"/>
            </w:tcBorders>
            <w:vAlign w:val="center"/>
          </w:tcPr>
          <w:p w14:paraId="4A91E227">
            <w:pPr>
              <w:snapToGrid w:val="0"/>
              <w:spacing w:line="400" w:lineRule="exact"/>
              <w:rPr>
                <w:rFonts w:ascii="宋体" w:hAnsi="宋体"/>
                <w:color w:val="auto"/>
                <w:szCs w:val="21"/>
                <w:highlight w:val="none"/>
              </w:rPr>
            </w:pPr>
          </w:p>
        </w:tc>
        <w:tc>
          <w:tcPr>
            <w:tcW w:w="1299" w:type="dxa"/>
            <w:tcBorders>
              <w:top w:val="single" w:color="auto" w:sz="4" w:space="0"/>
              <w:left w:val="single" w:color="auto" w:sz="4" w:space="0"/>
              <w:right w:val="single" w:color="auto" w:sz="4" w:space="0"/>
            </w:tcBorders>
            <w:vAlign w:val="center"/>
          </w:tcPr>
          <w:p w14:paraId="636C3300">
            <w:pPr>
              <w:snapToGrid w:val="0"/>
              <w:spacing w:line="400" w:lineRule="exact"/>
              <w:jc w:val="center"/>
              <w:rPr>
                <w:rFonts w:ascii="宋体" w:hAnsi="宋体"/>
                <w:color w:val="auto"/>
                <w:szCs w:val="21"/>
                <w:highlight w:val="none"/>
              </w:rPr>
            </w:pPr>
          </w:p>
        </w:tc>
      </w:tr>
      <w:tr w14:paraId="1A57C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jc w:val="center"/>
        </w:trPr>
        <w:tc>
          <w:tcPr>
            <w:tcW w:w="693" w:type="dxa"/>
            <w:tcBorders>
              <w:top w:val="single" w:color="auto" w:sz="4" w:space="0"/>
              <w:left w:val="single" w:color="auto" w:sz="4" w:space="0"/>
              <w:right w:val="single" w:color="auto" w:sz="4" w:space="0"/>
            </w:tcBorders>
            <w:vAlign w:val="center"/>
          </w:tcPr>
          <w:p w14:paraId="7EDF56B2">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1827" w:type="dxa"/>
            <w:tcBorders>
              <w:top w:val="single" w:color="auto" w:sz="4" w:space="0"/>
              <w:left w:val="single" w:color="auto" w:sz="4" w:space="0"/>
              <w:bottom w:val="single" w:color="auto" w:sz="4" w:space="0"/>
              <w:right w:val="single" w:color="auto" w:sz="4" w:space="0"/>
            </w:tcBorders>
            <w:vAlign w:val="center"/>
          </w:tcPr>
          <w:p w14:paraId="449227F7">
            <w:pPr>
              <w:snapToGrid w:val="0"/>
              <w:spacing w:line="400" w:lineRule="exact"/>
              <w:rPr>
                <w:rFonts w:ascii="宋体" w:hAnsi="宋体"/>
                <w:color w:val="auto"/>
                <w:szCs w:val="21"/>
                <w:highlight w:val="none"/>
              </w:rPr>
            </w:pPr>
            <w:r>
              <w:rPr>
                <w:rFonts w:hint="eastAsia" w:ascii="宋体" w:hAnsi="宋体"/>
                <w:color w:val="auto"/>
                <w:szCs w:val="21"/>
                <w:highlight w:val="none"/>
              </w:rPr>
              <w:t>报价</w:t>
            </w:r>
          </w:p>
        </w:tc>
        <w:tc>
          <w:tcPr>
            <w:tcW w:w="4668" w:type="dxa"/>
            <w:tcBorders>
              <w:top w:val="single" w:color="auto" w:sz="4" w:space="0"/>
              <w:left w:val="single" w:color="auto" w:sz="4" w:space="0"/>
              <w:bottom w:val="single" w:color="auto" w:sz="4" w:space="0"/>
              <w:right w:val="single" w:color="auto" w:sz="4" w:space="0"/>
            </w:tcBorders>
            <w:vAlign w:val="center"/>
          </w:tcPr>
          <w:p w14:paraId="1043048B">
            <w:pPr>
              <w:widowControl/>
              <w:rPr>
                <w:rFonts w:ascii="宋体" w:hAnsi="宋体"/>
                <w:color w:val="auto"/>
                <w:szCs w:val="21"/>
                <w:highlight w:val="none"/>
              </w:rPr>
            </w:pPr>
            <w:r>
              <w:rPr>
                <w:rFonts w:hint="eastAsia" w:ascii="宋体" w:hAnsi="宋体"/>
                <w:color w:val="auto"/>
                <w:szCs w:val="21"/>
                <w:highlight w:val="none"/>
              </w:rPr>
              <w:t xml:space="preserve">大写：           </w:t>
            </w:r>
          </w:p>
          <w:p w14:paraId="0D391892">
            <w:pPr>
              <w:snapToGrid w:val="0"/>
              <w:spacing w:line="400" w:lineRule="exact"/>
              <w:rPr>
                <w:rFonts w:ascii="宋体" w:hAnsi="宋体"/>
                <w:color w:val="auto"/>
                <w:szCs w:val="21"/>
                <w:highlight w:val="none"/>
              </w:rPr>
            </w:pPr>
            <w:r>
              <w:rPr>
                <w:rFonts w:hint="eastAsia" w:ascii="宋体" w:hAnsi="宋体"/>
                <w:color w:val="auto"/>
                <w:szCs w:val="21"/>
                <w:highlight w:val="none"/>
              </w:rPr>
              <w:t xml:space="preserve">小写：          </w:t>
            </w:r>
          </w:p>
        </w:tc>
        <w:tc>
          <w:tcPr>
            <w:tcW w:w="1299" w:type="dxa"/>
            <w:tcBorders>
              <w:top w:val="single" w:color="auto" w:sz="4" w:space="0"/>
              <w:left w:val="single" w:color="auto" w:sz="4" w:space="0"/>
              <w:bottom w:val="single" w:color="auto" w:sz="4" w:space="0"/>
              <w:right w:val="single" w:color="auto" w:sz="4" w:space="0"/>
            </w:tcBorders>
            <w:vAlign w:val="center"/>
          </w:tcPr>
          <w:p w14:paraId="6CAF1659">
            <w:pPr>
              <w:snapToGrid w:val="0"/>
              <w:spacing w:line="400" w:lineRule="exact"/>
              <w:jc w:val="center"/>
              <w:rPr>
                <w:rFonts w:ascii="宋体" w:hAnsi="宋体"/>
                <w:color w:val="auto"/>
                <w:szCs w:val="21"/>
                <w:highlight w:val="none"/>
              </w:rPr>
            </w:pPr>
          </w:p>
        </w:tc>
      </w:tr>
      <w:tr w14:paraId="16055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53490ABD">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1827" w:type="dxa"/>
            <w:tcBorders>
              <w:top w:val="single" w:color="auto" w:sz="4" w:space="0"/>
              <w:left w:val="single" w:color="auto" w:sz="4" w:space="0"/>
              <w:bottom w:val="single" w:color="auto" w:sz="4" w:space="0"/>
              <w:right w:val="single" w:color="auto" w:sz="4" w:space="0"/>
            </w:tcBorders>
            <w:vAlign w:val="center"/>
          </w:tcPr>
          <w:p w14:paraId="595787C4">
            <w:pPr>
              <w:snapToGrid w:val="0"/>
              <w:spacing w:line="400" w:lineRule="exact"/>
              <w:rPr>
                <w:rFonts w:ascii="宋体" w:hAnsi="宋体"/>
                <w:color w:val="auto"/>
                <w:szCs w:val="21"/>
                <w:highlight w:val="none"/>
              </w:rPr>
            </w:pPr>
            <w:r>
              <w:rPr>
                <w:rFonts w:hint="eastAsia" w:ascii="宋体" w:hAnsi="宋体"/>
                <w:color w:val="auto"/>
                <w:szCs w:val="21"/>
                <w:highlight w:val="none"/>
              </w:rPr>
              <w:t>合同履行期限</w:t>
            </w:r>
          </w:p>
        </w:tc>
        <w:tc>
          <w:tcPr>
            <w:tcW w:w="4668" w:type="dxa"/>
            <w:tcBorders>
              <w:top w:val="single" w:color="auto" w:sz="4" w:space="0"/>
              <w:left w:val="single" w:color="auto" w:sz="4" w:space="0"/>
              <w:bottom w:val="single" w:color="auto" w:sz="4" w:space="0"/>
              <w:right w:val="single" w:color="auto" w:sz="4" w:space="0"/>
            </w:tcBorders>
            <w:vAlign w:val="center"/>
          </w:tcPr>
          <w:p w14:paraId="00500A90">
            <w:pPr>
              <w:snapToGrid w:val="0"/>
              <w:spacing w:line="400" w:lineRule="exact"/>
              <w:ind w:left="2559"/>
              <w:rPr>
                <w:rFonts w:ascii="宋体" w:hAnsi="宋体"/>
                <w:color w:val="auto"/>
                <w:szCs w:val="21"/>
                <w:highlight w:val="none"/>
                <w:u w:val="single"/>
              </w:rPr>
            </w:pPr>
          </w:p>
        </w:tc>
        <w:tc>
          <w:tcPr>
            <w:tcW w:w="1299" w:type="dxa"/>
            <w:tcBorders>
              <w:top w:val="single" w:color="auto" w:sz="4" w:space="0"/>
              <w:left w:val="single" w:color="auto" w:sz="4" w:space="0"/>
              <w:bottom w:val="single" w:color="auto" w:sz="4" w:space="0"/>
              <w:right w:val="single" w:color="auto" w:sz="4" w:space="0"/>
            </w:tcBorders>
            <w:vAlign w:val="center"/>
          </w:tcPr>
          <w:p w14:paraId="2C85EC92">
            <w:pPr>
              <w:snapToGrid w:val="0"/>
              <w:spacing w:line="400" w:lineRule="exact"/>
              <w:jc w:val="center"/>
              <w:rPr>
                <w:rFonts w:ascii="宋体" w:hAnsi="宋体"/>
                <w:color w:val="auto"/>
                <w:szCs w:val="21"/>
                <w:highlight w:val="none"/>
                <w:u w:val="single"/>
              </w:rPr>
            </w:pPr>
          </w:p>
        </w:tc>
      </w:tr>
      <w:tr w14:paraId="02E18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409B8615">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1827" w:type="dxa"/>
            <w:tcBorders>
              <w:top w:val="single" w:color="auto" w:sz="4" w:space="0"/>
              <w:left w:val="single" w:color="auto" w:sz="4" w:space="0"/>
              <w:bottom w:val="single" w:color="auto" w:sz="4" w:space="0"/>
              <w:right w:val="single" w:color="auto" w:sz="4" w:space="0"/>
            </w:tcBorders>
            <w:vAlign w:val="center"/>
          </w:tcPr>
          <w:p w14:paraId="64D6434A">
            <w:pPr>
              <w:snapToGrid w:val="0"/>
              <w:spacing w:line="400" w:lineRule="exact"/>
              <w:rPr>
                <w:rFonts w:ascii="宋体" w:hAnsi="宋体"/>
                <w:color w:val="auto"/>
                <w:szCs w:val="21"/>
                <w:highlight w:val="none"/>
              </w:rPr>
            </w:pPr>
            <w:r>
              <w:rPr>
                <w:rFonts w:hint="eastAsia" w:ascii="宋体" w:hAnsi="宋体"/>
                <w:color w:val="auto"/>
                <w:szCs w:val="21"/>
                <w:highlight w:val="none"/>
              </w:rPr>
              <w:t>其他事项声明</w:t>
            </w:r>
          </w:p>
        </w:tc>
        <w:tc>
          <w:tcPr>
            <w:tcW w:w="4668" w:type="dxa"/>
            <w:tcBorders>
              <w:top w:val="single" w:color="auto" w:sz="4" w:space="0"/>
              <w:left w:val="single" w:color="auto" w:sz="4" w:space="0"/>
              <w:bottom w:val="single" w:color="auto" w:sz="4" w:space="0"/>
              <w:right w:val="single" w:color="auto" w:sz="4" w:space="0"/>
            </w:tcBorders>
            <w:vAlign w:val="center"/>
          </w:tcPr>
          <w:p w14:paraId="7288D02B">
            <w:pPr>
              <w:snapToGrid w:val="0"/>
              <w:spacing w:line="400" w:lineRule="exact"/>
              <w:ind w:left="2559"/>
              <w:jc w:val="left"/>
              <w:rPr>
                <w:rFonts w:ascii="宋体" w:hAnsi="宋体"/>
                <w:color w:val="auto"/>
                <w:szCs w:val="21"/>
                <w:highlight w:val="none"/>
                <w:u w:val="single"/>
              </w:rPr>
            </w:pPr>
          </w:p>
        </w:tc>
        <w:tc>
          <w:tcPr>
            <w:tcW w:w="1299" w:type="dxa"/>
            <w:tcBorders>
              <w:top w:val="single" w:color="auto" w:sz="4" w:space="0"/>
              <w:left w:val="single" w:color="auto" w:sz="4" w:space="0"/>
              <w:bottom w:val="single" w:color="auto" w:sz="4" w:space="0"/>
              <w:right w:val="single" w:color="auto" w:sz="4" w:space="0"/>
            </w:tcBorders>
            <w:vAlign w:val="center"/>
          </w:tcPr>
          <w:p w14:paraId="145EB467">
            <w:pPr>
              <w:snapToGrid w:val="0"/>
              <w:spacing w:line="400" w:lineRule="exact"/>
              <w:jc w:val="center"/>
              <w:rPr>
                <w:rFonts w:ascii="宋体" w:hAnsi="宋体"/>
                <w:color w:val="auto"/>
                <w:szCs w:val="21"/>
                <w:highlight w:val="none"/>
                <w:u w:val="single"/>
              </w:rPr>
            </w:pPr>
          </w:p>
        </w:tc>
      </w:tr>
    </w:tbl>
    <w:p w14:paraId="2731AEC6">
      <w:pPr>
        <w:adjustRightInd w:val="0"/>
        <w:snapToGrid w:val="0"/>
        <w:spacing w:line="360" w:lineRule="auto"/>
        <w:rPr>
          <w:rFonts w:ascii="宋体" w:hAnsi="宋体"/>
          <w:color w:val="auto"/>
          <w:szCs w:val="21"/>
          <w:highlight w:val="none"/>
        </w:rPr>
      </w:pPr>
    </w:p>
    <w:p w14:paraId="573E70BE">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注: 1、报价一经涂改，应在涂改处加盖单位公章或者由法定代表人或授权委托人签字或盖章，否则其投标作无效处理。</w:t>
      </w:r>
    </w:p>
    <w:p w14:paraId="10500D5B">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须附详细的报价明细表，报价明细表中总金额和此表中首次投标报价一致。</w:t>
      </w:r>
    </w:p>
    <w:p w14:paraId="3FB9A47B">
      <w:pPr>
        <w:adjustRightInd w:val="0"/>
        <w:snapToGrid w:val="0"/>
        <w:spacing w:line="360" w:lineRule="auto"/>
        <w:rPr>
          <w:rFonts w:ascii="宋体" w:hAnsi="宋体"/>
          <w:color w:val="auto"/>
          <w:szCs w:val="21"/>
          <w:highlight w:val="none"/>
        </w:rPr>
      </w:pPr>
    </w:p>
    <w:p w14:paraId="3360FFF1">
      <w:pPr>
        <w:adjustRightInd w:val="0"/>
        <w:snapToGrid w:val="0"/>
        <w:spacing w:line="360" w:lineRule="auto"/>
        <w:rPr>
          <w:rFonts w:ascii="宋体" w:hAnsi="宋体"/>
          <w:color w:val="auto"/>
          <w:szCs w:val="21"/>
          <w:highlight w:val="none"/>
        </w:rPr>
      </w:pPr>
    </w:p>
    <w:p w14:paraId="377AD505">
      <w:pPr>
        <w:pStyle w:val="25"/>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2E3ABB01">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542C7EF1">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462BF1BC">
      <w:pPr>
        <w:rPr>
          <w:rFonts w:hint="eastAsia" w:ascii="宋体" w:hAnsi="宋体"/>
          <w:color w:val="auto"/>
          <w:sz w:val="24"/>
          <w:highlight w:val="none"/>
        </w:rPr>
      </w:pPr>
      <w:r>
        <w:rPr>
          <w:rFonts w:hint="eastAsia" w:ascii="宋体" w:hAnsi="宋体"/>
          <w:color w:val="auto"/>
          <w:sz w:val="24"/>
          <w:highlight w:val="none"/>
        </w:rPr>
        <w:br w:type="page"/>
      </w:r>
    </w:p>
    <w:p w14:paraId="168FB690">
      <w:pPr>
        <w:adjustRightInd w:val="0"/>
        <w:snapToGrid w:val="0"/>
        <w:rPr>
          <w:rFonts w:ascii="宋体" w:hAnsi="宋体"/>
          <w:b/>
          <w:color w:val="auto"/>
          <w:sz w:val="30"/>
          <w:szCs w:val="30"/>
          <w:highlight w:val="none"/>
        </w:rPr>
      </w:pPr>
      <w:r>
        <w:rPr>
          <w:rFonts w:hint="eastAsia" w:ascii="宋体" w:hAnsi="宋体"/>
          <w:color w:val="auto"/>
          <w:sz w:val="24"/>
          <w:highlight w:val="none"/>
        </w:rPr>
        <w:t xml:space="preserve">附件5  </w:t>
      </w:r>
    </w:p>
    <w:p w14:paraId="10ED13B6">
      <w:pPr>
        <w:adjustRightInd w:val="0"/>
        <w:snapToGrid w:val="0"/>
        <w:jc w:val="center"/>
        <w:rPr>
          <w:rFonts w:ascii="宋体" w:hAnsi="宋体"/>
          <w:b/>
          <w:color w:val="auto"/>
          <w:sz w:val="24"/>
          <w:highlight w:val="none"/>
        </w:rPr>
      </w:pPr>
      <w:r>
        <w:rPr>
          <w:rFonts w:hint="eastAsia" w:ascii="宋体" w:hAnsi="宋体"/>
          <w:b/>
          <w:color w:val="auto"/>
          <w:sz w:val="24"/>
          <w:highlight w:val="none"/>
        </w:rPr>
        <w:t xml:space="preserve">报价明细表 </w:t>
      </w:r>
    </w:p>
    <w:p w14:paraId="16C26B26">
      <w:pPr>
        <w:spacing w:line="360" w:lineRule="exact"/>
        <w:ind w:firstLine="211" w:firstLineChars="100"/>
        <w:rPr>
          <w:rFonts w:ascii="宋体" w:hAnsi="宋体"/>
          <w:b/>
          <w:color w:val="auto"/>
          <w:highlight w:val="none"/>
        </w:rPr>
      </w:pPr>
    </w:p>
    <w:p w14:paraId="55F37D20">
      <w:pPr>
        <w:spacing w:line="360" w:lineRule="exact"/>
        <w:jc w:val="left"/>
        <w:rPr>
          <w:rFonts w:ascii="宋体" w:hAnsi="宋体"/>
          <w:b/>
          <w:color w:val="auto"/>
          <w:highlight w:val="none"/>
        </w:rPr>
      </w:pPr>
      <w:r>
        <w:rPr>
          <w:rFonts w:hint="eastAsia" w:ascii="宋体" w:hAnsi="宋体"/>
          <w:b/>
          <w:color w:val="auto"/>
          <w:highlight w:val="none"/>
        </w:rPr>
        <w:t xml:space="preserve">项目名称：                                                     </w:t>
      </w:r>
    </w:p>
    <w:p w14:paraId="2A62B553">
      <w:pPr>
        <w:spacing w:line="360" w:lineRule="exact"/>
        <w:jc w:val="left"/>
        <w:rPr>
          <w:rFonts w:hint="eastAsia" w:ascii="宋体" w:hAnsi="宋体"/>
          <w:b/>
          <w:color w:val="auto"/>
          <w:highlight w:val="none"/>
        </w:rPr>
      </w:pPr>
      <w:r>
        <w:rPr>
          <w:rFonts w:hint="eastAsia" w:ascii="宋体" w:hAnsi="宋体"/>
          <w:b/>
          <w:color w:val="auto"/>
          <w:highlight w:val="none"/>
        </w:rPr>
        <w:t>项目编号：</w:t>
      </w:r>
    </w:p>
    <w:p w14:paraId="47AB877D">
      <w:pPr>
        <w:spacing w:line="360" w:lineRule="exact"/>
        <w:jc w:val="left"/>
        <w:rPr>
          <w:rFonts w:ascii="宋体" w:hAnsi="宋体"/>
          <w:b/>
          <w:color w:val="auto"/>
          <w:highlight w:val="none"/>
        </w:rPr>
      </w:pPr>
      <w:r>
        <w:rPr>
          <w:rFonts w:hint="eastAsia" w:ascii="宋体" w:hAnsi="宋体"/>
          <w:b/>
          <w:color w:val="auto"/>
          <w:highlight w:val="none"/>
          <w:lang w:eastAsia="zh-CN"/>
        </w:rPr>
        <w:t>标项号：</w:t>
      </w:r>
      <w:r>
        <w:rPr>
          <w:rFonts w:hint="eastAsia" w:ascii="宋体" w:hAnsi="宋体"/>
          <w:b/>
          <w:color w:val="auto"/>
          <w:highlight w:val="none"/>
          <w:lang w:val="en-US" w:eastAsia="zh-CN"/>
        </w:rPr>
        <w:t xml:space="preserve">        </w:t>
      </w:r>
      <w:r>
        <w:rPr>
          <w:rFonts w:hint="eastAsia" w:ascii="宋体" w:hAnsi="宋体"/>
          <w:b/>
          <w:color w:val="auto"/>
          <w:highlight w:val="none"/>
        </w:rPr>
        <w:t xml:space="preserve">                                                 金额单位：元</w:t>
      </w:r>
    </w:p>
    <w:tbl>
      <w:tblPr>
        <w:tblStyle w:val="47"/>
        <w:tblW w:w="6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1712"/>
        <w:gridCol w:w="782"/>
        <w:gridCol w:w="836"/>
        <w:gridCol w:w="951"/>
        <w:gridCol w:w="1112"/>
        <w:gridCol w:w="682"/>
      </w:tblGrid>
      <w:tr w14:paraId="6FD02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jc w:val="center"/>
        </w:trPr>
        <w:tc>
          <w:tcPr>
            <w:tcW w:w="518" w:type="dxa"/>
            <w:vAlign w:val="center"/>
          </w:tcPr>
          <w:p w14:paraId="6AB83936">
            <w:pPr>
              <w:jc w:val="center"/>
              <w:rPr>
                <w:rFonts w:ascii="宋体" w:hAnsi="宋体"/>
                <w:color w:val="auto"/>
                <w:highlight w:val="none"/>
              </w:rPr>
            </w:pPr>
            <w:r>
              <w:rPr>
                <w:rFonts w:hint="eastAsia" w:ascii="宋体" w:hAnsi="宋体"/>
                <w:color w:val="auto"/>
                <w:highlight w:val="none"/>
              </w:rPr>
              <w:t>序号</w:t>
            </w:r>
          </w:p>
        </w:tc>
        <w:tc>
          <w:tcPr>
            <w:tcW w:w="1712" w:type="dxa"/>
            <w:vAlign w:val="center"/>
          </w:tcPr>
          <w:p w14:paraId="586BB77B">
            <w:pPr>
              <w:jc w:val="center"/>
              <w:rPr>
                <w:rFonts w:ascii="宋体" w:hAnsi="宋体"/>
                <w:color w:val="auto"/>
                <w:highlight w:val="none"/>
              </w:rPr>
            </w:pPr>
            <w:r>
              <w:rPr>
                <w:rFonts w:hint="eastAsia" w:ascii="宋体" w:hAnsi="宋体"/>
                <w:color w:val="auto"/>
                <w:highlight w:val="none"/>
              </w:rPr>
              <w:t>费用名称</w:t>
            </w:r>
          </w:p>
        </w:tc>
        <w:tc>
          <w:tcPr>
            <w:tcW w:w="782" w:type="dxa"/>
            <w:vAlign w:val="center"/>
          </w:tcPr>
          <w:p w14:paraId="1ACBE89A">
            <w:pPr>
              <w:jc w:val="center"/>
              <w:rPr>
                <w:rFonts w:ascii="宋体" w:hAnsi="宋体"/>
                <w:color w:val="auto"/>
                <w:highlight w:val="none"/>
              </w:rPr>
            </w:pPr>
            <w:r>
              <w:rPr>
                <w:rFonts w:hint="eastAsia" w:ascii="宋体" w:hAnsi="宋体"/>
                <w:color w:val="auto"/>
                <w:highlight w:val="none"/>
              </w:rPr>
              <w:t>数量</w:t>
            </w:r>
          </w:p>
        </w:tc>
        <w:tc>
          <w:tcPr>
            <w:tcW w:w="836" w:type="dxa"/>
            <w:vAlign w:val="center"/>
          </w:tcPr>
          <w:p w14:paraId="054295D5">
            <w:pPr>
              <w:jc w:val="center"/>
              <w:rPr>
                <w:rFonts w:ascii="宋体" w:hAnsi="宋体"/>
                <w:color w:val="auto"/>
                <w:highlight w:val="none"/>
              </w:rPr>
            </w:pPr>
            <w:r>
              <w:rPr>
                <w:rFonts w:hint="eastAsia" w:ascii="宋体" w:hAnsi="宋体"/>
                <w:color w:val="auto"/>
                <w:highlight w:val="none"/>
              </w:rPr>
              <w:t>单位</w:t>
            </w:r>
          </w:p>
        </w:tc>
        <w:tc>
          <w:tcPr>
            <w:tcW w:w="951" w:type="dxa"/>
            <w:vAlign w:val="center"/>
          </w:tcPr>
          <w:p w14:paraId="466C1A39">
            <w:pPr>
              <w:jc w:val="center"/>
              <w:rPr>
                <w:rFonts w:ascii="宋体" w:hAnsi="宋体"/>
                <w:color w:val="auto"/>
                <w:highlight w:val="none"/>
              </w:rPr>
            </w:pPr>
            <w:r>
              <w:rPr>
                <w:rFonts w:hint="eastAsia" w:ascii="宋体" w:hAnsi="宋体"/>
                <w:color w:val="auto"/>
                <w:highlight w:val="none"/>
              </w:rPr>
              <w:t>单价(元</w:t>
            </w:r>
            <w:r>
              <w:rPr>
                <w:rFonts w:ascii="宋体" w:hAnsi="宋体"/>
                <w:color w:val="auto"/>
                <w:highlight w:val="none"/>
              </w:rPr>
              <w:t>)</w:t>
            </w:r>
          </w:p>
        </w:tc>
        <w:tc>
          <w:tcPr>
            <w:tcW w:w="1112" w:type="dxa"/>
            <w:vAlign w:val="center"/>
          </w:tcPr>
          <w:p w14:paraId="37C1E00E">
            <w:pPr>
              <w:jc w:val="center"/>
              <w:rPr>
                <w:rFonts w:ascii="宋体" w:hAnsi="宋体"/>
                <w:color w:val="auto"/>
                <w:highlight w:val="none"/>
              </w:rPr>
            </w:pPr>
            <w:r>
              <w:rPr>
                <w:rFonts w:hint="eastAsia" w:ascii="宋体" w:hAnsi="宋体"/>
                <w:color w:val="auto"/>
                <w:highlight w:val="none"/>
              </w:rPr>
              <w:t>合计（元）</w:t>
            </w:r>
          </w:p>
        </w:tc>
        <w:tc>
          <w:tcPr>
            <w:tcW w:w="682" w:type="dxa"/>
            <w:vAlign w:val="center"/>
          </w:tcPr>
          <w:p w14:paraId="6F29FED6">
            <w:pPr>
              <w:jc w:val="center"/>
              <w:rPr>
                <w:rFonts w:ascii="宋体" w:hAnsi="宋体"/>
                <w:color w:val="auto"/>
                <w:highlight w:val="none"/>
              </w:rPr>
            </w:pPr>
            <w:r>
              <w:rPr>
                <w:rFonts w:hint="eastAsia" w:ascii="宋体" w:hAnsi="宋体"/>
                <w:color w:val="auto"/>
                <w:highlight w:val="none"/>
              </w:rPr>
              <w:t>备注</w:t>
            </w:r>
          </w:p>
        </w:tc>
      </w:tr>
      <w:tr w14:paraId="474B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8" w:type="dxa"/>
            <w:vAlign w:val="center"/>
          </w:tcPr>
          <w:p w14:paraId="75CB1B29">
            <w:pPr>
              <w:jc w:val="center"/>
              <w:rPr>
                <w:rFonts w:ascii="宋体" w:hAnsi="宋体"/>
                <w:color w:val="auto"/>
                <w:highlight w:val="none"/>
              </w:rPr>
            </w:pPr>
          </w:p>
        </w:tc>
        <w:tc>
          <w:tcPr>
            <w:tcW w:w="1712" w:type="dxa"/>
            <w:vAlign w:val="center"/>
          </w:tcPr>
          <w:p w14:paraId="1D5D22BF">
            <w:pPr>
              <w:jc w:val="center"/>
              <w:rPr>
                <w:rFonts w:ascii="宋体" w:hAnsi="宋体"/>
                <w:color w:val="auto"/>
                <w:highlight w:val="none"/>
              </w:rPr>
            </w:pPr>
          </w:p>
        </w:tc>
        <w:tc>
          <w:tcPr>
            <w:tcW w:w="782" w:type="dxa"/>
          </w:tcPr>
          <w:p w14:paraId="04812EC4">
            <w:pPr>
              <w:jc w:val="center"/>
              <w:rPr>
                <w:rFonts w:ascii="宋体" w:hAnsi="宋体"/>
                <w:color w:val="auto"/>
                <w:highlight w:val="none"/>
              </w:rPr>
            </w:pPr>
          </w:p>
        </w:tc>
        <w:tc>
          <w:tcPr>
            <w:tcW w:w="836" w:type="dxa"/>
          </w:tcPr>
          <w:p w14:paraId="7EE3A7BA">
            <w:pPr>
              <w:jc w:val="center"/>
              <w:rPr>
                <w:rFonts w:ascii="宋体" w:hAnsi="宋体"/>
                <w:color w:val="auto"/>
                <w:highlight w:val="none"/>
              </w:rPr>
            </w:pPr>
          </w:p>
        </w:tc>
        <w:tc>
          <w:tcPr>
            <w:tcW w:w="951" w:type="dxa"/>
          </w:tcPr>
          <w:p w14:paraId="7F613B15">
            <w:pPr>
              <w:jc w:val="center"/>
              <w:rPr>
                <w:rFonts w:ascii="宋体" w:hAnsi="宋体"/>
                <w:color w:val="auto"/>
                <w:highlight w:val="none"/>
              </w:rPr>
            </w:pPr>
          </w:p>
        </w:tc>
        <w:tc>
          <w:tcPr>
            <w:tcW w:w="1112" w:type="dxa"/>
            <w:vAlign w:val="center"/>
          </w:tcPr>
          <w:p w14:paraId="02300176">
            <w:pPr>
              <w:jc w:val="center"/>
              <w:rPr>
                <w:rFonts w:ascii="宋体" w:hAnsi="宋体"/>
                <w:color w:val="auto"/>
                <w:highlight w:val="none"/>
              </w:rPr>
            </w:pPr>
          </w:p>
        </w:tc>
        <w:tc>
          <w:tcPr>
            <w:tcW w:w="682" w:type="dxa"/>
            <w:vAlign w:val="center"/>
          </w:tcPr>
          <w:p w14:paraId="5761C6AF">
            <w:pPr>
              <w:jc w:val="center"/>
              <w:rPr>
                <w:rFonts w:ascii="宋体" w:hAnsi="宋体"/>
                <w:color w:val="auto"/>
                <w:highlight w:val="none"/>
              </w:rPr>
            </w:pPr>
          </w:p>
        </w:tc>
      </w:tr>
      <w:tr w14:paraId="05A03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8" w:type="dxa"/>
            <w:vAlign w:val="center"/>
          </w:tcPr>
          <w:p w14:paraId="64DE4FA0">
            <w:pPr>
              <w:jc w:val="center"/>
              <w:rPr>
                <w:rFonts w:ascii="宋体" w:hAnsi="宋体"/>
                <w:color w:val="auto"/>
                <w:highlight w:val="none"/>
              </w:rPr>
            </w:pPr>
          </w:p>
        </w:tc>
        <w:tc>
          <w:tcPr>
            <w:tcW w:w="1712" w:type="dxa"/>
            <w:vAlign w:val="center"/>
          </w:tcPr>
          <w:p w14:paraId="28831B9C">
            <w:pPr>
              <w:jc w:val="center"/>
              <w:rPr>
                <w:rFonts w:ascii="宋体" w:hAnsi="宋体"/>
                <w:color w:val="auto"/>
                <w:highlight w:val="none"/>
              </w:rPr>
            </w:pPr>
          </w:p>
        </w:tc>
        <w:tc>
          <w:tcPr>
            <w:tcW w:w="782" w:type="dxa"/>
          </w:tcPr>
          <w:p w14:paraId="4572A2F2">
            <w:pPr>
              <w:jc w:val="center"/>
              <w:rPr>
                <w:rFonts w:ascii="宋体" w:hAnsi="宋体"/>
                <w:color w:val="auto"/>
                <w:highlight w:val="none"/>
              </w:rPr>
            </w:pPr>
          </w:p>
        </w:tc>
        <w:tc>
          <w:tcPr>
            <w:tcW w:w="836" w:type="dxa"/>
          </w:tcPr>
          <w:p w14:paraId="67C0DC80">
            <w:pPr>
              <w:jc w:val="center"/>
              <w:rPr>
                <w:rFonts w:ascii="宋体" w:hAnsi="宋体"/>
                <w:color w:val="auto"/>
                <w:highlight w:val="none"/>
              </w:rPr>
            </w:pPr>
          </w:p>
        </w:tc>
        <w:tc>
          <w:tcPr>
            <w:tcW w:w="951" w:type="dxa"/>
          </w:tcPr>
          <w:p w14:paraId="5225320E">
            <w:pPr>
              <w:jc w:val="center"/>
              <w:rPr>
                <w:rFonts w:ascii="宋体" w:hAnsi="宋体"/>
                <w:color w:val="auto"/>
                <w:highlight w:val="none"/>
              </w:rPr>
            </w:pPr>
          </w:p>
        </w:tc>
        <w:tc>
          <w:tcPr>
            <w:tcW w:w="1112" w:type="dxa"/>
            <w:vAlign w:val="center"/>
          </w:tcPr>
          <w:p w14:paraId="22DDCA2D">
            <w:pPr>
              <w:jc w:val="center"/>
              <w:rPr>
                <w:rFonts w:ascii="宋体" w:hAnsi="宋体"/>
                <w:color w:val="auto"/>
                <w:highlight w:val="none"/>
              </w:rPr>
            </w:pPr>
          </w:p>
        </w:tc>
        <w:tc>
          <w:tcPr>
            <w:tcW w:w="682" w:type="dxa"/>
            <w:vAlign w:val="center"/>
          </w:tcPr>
          <w:p w14:paraId="773D80CC">
            <w:pPr>
              <w:jc w:val="center"/>
              <w:rPr>
                <w:rFonts w:ascii="宋体" w:hAnsi="宋体"/>
                <w:color w:val="auto"/>
                <w:highlight w:val="none"/>
              </w:rPr>
            </w:pPr>
          </w:p>
        </w:tc>
      </w:tr>
      <w:tr w14:paraId="2AF04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8" w:type="dxa"/>
            <w:vAlign w:val="center"/>
          </w:tcPr>
          <w:p w14:paraId="696CA2A4">
            <w:pPr>
              <w:jc w:val="center"/>
              <w:rPr>
                <w:rFonts w:ascii="宋体" w:hAnsi="宋体"/>
                <w:color w:val="auto"/>
                <w:highlight w:val="none"/>
              </w:rPr>
            </w:pPr>
          </w:p>
        </w:tc>
        <w:tc>
          <w:tcPr>
            <w:tcW w:w="1712" w:type="dxa"/>
            <w:vAlign w:val="center"/>
          </w:tcPr>
          <w:p w14:paraId="66608911">
            <w:pPr>
              <w:jc w:val="center"/>
              <w:rPr>
                <w:rFonts w:ascii="宋体" w:hAnsi="宋体"/>
                <w:color w:val="auto"/>
                <w:highlight w:val="none"/>
              </w:rPr>
            </w:pPr>
          </w:p>
        </w:tc>
        <w:tc>
          <w:tcPr>
            <w:tcW w:w="782" w:type="dxa"/>
          </w:tcPr>
          <w:p w14:paraId="69872B7B">
            <w:pPr>
              <w:jc w:val="center"/>
              <w:rPr>
                <w:rFonts w:ascii="宋体" w:hAnsi="宋体"/>
                <w:color w:val="auto"/>
                <w:highlight w:val="none"/>
              </w:rPr>
            </w:pPr>
          </w:p>
        </w:tc>
        <w:tc>
          <w:tcPr>
            <w:tcW w:w="836" w:type="dxa"/>
          </w:tcPr>
          <w:p w14:paraId="5763ADF5">
            <w:pPr>
              <w:jc w:val="center"/>
              <w:rPr>
                <w:rFonts w:ascii="宋体" w:hAnsi="宋体"/>
                <w:color w:val="auto"/>
                <w:highlight w:val="none"/>
              </w:rPr>
            </w:pPr>
          </w:p>
        </w:tc>
        <w:tc>
          <w:tcPr>
            <w:tcW w:w="951" w:type="dxa"/>
          </w:tcPr>
          <w:p w14:paraId="08BF5F61">
            <w:pPr>
              <w:jc w:val="center"/>
              <w:rPr>
                <w:rFonts w:ascii="宋体" w:hAnsi="宋体"/>
                <w:color w:val="auto"/>
                <w:highlight w:val="none"/>
              </w:rPr>
            </w:pPr>
          </w:p>
        </w:tc>
        <w:tc>
          <w:tcPr>
            <w:tcW w:w="1112" w:type="dxa"/>
            <w:vAlign w:val="center"/>
          </w:tcPr>
          <w:p w14:paraId="40CD7260">
            <w:pPr>
              <w:jc w:val="center"/>
              <w:rPr>
                <w:rFonts w:ascii="宋体" w:hAnsi="宋体"/>
                <w:color w:val="auto"/>
                <w:highlight w:val="none"/>
              </w:rPr>
            </w:pPr>
          </w:p>
        </w:tc>
        <w:tc>
          <w:tcPr>
            <w:tcW w:w="682" w:type="dxa"/>
            <w:vAlign w:val="center"/>
          </w:tcPr>
          <w:p w14:paraId="1EB55CF9">
            <w:pPr>
              <w:jc w:val="center"/>
              <w:rPr>
                <w:rFonts w:ascii="宋体" w:hAnsi="宋体"/>
                <w:color w:val="auto"/>
                <w:highlight w:val="none"/>
              </w:rPr>
            </w:pPr>
          </w:p>
        </w:tc>
      </w:tr>
      <w:tr w14:paraId="33440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8" w:type="dxa"/>
            <w:vAlign w:val="center"/>
          </w:tcPr>
          <w:p w14:paraId="3AC96BB9">
            <w:pPr>
              <w:jc w:val="center"/>
              <w:rPr>
                <w:rFonts w:ascii="宋体" w:hAnsi="宋体"/>
                <w:color w:val="auto"/>
                <w:highlight w:val="none"/>
              </w:rPr>
            </w:pPr>
          </w:p>
        </w:tc>
        <w:tc>
          <w:tcPr>
            <w:tcW w:w="1712" w:type="dxa"/>
            <w:vAlign w:val="center"/>
          </w:tcPr>
          <w:p w14:paraId="4EEE2AC9">
            <w:pPr>
              <w:jc w:val="center"/>
              <w:rPr>
                <w:rFonts w:ascii="宋体" w:hAnsi="宋体"/>
                <w:color w:val="auto"/>
                <w:highlight w:val="none"/>
              </w:rPr>
            </w:pPr>
          </w:p>
        </w:tc>
        <w:tc>
          <w:tcPr>
            <w:tcW w:w="782" w:type="dxa"/>
          </w:tcPr>
          <w:p w14:paraId="7303B686">
            <w:pPr>
              <w:jc w:val="center"/>
              <w:rPr>
                <w:rFonts w:ascii="宋体" w:hAnsi="宋体"/>
                <w:color w:val="auto"/>
                <w:highlight w:val="none"/>
              </w:rPr>
            </w:pPr>
          </w:p>
        </w:tc>
        <w:tc>
          <w:tcPr>
            <w:tcW w:w="836" w:type="dxa"/>
          </w:tcPr>
          <w:p w14:paraId="2FB34E32">
            <w:pPr>
              <w:jc w:val="center"/>
              <w:rPr>
                <w:rFonts w:ascii="宋体" w:hAnsi="宋体"/>
                <w:color w:val="auto"/>
                <w:highlight w:val="none"/>
              </w:rPr>
            </w:pPr>
          </w:p>
        </w:tc>
        <w:tc>
          <w:tcPr>
            <w:tcW w:w="951" w:type="dxa"/>
          </w:tcPr>
          <w:p w14:paraId="62D098C1">
            <w:pPr>
              <w:jc w:val="center"/>
              <w:rPr>
                <w:rFonts w:ascii="宋体" w:hAnsi="宋体"/>
                <w:color w:val="auto"/>
                <w:highlight w:val="none"/>
              </w:rPr>
            </w:pPr>
          </w:p>
        </w:tc>
        <w:tc>
          <w:tcPr>
            <w:tcW w:w="1112" w:type="dxa"/>
            <w:vAlign w:val="center"/>
          </w:tcPr>
          <w:p w14:paraId="295A399A">
            <w:pPr>
              <w:jc w:val="center"/>
              <w:rPr>
                <w:rFonts w:ascii="宋体" w:hAnsi="宋体"/>
                <w:color w:val="auto"/>
                <w:highlight w:val="none"/>
              </w:rPr>
            </w:pPr>
          </w:p>
        </w:tc>
        <w:tc>
          <w:tcPr>
            <w:tcW w:w="682" w:type="dxa"/>
            <w:vAlign w:val="center"/>
          </w:tcPr>
          <w:p w14:paraId="46095229">
            <w:pPr>
              <w:jc w:val="center"/>
              <w:rPr>
                <w:rFonts w:ascii="宋体" w:hAnsi="宋体"/>
                <w:color w:val="auto"/>
                <w:highlight w:val="none"/>
              </w:rPr>
            </w:pPr>
          </w:p>
        </w:tc>
      </w:tr>
      <w:tr w14:paraId="57F1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8" w:type="dxa"/>
            <w:vAlign w:val="center"/>
          </w:tcPr>
          <w:p w14:paraId="4D5DC9A6">
            <w:pPr>
              <w:jc w:val="center"/>
              <w:rPr>
                <w:rFonts w:ascii="宋体" w:hAnsi="宋体"/>
                <w:color w:val="auto"/>
                <w:highlight w:val="none"/>
              </w:rPr>
            </w:pPr>
          </w:p>
        </w:tc>
        <w:tc>
          <w:tcPr>
            <w:tcW w:w="1712" w:type="dxa"/>
            <w:vAlign w:val="center"/>
          </w:tcPr>
          <w:p w14:paraId="5F2FE98A">
            <w:pPr>
              <w:jc w:val="center"/>
              <w:rPr>
                <w:rFonts w:ascii="宋体" w:hAnsi="宋体"/>
                <w:color w:val="auto"/>
                <w:highlight w:val="none"/>
              </w:rPr>
            </w:pPr>
          </w:p>
        </w:tc>
        <w:tc>
          <w:tcPr>
            <w:tcW w:w="782" w:type="dxa"/>
          </w:tcPr>
          <w:p w14:paraId="5AFA9DB4">
            <w:pPr>
              <w:jc w:val="center"/>
              <w:rPr>
                <w:rFonts w:ascii="宋体" w:hAnsi="宋体"/>
                <w:color w:val="auto"/>
                <w:highlight w:val="none"/>
              </w:rPr>
            </w:pPr>
          </w:p>
        </w:tc>
        <w:tc>
          <w:tcPr>
            <w:tcW w:w="836" w:type="dxa"/>
          </w:tcPr>
          <w:p w14:paraId="29A10AD9">
            <w:pPr>
              <w:jc w:val="center"/>
              <w:rPr>
                <w:rFonts w:ascii="宋体" w:hAnsi="宋体"/>
                <w:color w:val="auto"/>
                <w:highlight w:val="none"/>
              </w:rPr>
            </w:pPr>
          </w:p>
        </w:tc>
        <w:tc>
          <w:tcPr>
            <w:tcW w:w="951" w:type="dxa"/>
          </w:tcPr>
          <w:p w14:paraId="04B57CDB">
            <w:pPr>
              <w:jc w:val="center"/>
              <w:rPr>
                <w:rFonts w:ascii="宋体" w:hAnsi="宋体"/>
                <w:color w:val="auto"/>
                <w:highlight w:val="none"/>
              </w:rPr>
            </w:pPr>
          </w:p>
        </w:tc>
        <w:tc>
          <w:tcPr>
            <w:tcW w:w="1112" w:type="dxa"/>
            <w:vAlign w:val="center"/>
          </w:tcPr>
          <w:p w14:paraId="1FFC982C">
            <w:pPr>
              <w:jc w:val="center"/>
              <w:rPr>
                <w:rFonts w:ascii="宋体" w:hAnsi="宋体"/>
                <w:color w:val="auto"/>
                <w:highlight w:val="none"/>
              </w:rPr>
            </w:pPr>
          </w:p>
        </w:tc>
        <w:tc>
          <w:tcPr>
            <w:tcW w:w="682" w:type="dxa"/>
            <w:vAlign w:val="center"/>
          </w:tcPr>
          <w:p w14:paraId="68409E80">
            <w:pPr>
              <w:jc w:val="center"/>
              <w:rPr>
                <w:rFonts w:ascii="宋体" w:hAnsi="宋体"/>
                <w:color w:val="auto"/>
                <w:highlight w:val="none"/>
              </w:rPr>
            </w:pPr>
          </w:p>
        </w:tc>
      </w:tr>
      <w:tr w14:paraId="6B03F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8" w:type="dxa"/>
            <w:vAlign w:val="center"/>
          </w:tcPr>
          <w:p w14:paraId="536E4D8D">
            <w:pPr>
              <w:jc w:val="center"/>
              <w:rPr>
                <w:rFonts w:ascii="宋体" w:hAnsi="宋体"/>
                <w:color w:val="auto"/>
                <w:highlight w:val="none"/>
              </w:rPr>
            </w:pPr>
          </w:p>
        </w:tc>
        <w:tc>
          <w:tcPr>
            <w:tcW w:w="1712" w:type="dxa"/>
            <w:vAlign w:val="center"/>
          </w:tcPr>
          <w:p w14:paraId="1D2FB804">
            <w:pPr>
              <w:jc w:val="center"/>
              <w:rPr>
                <w:rFonts w:ascii="宋体" w:hAnsi="宋体"/>
                <w:color w:val="auto"/>
                <w:highlight w:val="none"/>
              </w:rPr>
            </w:pPr>
          </w:p>
        </w:tc>
        <w:tc>
          <w:tcPr>
            <w:tcW w:w="782" w:type="dxa"/>
          </w:tcPr>
          <w:p w14:paraId="773D42DF">
            <w:pPr>
              <w:jc w:val="center"/>
              <w:rPr>
                <w:rFonts w:ascii="宋体" w:hAnsi="宋体"/>
                <w:color w:val="auto"/>
                <w:highlight w:val="none"/>
              </w:rPr>
            </w:pPr>
          </w:p>
        </w:tc>
        <w:tc>
          <w:tcPr>
            <w:tcW w:w="836" w:type="dxa"/>
          </w:tcPr>
          <w:p w14:paraId="3AE8A6B8">
            <w:pPr>
              <w:jc w:val="center"/>
              <w:rPr>
                <w:rFonts w:ascii="宋体" w:hAnsi="宋体"/>
                <w:color w:val="auto"/>
                <w:highlight w:val="none"/>
              </w:rPr>
            </w:pPr>
          </w:p>
        </w:tc>
        <w:tc>
          <w:tcPr>
            <w:tcW w:w="951" w:type="dxa"/>
          </w:tcPr>
          <w:p w14:paraId="5477E1E3">
            <w:pPr>
              <w:jc w:val="center"/>
              <w:rPr>
                <w:rFonts w:ascii="宋体" w:hAnsi="宋体"/>
                <w:color w:val="auto"/>
                <w:highlight w:val="none"/>
              </w:rPr>
            </w:pPr>
          </w:p>
        </w:tc>
        <w:tc>
          <w:tcPr>
            <w:tcW w:w="1112" w:type="dxa"/>
            <w:vAlign w:val="center"/>
          </w:tcPr>
          <w:p w14:paraId="692E8E11">
            <w:pPr>
              <w:jc w:val="center"/>
              <w:rPr>
                <w:rFonts w:ascii="宋体" w:hAnsi="宋体"/>
                <w:color w:val="auto"/>
                <w:highlight w:val="none"/>
              </w:rPr>
            </w:pPr>
          </w:p>
        </w:tc>
        <w:tc>
          <w:tcPr>
            <w:tcW w:w="682" w:type="dxa"/>
            <w:vAlign w:val="center"/>
          </w:tcPr>
          <w:p w14:paraId="16C45A64">
            <w:pPr>
              <w:jc w:val="center"/>
              <w:rPr>
                <w:rFonts w:ascii="宋体" w:hAnsi="宋体"/>
                <w:color w:val="auto"/>
                <w:highlight w:val="none"/>
              </w:rPr>
            </w:pPr>
          </w:p>
        </w:tc>
      </w:tr>
      <w:tr w14:paraId="0B9E3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8" w:type="dxa"/>
            <w:vAlign w:val="center"/>
          </w:tcPr>
          <w:p w14:paraId="0626086B">
            <w:pPr>
              <w:jc w:val="center"/>
              <w:rPr>
                <w:rFonts w:ascii="宋体" w:hAnsi="宋体"/>
                <w:color w:val="auto"/>
                <w:highlight w:val="none"/>
              </w:rPr>
            </w:pPr>
          </w:p>
        </w:tc>
        <w:tc>
          <w:tcPr>
            <w:tcW w:w="1712" w:type="dxa"/>
            <w:vAlign w:val="center"/>
          </w:tcPr>
          <w:p w14:paraId="1345DC07">
            <w:pPr>
              <w:jc w:val="center"/>
              <w:rPr>
                <w:rFonts w:ascii="宋体" w:hAnsi="宋体"/>
                <w:color w:val="auto"/>
                <w:highlight w:val="none"/>
              </w:rPr>
            </w:pPr>
          </w:p>
        </w:tc>
        <w:tc>
          <w:tcPr>
            <w:tcW w:w="782" w:type="dxa"/>
          </w:tcPr>
          <w:p w14:paraId="17EFB38C">
            <w:pPr>
              <w:jc w:val="center"/>
              <w:rPr>
                <w:rFonts w:ascii="宋体" w:hAnsi="宋体"/>
                <w:color w:val="auto"/>
                <w:highlight w:val="none"/>
              </w:rPr>
            </w:pPr>
          </w:p>
        </w:tc>
        <w:tc>
          <w:tcPr>
            <w:tcW w:w="836" w:type="dxa"/>
          </w:tcPr>
          <w:p w14:paraId="2FAC6B34">
            <w:pPr>
              <w:jc w:val="center"/>
              <w:rPr>
                <w:rFonts w:ascii="宋体" w:hAnsi="宋体"/>
                <w:color w:val="auto"/>
                <w:highlight w:val="none"/>
              </w:rPr>
            </w:pPr>
          </w:p>
        </w:tc>
        <w:tc>
          <w:tcPr>
            <w:tcW w:w="951" w:type="dxa"/>
          </w:tcPr>
          <w:p w14:paraId="34167DC8">
            <w:pPr>
              <w:jc w:val="center"/>
              <w:rPr>
                <w:rFonts w:ascii="宋体" w:hAnsi="宋体"/>
                <w:color w:val="auto"/>
                <w:highlight w:val="none"/>
              </w:rPr>
            </w:pPr>
          </w:p>
        </w:tc>
        <w:tc>
          <w:tcPr>
            <w:tcW w:w="1112" w:type="dxa"/>
            <w:vAlign w:val="center"/>
          </w:tcPr>
          <w:p w14:paraId="2E240D17">
            <w:pPr>
              <w:jc w:val="center"/>
              <w:rPr>
                <w:rFonts w:ascii="宋体" w:hAnsi="宋体"/>
                <w:color w:val="auto"/>
                <w:highlight w:val="none"/>
              </w:rPr>
            </w:pPr>
          </w:p>
        </w:tc>
        <w:tc>
          <w:tcPr>
            <w:tcW w:w="682" w:type="dxa"/>
            <w:vAlign w:val="center"/>
          </w:tcPr>
          <w:p w14:paraId="79D268A0">
            <w:pPr>
              <w:jc w:val="center"/>
              <w:rPr>
                <w:rFonts w:ascii="宋体" w:hAnsi="宋体"/>
                <w:color w:val="auto"/>
                <w:highlight w:val="none"/>
              </w:rPr>
            </w:pPr>
          </w:p>
        </w:tc>
      </w:tr>
      <w:tr w14:paraId="3206C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799" w:type="dxa"/>
            <w:gridSpan w:val="5"/>
            <w:vAlign w:val="center"/>
          </w:tcPr>
          <w:p w14:paraId="0AE94CB6">
            <w:pPr>
              <w:jc w:val="center"/>
              <w:rPr>
                <w:rFonts w:hint="eastAsia" w:ascii="宋体" w:hAnsi="宋体" w:eastAsia="宋体"/>
                <w:color w:val="auto"/>
                <w:highlight w:val="none"/>
                <w:lang w:eastAsia="zh-CN"/>
              </w:rPr>
            </w:pPr>
            <w:r>
              <w:rPr>
                <w:rFonts w:hint="eastAsia" w:ascii="宋体" w:hAnsi="宋体"/>
                <w:color w:val="auto"/>
                <w:highlight w:val="none"/>
                <w:lang w:eastAsia="zh-CN"/>
              </w:rPr>
              <w:t>投标报价</w:t>
            </w:r>
          </w:p>
        </w:tc>
        <w:tc>
          <w:tcPr>
            <w:tcW w:w="1112" w:type="dxa"/>
            <w:vAlign w:val="center"/>
          </w:tcPr>
          <w:p w14:paraId="4D9D429C">
            <w:pPr>
              <w:jc w:val="center"/>
              <w:rPr>
                <w:rFonts w:ascii="宋体" w:hAnsi="宋体"/>
                <w:color w:val="auto"/>
                <w:highlight w:val="none"/>
              </w:rPr>
            </w:pPr>
          </w:p>
        </w:tc>
        <w:tc>
          <w:tcPr>
            <w:tcW w:w="682" w:type="dxa"/>
            <w:vAlign w:val="center"/>
          </w:tcPr>
          <w:p w14:paraId="123C7FF2">
            <w:pPr>
              <w:jc w:val="center"/>
              <w:rPr>
                <w:rFonts w:ascii="宋体" w:hAnsi="宋体"/>
                <w:color w:val="auto"/>
                <w:highlight w:val="none"/>
              </w:rPr>
            </w:pPr>
          </w:p>
        </w:tc>
      </w:tr>
    </w:tbl>
    <w:p w14:paraId="0000D2A4">
      <w:pPr>
        <w:adjustRightInd w:val="0"/>
        <w:snapToGrid w:val="0"/>
        <w:spacing w:line="360" w:lineRule="auto"/>
        <w:ind w:left="-88" w:leftChars="-42"/>
        <w:rPr>
          <w:rFonts w:ascii="宋体" w:hAnsi="宋体"/>
          <w:color w:val="auto"/>
          <w:szCs w:val="21"/>
          <w:highlight w:val="none"/>
        </w:rPr>
      </w:pPr>
    </w:p>
    <w:p w14:paraId="1F8D79E4">
      <w:pPr>
        <w:adjustRightInd w:val="0"/>
        <w:snapToGrid w:val="0"/>
        <w:spacing w:line="360" w:lineRule="auto"/>
        <w:ind w:left="-88" w:leftChars="-42"/>
        <w:rPr>
          <w:rFonts w:ascii="宋体" w:hAnsi="宋体"/>
          <w:color w:val="auto"/>
          <w:szCs w:val="21"/>
          <w:highlight w:val="none"/>
        </w:rPr>
      </w:pPr>
      <w:r>
        <w:rPr>
          <w:rFonts w:hint="eastAsia" w:ascii="宋体" w:hAnsi="宋体"/>
          <w:color w:val="auto"/>
          <w:szCs w:val="21"/>
          <w:highlight w:val="none"/>
        </w:rPr>
        <w:t>注：1、投标人可在此表后附其报价详细说明。</w:t>
      </w:r>
    </w:p>
    <w:p w14:paraId="3BB61726">
      <w:pPr>
        <w:adjustRightInd w:val="0"/>
        <w:snapToGrid w:val="0"/>
        <w:spacing w:line="360" w:lineRule="auto"/>
        <w:ind w:left="-88" w:leftChars="-42"/>
        <w:rPr>
          <w:rFonts w:ascii="宋体" w:hAnsi="宋体"/>
          <w:b/>
          <w:color w:val="auto"/>
          <w:szCs w:val="21"/>
          <w:highlight w:val="none"/>
        </w:rPr>
      </w:pPr>
    </w:p>
    <w:p w14:paraId="6EB29DE3">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 xml:space="preserve">   </w:t>
      </w:r>
    </w:p>
    <w:p w14:paraId="4874CD3B">
      <w:pPr>
        <w:adjustRightInd w:val="0"/>
        <w:snapToGrid w:val="0"/>
        <w:spacing w:line="360" w:lineRule="auto"/>
        <w:rPr>
          <w:rFonts w:ascii="宋体" w:hAnsi="宋体"/>
          <w:color w:val="auto"/>
          <w:szCs w:val="21"/>
          <w:highlight w:val="none"/>
        </w:rPr>
      </w:pPr>
    </w:p>
    <w:p w14:paraId="13BCCB2B">
      <w:pPr>
        <w:adjustRightInd w:val="0"/>
        <w:snapToGrid w:val="0"/>
        <w:spacing w:line="360" w:lineRule="auto"/>
        <w:rPr>
          <w:rFonts w:ascii="宋体" w:hAnsi="宋体"/>
          <w:color w:val="auto"/>
          <w:szCs w:val="21"/>
          <w:highlight w:val="none"/>
        </w:rPr>
      </w:pPr>
    </w:p>
    <w:p w14:paraId="14D197A5">
      <w:pPr>
        <w:pStyle w:val="25"/>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7FA6A151">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22E043C5">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620162AA">
      <w:pPr>
        <w:adjustRightInd w:val="0"/>
        <w:snapToGrid w:val="0"/>
        <w:rPr>
          <w:rFonts w:ascii="宋体" w:hAnsi="宋体"/>
          <w:color w:val="auto"/>
          <w:sz w:val="24"/>
          <w:highlight w:val="none"/>
        </w:rPr>
      </w:pPr>
      <w:r>
        <w:rPr>
          <w:rFonts w:ascii="宋体" w:hAnsi="宋体"/>
          <w:b/>
          <w:color w:val="auto"/>
          <w:sz w:val="24"/>
          <w:highlight w:val="none"/>
        </w:rPr>
        <w:br w:type="page"/>
      </w:r>
      <w:r>
        <w:rPr>
          <w:rFonts w:hint="eastAsia" w:ascii="宋体" w:hAnsi="宋体"/>
          <w:color w:val="auto"/>
          <w:sz w:val="24"/>
          <w:highlight w:val="none"/>
        </w:rPr>
        <w:t>附件6</w:t>
      </w:r>
    </w:p>
    <w:p w14:paraId="0F9B8DC2">
      <w:pPr>
        <w:adjustRightInd w:val="0"/>
        <w:snapToGrid w:val="0"/>
        <w:spacing w:line="360" w:lineRule="auto"/>
        <w:ind w:right="24"/>
        <w:jc w:val="center"/>
        <w:rPr>
          <w:rFonts w:ascii="宋体" w:hAnsi="宋体"/>
          <w:b/>
          <w:color w:val="auto"/>
          <w:sz w:val="24"/>
          <w:highlight w:val="none"/>
        </w:rPr>
      </w:pPr>
    </w:p>
    <w:p w14:paraId="60E2FB33">
      <w:pPr>
        <w:adjustRightInd w:val="0"/>
        <w:snapToGrid w:val="0"/>
        <w:spacing w:line="360" w:lineRule="auto"/>
        <w:ind w:right="24"/>
        <w:jc w:val="center"/>
        <w:rPr>
          <w:rFonts w:ascii="宋体" w:hAnsi="宋体"/>
          <w:b/>
          <w:bCs/>
          <w:color w:val="auto"/>
          <w:sz w:val="24"/>
          <w:highlight w:val="none"/>
        </w:rPr>
      </w:pPr>
      <w:r>
        <w:rPr>
          <w:rFonts w:hint="eastAsia" w:ascii="宋体" w:hAnsi="宋体"/>
          <w:b/>
          <w:color w:val="auto"/>
          <w:sz w:val="24"/>
          <w:highlight w:val="none"/>
        </w:rPr>
        <w:t>节能、环境标志产品证明材料（如有）</w:t>
      </w:r>
    </w:p>
    <w:p w14:paraId="32961D7F">
      <w:pPr>
        <w:adjustRightInd w:val="0"/>
        <w:snapToGrid w:val="0"/>
        <w:rPr>
          <w:rFonts w:ascii="宋体" w:hAnsi="宋体"/>
          <w:color w:val="auto"/>
          <w:highlight w:val="none"/>
        </w:rPr>
      </w:pPr>
      <w:r>
        <w:rPr>
          <w:rFonts w:hint="eastAsia" w:ascii="宋体" w:hAnsi="宋体"/>
          <w:color w:val="auto"/>
          <w:szCs w:val="21"/>
          <w:highlight w:val="none"/>
        </w:rPr>
        <w:t>相关材料</w:t>
      </w:r>
      <w:r>
        <w:rPr>
          <w:rFonts w:hint="eastAsia" w:ascii="宋体" w:hAnsi="宋体"/>
          <w:color w:val="auto"/>
          <w:highlight w:val="none"/>
        </w:rPr>
        <w:t>加盖投标人公章。</w:t>
      </w:r>
    </w:p>
    <w:p w14:paraId="6476EFDB">
      <w:pPr>
        <w:adjustRightInd w:val="0"/>
        <w:snapToGrid w:val="0"/>
        <w:rPr>
          <w:rFonts w:ascii="宋体" w:hAnsi="宋体"/>
          <w:color w:val="auto"/>
          <w:sz w:val="24"/>
          <w:highlight w:val="none"/>
        </w:rPr>
      </w:pPr>
      <w:r>
        <w:rPr>
          <w:rFonts w:ascii="宋体" w:hAnsi="宋体"/>
          <w:color w:val="auto"/>
          <w:highlight w:val="none"/>
        </w:rPr>
        <w:br w:type="page"/>
      </w:r>
      <w:r>
        <w:rPr>
          <w:rFonts w:hint="eastAsia" w:ascii="宋体" w:hAnsi="宋体"/>
          <w:bCs/>
          <w:color w:val="auto"/>
          <w:sz w:val="24"/>
          <w:highlight w:val="none"/>
        </w:rPr>
        <w:t>附件7</w:t>
      </w:r>
    </w:p>
    <w:p w14:paraId="1DF18C49">
      <w:pPr>
        <w:tabs>
          <w:tab w:val="left" w:pos="3600"/>
        </w:tabs>
        <w:adjustRightInd w:val="0"/>
        <w:snapToGrid w:val="0"/>
        <w:jc w:val="center"/>
        <w:rPr>
          <w:rFonts w:hint="eastAsia" w:ascii="宋体" w:hAnsi="宋体" w:cs="宋体"/>
          <w:b/>
          <w:bCs/>
          <w:color w:val="auto"/>
          <w:spacing w:val="6"/>
          <w:kern w:val="0"/>
          <w:sz w:val="24"/>
          <w:highlight w:val="none"/>
        </w:rPr>
      </w:pPr>
      <w:r>
        <w:rPr>
          <w:rFonts w:hint="eastAsia" w:ascii="宋体" w:hAnsi="宋体" w:cs="宋体"/>
          <w:b/>
          <w:bCs/>
          <w:color w:val="auto"/>
          <w:spacing w:val="6"/>
          <w:kern w:val="0"/>
          <w:sz w:val="24"/>
          <w:highlight w:val="none"/>
        </w:rPr>
        <w:t>中小企业声明函(（工程、服务)）</w:t>
      </w:r>
    </w:p>
    <w:p w14:paraId="32274909">
      <w:pPr>
        <w:tabs>
          <w:tab w:val="left" w:pos="3600"/>
        </w:tabs>
        <w:adjustRightInd w:val="0"/>
        <w:snapToGrid w:val="0"/>
        <w:jc w:val="center"/>
        <w:rPr>
          <w:rFonts w:hint="eastAsia" w:ascii="宋体" w:hAnsi="宋体" w:cs="宋体"/>
          <w:b/>
          <w:bCs/>
          <w:color w:val="auto"/>
          <w:spacing w:val="6"/>
          <w:kern w:val="0"/>
          <w:sz w:val="24"/>
          <w:highlight w:val="none"/>
        </w:rPr>
      </w:pPr>
    </w:p>
    <w:p w14:paraId="4E8C91C3">
      <w:pPr>
        <w:adjustRightInd w:val="0"/>
        <w:snapToGrid w:val="0"/>
        <w:spacing w:line="360" w:lineRule="auto"/>
        <w:ind w:firstLine="555" w:firstLineChars="250"/>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本公司（联合体）郑重声明，根据《政府采购促进中小企业发展管理办法》（财库〔2020〕[2020]46号）的规定，本公司（联合体）参加</w:t>
      </w:r>
      <w:r>
        <w:rPr>
          <w:rFonts w:hint="eastAsia" w:ascii="宋体" w:hAnsi="宋体" w:cs="宋体"/>
          <w:color w:val="auto"/>
          <w:spacing w:val="6"/>
          <w:kern w:val="0"/>
          <w:szCs w:val="21"/>
          <w:highlight w:val="none"/>
          <w:u w:val="single"/>
        </w:rPr>
        <w:t xml:space="preserve"> </w:t>
      </w:r>
      <w:r>
        <w:rPr>
          <w:rFonts w:ascii="宋体" w:hAnsi="宋体" w:cs="宋体"/>
          <w:color w:val="auto"/>
          <w:spacing w:val="6"/>
          <w:kern w:val="0"/>
          <w:szCs w:val="21"/>
          <w:highlight w:val="none"/>
          <w:u w:val="single"/>
        </w:rPr>
        <w:t xml:space="preserve">     </w:t>
      </w:r>
      <w:r>
        <w:rPr>
          <w:rFonts w:hint="eastAsia" w:ascii="宋体" w:hAnsi="宋体" w:cs="宋体"/>
          <w:color w:val="auto"/>
          <w:spacing w:val="6"/>
          <w:kern w:val="0"/>
          <w:szCs w:val="21"/>
          <w:highlight w:val="none"/>
        </w:rPr>
        <w:t xml:space="preserve">（单位名称）的 </w:t>
      </w:r>
      <w:r>
        <w:rPr>
          <w:rFonts w:ascii="宋体" w:hAnsi="宋体" w:cs="宋体"/>
          <w:color w:val="auto"/>
          <w:spacing w:val="6"/>
          <w:kern w:val="0"/>
          <w:szCs w:val="21"/>
          <w:highlight w:val="none"/>
          <w:u w:val="single"/>
        </w:rPr>
        <w:t xml:space="preserve">     </w:t>
      </w:r>
      <w:r>
        <w:rPr>
          <w:rFonts w:ascii="宋体" w:hAnsi="宋体" w:cs="宋体"/>
          <w:color w:val="auto"/>
          <w:spacing w:val="6"/>
          <w:kern w:val="0"/>
          <w:szCs w:val="21"/>
          <w:highlight w:val="none"/>
        </w:rPr>
        <w:t xml:space="preserve">  </w:t>
      </w:r>
      <w:r>
        <w:rPr>
          <w:rFonts w:hint="eastAsia" w:ascii="宋体" w:hAnsi="宋体" w:cs="宋体"/>
          <w:color w:val="auto"/>
          <w:spacing w:val="6"/>
          <w:kern w:val="0"/>
          <w:szCs w:val="21"/>
          <w:highlight w:val="none"/>
        </w:rPr>
        <w:t>（项目名称）采购活动，工程的施工单位全部为符合政策要求的中小企业（或者：服务全部由符合政策要求的中小企业承接）。相关企业（含联合体中的中小企业、签订分包意向协议的中小企业）的具体情况如下：</w:t>
      </w:r>
    </w:p>
    <w:p w14:paraId="02CA0D1D">
      <w:pPr>
        <w:adjustRightInd w:val="0"/>
        <w:snapToGrid w:val="0"/>
        <w:spacing w:line="360" w:lineRule="auto"/>
        <w:ind w:firstLine="555" w:firstLineChars="250"/>
        <w:rPr>
          <w:rFonts w:ascii="宋体" w:hAnsi="宋体" w:cs="宋体"/>
          <w:color w:val="auto"/>
          <w:spacing w:val="6"/>
          <w:kern w:val="0"/>
          <w:szCs w:val="21"/>
          <w:highlight w:val="none"/>
        </w:rPr>
      </w:pPr>
    </w:p>
    <w:p w14:paraId="025F1887">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firstLine="0"/>
        <w:textAlignment w:val="auto"/>
        <w:rPr>
          <w:rFonts w:ascii="宋体" w:hAnsi="宋体" w:cs="宋体"/>
          <w:color w:val="auto"/>
          <w:spacing w:val="6"/>
          <w:kern w:val="0"/>
          <w:szCs w:val="21"/>
          <w:highlight w:val="none"/>
        </w:rPr>
      </w:pPr>
      <w:r>
        <w:rPr>
          <w:rFonts w:ascii="宋体" w:hAnsi="宋体" w:cs="宋体"/>
          <w:color w:val="auto"/>
          <w:spacing w:val="6"/>
          <w:kern w:val="0"/>
          <w:szCs w:val="21"/>
          <w:highlight w:val="none"/>
          <w:u w:val="single"/>
        </w:rPr>
        <w:t xml:space="preserve">           </w:t>
      </w:r>
      <w:r>
        <w:rPr>
          <w:rFonts w:hint="eastAsia" w:ascii="宋体" w:hAnsi="宋体" w:cs="宋体"/>
          <w:color w:val="auto"/>
          <w:spacing w:val="6"/>
          <w:kern w:val="0"/>
          <w:szCs w:val="21"/>
          <w:highlight w:val="none"/>
        </w:rPr>
        <w:t xml:space="preserve">（标的名称），属于 </w:t>
      </w:r>
      <w:r>
        <w:rPr>
          <w:rFonts w:ascii="宋体" w:hAnsi="宋体" w:cs="宋体"/>
          <w:color w:val="auto"/>
          <w:spacing w:val="6"/>
          <w:kern w:val="0"/>
          <w:szCs w:val="21"/>
          <w:highlight w:val="none"/>
          <w:u w:val="single"/>
        </w:rPr>
        <w:t xml:space="preserve">              </w:t>
      </w:r>
      <w:r>
        <w:rPr>
          <w:rFonts w:hint="eastAsia" w:ascii="宋体" w:hAnsi="宋体" w:cs="宋体"/>
          <w:color w:val="auto"/>
          <w:spacing w:val="6"/>
          <w:kern w:val="0"/>
          <w:szCs w:val="21"/>
          <w:highlight w:val="none"/>
        </w:rPr>
        <w:t>（采购文件中明确的所属行业）；承建（承接）企业为</w:t>
      </w:r>
      <w:r>
        <w:rPr>
          <w:rFonts w:hint="eastAsia" w:ascii="宋体" w:hAnsi="宋体" w:cs="宋体"/>
          <w:color w:val="auto"/>
          <w:spacing w:val="6"/>
          <w:kern w:val="0"/>
          <w:szCs w:val="21"/>
          <w:highlight w:val="none"/>
          <w:u w:val="single"/>
        </w:rPr>
        <w:t xml:space="preserve"> </w:t>
      </w:r>
      <w:r>
        <w:rPr>
          <w:rFonts w:ascii="宋体" w:hAnsi="宋体" w:cs="宋体"/>
          <w:color w:val="auto"/>
          <w:spacing w:val="6"/>
          <w:kern w:val="0"/>
          <w:szCs w:val="21"/>
          <w:highlight w:val="none"/>
          <w:u w:val="single"/>
        </w:rPr>
        <w:t xml:space="preserve">           </w:t>
      </w:r>
      <w:r>
        <w:rPr>
          <w:rFonts w:hint="eastAsia" w:ascii="宋体" w:hAnsi="宋体" w:cs="宋体"/>
          <w:color w:val="auto"/>
          <w:spacing w:val="6"/>
          <w:kern w:val="0"/>
          <w:szCs w:val="21"/>
          <w:highlight w:val="none"/>
        </w:rPr>
        <w:t>（企业名称），从业人员</w:t>
      </w:r>
      <w:r>
        <w:rPr>
          <w:rFonts w:hint="eastAsia" w:ascii="宋体" w:hAnsi="宋体" w:cs="宋体"/>
          <w:color w:val="auto"/>
          <w:spacing w:val="6"/>
          <w:kern w:val="0"/>
          <w:szCs w:val="21"/>
          <w:highlight w:val="none"/>
          <w:u w:val="single"/>
        </w:rPr>
        <w:t xml:space="preserve">  </w:t>
      </w:r>
      <w:r>
        <w:rPr>
          <w:rFonts w:hint="eastAsia" w:ascii="宋体" w:hAnsi="宋体" w:cs="宋体"/>
          <w:color w:val="auto"/>
          <w:spacing w:val="6"/>
          <w:kern w:val="0"/>
          <w:szCs w:val="21"/>
          <w:highlight w:val="none"/>
        </w:rPr>
        <w:t>人，营业收入为</w:t>
      </w:r>
      <w:r>
        <w:rPr>
          <w:rFonts w:hint="eastAsia" w:ascii="宋体" w:hAnsi="宋体" w:cs="宋体"/>
          <w:color w:val="auto"/>
          <w:spacing w:val="6"/>
          <w:kern w:val="0"/>
          <w:szCs w:val="21"/>
          <w:highlight w:val="none"/>
          <w:u w:val="single"/>
        </w:rPr>
        <w:t xml:space="preserve">  </w:t>
      </w:r>
      <w:r>
        <w:rPr>
          <w:rFonts w:hint="eastAsia" w:ascii="宋体" w:hAnsi="宋体" w:cs="宋体"/>
          <w:color w:val="auto"/>
          <w:spacing w:val="6"/>
          <w:kern w:val="0"/>
          <w:szCs w:val="21"/>
          <w:highlight w:val="none"/>
        </w:rPr>
        <w:t>万元，资产总额为</w:t>
      </w:r>
      <w:r>
        <w:rPr>
          <w:rFonts w:hint="eastAsia" w:ascii="宋体" w:hAnsi="宋体" w:cs="宋体"/>
          <w:color w:val="auto"/>
          <w:spacing w:val="6"/>
          <w:kern w:val="0"/>
          <w:szCs w:val="21"/>
          <w:highlight w:val="none"/>
          <w:u w:val="single"/>
        </w:rPr>
        <w:t xml:space="preserve"> </w:t>
      </w:r>
      <w:r>
        <w:rPr>
          <w:rFonts w:ascii="宋体" w:hAnsi="宋体" w:cs="宋体"/>
          <w:color w:val="auto"/>
          <w:spacing w:val="6"/>
          <w:kern w:val="0"/>
          <w:szCs w:val="21"/>
          <w:highlight w:val="none"/>
          <w:u w:val="single"/>
        </w:rPr>
        <w:t xml:space="preserve">  </w:t>
      </w:r>
      <w:r>
        <w:rPr>
          <w:rFonts w:hint="eastAsia" w:ascii="宋体" w:hAnsi="宋体" w:cs="宋体"/>
          <w:color w:val="auto"/>
          <w:spacing w:val="6"/>
          <w:kern w:val="0"/>
          <w:szCs w:val="21"/>
          <w:highlight w:val="none"/>
        </w:rPr>
        <w:t xml:space="preserve"> 万元，属于（中型企业、小型企业、微型企业）；</w:t>
      </w:r>
    </w:p>
    <w:p w14:paraId="0B877C79">
      <w:pPr>
        <w:adjustRightInd w:val="0"/>
        <w:snapToGrid w:val="0"/>
        <w:spacing w:line="360" w:lineRule="auto"/>
        <w:rPr>
          <w:rFonts w:ascii="宋体" w:hAnsi="宋体" w:cs="宋体"/>
          <w:color w:val="auto"/>
          <w:spacing w:val="6"/>
          <w:kern w:val="0"/>
          <w:szCs w:val="21"/>
          <w:highlight w:val="none"/>
        </w:rPr>
      </w:pPr>
    </w:p>
    <w:p w14:paraId="24DF9BB7">
      <w:pPr>
        <w:adjustRightInd w:val="0"/>
        <w:snapToGrid w:val="0"/>
        <w:spacing w:line="360" w:lineRule="auto"/>
        <w:ind w:firstLine="555" w:firstLineChars="250"/>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以上企业，不属于大企业的分支机构，不存在控股股东为大企业的情形，也不存在与大企业的负责人为同一人的情形。</w:t>
      </w:r>
    </w:p>
    <w:p w14:paraId="41266670">
      <w:pPr>
        <w:adjustRightInd w:val="0"/>
        <w:snapToGrid w:val="0"/>
        <w:spacing w:line="360" w:lineRule="auto"/>
        <w:ind w:firstLine="555" w:firstLineChars="250"/>
        <w:rPr>
          <w:rFonts w:ascii="宋体" w:hAnsi="宋体" w:cs="宋体"/>
          <w:color w:val="auto"/>
          <w:spacing w:val="6"/>
          <w:kern w:val="0"/>
          <w:szCs w:val="21"/>
          <w:highlight w:val="none"/>
        </w:rPr>
      </w:pPr>
    </w:p>
    <w:p w14:paraId="0355D911">
      <w:pPr>
        <w:adjustRightInd w:val="0"/>
        <w:snapToGrid w:val="0"/>
        <w:spacing w:line="360" w:lineRule="auto"/>
        <w:ind w:firstLine="555" w:firstLineChars="250"/>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本企业对上述声明内容的真实性负责。如有虚假，将依法承担相应责任。</w:t>
      </w:r>
    </w:p>
    <w:p w14:paraId="5DBB4D41">
      <w:pPr>
        <w:widowControl/>
        <w:adjustRightInd w:val="0"/>
        <w:snapToGrid w:val="0"/>
        <w:spacing w:line="360" w:lineRule="auto"/>
        <w:jc w:val="left"/>
        <w:rPr>
          <w:rFonts w:ascii="宋体" w:hAnsi="宋体" w:cs="宋体"/>
          <w:color w:val="auto"/>
          <w:spacing w:val="6"/>
          <w:kern w:val="0"/>
          <w:szCs w:val="21"/>
          <w:highlight w:val="none"/>
        </w:rPr>
      </w:pPr>
    </w:p>
    <w:p w14:paraId="4A684ACE">
      <w:pPr>
        <w:widowControl/>
        <w:adjustRightInd w:val="0"/>
        <w:snapToGrid w:val="0"/>
        <w:spacing w:line="360" w:lineRule="auto"/>
        <w:jc w:val="left"/>
        <w:rPr>
          <w:rFonts w:ascii="宋体" w:hAnsi="宋体" w:cs="宋体"/>
          <w:color w:val="auto"/>
          <w:spacing w:val="6"/>
          <w:kern w:val="0"/>
          <w:szCs w:val="21"/>
          <w:highlight w:val="none"/>
        </w:rPr>
      </w:pPr>
    </w:p>
    <w:p w14:paraId="50758ABE">
      <w:pPr>
        <w:pStyle w:val="25"/>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6B7C7A07">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31E95269">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5A13E237">
      <w:pPr>
        <w:adjustRightInd w:val="0"/>
        <w:snapToGrid w:val="0"/>
        <w:rPr>
          <w:rFonts w:ascii="宋体" w:hAnsi="宋体"/>
          <w:b/>
          <w:color w:val="auto"/>
          <w:sz w:val="24"/>
          <w:highlight w:val="none"/>
        </w:rPr>
      </w:pPr>
      <w:r>
        <w:rPr>
          <w:rFonts w:hint="eastAsia" w:ascii="宋体" w:hAnsi="宋体"/>
          <w:b/>
          <w:color w:val="auto"/>
          <w:sz w:val="24"/>
          <w:highlight w:val="none"/>
        </w:rPr>
        <w:t xml:space="preserve"> </w:t>
      </w:r>
    </w:p>
    <w:p w14:paraId="35683A80">
      <w:pPr>
        <w:adjustRightInd w:val="0"/>
        <w:snapToGrid w:val="0"/>
        <w:spacing w:line="360" w:lineRule="auto"/>
        <w:ind w:firstLine="632" w:firstLineChars="250"/>
        <w:rPr>
          <w:rFonts w:ascii="宋体" w:hAnsi="宋体" w:cs="宋体"/>
          <w:b/>
          <w:bCs/>
          <w:color w:val="auto"/>
          <w:spacing w:val="6"/>
          <w:kern w:val="0"/>
          <w:sz w:val="24"/>
          <w:highlight w:val="none"/>
        </w:rPr>
      </w:pPr>
    </w:p>
    <w:p w14:paraId="74FC607D">
      <w:pPr>
        <w:adjustRightInd w:val="0"/>
        <w:snapToGrid w:val="0"/>
        <w:spacing w:line="360" w:lineRule="auto"/>
        <w:ind w:firstLine="525" w:firstLineChars="250"/>
        <w:rPr>
          <w:rFonts w:ascii="宋体" w:hAnsi="宋体"/>
          <w:color w:val="auto"/>
          <w:szCs w:val="21"/>
          <w:highlight w:val="none"/>
        </w:rPr>
      </w:pPr>
    </w:p>
    <w:p w14:paraId="47F77420">
      <w:pPr>
        <w:widowControl/>
        <w:adjustRightInd w:val="0"/>
        <w:snapToGrid w:val="0"/>
        <w:spacing w:line="360" w:lineRule="auto"/>
        <w:ind w:firstLine="444" w:firstLineChars="200"/>
        <w:jc w:val="left"/>
        <w:rPr>
          <w:rFonts w:ascii="宋体" w:hAnsi="宋体" w:cs="宋体"/>
          <w:b/>
          <w:color w:val="auto"/>
          <w:spacing w:val="6"/>
          <w:kern w:val="0"/>
          <w:szCs w:val="21"/>
          <w:highlight w:val="none"/>
        </w:rPr>
      </w:pPr>
      <w:bookmarkStart w:id="59" w:name="_Hlk73465846"/>
      <w:r>
        <w:rPr>
          <w:rFonts w:hint="eastAsia" w:ascii="宋体" w:hAnsi="宋体" w:cs="宋体"/>
          <w:color w:val="auto"/>
          <w:spacing w:val="6"/>
          <w:kern w:val="0"/>
          <w:szCs w:val="21"/>
          <w:highlight w:val="none"/>
        </w:rPr>
        <w:t>说明：按照《政府采购促进中小企业发展管理办法》（财库〔2020〕46号）的规定，中小企业仅需提供声明函，不需提供其他证明材料。</w:t>
      </w:r>
      <w:r>
        <w:rPr>
          <w:rFonts w:hint="eastAsia" w:ascii="宋体" w:hAnsi="宋体" w:cs="宋体"/>
          <w:b/>
          <w:color w:val="auto"/>
          <w:spacing w:val="6"/>
          <w:kern w:val="0"/>
          <w:szCs w:val="21"/>
          <w:highlight w:val="none"/>
        </w:rPr>
        <w:t>非中小企业，本表可不提供。</w:t>
      </w:r>
    </w:p>
    <w:bookmarkEnd w:id="59"/>
    <w:p w14:paraId="243F2701">
      <w:pPr>
        <w:numPr>
          <w:ilvl w:val="0"/>
          <w:numId w:val="0"/>
        </w:numPr>
        <w:adjustRightInd w:val="0"/>
        <w:snapToGrid w:val="0"/>
        <w:spacing w:line="360" w:lineRule="auto"/>
        <w:ind w:right="24" w:rightChars="0" w:firstLine="420" w:firstLineChars="0"/>
        <w:rPr>
          <w:rFonts w:ascii="宋体" w:hAnsi="宋体" w:eastAsia="宋体" w:cs="宋体"/>
          <w:color w:val="auto"/>
          <w:sz w:val="24"/>
          <w:szCs w:val="24"/>
          <w:highlight w:val="none"/>
        </w:rPr>
      </w:pPr>
    </w:p>
    <w:p w14:paraId="6898EDD2">
      <w:pPr>
        <w:numPr>
          <w:ilvl w:val="0"/>
          <w:numId w:val="0"/>
        </w:numPr>
        <w:adjustRightInd w:val="0"/>
        <w:snapToGrid w:val="0"/>
        <w:spacing w:line="360" w:lineRule="auto"/>
        <w:ind w:right="24" w:rightChars="0" w:firstLine="420" w:firstLineChars="0"/>
        <w:rPr>
          <w:rFonts w:ascii="宋体" w:hAnsi="宋体"/>
          <w:color w:val="auto"/>
          <w:spacing w:val="6"/>
          <w:kern w:val="0"/>
          <w:sz w:val="28"/>
          <w:szCs w:val="28"/>
          <w:highlight w:val="none"/>
        </w:rPr>
      </w:pPr>
      <w:r>
        <w:rPr>
          <w:rFonts w:ascii="宋体" w:hAnsi="宋体" w:eastAsia="宋体" w:cs="宋体"/>
          <w:color w:val="auto"/>
          <w:sz w:val="24"/>
          <w:szCs w:val="24"/>
          <w:highlight w:val="none"/>
        </w:rPr>
        <w:t>1 从业人员、营业收入、资产总额填报上一年度数据，无上一年度数据的新成立企业可不填报。</w:t>
      </w:r>
      <w:r>
        <w:rPr>
          <w:rFonts w:hint="eastAsia" w:ascii="宋体" w:hAnsi="宋体"/>
          <w:color w:val="auto"/>
          <w:szCs w:val="21"/>
          <w:highlight w:val="none"/>
          <w:lang w:bidi="ar"/>
        </w:rPr>
        <w:br w:type="page"/>
      </w:r>
      <w:r>
        <w:rPr>
          <w:rFonts w:hint="eastAsia" w:ascii="宋体" w:hAnsi="宋体"/>
          <w:bCs/>
          <w:color w:val="auto"/>
          <w:sz w:val="28"/>
          <w:szCs w:val="28"/>
          <w:highlight w:val="none"/>
        </w:rPr>
        <w:t>附件8</w:t>
      </w:r>
      <w:bookmarkStart w:id="60" w:name="OLE_LINK14"/>
      <w:bookmarkStart w:id="61" w:name="OLE_LINK13"/>
    </w:p>
    <w:p w14:paraId="7534EBAA">
      <w:pPr>
        <w:tabs>
          <w:tab w:val="left" w:pos="3600"/>
        </w:tabs>
        <w:adjustRightInd w:val="0"/>
        <w:snapToGrid w:val="0"/>
        <w:jc w:val="center"/>
        <w:rPr>
          <w:rFonts w:ascii="宋体" w:hAnsi="宋体" w:cs="宋体"/>
          <w:b/>
          <w:bCs/>
          <w:color w:val="auto"/>
          <w:spacing w:val="6"/>
          <w:kern w:val="0"/>
          <w:sz w:val="24"/>
          <w:highlight w:val="none"/>
        </w:rPr>
      </w:pPr>
      <w:bookmarkStart w:id="62" w:name="_Hlk73465908"/>
      <w:r>
        <w:rPr>
          <w:rFonts w:hint="eastAsia" w:ascii="宋体" w:hAnsi="宋体" w:cs="宋体"/>
          <w:b/>
          <w:bCs/>
          <w:color w:val="auto"/>
          <w:spacing w:val="6"/>
          <w:kern w:val="0"/>
          <w:sz w:val="24"/>
          <w:highlight w:val="none"/>
        </w:rPr>
        <w:t>残疾人福利性单位声明函</w:t>
      </w:r>
    </w:p>
    <w:bookmarkEnd w:id="60"/>
    <w:bookmarkEnd w:id="61"/>
    <w:p w14:paraId="4BB0FDA9">
      <w:pPr>
        <w:spacing w:line="588" w:lineRule="exact"/>
        <w:rPr>
          <w:rFonts w:ascii="宋体" w:hAnsi="宋体"/>
          <w:b/>
          <w:bCs/>
          <w:color w:val="auto"/>
          <w:spacing w:val="6"/>
          <w:szCs w:val="21"/>
          <w:highlight w:val="none"/>
        </w:rPr>
      </w:pPr>
    </w:p>
    <w:p w14:paraId="5E24EBB0">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71886606">
      <w:pPr>
        <w:widowControl/>
        <w:adjustRightInd w:val="0"/>
        <w:snapToGrid w:val="0"/>
        <w:spacing w:line="360" w:lineRule="auto"/>
        <w:ind w:firstLine="444" w:firstLineChars="200"/>
        <w:jc w:val="left"/>
        <w:rPr>
          <w:rFonts w:ascii="宋体" w:hAnsi="宋体"/>
          <w:color w:val="auto"/>
          <w:spacing w:val="6"/>
          <w:kern w:val="0"/>
          <w:szCs w:val="21"/>
          <w:highlight w:val="none"/>
        </w:rPr>
      </w:pPr>
      <w:r>
        <w:rPr>
          <w:rFonts w:hint="eastAsia" w:ascii="宋体" w:hAnsi="宋体" w:cs="宋体"/>
          <w:color w:val="auto"/>
          <w:spacing w:val="6"/>
          <w:kern w:val="0"/>
          <w:szCs w:val="21"/>
          <w:highlight w:val="none"/>
        </w:rPr>
        <w:t>本单位郑重声明，根据《财政部</w:t>
      </w:r>
      <w:r>
        <w:rPr>
          <w:rFonts w:ascii="宋体" w:hAnsi="宋体" w:cs="宋体"/>
          <w:color w:val="auto"/>
          <w:spacing w:val="6"/>
          <w:kern w:val="0"/>
          <w:szCs w:val="21"/>
          <w:highlight w:val="none"/>
        </w:rPr>
        <w:t xml:space="preserve"> </w:t>
      </w:r>
      <w:r>
        <w:rPr>
          <w:rFonts w:hint="eastAsia" w:ascii="宋体" w:hAnsi="宋体" w:cs="宋体"/>
          <w:color w:val="auto"/>
          <w:spacing w:val="6"/>
          <w:kern w:val="0"/>
          <w:szCs w:val="21"/>
          <w:highlight w:val="none"/>
        </w:rPr>
        <w:t>民政部</w:t>
      </w:r>
      <w:r>
        <w:rPr>
          <w:rFonts w:ascii="宋体" w:hAnsi="宋体" w:cs="宋体"/>
          <w:color w:val="auto"/>
          <w:spacing w:val="6"/>
          <w:kern w:val="0"/>
          <w:szCs w:val="21"/>
          <w:highlight w:val="none"/>
        </w:rPr>
        <w:t xml:space="preserve"> </w:t>
      </w:r>
      <w:r>
        <w:rPr>
          <w:rFonts w:hint="eastAsia" w:ascii="宋体" w:hAnsi="宋体" w:cs="宋体"/>
          <w:color w:val="auto"/>
          <w:spacing w:val="6"/>
          <w:kern w:val="0"/>
          <w:szCs w:val="21"/>
          <w:highlight w:val="none"/>
        </w:rPr>
        <w:t>中国残疾人联合会关于促进残疾人就业政府采购政策的通知》（财库〔</w:t>
      </w:r>
      <w:r>
        <w:rPr>
          <w:rFonts w:ascii="宋体" w:hAnsi="宋体" w:cs="宋体"/>
          <w:color w:val="auto"/>
          <w:spacing w:val="6"/>
          <w:kern w:val="0"/>
          <w:szCs w:val="21"/>
          <w:highlight w:val="none"/>
        </w:rPr>
        <w:t>2017</w:t>
      </w:r>
      <w:r>
        <w:rPr>
          <w:rFonts w:hint="eastAsia" w:ascii="宋体" w:hAnsi="宋体" w:cs="宋体"/>
          <w:color w:val="auto"/>
          <w:spacing w:val="6"/>
          <w:kern w:val="0"/>
          <w:szCs w:val="21"/>
          <w:highlight w:val="none"/>
        </w:rPr>
        <w:t>〕</w:t>
      </w:r>
      <w:r>
        <w:rPr>
          <w:rFonts w:ascii="宋体" w:hAnsi="宋体" w:cs="宋体"/>
          <w:color w:val="auto"/>
          <w:spacing w:val="6"/>
          <w:kern w:val="0"/>
          <w:szCs w:val="21"/>
          <w:highlight w:val="none"/>
        </w:rPr>
        <w:t xml:space="preserve"> 141</w:t>
      </w:r>
      <w:r>
        <w:rPr>
          <w:rFonts w:hint="eastAsia" w:ascii="宋体" w:hAnsi="宋体" w:cs="宋体"/>
          <w:color w:val="auto"/>
          <w:spacing w:val="6"/>
          <w:kern w:val="0"/>
          <w:szCs w:val="21"/>
          <w:highlight w:val="none"/>
        </w:rPr>
        <w:t>号）的规定，本单位为符合条件的残疾人福利性单位，且本单位参加</w:t>
      </w:r>
      <w:r>
        <w:rPr>
          <w:rFonts w:ascii="宋体" w:hAnsi="宋体" w:cs="宋体"/>
          <w:color w:val="auto"/>
          <w:spacing w:val="6"/>
          <w:kern w:val="0"/>
          <w:szCs w:val="21"/>
          <w:highlight w:val="none"/>
        </w:rPr>
        <w:t>______</w:t>
      </w:r>
      <w:r>
        <w:rPr>
          <w:rFonts w:hint="eastAsia" w:ascii="宋体" w:hAnsi="宋体" w:cs="宋体"/>
          <w:color w:val="auto"/>
          <w:spacing w:val="6"/>
          <w:kern w:val="0"/>
          <w:szCs w:val="21"/>
          <w:highlight w:val="none"/>
        </w:rPr>
        <w:t>单位的</w:t>
      </w:r>
      <w:r>
        <w:rPr>
          <w:rFonts w:ascii="宋体" w:hAnsi="宋体" w:cs="宋体"/>
          <w:color w:val="auto"/>
          <w:spacing w:val="6"/>
          <w:kern w:val="0"/>
          <w:szCs w:val="21"/>
          <w:highlight w:val="none"/>
        </w:rPr>
        <w:t>______</w:t>
      </w:r>
      <w:r>
        <w:rPr>
          <w:rFonts w:hint="eastAsia" w:ascii="宋体" w:hAnsi="宋体" w:cs="宋体"/>
          <w:color w:val="auto"/>
          <w:spacing w:val="6"/>
          <w:kern w:val="0"/>
          <w:szCs w:val="21"/>
          <w:highlight w:val="none"/>
        </w:rPr>
        <w:t>项目采购活动提供本单位制造的货物（由本单位承担工程</w:t>
      </w:r>
      <w:r>
        <w:rPr>
          <w:rFonts w:ascii="宋体" w:hAnsi="宋体" w:cs="宋体"/>
          <w:color w:val="auto"/>
          <w:spacing w:val="6"/>
          <w:kern w:val="0"/>
          <w:szCs w:val="21"/>
          <w:highlight w:val="none"/>
        </w:rPr>
        <w:t>/</w:t>
      </w:r>
      <w:r>
        <w:rPr>
          <w:rFonts w:hint="eastAsia" w:ascii="宋体" w:hAnsi="宋体" w:cs="宋体"/>
          <w:color w:val="auto"/>
          <w:spacing w:val="6"/>
          <w:kern w:val="0"/>
          <w:szCs w:val="21"/>
          <w:highlight w:val="none"/>
        </w:rPr>
        <w:t>提供服务），或者提供其他残疾人福利性单位制造的货物（不包括使用非残疾人福利性单位注册商标的货物）。</w:t>
      </w:r>
    </w:p>
    <w:p w14:paraId="2F93B73C">
      <w:pPr>
        <w:widowControl/>
        <w:adjustRightInd w:val="0"/>
        <w:snapToGrid w:val="0"/>
        <w:spacing w:line="360" w:lineRule="auto"/>
        <w:ind w:firstLine="444" w:firstLineChars="200"/>
        <w:jc w:val="left"/>
        <w:rPr>
          <w:rFonts w:ascii="宋体" w:hAnsi="宋体"/>
          <w:color w:val="auto"/>
          <w:spacing w:val="6"/>
          <w:kern w:val="0"/>
          <w:szCs w:val="21"/>
          <w:highlight w:val="none"/>
        </w:rPr>
      </w:pPr>
      <w:r>
        <w:rPr>
          <w:rFonts w:hint="eastAsia" w:ascii="宋体" w:hAnsi="宋体" w:cs="宋体"/>
          <w:color w:val="auto"/>
          <w:spacing w:val="6"/>
          <w:kern w:val="0"/>
          <w:szCs w:val="21"/>
          <w:highlight w:val="none"/>
        </w:rPr>
        <w:t>本单位对上述声明的真实性负责。如有虚假，将依法承担相应责任。</w:t>
      </w:r>
    </w:p>
    <w:p w14:paraId="13562945">
      <w:pPr>
        <w:widowControl/>
        <w:adjustRightInd w:val="0"/>
        <w:snapToGrid w:val="0"/>
        <w:spacing w:line="360" w:lineRule="auto"/>
        <w:ind w:firstLine="444" w:firstLineChars="200"/>
        <w:jc w:val="left"/>
        <w:rPr>
          <w:rFonts w:ascii="宋体" w:hAnsi="宋体"/>
          <w:color w:val="auto"/>
          <w:spacing w:val="6"/>
          <w:kern w:val="0"/>
          <w:szCs w:val="21"/>
          <w:highlight w:val="none"/>
        </w:rPr>
      </w:pPr>
    </w:p>
    <w:p w14:paraId="7E5BAD21">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2710CDCD">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1807B398">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3E518308">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5883AF75">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122D1C16">
      <w:pPr>
        <w:pStyle w:val="25"/>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2137B009">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3ADA6E66">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7A835854">
      <w:pPr>
        <w:adjustRightInd w:val="0"/>
        <w:snapToGrid w:val="0"/>
        <w:rPr>
          <w:rFonts w:ascii="宋体" w:hAnsi="宋体"/>
          <w:b/>
          <w:color w:val="auto"/>
          <w:sz w:val="24"/>
          <w:highlight w:val="none"/>
        </w:rPr>
      </w:pPr>
      <w:r>
        <w:rPr>
          <w:rFonts w:hint="eastAsia" w:ascii="宋体" w:hAnsi="宋体"/>
          <w:b/>
          <w:color w:val="auto"/>
          <w:sz w:val="24"/>
          <w:highlight w:val="none"/>
        </w:rPr>
        <w:t xml:space="preserve"> </w:t>
      </w:r>
    </w:p>
    <w:p w14:paraId="60D65CE1">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31D05230">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723468B0">
      <w:pPr>
        <w:widowControl/>
        <w:adjustRightInd w:val="0"/>
        <w:snapToGrid w:val="0"/>
        <w:spacing w:line="360" w:lineRule="auto"/>
        <w:ind w:firstLine="444" w:firstLineChars="200"/>
        <w:jc w:val="left"/>
        <w:rPr>
          <w:rFonts w:ascii="宋体" w:hAnsi="宋体" w:cs="宋体"/>
          <w:b/>
          <w:color w:val="auto"/>
          <w:spacing w:val="6"/>
          <w:kern w:val="0"/>
          <w:szCs w:val="21"/>
          <w:highlight w:val="none"/>
        </w:rPr>
      </w:pPr>
      <w:r>
        <w:rPr>
          <w:rFonts w:hint="eastAsia" w:ascii="宋体" w:hAnsi="宋体" w:cs="宋体"/>
          <w:color w:val="auto"/>
          <w:spacing w:val="6"/>
          <w:kern w:val="0"/>
          <w:szCs w:val="21"/>
          <w:highlight w:val="none"/>
        </w:rPr>
        <w:t>说明：按照《关于促进残疾人就业政府采购政策的通知》（财库〔2017〕141号）的规定，残疾人福利性单位仅需提供声明函，不需提供其他证明材料。</w:t>
      </w:r>
      <w:r>
        <w:rPr>
          <w:rFonts w:hint="eastAsia" w:ascii="宋体" w:hAnsi="宋体" w:cs="宋体"/>
          <w:b/>
          <w:color w:val="auto"/>
          <w:spacing w:val="6"/>
          <w:kern w:val="0"/>
          <w:szCs w:val="21"/>
          <w:highlight w:val="none"/>
        </w:rPr>
        <w:t>非残疾人福利性单位，本表可不提供。</w:t>
      </w:r>
    </w:p>
    <w:bookmarkEnd w:id="62"/>
    <w:p w14:paraId="263CBC64">
      <w:pPr>
        <w:widowControl/>
        <w:adjustRightInd w:val="0"/>
        <w:snapToGrid w:val="0"/>
        <w:spacing w:line="360" w:lineRule="auto"/>
        <w:jc w:val="left"/>
        <w:rPr>
          <w:rFonts w:ascii="宋体" w:hAnsi="宋体" w:cs="宋体"/>
          <w:color w:val="auto"/>
          <w:spacing w:val="6"/>
          <w:kern w:val="0"/>
          <w:szCs w:val="21"/>
          <w:highlight w:val="none"/>
        </w:rPr>
      </w:pPr>
    </w:p>
    <w:p w14:paraId="503F5141">
      <w:pPr>
        <w:tabs>
          <w:tab w:val="left" w:pos="3600"/>
        </w:tabs>
        <w:adjustRightInd w:val="0"/>
        <w:snapToGrid w:val="0"/>
        <w:jc w:val="left"/>
        <w:rPr>
          <w:rFonts w:ascii="宋体" w:hAnsi="宋体" w:cs="宋体"/>
          <w:b/>
          <w:bCs/>
          <w:color w:val="auto"/>
          <w:spacing w:val="6"/>
          <w:kern w:val="0"/>
          <w:sz w:val="24"/>
          <w:highlight w:val="none"/>
        </w:rPr>
      </w:pPr>
      <w:r>
        <w:rPr>
          <w:rFonts w:ascii="宋体" w:hAnsi="宋体"/>
          <w:bCs/>
          <w:color w:val="auto"/>
          <w:sz w:val="28"/>
          <w:szCs w:val="28"/>
          <w:highlight w:val="none"/>
        </w:rPr>
        <w:br w:type="page"/>
      </w:r>
      <w:r>
        <w:rPr>
          <w:rFonts w:hint="eastAsia" w:ascii="宋体" w:hAnsi="宋体"/>
          <w:bCs/>
          <w:color w:val="auto"/>
          <w:sz w:val="28"/>
          <w:szCs w:val="28"/>
          <w:highlight w:val="none"/>
        </w:rPr>
        <w:t>附件</w:t>
      </w:r>
      <w:r>
        <w:rPr>
          <w:rFonts w:ascii="宋体" w:hAnsi="宋体"/>
          <w:bCs/>
          <w:color w:val="auto"/>
          <w:sz w:val="28"/>
          <w:szCs w:val="28"/>
          <w:highlight w:val="none"/>
        </w:rPr>
        <w:t>9</w:t>
      </w:r>
    </w:p>
    <w:p w14:paraId="1C317F27">
      <w:pPr>
        <w:tabs>
          <w:tab w:val="left" w:pos="3600"/>
        </w:tabs>
        <w:adjustRightInd w:val="0"/>
        <w:snapToGrid w:val="0"/>
        <w:jc w:val="center"/>
        <w:rPr>
          <w:rFonts w:ascii="宋体" w:hAnsi="宋体" w:cs="宋体"/>
          <w:b/>
          <w:bCs/>
          <w:color w:val="auto"/>
          <w:spacing w:val="6"/>
          <w:kern w:val="0"/>
          <w:sz w:val="24"/>
          <w:highlight w:val="none"/>
        </w:rPr>
      </w:pPr>
      <w:bookmarkStart w:id="63" w:name="_Hlk73465936"/>
      <w:r>
        <w:rPr>
          <w:rFonts w:hint="eastAsia" w:ascii="宋体" w:hAnsi="宋体" w:cs="宋体"/>
          <w:b/>
          <w:bCs/>
          <w:color w:val="auto"/>
          <w:spacing w:val="6"/>
          <w:kern w:val="0"/>
          <w:sz w:val="24"/>
          <w:highlight w:val="none"/>
        </w:rPr>
        <w:t>投标人监狱企业声明函</w:t>
      </w:r>
    </w:p>
    <w:p w14:paraId="04831E09">
      <w:pPr>
        <w:tabs>
          <w:tab w:val="left" w:pos="3600"/>
        </w:tabs>
        <w:adjustRightInd w:val="0"/>
        <w:snapToGrid w:val="0"/>
        <w:jc w:val="center"/>
        <w:rPr>
          <w:rFonts w:ascii="宋体" w:hAnsi="宋体" w:cs="宋体"/>
          <w:b/>
          <w:bCs/>
          <w:color w:val="auto"/>
          <w:spacing w:val="6"/>
          <w:kern w:val="0"/>
          <w:sz w:val="24"/>
          <w:highlight w:val="none"/>
        </w:rPr>
      </w:pPr>
    </w:p>
    <w:p w14:paraId="2EF12C0D">
      <w:pPr>
        <w:widowControl/>
        <w:spacing w:line="360" w:lineRule="auto"/>
        <w:ind w:firstLine="444" w:firstLineChars="200"/>
        <w:jc w:val="left"/>
        <w:rPr>
          <w:rFonts w:ascii="宋体" w:hAnsi="宋体" w:cs="宋体"/>
          <w:color w:val="auto"/>
          <w:spacing w:val="6"/>
          <w:kern w:val="0"/>
          <w:szCs w:val="21"/>
          <w:highlight w:val="none"/>
        </w:rPr>
      </w:pPr>
      <w:r>
        <w:rPr>
          <w:rFonts w:ascii="宋体" w:hAnsi="宋体" w:cs="宋体"/>
          <w:color w:val="auto"/>
          <w:spacing w:val="6"/>
          <w:kern w:val="0"/>
          <w:szCs w:val="21"/>
          <w:highlight w:val="none"/>
        </w:rPr>
        <w:t>本</w:t>
      </w:r>
      <w:r>
        <w:rPr>
          <w:rFonts w:hint="eastAsia" w:ascii="宋体" w:hAnsi="宋体" w:cs="宋体"/>
          <w:color w:val="auto"/>
          <w:spacing w:val="6"/>
          <w:kern w:val="0"/>
          <w:szCs w:val="21"/>
          <w:highlight w:val="none"/>
        </w:rPr>
        <w:t>企业</w:t>
      </w:r>
      <w:r>
        <w:rPr>
          <w:rFonts w:ascii="宋体" w:hAnsi="宋体" w:cs="宋体"/>
          <w:color w:val="auto"/>
          <w:spacing w:val="6"/>
          <w:kern w:val="0"/>
          <w:szCs w:val="21"/>
          <w:highlight w:val="none"/>
        </w:rPr>
        <w:t>（</w:t>
      </w:r>
      <w:r>
        <w:rPr>
          <w:rFonts w:hint="eastAsia" w:ascii="宋体" w:hAnsi="宋体" w:cs="宋体"/>
          <w:color w:val="auto"/>
          <w:spacing w:val="6"/>
          <w:kern w:val="0"/>
          <w:szCs w:val="21"/>
          <w:highlight w:val="none"/>
        </w:rPr>
        <w:t>单位</w:t>
      </w:r>
      <w:r>
        <w:rPr>
          <w:rFonts w:ascii="宋体" w:hAnsi="宋体" w:cs="宋体"/>
          <w:color w:val="auto"/>
          <w:spacing w:val="6"/>
          <w:kern w:val="0"/>
          <w:szCs w:val="21"/>
          <w:highlight w:val="none"/>
        </w:rPr>
        <w:t>）郑重声明下</w:t>
      </w:r>
      <w:r>
        <w:rPr>
          <w:rFonts w:hint="eastAsia" w:ascii="宋体" w:hAnsi="宋体" w:cs="宋体"/>
          <w:color w:val="auto"/>
          <w:spacing w:val="6"/>
          <w:kern w:val="0"/>
          <w:szCs w:val="21"/>
          <w:highlight w:val="none"/>
        </w:rPr>
        <w:t>列事项（按照</w:t>
      </w:r>
      <w:r>
        <w:rPr>
          <w:rFonts w:ascii="宋体" w:hAnsi="宋体" w:cs="宋体"/>
          <w:color w:val="auto"/>
          <w:spacing w:val="6"/>
          <w:kern w:val="0"/>
          <w:szCs w:val="21"/>
          <w:highlight w:val="none"/>
        </w:rPr>
        <w:t>实际情况勾选或</w:t>
      </w:r>
      <w:r>
        <w:rPr>
          <w:rFonts w:hint="eastAsia" w:ascii="宋体" w:hAnsi="宋体" w:cs="宋体"/>
          <w:color w:val="auto"/>
          <w:spacing w:val="6"/>
          <w:kern w:val="0"/>
          <w:szCs w:val="21"/>
          <w:highlight w:val="none"/>
        </w:rPr>
        <w:t>填空）：</w:t>
      </w:r>
    </w:p>
    <w:p w14:paraId="5D699A82">
      <w:pPr>
        <w:widowControl/>
        <w:spacing w:line="360" w:lineRule="auto"/>
        <w:ind w:firstLine="444" w:firstLineChars="200"/>
        <w:jc w:val="left"/>
        <w:rPr>
          <w:rFonts w:ascii="宋体" w:hAnsi="宋体" w:cs="宋体"/>
          <w:color w:val="auto"/>
          <w:spacing w:val="6"/>
          <w:kern w:val="0"/>
          <w:szCs w:val="21"/>
          <w:highlight w:val="none"/>
        </w:rPr>
      </w:pPr>
      <w:r>
        <w:rPr>
          <w:rFonts w:ascii="宋体" w:hAnsi="宋体" w:cs="宋体"/>
          <w:color w:val="auto"/>
          <w:spacing w:val="6"/>
          <w:kern w:val="0"/>
          <w:szCs w:val="21"/>
          <w:highlight w:val="none"/>
        </w:rPr>
        <w:t>本</w:t>
      </w:r>
      <w:r>
        <w:rPr>
          <w:rFonts w:hint="eastAsia" w:ascii="宋体" w:hAnsi="宋体" w:cs="宋体"/>
          <w:color w:val="auto"/>
          <w:spacing w:val="6"/>
          <w:kern w:val="0"/>
          <w:szCs w:val="21"/>
          <w:highlight w:val="none"/>
        </w:rPr>
        <w:t>企业（单位）为直接投标人</w:t>
      </w:r>
      <w:r>
        <w:rPr>
          <w:rFonts w:ascii="宋体" w:hAnsi="宋体" w:cs="宋体"/>
          <w:color w:val="auto"/>
          <w:spacing w:val="6"/>
          <w:kern w:val="0"/>
          <w:szCs w:val="21"/>
          <w:highlight w:val="none"/>
        </w:rPr>
        <w:t>提供本企业</w:t>
      </w:r>
      <w:r>
        <w:rPr>
          <w:rFonts w:hint="eastAsia" w:ascii="宋体" w:hAnsi="宋体" w:cs="宋体"/>
          <w:color w:val="auto"/>
          <w:spacing w:val="6"/>
          <w:kern w:val="0"/>
          <w:szCs w:val="21"/>
          <w:highlight w:val="none"/>
        </w:rPr>
        <w:t>（单位）</w:t>
      </w:r>
      <w:r>
        <w:rPr>
          <w:rFonts w:ascii="宋体" w:hAnsi="宋体" w:cs="宋体"/>
          <w:color w:val="auto"/>
          <w:spacing w:val="6"/>
          <w:kern w:val="0"/>
          <w:szCs w:val="21"/>
          <w:highlight w:val="none"/>
        </w:rPr>
        <w:t>制造的货物</w:t>
      </w:r>
      <w:r>
        <w:rPr>
          <w:rFonts w:hint="eastAsia" w:ascii="宋体" w:hAnsi="宋体" w:cs="宋体"/>
          <w:color w:val="auto"/>
          <w:spacing w:val="6"/>
          <w:kern w:val="0"/>
          <w:szCs w:val="21"/>
          <w:highlight w:val="none"/>
        </w:rPr>
        <w:t>。</w:t>
      </w:r>
    </w:p>
    <w:p w14:paraId="39E66A9D">
      <w:pPr>
        <w:widowControl/>
        <w:spacing w:line="360" w:lineRule="auto"/>
        <w:ind w:firstLine="333" w:firstLineChars="15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（1）</w:t>
      </w:r>
      <w:r>
        <w:rPr>
          <w:rFonts w:ascii="宋体" w:hAnsi="宋体" w:cs="宋体"/>
          <w:color w:val="auto"/>
          <w:spacing w:val="6"/>
          <w:kern w:val="0"/>
          <w:szCs w:val="21"/>
          <w:highlight w:val="none"/>
        </w:rPr>
        <w:t>本</w:t>
      </w:r>
      <w:r>
        <w:rPr>
          <w:rFonts w:hint="eastAsia" w:ascii="宋体" w:hAnsi="宋体" w:cs="宋体"/>
          <w:color w:val="auto"/>
          <w:spacing w:val="6"/>
          <w:kern w:val="0"/>
          <w:szCs w:val="21"/>
          <w:highlight w:val="none"/>
        </w:rPr>
        <w:t xml:space="preserve">企业（单位）        </w:t>
      </w:r>
      <w:r>
        <w:rPr>
          <w:rFonts w:ascii="宋体" w:hAnsi="宋体" w:cs="宋体"/>
          <w:color w:val="auto"/>
          <w:spacing w:val="6"/>
          <w:kern w:val="0"/>
          <w:szCs w:val="21"/>
          <w:highlight w:val="none"/>
        </w:rPr>
        <w:t>（请填写：</w:t>
      </w:r>
      <w:r>
        <w:rPr>
          <w:rFonts w:hint="eastAsia" w:ascii="宋体" w:hAnsi="宋体" w:cs="宋体"/>
          <w:color w:val="auto"/>
          <w:spacing w:val="6"/>
          <w:kern w:val="0"/>
          <w:szCs w:val="21"/>
          <w:highlight w:val="none"/>
        </w:rPr>
        <w:t>是、不是</w:t>
      </w:r>
      <w:r>
        <w:rPr>
          <w:rFonts w:ascii="宋体" w:hAnsi="宋体" w:cs="宋体"/>
          <w:color w:val="auto"/>
          <w:spacing w:val="6"/>
          <w:kern w:val="0"/>
          <w:szCs w:val="21"/>
          <w:highlight w:val="none"/>
        </w:rPr>
        <w:t>）监狱企业。</w:t>
      </w:r>
      <w:r>
        <w:rPr>
          <w:rFonts w:hint="eastAsia" w:ascii="宋体" w:hAnsi="宋体" w:cs="宋体"/>
          <w:color w:val="auto"/>
          <w:spacing w:val="6"/>
          <w:kern w:val="0"/>
          <w:szCs w:val="21"/>
          <w:highlight w:val="none"/>
        </w:rPr>
        <w:t>后附省级以上监狱管理局、戒毒管理局（含新疆生产建设兵团）出具的属于监狱企业的证明文件。</w:t>
      </w:r>
    </w:p>
    <w:p w14:paraId="5E7D9115">
      <w:pPr>
        <w:widowControl/>
        <w:spacing w:line="360" w:lineRule="auto"/>
        <w:ind w:firstLine="42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w:t>
      </w:r>
      <w:r>
        <w:rPr>
          <w:rFonts w:ascii="宋体" w:hAnsi="宋体" w:cs="宋体"/>
          <w:color w:val="auto"/>
          <w:spacing w:val="6"/>
          <w:kern w:val="0"/>
          <w:szCs w:val="21"/>
          <w:highlight w:val="none"/>
        </w:rPr>
        <w:t>2</w:t>
      </w:r>
      <w:r>
        <w:rPr>
          <w:rFonts w:hint="eastAsia" w:ascii="宋体" w:hAnsi="宋体" w:cs="宋体"/>
          <w:color w:val="auto"/>
          <w:spacing w:val="6"/>
          <w:kern w:val="0"/>
          <w:szCs w:val="21"/>
          <w:highlight w:val="none"/>
        </w:rPr>
        <w:t>）</w:t>
      </w:r>
      <w:r>
        <w:rPr>
          <w:rFonts w:ascii="宋体" w:hAnsi="宋体" w:cs="宋体"/>
          <w:color w:val="auto"/>
          <w:spacing w:val="6"/>
          <w:kern w:val="0"/>
          <w:szCs w:val="21"/>
          <w:highlight w:val="none"/>
        </w:rPr>
        <w:t>本</w:t>
      </w:r>
      <w:r>
        <w:rPr>
          <w:rFonts w:hint="eastAsia" w:ascii="宋体" w:hAnsi="宋体" w:cs="宋体"/>
          <w:color w:val="auto"/>
          <w:spacing w:val="6"/>
          <w:kern w:val="0"/>
          <w:szCs w:val="21"/>
          <w:highlight w:val="none"/>
        </w:rPr>
        <w:t xml:space="preserve">企业（单位）        </w:t>
      </w:r>
      <w:r>
        <w:rPr>
          <w:rFonts w:ascii="宋体" w:hAnsi="宋体" w:cs="宋体"/>
          <w:color w:val="auto"/>
          <w:spacing w:val="6"/>
          <w:kern w:val="0"/>
          <w:szCs w:val="21"/>
          <w:highlight w:val="none"/>
        </w:rPr>
        <w:t>（请填写：</w:t>
      </w:r>
      <w:r>
        <w:rPr>
          <w:rFonts w:hint="eastAsia" w:ascii="宋体" w:hAnsi="宋体" w:cs="宋体"/>
          <w:color w:val="auto"/>
          <w:spacing w:val="6"/>
          <w:kern w:val="0"/>
          <w:szCs w:val="21"/>
          <w:highlight w:val="none"/>
        </w:rPr>
        <w:t>是、不是</w:t>
      </w:r>
      <w:r>
        <w:rPr>
          <w:rFonts w:ascii="宋体" w:hAnsi="宋体" w:cs="宋体"/>
          <w:color w:val="auto"/>
          <w:spacing w:val="6"/>
          <w:kern w:val="0"/>
          <w:szCs w:val="21"/>
          <w:highlight w:val="none"/>
        </w:rPr>
        <w:t>）</w:t>
      </w:r>
      <w:r>
        <w:rPr>
          <w:rFonts w:hint="eastAsia" w:ascii="宋体" w:hAnsi="宋体" w:cs="宋体"/>
          <w:color w:val="auto"/>
          <w:spacing w:val="6"/>
          <w:kern w:val="0"/>
          <w:szCs w:val="21"/>
          <w:highlight w:val="none"/>
        </w:rPr>
        <w:t>为联合体一方，</w:t>
      </w:r>
      <w:r>
        <w:rPr>
          <w:rFonts w:ascii="宋体" w:hAnsi="宋体" w:cs="宋体"/>
          <w:color w:val="auto"/>
          <w:spacing w:val="6"/>
          <w:kern w:val="0"/>
          <w:szCs w:val="21"/>
          <w:highlight w:val="none"/>
        </w:rPr>
        <w:t>提供本企业</w:t>
      </w:r>
      <w:r>
        <w:rPr>
          <w:rFonts w:hint="eastAsia" w:ascii="宋体" w:hAnsi="宋体" w:cs="宋体"/>
          <w:color w:val="auto"/>
          <w:spacing w:val="6"/>
          <w:kern w:val="0"/>
          <w:szCs w:val="21"/>
          <w:highlight w:val="none"/>
        </w:rPr>
        <w:t>（单位）</w:t>
      </w:r>
      <w:r>
        <w:rPr>
          <w:rFonts w:ascii="宋体" w:hAnsi="宋体" w:cs="宋体"/>
          <w:color w:val="auto"/>
          <w:spacing w:val="6"/>
          <w:kern w:val="0"/>
          <w:szCs w:val="21"/>
          <w:highlight w:val="none"/>
        </w:rPr>
        <w:t>制造的货物，由本企业</w:t>
      </w:r>
      <w:r>
        <w:rPr>
          <w:rFonts w:hint="eastAsia" w:ascii="宋体" w:hAnsi="宋体" w:cs="宋体"/>
          <w:color w:val="auto"/>
          <w:spacing w:val="6"/>
          <w:kern w:val="0"/>
          <w:szCs w:val="21"/>
          <w:highlight w:val="none"/>
        </w:rPr>
        <w:t>（单位）</w:t>
      </w:r>
      <w:r>
        <w:rPr>
          <w:rFonts w:ascii="宋体" w:hAnsi="宋体" w:cs="宋体"/>
          <w:color w:val="auto"/>
          <w:spacing w:val="6"/>
          <w:kern w:val="0"/>
          <w:szCs w:val="21"/>
          <w:highlight w:val="none"/>
        </w:rPr>
        <w:t>承担工程、提供服务</w:t>
      </w:r>
      <w:r>
        <w:rPr>
          <w:rFonts w:hint="eastAsia" w:ascii="宋体" w:hAnsi="宋体" w:cs="宋体"/>
          <w:color w:val="auto"/>
          <w:spacing w:val="6"/>
          <w:kern w:val="0"/>
          <w:szCs w:val="21"/>
          <w:highlight w:val="none"/>
        </w:rPr>
        <w:t>。本企业</w:t>
      </w:r>
      <w:r>
        <w:rPr>
          <w:rFonts w:ascii="宋体" w:hAnsi="宋体" w:cs="宋体"/>
          <w:color w:val="auto"/>
          <w:spacing w:val="6"/>
          <w:kern w:val="0"/>
          <w:szCs w:val="21"/>
          <w:highlight w:val="none"/>
        </w:rPr>
        <w:t>（</w:t>
      </w:r>
      <w:r>
        <w:rPr>
          <w:rFonts w:hint="eastAsia" w:ascii="宋体" w:hAnsi="宋体" w:cs="宋体"/>
          <w:color w:val="auto"/>
          <w:spacing w:val="6"/>
          <w:kern w:val="0"/>
          <w:szCs w:val="21"/>
          <w:highlight w:val="none"/>
        </w:rPr>
        <w:t>单位</w:t>
      </w:r>
      <w:r>
        <w:rPr>
          <w:rFonts w:ascii="宋体" w:hAnsi="宋体" w:cs="宋体"/>
          <w:color w:val="auto"/>
          <w:spacing w:val="6"/>
          <w:kern w:val="0"/>
          <w:szCs w:val="21"/>
          <w:highlight w:val="none"/>
        </w:rPr>
        <w:t>）</w:t>
      </w:r>
      <w:r>
        <w:rPr>
          <w:rFonts w:hint="eastAsia" w:ascii="宋体" w:hAnsi="宋体" w:cs="宋体"/>
          <w:color w:val="auto"/>
          <w:spacing w:val="6"/>
          <w:kern w:val="0"/>
          <w:szCs w:val="21"/>
          <w:highlight w:val="none"/>
        </w:rPr>
        <w:t>提供</w:t>
      </w:r>
      <w:r>
        <w:rPr>
          <w:rFonts w:ascii="宋体" w:hAnsi="宋体" w:cs="宋体"/>
          <w:color w:val="auto"/>
          <w:spacing w:val="6"/>
          <w:kern w:val="0"/>
          <w:szCs w:val="21"/>
          <w:highlight w:val="none"/>
        </w:rPr>
        <w:t>协议合同金额占到</w:t>
      </w:r>
      <w:r>
        <w:rPr>
          <w:rFonts w:hint="eastAsia" w:ascii="宋体" w:hAnsi="宋体" w:cs="宋体"/>
          <w:color w:val="auto"/>
          <w:spacing w:val="6"/>
          <w:kern w:val="0"/>
          <w:szCs w:val="21"/>
          <w:highlight w:val="none"/>
        </w:rPr>
        <w:t>共同投标</w:t>
      </w:r>
      <w:r>
        <w:rPr>
          <w:rFonts w:ascii="宋体" w:hAnsi="宋体" w:cs="宋体"/>
          <w:color w:val="auto"/>
          <w:spacing w:val="6"/>
          <w:kern w:val="0"/>
          <w:szCs w:val="21"/>
          <w:highlight w:val="none"/>
        </w:rPr>
        <w:t>协议合同总金额</w:t>
      </w:r>
      <w:r>
        <w:rPr>
          <w:rFonts w:hint="eastAsia" w:ascii="宋体" w:hAnsi="宋体" w:cs="宋体"/>
          <w:color w:val="auto"/>
          <w:spacing w:val="6"/>
          <w:kern w:val="0"/>
          <w:szCs w:val="21"/>
          <w:highlight w:val="none"/>
        </w:rPr>
        <w:t>的比例为       。</w:t>
      </w:r>
    </w:p>
    <w:p w14:paraId="341BC3EE">
      <w:pPr>
        <w:widowControl/>
        <w:spacing w:line="360" w:lineRule="auto"/>
        <w:jc w:val="left"/>
        <w:rPr>
          <w:rFonts w:ascii="宋体" w:hAnsi="宋体" w:cs="宋体"/>
          <w:color w:val="auto"/>
          <w:spacing w:val="6"/>
          <w:kern w:val="0"/>
          <w:szCs w:val="21"/>
          <w:highlight w:val="none"/>
        </w:rPr>
      </w:pPr>
      <w:r>
        <w:rPr>
          <w:rFonts w:ascii="宋体" w:hAnsi="宋体" w:cs="宋体"/>
          <w:color w:val="auto"/>
          <w:spacing w:val="6"/>
          <w:kern w:val="0"/>
          <w:szCs w:val="21"/>
          <w:highlight w:val="none"/>
        </w:rPr>
        <w:t>　　本</w:t>
      </w:r>
      <w:r>
        <w:rPr>
          <w:rFonts w:hint="eastAsia" w:ascii="宋体" w:hAnsi="宋体" w:cs="宋体"/>
          <w:color w:val="auto"/>
          <w:spacing w:val="6"/>
          <w:kern w:val="0"/>
          <w:szCs w:val="21"/>
          <w:highlight w:val="none"/>
        </w:rPr>
        <w:t>企业</w:t>
      </w:r>
      <w:r>
        <w:rPr>
          <w:rFonts w:ascii="宋体" w:hAnsi="宋体" w:cs="宋体"/>
          <w:color w:val="auto"/>
          <w:spacing w:val="6"/>
          <w:kern w:val="0"/>
          <w:szCs w:val="21"/>
          <w:highlight w:val="none"/>
        </w:rPr>
        <w:t>（</w:t>
      </w:r>
      <w:r>
        <w:rPr>
          <w:rFonts w:hint="eastAsia" w:ascii="宋体" w:hAnsi="宋体" w:cs="宋体"/>
          <w:color w:val="auto"/>
          <w:spacing w:val="6"/>
          <w:kern w:val="0"/>
          <w:szCs w:val="21"/>
          <w:highlight w:val="none"/>
        </w:rPr>
        <w:t>单位</w:t>
      </w:r>
      <w:r>
        <w:rPr>
          <w:rFonts w:ascii="宋体" w:hAnsi="宋体" w:cs="宋体"/>
          <w:color w:val="auto"/>
          <w:spacing w:val="6"/>
          <w:kern w:val="0"/>
          <w:szCs w:val="21"/>
          <w:highlight w:val="none"/>
        </w:rPr>
        <w:t>）对上述声明的真实性负责。如有虚假，将依法承担相应责任。</w:t>
      </w:r>
    </w:p>
    <w:p w14:paraId="479AD817">
      <w:pPr>
        <w:pStyle w:val="18"/>
        <w:rPr>
          <w:color w:val="auto"/>
          <w:highlight w:val="none"/>
        </w:rPr>
      </w:pPr>
    </w:p>
    <w:p w14:paraId="76B147DF">
      <w:pPr>
        <w:pStyle w:val="18"/>
        <w:rPr>
          <w:color w:val="auto"/>
          <w:highlight w:val="none"/>
        </w:rPr>
      </w:pPr>
    </w:p>
    <w:p w14:paraId="02A4D8D3">
      <w:pPr>
        <w:pStyle w:val="18"/>
        <w:rPr>
          <w:color w:val="auto"/>
          <w:highlight w:val="none"/>
        </w:rPr>
      </w:pPr>
    </w:p>
    <w:p w14:paraId="45D41E08">
      <w:pPr>
        <w:pStyle w:val="25"/>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3ABFD0D6">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4A5EF99F">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2A3D9EDF">
      <w:pPr>
        <w:adjustRightInd w:val="0"/>
        <w:snapToGrid w:val="0"/>
        <w:spacing w:line="360" w:lineRule="auto"/>
        <w:rPr>
          <w:rFonts w:ascii="宋体" w:hAnsi="宋体"/>
          <w:bCs/>
          <w:color w:val="auto"/>
          <w:szCs w:val="21"/>
          <w:highlight w:val="none"/>
        </w:rPr>
      </w:pPr>
    </w:p>
    <w:p w14:paraId="231C34ED">
      <w:pPr>
        <w:adjustRightInd w:val="0"/>
        <w:snapToGrid w:val="0"/>
        <w:spacing w:line="360" w:lineRule="auto"/>
        <w:rPr>
          <w:rFonts w:ascii="宋体" w:hAnsi="宋体"/>
          <w:bCs/>
          <w:color w:val="auto"/>
          <w:szCs w:val="21"/>
          <w:highlight w:val="none"/>
        </w:rPr>
      </w:pPr>
    </w:p>
    <w:p w14:paraId="5E9107C1">
      <w:pPr>
        <w:adjustRightInd w:val="0"/>
        <w:snapToGrid w:val="0"/>
        <w:spacing w:line="360" w:lineRule="auto"/>
        <w:rPr>
          <w:rFonts w:ascii="宋体" w:hAnsi="宋体"/>
          <w:bCs/>
          <w:color w:val="auto"/>
          <w:szCs w:val="21"/>
          <w:highlight w:val="none"/>
        </w:rPr>
      </w:pPr>
    </w:p>
    <w:p w14:paraId="2DDBD32D">
      <w:pPr>
        <w:adjustRightInd w:val="0"/>
        <w:snapToGrid w:val="0"/>
        <w:spacing w:line="360" w:lineRule="auto"/>
        <w:rPr>
          <w:rFonts w:ascii="宋体" w:hAnsi="宋体"/>
          <w:bCs/>
          <w:color w:val="auto"/>
          <w:szCs w:val="21"/>
          <w:highlight w:val="none"/>
        </w:rPr>
        <w:sectPr>
          <w:footerReference r:id="rId8" w:type="even"/>
          <w:pgSz w:w="11906" w:h="16838"/>
          <w:pgMar w:top="1440" w:right="1797" w:bottom="1440" w:left="1797" w:header="851" w:footer="992" w:gutter="0"/>
          <w:pgNumType w:fmt="decimal"/>
          <w:cols w:space="720" w:num="1"/>
          <w:docGrid w:linePitch="312" w:charSpace="0"/>
        </w:sectPr>
      </w:pPr>
      <w:r>
        <w:rPr>
          <w:rFonts w:hint="eastAsia" w:ascii="宋体" w:hAnsi="宋体" w:cs="宋体"/>
          <w:color w:val="auto"/>
          <w:spacing w:val="6"/>
          <w:kern w:val="0"/>
          <w:szCs w:val="21"/>
          <w:highlight w:val="none"/>
        </w:rPr>
        <w:t>说明：按照《财政部、司法部关于政府采购支持监狱企业发展有关问题的通知》（财库〔2014〕68号）的规定，监狱企业仅需提供声明函，不需提供其他证明材料。</w:t>
      </w:r>
      <w:r>
        <w:rPr>
          <w:rFonts w:hint="eastAsia" w:ascii="宋体" w:hAnsi="宋体" w:cs="宋体"/>
          <w:b/>
          <w:color w:val="auto"/>
          <w:spacing w:val="6"/>
          <w:kern w:val="0"/>
          <w:szCs w:val="21"/>
          <w:highlight w:val="none"/>
        </w:rPr>
        <w:t>非监狱企业，本表可不提供。</w:t>
      </w:r>
    </w:p>
    <w:bookmarkEnd w:id="63"/>
    <w:p w14:paraId="7928F7BD">
      <w:pPr>
        <w:pStyle w:val="3"/>
        <w:jc w:val="center"/>
        <w:rPr>
          <w:rFonts w:ascii="宋体" w:hAnsi="宋体"/>
          <w:color w:val="auto"/>
          <w:sz w:val="28"/>
          <w:szCs w:val="28"/>
          <w:highlight w:val="none"/>
        </w:rPr>
      </w:pPr>
      <w:bookmarkStart w:id="64" w:name="_Toc161933900"/>
      <w:r>
        <w:rPr>
          <w:rFonts w:hint="eastAsia" w:ascii="宋体" w:hAnsi="宋体"/>
          <w:color w:val="auto"/>
          <w:sz w:val="28"/>
          <w:szCs w:val="28"/>
          <w:highlight w:val="none"/>
        </w:rPr>
        <w:t>五、投标人的资格证明材料</w:t>
      </w:r>
      <w:bookmarkEnd w:id="58"/>
      <w:bookmarkEnd w:id="64"/>
    </w:p>
    <w:p w14:paraId="2BA21544">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（一）法人或者其他组织的营业执照等证明文件，自然人的身份证明；：</w:t>
      </w:r>
    </w:p>
    <w:p w14:paraId="1A71BAD2">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投标人是企业（包括合伙企业）的，应提供其在工商部门注册的有效“企业法人营业执照”或“营业执照”的复印件；</w:t>
      </w:r>
    </w:p>
    <w:p w14:paraId="798A988C">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投标人是事业单位的，应提供其有效的“事业单位法人证书”复印件；</w:t>
      </w:r>
    </w:p>
    <w:p w14:paraId="7F5F2892">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投标人是非企业专业服务机构的，应提供其有效的执业许可证复印件；</w:t>
      </w:r>
    </w:p>
    <w:p w14:paraId="04A5B33C">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投标人是个体工商户的，应提供其有效的“个体工商户营业执照”复印件；</w:t>
      </w:r>
    </w:p>
    <w:p w14:paraId="245FBD2F">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（二）</w:t>
      </w:r>
      <w:r>
        <w:rPr>
          <w:rFonts w:hint="eastAsia" w:ascii="宋体" w:hAnsi="宋体"/>
          <w:bCs/>
          <w:color w:val="auto"/>
          <w:szCs w:val="21"/>
          <w:highlight w:val="none"/>
        </w:rPr>
        <w:t>财务状况报告；</w:t>
      </w:r>
    </w:p>
    <w:p w14:paraId="0DA6A3E4">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会计师事务所出具的上一年度财务审计报告（报告中须包括资产负债表、利润表、现金流量表）；</w:t>
      </w:r>
    </w:p>
    <w:p w14:paraId="02C4B527">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如果投标人为新成立单位，无法提供审计报告，则需提供新企业验资报告复印件并加盖提供报告单位的公章；</w:t>
      </w:r>
    </w:p>
    <w:p w14:paraId="53CE9A96">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如投标人无法提供上年度审计报告或新企业验资报告，则需提供开户银行出具的资信证明并附基本户开户许可证；</w:t>
      </w:r>
      <w:r>
        <w:rPr>
          <w:rFonts w:ascii="宋体" w:hAnsi="宋体"/>
          <w:color w:val="auto"/>
          <w:szCs w:val="21"/>
          <w:highlight w:val="none"/>
        </w:rPr>
        <w:t xml:space="preserve"> </w:t>
      </w:r>
    </w:p>
    <w:p w14:paraId="4F6CDB09">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银行资信证明可提供原件，也可提供银行在开标日前十二个月内开具资信证明的复印件，对于资信证明文件中写明“复印无效”的应提供原件。银行资信证明的抬头可以与采购人或采购代理机构名称不同。</w:t>
      </w:r>
    </w:p>
    <w:p w14:paraId="72DB5342">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银行资信证明应能说明该投标人与银行之间业务往来正常，无不良记录，企业信誉良好等。银行出具的存款证明不能作为银行资信证明。</w:t>
      </w:r>
    </w:p>
    <w:p w14:paraId="7A65726F">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（三）依法缴纳税收和社会保障资金的良好记录：</w:t>
      </w:r>
    </w:p>
    <w:p w14:paraId="6B2DA988">
      <w:pPr>
        <w:adjustRightInd w:val="0"/>
        <w:snapToGrid w:val="0"/>
        <w:spacing w:line="360" w:lineRule="auto"/>
        <w:ind w:firstLine="210" w:firstLineChars="100"/>
        <w:jc w:val="left"/>
        <w:rPr>
          <w:rFonts w:ascii="宋体" w:hAnsi="宋体"/>
          <w:color w:val="auto"/>
          <w:szCs w:val="21"/>
          <w:highlight w:val="none"/>
        </w:rPr>
      </w:pPr>
      <w:r>
        <w:rPr>
          <w:rFonts w:hint="eastAsia" w:ascii="宋体" w:hAnsi="宋体"/>
          <w:color w:val="auto"/>
          <w:szCs w:val="21"/>
          <w:highlight w:val="none"/>
        </w:rPr>
        <w:t>（1）投标人是法人的，缴纳税收的证明材料，应提供开标前六个月</w:t>
      </w:r>
      <w:r>
        <w:rPr>
          <w:rFonts w:hint="eastAsia" w:ascii="宋体" w:hAnsi="宋体"/>
          <w:color w:val="auto"/>
          <w:szCs w:val="21"/>
          <w:highlight w:val="none"/>
          <w:lang w:eastAsia="zh-CN"/>
        </w:rPr>
        <w:t>任意一个月</w:t>
      </w:r>
      <w:r>
        <w:rPr>
          <w:rFonts w:hint="eastAsia" w:ascii="宋体" w:hAnsi="宋体"/>
          <w:color w:val="auto"/>
          <w:szCs w:val="21"/>
          <w:highlight w:val="none"/>
        </w:rPr>
        <w:t>的纳税凭据复印件，指投标人缴纳增值税、营业税和企业所得税等缴纳凭据（完税证、缴款书、印花税票、银行代扣（代缴）转账凭证等均可）；</w:t>
      </w:r>
    </w:p>
    <w:p w14:paraId="48AEB8B9">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 xml:space="preserve">  （2）投标人是法人的，缴纳社会保障资金的证明材料，应提供开标前六个月</w:t>
      </w:r>
      <w:r>
        <w:rPr>
          <w:rFonts w:hint="eastAsia" w:ascii="宋体" w:hAnsi="宋体"/>
          <w:color w:val="auto"/>
          <w:szCs w:val="21"/>
          <w:highlight w:val="none"/>
          <w:lang w:eastAsia="zh-CN"/>
        </w:rPr>
        <w:t>任意一个月</w:t>
      </w:r>
      <w:r>
        <w:rPr>
          <w:rFonts w:hint="eastAsia" w:ascii="宋体" w:hAnsi="宋体"/>
          <w:color w:val="auto"/>
          <w:szCs w:val="21"/>
          <w:highlight w:val="none"/>
        </w:rPr>
        <w:t>的缴纳社会保险的凭据（专用收据或社会保险缴纳清单）；</w:t>
      </w:r>
    </w:p>
    <w:p w14:paraId="18539D25">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投标人是其他组织和自然人的，需要提供开标前六个月</w:t>
      </w:r>
      <w:r>
        <w:rPr>
          <w:rFonts w:hint="eastAsia" w:ascii="宋体" w:hAnsi="宋体"/>
          <w:color w:val="auto"/>
          <w:szCs w:val="21"/>
          <w:highlight w:val="none"/>
          <w:lang w:eastAsia="zh-CN"/>
        </w:rPr>
        <w:t>任意一个月</w:t>
      </w:r>
      <w:r>
        <w:rPr>
          <w:rFonts w:hint="eastAsia" w:ascii="宋体" w:hAnsi="宋体"/>
          <w:color w:val="auto"/>
          <w:szCs w:val="21"/>
          <w:highlight w:val="none"/>
        </w:rPr>
        <w:t>缴纳税收（专用收据或社会保险缴纳清单）。</w:t>
      </w:r>
    </w:p>
    <w:p w14:paraId="0F8246F4">
      <w:pPr>
        <w:adjustRightInd w:val="0"/>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1）如投标人的社会保险为委托第三方代缴，还需同时提供投标人与第三方服务机构签署的服务合同（合同中应明确写明第三方为投标人代缴其社会保险）。</w:t>
      </w:r>
    </w:p>
    <w:p w14:paraId="00AF9EF5">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 xml:space="preserve">（四）投标人须具有履行合同所必需的设备和专业技术能力，须附相关证明材料或声明： </w:t>
      </w:r>
    </w:p>
    <w:p w14:paraId="507103FA">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见附件11</w:t>
      </w:r>
    </w:p>
    <w:p w14:paraId="32CB1257">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（五）近三年内在经营活动中没有重大违法记录的书面声明：</w:t>
      </w:r>
    </w:p>
    <w:p w14:paraId="1797309A">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见附件12</w:t>
      </w:r>
    </w:p>
    <w:p w14:paraId="7B019C0D">
      <w:pPr>
        <w:adjustRightInd w:val="0"/>
        <w:snapToGrid w:val="0"/>
        <w:spacing w:line="360" w:lineRule="auto"/>
        <w:jc w:val="left"/>
        <w:rPr>
          <w:rFonts w:ascii="宋体" w:hAnsi="宋体"/>
          <w:color w:val="auto"/>
          <w:szCs w:val="21"/>
          <w:highlight w:val="none"/>
        </w:rPr>
      </w:pPr>
    </w:p>
    <w:p w14:paraId="243E1DE0">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（六）投标人未列入失信被执行人、重大税收违法案件当事人名单、政府采购严重违法失信行为记录名单证明材料（财库[2016]125号）</w:t>
      </w:r>
    </w:p>
    <w:p w14:paraId="18DB7B0B">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见附件13</w:t>
      </w:r>
    </w:p>
    <w:p w14:paraId="4082FE29">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注：1、以上复印件均需要加盖投标人公章。</w:t>
      </w:r>
    </w:p>
    <w:p w14:paraId="31D53191">
      <w:pPr>
        <w:adjustRightInd w:val="0"/>
        <w:snapToGrid w:val="0"/>
        <w:spacing w:line="360" w:lineRule="auto"/>
        <w:ind w:firstLine="420" w:firstLineChars="200"/>
        <w:jc w:val="left"/>
        <w:rPr>
          <w:rFonts w:ascii="宋体" w:hAnsi="宋体"/>
          <w:color w:val="auto"/>
          <w:szCs w:val="21"/>
          <w:highlight w:val="none"/>
        </w:rPr>
        <w:sectPr>
          <w:pgSz w:w="11906" w:h="16838"/>
          <w:pgMar w:top="1440" w:right="1797" w:bottom="1440" w:left="1797" w:header="851" w:footer="992" w:gutter="0"/>
          <w:pgNumType w:fmt="decimal"/>
          <w:cols w:space="720" w:num="1"/>
          <w:docGrid w:linePitch="312" w:charSpace="0"/>
        </w:sectPr>
      </w:pPr>
      <w:r>
        <w:rPr>
          <w:rFonts w:hint="eastAsia" w:ascii="宋体" w:hAnsi="宋体"/>
          <w:color w:val="auto"/>
          <w:szCs w:val="21"/>
          <w:highlight w:val="none"/>
        </w:rPr>
        <w:t>2、依法免税或不需要缴纳社会保障资金的投标人，应提供相应文件证明其依法免税或不需要缴纳社会保障资金。</w:t>
      </w:r>
    </w:p>
    <w:p w14:paraId="085AC4A7">
      <w:pPr>
        <w:adjustRightInd w:val="0"/>
        <w:snapToGrid w:val="0"/>
        <w:rPr>
          <w:rFonts w:ascii="宋体" w:hAnsi="宋体"/>
          <w:color w:val="auto"/>
          <w:sz w:val="24"/>
          <w:highlight w:val="none"/>
        </w:rPr>
      </w:pPr>
      <w:r>
        <w:rPr>
          <w:rFonts w:hint="eastAsia" w:ascii="宋体" w:hAnsi="宋体"/>
          <w:color w:val="auto"/>
          <w:sz w:val="24"/>
          <w:highlight w:val="none"/>
        </w:rPr>
        <w:t>附件</w:t>
      </w:r>
      <w:r>
        <w:rPr>
          <w:rFonts w:ascii="宋体" w:hAnsi="宋体"/>
          <w:color w:val="auto"/>
          <w:sz w:val="24"/>
          <w:highlight w:val="none"/>
        </w:rPr>
        <w:t>10</w:t>
      </w:r>
    </w:p>
    <w:p w14:paraId="25A066EE">
      <w:pPr>
        <w:adjustRightInd w:val="0"/>
        <w:snapToGrid w:val="0"/>
        <w:spacing w:line="360" w:lineRule="auto"/>
        <w:jc w:val="center"/>
        <w:rPr>
          <w:rFonts w:ascii="宋体" w:hAnsi="宋体"/>
          <w:b/>
          <w:color w:val="auto"/>
          <w:sz w:val="24"/>
          <w:highlight w:val="none"/>
        </w:rPr>
      </w:pPr>
      <w:r>
        <w:rPr>
          <w:rFonts w:hint="eastAsia" w:ascii="宋体" w:hAnsi="宋体"/>
          <w:b/>
          <w:color w:val="auto"/>
          <w:sz w:val="24"/>
          <w:highlight w:val="none"/>
        </w:rPr>
        <w:t>投标人基本情况表</w:t>
      </w:r>
    </w:p>
    <w:p w14:paraId="52F637EF">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盖投标人单位章</w:t>
      </w:r>
    </w:p>
    <w:tbl>
      <w:tblPr>
        <w:tblStyle w:val="4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39"/>
        <w:gridCol w:w="362"/>
        <w:gridCol w:w="360"/>
        <w:gridCol w:w="783"/>
        <w:gridCol w:w="1377"/>
        <w:gridCol w:w="63"/>
        <w:gridCol w:w="1377"/>
        <w:gridCol w:w="720"/>
        <w:gridCol w:w="609"/>
        <w:gridCol w:w="1596"/>
      </w:tblGrid>
      <w:tr w14:paraId="6AAE0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gridSpan w:val="3"/>
            <w:vAlign w:val="center"/>
          </w:tcPr>
          <w:p w14:paraId="4E6EDF36">
            <w:pPr>
              <w:topLinePunct/>
              <w:spacing w:line="440" w:lineRule="exact"/>
              <w:jc w:val="center"/>
              <w:rPr>
                <w:rFonts w:ascii="宋体" w:hAnsi="宋体"/>
                <w:color w:val="auto"/>
                <w:szCs w:val="21"/>
                <w:highlight w:val="none"/>
              </w:rPr>
            </w:pPr>
            <w:r>
              <w:rPr>
                <w:rFonts w:hint="eastAsia" w:ascii="宋体" w:hAnsi="宋体"/>
                <w:color w:val="auto"/>
                <w:highlight w:val="none"/>
              </w:rPr>
              <w:t>投标人</w:t>
            </w:r>
            <w:r>
              <w:rPr>
                <w:rFonts w:ascii="宋体" w:hAnsi="宋体"/>
                <w:color w:val="auto"/>
                <w:szCs w:val="21"/>
                <w:highlight w:val="none"/>
              </w:rPr>
              <w:t>名称</w:t>
            </w:r>
          </w:p>
        </w:tc>
        <w:tc>
          <w:tcPr>
            <w:tcW w:w="3960" w:type="dxa"/>
            <w:gridSpan w:val="5"/>
            <w:vAlign w:val="center"/>
          </w:tcPr>
          <w:p w14:paraId="69E2EAC1">
            <w:pPr>
              <w:topLinePunct/>
              <w:spacing w:line="440" w:lineRule="exact"/>
              <w:jc w:val="center"/>
              <w:rPr>
                <w:rFonts w:ascii="宋体" w:hAnsi="宋体"/>
                <w:color w:val="auto"/>
                <w:szCs w:val="21"/>
                <w:highlight w:val="none"/>
              </w:rPr>
            </w:pPr>
          </w:p>
        </w:tc>
        <w:tc>
          <w:tcPr>
            <w:tcW w:w="1329" w:type="dxa"/>
            <w:gridSpan w:val="2"/>
            <w:vAlign w:val="center"/>
          </w:tcPr>
          <w:p w14:paraId="643A46B5">
            <w:pPr>
              <w:topLinePunct/>
              <w:spacing w:line="440" w:lineRule="exact"/>
              <w:jc w:val="center"/>
              <w:rPr>
                <w:rFonts w:ascii="宋体" w:hAnsi="宋体"/>
                <w:color w:val="auto"/>
                <w:szCs w:val="21"/>
                <w:highlight w:val="none"/>
              </w:rPr>
            </w:pPr>
            <w:r>
              <w:rPr>
                <w:rFonts w:ascii="宋体" w:hAnsi="宋体"/>
                <w:color w:val="auto"/>
                <w:szCs w:val="21"/>
                <w:highlight w:val="none"/>
              </w:rPr>
              <w:t>法定代表人</w:t>
            </w:r>
          </w:p>
        </w:tc>
        <w:tc>
          <w:tcPr>
            <w:tcW w:w="1596" w:type="dxa"/>
            <w:vAlign w:val="center"/>
          </w:tcPr>
          <w:p w14:paraId="735C824C">
            <w:pPr>
              <w:topLinePunct/>
              <w:spacing w:line="440" w:lineRule="exact"/>
              <w:jc w:val="center"/>
              <w:rPr>
                <w:rFonts w:ascii="宋体" w:hAnsi="宋体"/>
                <w:color w:val="auto"/>
                <w:szCs w:val="21"/>
                <w:highlight w:val="none"/>
              </w:rPr>
            </w:pPr>
          </w:p>
        </w:tc>
      </w:tr>
      <w:tr w14:paraId="5B11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gridSpan w:val="3"/>
            <w:vAlign w:val="center"/>
          </w:tcPr>
          <w:p w14:paraId="4480B3B9">
            <w:pPr>
              <w:topLinePunct/>
              <w:spacing w:line="440" w:lineRule="exact"/>
              <w:jc w:val="center"/>
              <w:rPr>
                <w:rFonts w:ascii="宋体" w:hAnsi="宋体"/>
                <w:color w:val="auto"/>
                <w:szCs w:val="21"/>
                <w:highlight w:val="none"/>
              </w:rPr>
            </w:pPr>
            <w:r>
              <w:rPr>
                <w:rFonts w:hint="eastAsia" w:ascii="宋体" w:hAnsi="宋体"/>
                <w:color w:val="auto"/>
                <w:szCs w:val="21"/>
                <w:highlight w:val="none"/>
              </w:rPr>
              <w:t>组织机构代码</w:t>
            </w:r>
          </w:p>
        </w:tc>
        <w:tc>
          <w:tcPr>
            <w:tcW w:w="3960" w:type="dxa"/>
            <w:gridSpan w:val="5"/>
            <w:vAlign w:val="center"/>
          </w:tcPr>
          <w:p w14:paraId="171D2CE1">
            <w:pPr>
              <w:topLinePunct/>
              <w:spacing w:line="440" w:lineRule="exact"/>
              <w:jc w:val="center"/>
              <w:rPr>
                <w:rFonts w:ascii="宋体" w:hAnsi="宋体"/>
                <w:color w:val="auto"/>
                <w:szCs w:val="21"/>
                <w:highlight w:val="none"/>
              </w:rPr>
            </w:pPr>
          </w:p>
        </w:tc>
        <w:tc>
          <w:tcPr>
            <w:tcW w:w="1329" w:type="dxa"/>
            <w:gridSpan w:val="2"/>
            <w:vAlign w:val="center"/>
          </w:tcPr>
          <w:p w14:paraId="0B37D810">
            <w:pPr>
              <w:topLinePunct/>
              <w:spacing w:line="440" w:lineRule="exact"/>
              <w:jc w:val="center"/>
              <w:rPr>
                <w:rFonts w:ascii="宋体" w:hAnsi="宋体"/>
                <w:color w:val="auto"/>
                <w:szCs w:val="21"/>
                <w:highlight w:val="none"/>
              </w:rPr>
            </w:pPr>
            <w:r>
              <w:rPr>
                <w:rFonts w:ascii="宋体" w:hAnsi="宋体"/>
                <w:color w:val="auto"/>
                <w:szCs w:val="21"/>
                <w:highlight w:val="none"/>
              </w:rPr>
              <w:t>邮政编码</w:t>
            </w:r>
          </w:p>
        </w:tc>
        <w:tc>
          <w:tcPr>
            <w:tcW w:w="1596" w:type="dxa"/>
            <w:vAlign w:val="center"/>
          </w:tcPr>
          <w:p w14:paraId="1D008500">
            <w:pPr>
              <w:topLinePunct/>
              <w:spacing w:line="440" w:lineRule="exact"/>
              <w:jc w:val="center"/>
              <w:rPr>
                <w:rFonts w:ascii="宋体" w:hAnsi="宋体"/>
                <w:color w:val="auto"/>
                <w:szCs w:val="21"/>
                <w:highlight w:val="none"/>
              </w:rPr>
            </w:pPr>
          </w:p>
        </w:tc>
      </w:tr>
      <w:tr w14:paraId="1F6A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gridSpan w:val="3"/>
            <w:vAlign w:val="center"/>
          </w:tcPr>
          <w:p w14:paraId="67B8C985">
            <w:pPr>
              <w:topLinePunct/>
              <w:spacing w:line="440" w:lineRule="exact"/>
              <w:jc w:val="center"/>
              <w:rPr>
                <w:rFonts w:ascii="宋体" w:hAnsi="宋体"/>
                <w:color w:val="auto"/>
                <w:szCs w:val="21"/>
                <w:highlight w:val="none"/>
              </w:rPr>
            </w:pPr>
            <w:r>
              <w:rPr>
                <w:rFonts w:hint="eastAsia" w:ascii="宋体" w:hAnsi="宋体"/>
                <w:color w:val="auto"/>
                <w:szCs w:val="21"/>
                <w:highlight w:val="none"/>
              </w:rPr>
              <w:t>委托代理</w:t>
            </w:r>
            <w:r>
              <w:rPr>
                <w:rFonts w:ascii="宋体" w:hAnsi="宋体"/>
                <w:color w:val="auto"/>
                <w:szCs w:val="21"/>
                <w:highlight w:val="none"/>
              </w:rPr>
              <w:t>人</w:t>
            </w:r>
          </w:p>
        </w:tc>
        <w:tc>
          <w:tcPr>
            <w:tcW w:w="3960" w:type="dxa"/>
            <w:gridSpan w:val="5"/>
            <w:vAlign w:val="center"/>
          </w:tcPr>
          <w:p w14:paraId="5EFE58BC">
            <w:pPr>
              <w:topLinePunct/>
              <w:spacing w:line="440" w:lineRule="exact"/>
              <w:jc w:val="center"/>
              <w:rPr>
                <w:rFonts w:ascii="宋体" w:hAnsi="宋体"/>
                <w:color w:val="auto"/>
                <w:szCs w:val="21"/>
                <w:highlight w:val="none"/>
              </w:rPr>
            </w:pPr>
          </w:p>
        </w:tc>
        <w:tc>
          <w:tcPr>
            <w:tcW w:w="1329" w:type="dxa"/>
            <w:gridSpan w:val="2"/>
            <w:vAlign w:val="center"/>
          </w:tcPr>
          <w:p w14:paraId="27692D0E">
            <w:pPr>
              <w:topLinePunct/>
              <w:spacing w:line="440" w:lineRule="exact"/>
              <w:jc w:val="center"/>
              <w:rPr>
                <w:rFonts w:ascii="宋体" w:hAnsi="宋体"/>
                <w:color w:val="auto"/>
                <w:szCs w:val="21"/>
                <w:highlight w:val="none"/>
              </w:rPr>
            </w:pPr>
            <w:r>
              <w:rPr>
                <w:rFonts w:hint="eastAsia" w:ascii="宋体" w:hAnsi="宋体"/>
                <w:color w:val="auto"/>
                <w:szCs w:val="21"/>
                <w:highlight w:val="none"/>
              </w:rPr>
              <w:t>电子邮箱</w:t>
            </w:r>
          </w:p>
        </w:tc>
        <w:tc>
          <w:tcPr>
            <w:tcW w:w="1596" w:type="dxa"/>
            <w:vAlign w:val="center"/>
          </w:tcPr>
          <w:p w14:paraId="6135D62E">
            <w:pPr>
              <w:topLinePunct/>
              <w:spacing w:line="440" w:lineRule="exact"/>
              <w:jc w:val="center"/>
              <w:rPr>
                <w:rFonts w:ascii="宋体" w:hAnsi="宋体"/>
                <w:color w:val="auto"/>
                <w:szCs w:val="21"/>
                <w:highlight w:val="none"/>
              </w:rPr>
            </w:pPr>
          </w:p>
        </w:tc>
      </w:tr>
      <w:tr w14:paraId="275BA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gridSpan w:val="3"/>
            <w:vAlign w:val="center"/>
          </w:tcPr>
          <w:p w14:paraId="1577164B">
            <w:pPr>
              <w:topLinePunct/>
              <w:spacing w:line="440" w:lineRule="exact"/>
              <w:jc w:val="center"/>
              <w:rPr>
                <w:rFonts w:ascii="宋体" w:hAnsi="宋体"/>
                <w:color w:val="auto"/>
                <w:szCs w:val="21"/>
                <w:highlight w:val="none"/>
              </w:rPr>
            </w:pPr>
            <w:r>
              <w:rPr>
                <w:rFonts w:hint="eastAsia" w:ascii="宋体" w:hAnsi="宋体"/>
                <w:color w:val="auto"/>
                <w:szCs w:val="21"/>
                <w:highlight w:val="none"/>
              </w:rPr>
              <w:t>上年营业收入</w:t>
            </w:r>
          </w:p>
        </w:tc>
        <w:tc>
          <w:tcPr>
            <w:tcW w:w="3960" w:type="dxa"/>
            <w:gridSpan w:val="5"/>
            <w:vAlign w:val="center"/>
          </w:tcPr>
          <w:p w14:paraId="7A3A37BB">
            <w:pPr>
              <w:topLinePunct/>
              <w:spacing w:line="440" w:lineRule="exact"/>
              <w:jc w:val="center"/>
              <w:rPr>
                <w:rFonts w:ascii="宋体" w:hAnsi="宋体"/>
                <w:color w:val="auto"/>
                <w:szCs w:val="21"/>
                <w:highlight w:val="none"/>
              </w:rPr>
            </w:pPr>
          </w:p>
        </w:tc>
        <w:tc>
          <w:tcPr>
            <w:tcW w:w="1329" w:type="dxa"/>
            <w:gridSpan w:val="2"/>
            <w:vAlign w:val="center"/>
          </w:tcPr>
          <w:p w14:paraId="086A6E6A">
            <w:pPr>
              <w:topLinePunct/>
              <w:spacing w:line="440" w:lineRule="exact"/>
              <w:jc w:val="center"/>
              <w:rPr>
                <w:rFonts w:ascii="宋体" w:hAnsi="宋体"/>
                <w:color w:val="auto"/>
                <w:szCs w:val="21"/>
                <w:highlight w:val="none"/>
              </w:rPr>
            </w:pPr>
            <w:r>
              <w:rPr>
                <w:rFonts w:hint="eastAsia" w:ascii="宋体" w:hAnsi="宋体"/>
                <w:color w:val="auto"/>
                <w:szCs w:val="21"/>
                <w:highlight w:val="none"/>
              </w:rPr>
              <w:t>员工总人数</w:t>
            </w:r>
          </w:p>
        </w:tc>
        <w:tc>
          <w:tcPr>
            <w:tcW w:w="1596" w:type="dxa"/>
            <w:vAlign w:val="center"/>
          </w:tcPr>
          <w:p w14:paraId="6694834A">
            <w:pPr>
              <w:topLinePunct/>
              <w:spacing w:line="440" w:lineRule="exact"/>
              <w:jc w:val="center"/>
              <w:rPr>
                <w:rFonts w:ascii="宋体" w:hAnsi="宋体"/>
                <w:color w:val="auto"/>
                <w:szCs w:val="21"/>
                <w:highlight w:val="none"/>
              </w:rPr>
            </w:pPr>
          </w:p>
        </w:tc>
      </w:tr>
      <w:tr w14:paraId="032D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gridSpan w:val="3"/>
            <w:vAlign w:val="center"/>
          </w:tcPr>
          <w:p w14:paraId="2CA06793">
            <w:pPr>
              <w:topLinePunct/>
              <w:spacing w:line="440" w:lineRule="exact"/>
              <w:jc w:val="center"/>
              <w:rPr>
                <w:rFonts w:ascii="宋体" w:hAnsi="宋体"/>
                <w:color w:val="auto"/>
                <w:szCs w:val="21"/>
                <w:highlight w:val="none"/>
              </w:rPr>
            </w:pPr>
            <w:r>
              <w:rPr>
                <w:rFonts w:hint="eastAsia" w:ascii="宋体" w:hAnsi="宋体"/>
                <w:color w:val="auto"/>
                <w:szCs w:val="21"/>
                <w:highlight w:val="none"/>
              </w:rPr>
              <w:t>固定电话</w:t>
            </w:r>
          </w:p>
        </w:tc>
        <w:tc>
          <w:tcPr>
            <w:tcW w:w="3960" w:type="dxa"/>
            <w:gridSpan w:val="5"/>
            <w:vAlign w:val="center"/>
          </w:tcPr>
          <w:p w14:paraId="5B423689">
            <w:pPr>
              <w:topLinePunct/>
              <w:spacing w:line="440" w:lineRule="exact"/>
              <w:jc w:val="center"/>
              <w:rPr>
                <w:rFonts w:ascii="宋体" w:hAnsi="宋体"/>
                <w:color w:val="auto"/>
                <w:szCs w:val="21"/>
                <w:highlight w:val="none"/>
              </w:rPr>
            </w:pPr>
          </w:p>
        </w:tc>
        <w:tc>
          <w:tcPr>
            <w:tcW w:w="1329" w:type="dxa"/>
            <w:gridSpan w:val="2"/>
            <w:vAlign w:val="center"/>
          </w:tcPr>
          <w:p w14:paraId="62556FD0">
            <w:pPr>
              <w:topLinePunct/>
              <w:spacing w:line="440" w:lineRule="exact"/>
              <w:jc w:val="center"/>
              <w:rPr>
                <w:rFonts w:ascii="宋体" w:hAnsi="宋体"/>
                <w:color w:val="auto"/>
                <w:szCs w:val="21"/>
                <w:highlight w:val="none"/>
              </w:rPr>
            </w:pPr>
          </w:p>
        </w:tc>
        <w:tc>
          <w:tcPr>
            <w:tcW w:w="1596" w:type="dxa"/>
            <w:vAlign w:val="center"/>
          </w:tcPr>
          <w:p w14:paraId="642D5D99">
            <w:pPr>
              <w:topLinePunct/>
              <w:spacing w:line="440" w:lineRule="exact"/>
              <w:jc w:val="center"/>
              <w:rPr>
                <w:rFonts w:ascii="宋体" w:hAnsi="宋体"/>
                <w:color w:val="auto"/>
                <w:szCs w:val="21"/>
                <w:highlight w:val="none"/>
              </w:rPr>
            </w:pPr>
          </w:p>
        </w:tc>
      </w:tr>
      <w:tr w14:paraId="36812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9" w:type="dxa"/>
            <w:vMerge w:val="restart"/>
            <w:vAlign w:val="center"/>
          </w:tcPr>
          <w:p w14:paraId="301C4B3D">
            <w:pPr>
              <w:topLinePunct/>
              <w:spacing w:line="440" w:lineRule="exact"/>
              <w:jc w:val="center"/>
              <w:rPr>
                <w:rFonts w:ascii="宋体" w:hAnsi="宋体"/>
                <w:color w:val="auto"/>
                <w:szCs w:val="21"/>
                <w:highlight w:val="none"/>
              </w:rPr>
            </w:pPr>
            <w:r>
              <w:rPr>
                <w:rFonts w:hint="eastAsia" w:ascii="宋体" w:hAnsi="宋体"/>
                <w:color w:val="auto"/>
                <w:szCs w:val="21"/>
                <w:highlight w:val="none"/>
              </w:rPr>
              <w:t>营业执照</w:t>
            </w:r>
          </w:p>
        </w:tc>
        <w:tc>
          <w:tcPr>
            <w:tcW w:w="2044" w:type="dxa"/>
            <w:gridSpan w:val="4"/>
            <w:vAlign w:val="center"/>
          </w:tcPr>
          <w:p w14:paraId="02C293F8">
            <w:pPr>
              <w:topLinePunct/>
              <w:spacing w:line="440" w:lineRule="exact"/>
              <w:jc w:val="center"/>
              <w:rPr>
                <w:rFonts w:ascii="宋体" w:hAnsi="宋体"/>
                <w:color w:val="auto"/>
                <w:szCs w:val="21"/>
                <w:highlight w:val="none"/>
              </w:rPr>
            </w:pPr>
            <w:r>
              <w:rPr>
                <w:rFonts w:hint="eastAsia" w:ascii="宋体" w:hAnsi="宋体"/>
                <w:color w:val="auto"/>
                <w:szCs w:val="21"/>
                <w:highlight w:val="none"/>
              </w:rPr>
              <w:t>注册号码</w:t>
            </w:r>
          </w:p>
        </w:tc>
        <w:tc>
          <w:tcPr>
            <w:tcW w:w="1440" w:type="dxa"/>
            <w:gridSpan w:val="2"/>
            <w:vAlign w:val="center"/>
          </w:tcPr>
          <w:p w14:paraId="24FDF496">
            <w:pPr>
              <w:topLinePunct/>
              <w:spacing w:line="440" w:lineRule="exact"/>
              <w:jc w:val="center"/>
              <w:rPr>
                <w:rFonts w:ascii="宋体" w:hAnsi="宋体"/>
                <w:color w:val="auto"/>
                <w:szCs w:val="21"/>
                <w:highlight w:val="none"/>
              </w:rPr>
            </w:pPr>
          </w:p>
        </w:tc>
        <w:tc>
          <w:tcPr>
            <w:tcW w:w="1377" w:type="dxa"/>
            <w:vAlign w:val="center"/>
          </w:tcPr>
          <w:p w14:paraId="2E103D28">
            <w:pPr>
              <w:topLinePunct/>
              <w:spacing w:line="440" w:lineRule="exact"/>
              <w:ind w:firstLine="105" w:firstLineChars="50"/>
              <w:jc w:val="center"/>
              <w:rPr>
                <w:rFonts w:ascii="宋体" w:hAnsi="宋体"/>
                <w:color w:val="auto"/>
                <w:szCs w:val="21"/>
                <w:highlight w:val="none"/>
              </w:rPr>
            </w:pPr>
            <w:r>
              <w:rPr>
                <w:rFonts w:hint="eastAsia" w:ascii="宋体" w:hAnsi="宋体"/>
                <w:color w:val="auto"/>
                <w:szCs w:val="21"/>
                <w:highlight w:val="none"/>
              </w:rPr>
              <w:t>注册地址</w:t>
            </w:r>
          </w:p>
        </w:tc>
        <w:tc>
          <w:tcPr>
            <w:tcW w:w="2925" w:type="dxa"/>
            <w:gridSpan w:val="3"/>
            <w:vAlign w:val="center"/>
          </w:tcPr>
          <w:p w14:paraId="3600B71E">
            <w:pPr>
              <w:topLinePunct/>
              <w:spacing w:line="440" w:lineRule="exact"/>
              <w:ind w:firstLine="105" w:firstLineChars="50"/>
              <w:jc w:val="center"/>
              <w:rPr>
                <w:rFonts w:ascii="宋体" w:hAnsi="宋体"/>
                <w:color w:val="auto"/>
                <w:szCs w:val="21"/>
                <w:highlight w:val="none"/>
              </w:rPr>
            </w:pPr>
          </w:p>
        </w:tc>
      </w:tr>
      <w:tr w14:paraId="34385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9" w:type="dxa"/>
            <w:vMerge w:val="continue"/>
            <w:vAlign w:val="center"/>
          </w:tcPr>
          <w:p w14:paraId="4B226A92">
            <w:pPr>
              <w:topLinePunct/>
              <w:spacing w:line="440" w:lineRule="exact"/>
              <w:jc w:val="center"/>
              <w:rPr>
                <w:rFonts w:ascii="宋体" w:hAnsi="宋体"/>
                <w:color w:val="auto"/>
                <w:szCs w:val="21"/>
                <w:highlight w:val="none"/>
              </w:rPr>
            </w:pPr>
          </w:p>
        </w:tc>
        <w:tc>
          <w:tcPr>
            <w:tcW w:w="2044" w:type="dxa"/>
            <w:gridSpan w:val="4"/>
            <w:vAlign w:val="center"/>
          </w:tcPr>
          <w:p w14:paraId="291618B8">
            <w:pPr>
              <w:topLinePunct/>
              <w:spacing w:line="440" w:lineRule="exact"/>
              <w:jc w:val="center"/>
              <w:rPr>
                <w:rFonts w:ascii="宋体" w:hAnsi="宋体"/>
                <w:color w:val="auto"/>
                <w:szCs w:val="21"/>
                <w:highlight w:val="none"/>
              </w:rPr>
            </w:pPr>
            <w:r>
              <w:rPr>
                <w:rFonts w:hint="eastAsia" w:ascii="宋体" w:hAnsi="宋体"/>
                <w:color w:val="auto"/>
                <w:szCs w:val="21"/>
                <w:highlight w:val="none"/>
              </w:rPr>
              <w:t>发证机关</w:t>
            </w:r>
          </w:p>
        </w:tc>
        <w:tc>
          <w:tcPr>
            <w:tcW w:w="1440" w:type="dxa"/>
            <w:gridSpan w:val="2"/>
            <w:vAlign w:val="center"/>
          </w:tcPr>
          <w:p w14:paraId="367B5EBD">
            <w:pPr>
              <w:topLinePunct/>
              <w:spacing w:line="440" w:lineRule="exact"/>
              <w:jc w:val="center"/>
              <w:rPr>
                <w:rFonts w:ascii="宋体" w:hAnsi="宋体"/>
                <w:color w:val="auto"/>
                <w:szCs w:val="21"/>
                <w:highlight w:val="none"/>
              </w:rPr>
            </w:pPr>
          </w:p>
        </w:tc>
        <w:tc>
          <w:tcPr>
            <w:tcW w:w="1377" w:type="dxa"/>
            <w:vAlign w:val="center"/>
          </w:tcPr>
          <w:p w14:paraId="565F5AF3">
            <w:pPr>
              <w:topLinePunct/>
              <w:spacing w:line="440" w:lineRule="exact"/>
              <w:ind w:firstLine="105" w:firstLineChars="50"/>
              <w:jc w:val="center"/>
              <w:rPr>
                <w:rFonts w:ascii="宋体" w:hAnsi="宋体"/>
                <w:color w:val="auto"/>
                <w:szCs w:val="21"/>
                <w:highlight w:val="none"/>
              </w:rPr>
            </w:pPr>
            <w:r>
              <w:rPr>
                <w:rFonts w:hint="eastAsia" w:ascii="宋体" w:hAnsi="宋体"/>
                <w:color w:val="auto"/>
                <w:szCs w:val="21"/>
                <w:highlight w:val="none"/>
              </w:rPr>
              <w:t>发证日期</w:t>
            </w:r>
          </w:p>
        </w:tc>
        <w:tc>
          <w:tcPr>
            <w:tcW w:w="2925" w:type="dxa"/>
            <w:gridSpan w:val="3"/>
            <w:vAlign w:val="center"/>
          </w:tcPr>
          <w:p w14:paraId="196A18B3">
            <w:pPr>
              <w:topLinePunct/>
              <w:spacing w:line="440" w:lineRule="exact"/>
              <w:ind w:firstLine="105" w:firstLineChars="50"/>
              <w:jc w:val="center"/>
              <w:rPr>
                <w:rFonts w:ascii="宋体" w:hAnsi="宋体"/>
                <w:color w:val="auto"/>
                <w:szCs w:val="21"/>
                <w:highlight w:val="none"/>
              </w:rPr>
            </w:pPr>
          </w:p>
        </w:tc>
      </w:tr>
      <w:tr w14:paraId="09F01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9" w:type="dxa"/>
            <w:vMerge w:val="continue"/>
            <w:vAlign w:val="center"/>
          </w:tcPr>
          <w:p w14:paraId="18BB2E6B">
            <w:pPr>
              <w:topLinePunct/>
              <w:spacing w:line="440" w:lineRule="exact"/>
              <w:jc w:val="center"/>
              <w:rPr>
                <w:rFonts w:ascii="宋体" w:hAnsi="宋体"/>
                <w:color w:val="auto"/>
                <w:szCs w:val="21"/>
                <w:highlight w:val="none"/>
              </w:rPr>
            </w:pPr>
          </w:p>
        </w:tc>
        <w:tc>
          <w:tcPr>
            <w:tcW w:w="2044" w:type="dxa"/>
            <w:gridSpan w:val="4"/>
            <w:vAlign w:val="center"/>
          </w:tcPr>
          <w:p w14:paraId="76931B4C">
            <w:pPr>
              <w:topLinePunct/>
              <w:spacing w:line="440" w:lineRule="exact"/>
              <w:jc w:val="center"/>
              <w:rPr>
                <w:rFonts w:ascii="宋体" w:hAnsi="宋体"/>
                <w:color w:val="auto"/>
                <w:szCs w:val="21"/>
                <w:highlight w:val="none"/>
              </w:rPr>
            </w:pPr>
            <w:r>
              <w:rPr>
                <w:rFonts w:hint="eastAsia" w:ascii="宋体" w:hAnsi="宋体"/>
                <w:color w:val="auto"/>
                <w:szCs w:val="21"/>
                <w:highlight w:val="none"/>
              </w:rPr>
              <w:t>营业范围（主营）</w:t>
            </w:r>
          </w:p>
        </w:tc>
        <w:tc>
          <w:tcPr>
            <w:tcW w:w="5742" w:type="dxa"/>
            <w:gridSpan w:val="6"/>
            <w:vAlign w:val="center"/>
          </w:tcPr>
          <w:p w14:paraId="5A1F3474">
            <w:pPr>
              <w:topLinePunct/>
              <w:spacing w:line="440" w:lineRule="exact"/>
              <w:ind w:firstLine="105" w:firstLineChars="50"/>
              <w:jc w:val="center"/>
              <w:rPr>
                <w:rFonts w:ascii="宋体" w:hAnsi="宋体"/>
                <w:color w:val="auto"/>
                <w:szCs w:val="21"/>
                <w:highlight w:val="none"/>
              </w:rPr>
            </w:pPr>
          </w:p>
        </w:tc>
      </w:tr>
      <w:tr w14:paraId="11526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9" w:type="dxa"/>
            <w:vMerge w:val="continue"/>
            <w:vAlign w:val="center"/>
          </w:tcPr>
          <w:p w14:paraId="5DAE77D8">
            <w:pPr>
              <w:topLinePunct/>
              <w:spacing w:line="440" w:lineRule="exact"/>
              <w:jc w:val="center"/>
              <w:rPr>
                <w:rFonts w:ascii="宋体" w:hAnsi="宋体"/>
                <w:color w:val="auto"/>
                <w:szCs w:val="21"/>
                <w:highlight w:val="none"/>
              </w:rPr>
            </w:pPr>
          </w:p>
        </w:tc>
        <w:tc>
          <w:tcPr>
            <w:tcW w:w="2044" w:type="dxa"/>
            <w:gridSpan w:val="4"/>
            <w:vAlign w:val="center"/>
          </w:tcPr>
          <w:p w14:paraId="05726C3B">
            <w:pPr>
              <w:topLinePunct/>
              <w:spacing w:line="440" w:lineRule="exact"/>
              <w:jc w:val="center"/>
              <w:rPr>
                <w:rFonts w:ascii="宋体" w:hAnsi="宋体"/>
                <w:color w:val="auto"/>
                <w:szCs w:val="21"/>
                <w:highlight w:val="none"/>
              </w:rPr>
            </w:pPr>
            <w:r>
              <w:rPr>
                <w:rFonts w:hint="eastAsia" w:ascii="宋体" w:hAnsi="宋体"/>
                <w:color w:val="auto"/>
                <w:szCs w:val="21"/>
                <w:highlight w:val="none"/>
              </w:rPr>
              <w:t>营业范围（兼营）</w:t>
            </w:r>
          </w:p>
        </w:tc>
        <w:tc>
          <w:tcPr>
            <w:tcW w:w="5742" w:type="dxa"/>
            <w:gridSpan w:val="6"/>
            <w:vAlign w:val="center"/>
          </w:tcPr>
          <w:p w14:paraId="6CB7CFE8">
            <w:pPr>
              <w:topLinePunct/>
              <w:spacing w:line="440" w:lineRule="exact"/>
              <w:ind w:firstLine="105" w:firstLineChars="50"/>
              <w:jc w:val="center"/>
              <w:rPr>
                <w:rFonts w:ascii="宋体" w:hAnsi="宋体"/>
                <w:color w:val="auto"/>
                <w:szCs w:val="21"/>
                <w:highlight w:val="none"/>
              </w:rPr>
            </w:pPr>
          </w:p>
        </w:tc>
      </w:tr>
      <w:tr w14:paraId="4DA6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3" w:type="dxa"/>
            <w:gridSpan w:val="5"/>
            <w:vAlign w:val="center"/>
          </w:tcPr>
          <w:p w14:paraId="01895C4B">
            <w:pPr>
              <w:topLinePunct/>
              <w:spacing w:line="440" w:lineRule="exact"/>
              <w:jc w:val="center"/>
              <w:rPr>
                <w:rFonts w:ascii="宋体" w:hAnsi="宋体"/>
                <w:color w:val="auto"/>
                <w:szCs w:val="21"/>
                <w:highlight w:val="none"/>
              </w:rPr>
            </w:pPr>
            <w:r>
              <w:rPr>
                <w:rFonts w:hint="eastAsia" w:ascii="宋体" w:hAnsi="宋体"/>
                <w:color w:val="auto"/>
                <w:szCs w:val="21"/>
                <w:highlight w:val="none"/>
              </w:rPr>
              <w:t>基本账户开户行及帐号</w:t>
            </w:r>
          </w:p>
        </w:tc>
        <w:tc>
          <w:tcPr>
            <w:tcW w:w="5742" w:type="dxa"/>
            <w:gridSpan w:val="6"/>
            <w:vAlign w:val="center"/>
          </w:tcPr>
          <w:p w14:paraId="258D0549">
            <w:pPr>
              <w:topLinePunct/>
              <w:spacing w:line="440" w:lineRule="exact"/>
              <w:jc w:val="center"/>
              <w:rPr>
                <w:rFonts w:ascii="宋体" w:hAnsi="宋体"/>
                <w:color w:val="auto"/>
                <w:szCs w:val="21"/>
                <w:highlight w:val="none"/>
              </w:rPr>
            </w:pPr>
          </w:p>
        </w:tc>
      </w:tr>
      <w:tr w14:paraId="6485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3" w:type="dxa"/>
            <w:gridSpan w:val="5"/>
            <w:vAlign w:val="center"/>
          </w:tcPr>
          <w:p w14:paraId="0BEA0432">
            <w:pPr>
              <w:topLinePunct/>
              <w:spacing w:line="440" w:lineRule="exact"/>
              <w:jc w:val="center"/>
              <w:rPr>
                <w:rFonts w:ascii="宋体" w:hAnsi="宋体"/>
                <w:color w:val="auto"/>
                <w:szCs w:val="21"/>
                <w:highlight w:val="none"/>
              </w:rPr>
            </w:pPr>
            <w:r>
              <w:rPr>
                <w:rFonts w:hint="eastAsia" w:ascii="宋体" w:hAnsi="宋体"/>
                <w:color w:val="auto"/>
                <w:szCs w:val="21"/>
                <w:highlight w:val="none"/>
              </w:rPr>
              <w:t>税务登记机关</w:t>
            </w:r>
          </w:p>
        </w:tc>
        <w:tc>
          <w:tcPr>
            <w:tcW w:w="5742" w:type="dxa"/>
            <w:gridSpan w:val="6"/>
            <w:vAlign w:val="center"/>
          </w:tcPr>
          <w:p w14:paraId="31774C3E">
            <w:pPr>
              <w:topLinePunct/>
              <w:spacing w:line="440" w:lineRule="exact"/>
              <w:jc w:val="center"/>
              <w:rPr>
                <w:rFonts w:ascii="宋体" w:hAnsi="宋体"/>
                <w:color w:val="auto"/>
                <w:szCs w:val="21"/>
                <w:highlight w:val="none"/>
              </w:rPr>
            </w:pPr>
          </w:p>
        </w:tc>
      </w:tr>
      <w:tr w14:paraId="7284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5" w:type="dxa"/>
            <w:gridSpan w:val="11"/>
            <w:vAlign w:val="center"/>
          </w:tcPr>
          <w:p w14:paraId="04CCA739">
            <w:pPr>
              <w:topLinePunct/>
              <w:spacing w:line="440" w:lineRule="exact"/>
              <w:jc w:val="center"/>
              <w:rPr>
                <w:rFonts w:ascii="宋体" w:hAnsi="宋体"/>
                <w:color w:val="auto"/>
                <w:szCs w:val="21"/>
                <w:highlight w:val="none"/>
              </w:rPr>
            </w:pPr>
            <w:r>
              <w:rPr>
                <w:rFonts w:hint="eastAsia" w:ascii="宋体" w:hAnsi="宋体"/>
                <w:color w:val="auto"/>
                <w:szCs w:val="21"/>
                <w:highlight w:val="none"/>
              </w:rPr>
              <w:t>资质能力</w:t>
            </w:r>
          </w:p>
        </w:tc>
      </w:tr>
      <w:tr w14:paraId="521A6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gridSpan w:val="4"/>
            <w:vAlign w:val="center"/>
          </w:tcPr>
          <w:p w14:paraId="79B80C34">
            <w:pPr>
              <w:topLinePunct/>
              <w:spacing w:line="440" w:lineRule="exact"/>
              <w:jc w:val="center"/>
              <w:rPr>
                <w:rFonts w:ascii="宋体" w:hAnsi="宋体"/>
                <w:color w:val="auto"/>
                <w:szCs w:val="21"/>
                <w:highlight w:val="none"/>
              </w:rPr>
            </w:pPr>
            <w:r>
              <w:rPr>
                <w:rFonts w:ascii="宋体" w:hAnsi="宋体"/>
                <w:color w:val="auto"/>
                <w:szCs w:val="21"/>
                <w:highlight w:val="none"/>
              </w:rPr>
              <w:t>资质</w:t>
            </w:r>
            <w:r>
              <w:rPr>
                <w:rFonts w:hint="eastAsia" w:ascii="宋体" w:hAnsi="宋体"/>
                <w:color w:val="auto"/>
                <w:szCs w:val="21"/>
                <w:highlight w:val="none"/>
              </w:rPr>
              <w:t>名称</w:t>
            </w:r>
          </w:p>
        </w:tc>
        <w:tc>
          <w:tcPr>
            <w:tcW w:w="2160" w:type="dxa"/>
            <w:gridSpan w:val="2"/>
            <w:vAlign w:val="center"/>
          </w:tcPr>
          <w:p w14:paraId="7636AB6A">
            <w:pPr>
              <w:topLinePunct/>
              <w:spacing w:line="440" w:lineRule="exact"/>
              <w:jc w:val="center"/>
              <w:rPr>
                <w:rFonts w:ascii="宋体" w:hAnsi="宋体"/>
                <w:color w:val="auto"/>
                <w:szCs w:val="21"/>
                <w:highlight w:val="none"/>
              </w:rPr>
            </w:pPr>
            <w:r>
              <w:rPr>
                <w:rFonts w:ascii="宋体" w:hAnsi="宋体"/>
                <w:color w:val="auto"/>
                <w:szCs w:val="21"/>
                <w:highlight w:val="none"/>
              </w:rPr>
              <w:t>等级</w:t>
            </w:r>
          </w:p>
        </w:tc>
        <w:tc>
          <w:tcPr>
            <w:tcW w:w="2160" w:type="dxa"/>
            <w:gridSpan w:val="3"/>
            <w:vAlign w:val="center"/>
          </w:tcPr>
          <w:p w14:paraId="145282A8">
            <w:pPr>
              <w:topLinePunct/>
              <w:spacing w:line="440" w:lineRule="exact"/>
              <w:jc w:val="center"/>
              <w:rPr>
                <w:rFonts w:ascii="宋体" w:hAnsi="宋体"/>
                <w:color w:val="auto"/>
                <w:szCs w:val="21"/>
                <w:highlight w:val="none"/>
              </w:rPr>
            </w:pPr>
            <w:r>
              <w:rPr>
                <w:rFonts w:hint="eastAsia" w:ascii="宋体" w:hAnsi="宋体"/>
                <w:color w:val="auto"/>
                <w:szCs w:val="21"/>
                <w:highlight w:val="none"/>
              </w:rPr>
              <w:t>发证机关</w:t>
            </w:r>
          </w:p>
        </w:tc>
        <w:tc>
          <w:tcPr>
            <w:tcW w:w="2205" w:type="dxa"/>
            <w:gridSpan w:val="2"/>
            <w:vAlign w:val="center"/>
          </w:tcPr>
          <w:p w14:paraId="011091ED">
            <w:pPr>
              <w:topLinePunct/>
              <w:spacing w:line="440" w:lineRule="exact"/>
              <w:jc w:val="center"/>
              <w:rPr>
                <w:rFonts w:ascii="宋体" w:hAnsi="宋体"/>
                <w:color w:val="auto"/>
                <w:szCs w:val="21"/>
                <w:highlight w:val="none"/>
              </w:rPr>
            </w:pPr>
            <w:r>
              <w:rPr>
                <w:rFonts w:hint="eastAsia" w:ascii="宋体" w:hAnsi="宋体"/>
                <w:color w:val="auto"/>
                <w:szCs w:val="21"/>
                <w:highlight w:val="none"/>
              </w:rPr>
              <w:t>有效期</w:t>
            </w:r>
          </w:p>
        </w:tc>
      </w:tr>
      <w:tr w14:paraId="0024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gridSpan w:val="4"/>
            <w:vAlign w:val="center"/>
          </w:tcPr>
          <w:p w14:paraId="415112A7">
            <w:pPr>
              <w:topLinePunct/>
              <w:spacing w:line="440" w:lineRule="exact"/>
              <w:jc w:val="center"/>
              <w:rPr>
                <w:rFonts w:ascii="宋体" w:hAnsi="宋体"/>
                <w:color w:val="auto"/>
                <w:szCs w:val="21"/>
                <w:highlight w:val="none"/>
              </w:rPr>
            </w:pPr>
          </w:p>
        </w:tc>
        <w:tc>
          <w:tcPr>
            <w:tcW w:w="2160" w:type="dxa"/>
            <w:gridSpan w:val="2"/>
            <w:vAlign w:val="center"/>
          </w:tcPr>
          <w:p w14:paraId="24693476">
            <w:pPr>
              <w:topLinePunct/>
              <w:spacing w:line="440" w:lineRule="exact"/>
              <w:jc w:val="center"/>
              <w:rPr>
                <w:rFonts w:ascii="宋体" w:hAnsi="宋体"/>
                <w:color w:val="auto"/>
                <w:szCs w:val="21"/>
                <w:highlight w:val="none"/>
              </w:rPr>
            </w:pPr>
          </w:p>
        </w:tc>
        <w:tc>
          <w:tcPr>
            <w:tcW w:w="2160" w:type="dxa"/>
            <w:gridSpan w:val="3"/>
            <w:vAlign w:val="center"/>
          </w:tcPr>
          <w:p w14:paraId="1784A07C">
            <w:pPr>
              <w:topLinePunct/>
              <w:spacing w:line="440" w:lineRule="exact"/>
              <w:jc w:val="center"/>
              <w:rPr>
                <w:rFonts w:ascii="宋体" w:hAnsi="宋体"/>
                <w:color w:val="auto"/>
                <w:szCs w:val="21"/>
                <w:highlight w:val="none"/>
              </w:rPr>
            </w:pPr>
          </w:p>
        </w:tc>
        <w:tc>
          <w:tcPr>
            <w:tcW w:w="2205" w:type="dxa"/>
            <w:gridSpan w:val="2"/>
            <w:vAlign w:val="center"/>
          </w:tcPr>
          <w:p w14:paraId="4C6691D5">
            <w:pPr>
              <w:topLinePunct/>
              <w:spacing w:line="440" w:lineRule="exact"/>
              <w:jc w:val="center"/>
              <w:rPr>
                <w:rFonts w:ascii="宋体" w:hAnsi="宋体"/>
                <w:color w:val="auto"/>
                <w:szCs w:val="21"/>
                <w:highlight w:val="none"/>
              </w:rPr>
            </w:pPr>
          </w:p>
        </w:tc>
      </w:tr>
      <w:tr w14:paraId="6D614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gridSpan w:val="4"/>
            <w:vAlign w:val="center"/>
          </w:tcPr>
          <w:p w14:paraId="70CD33DF">
            <w:pPr>
              <w:topLinePunct/>
              <w:spacing w:line="440" w:lineRule="exact"/>
              <w:jc w:val="center"/>
              <w:rPr>
                <w:rFonts w:ascii="宋体" w:hAnsi="宋体"/>
                <w:color w:val="auto"/>
                <w:szCs w:val="21"/>
                <w:highlight w:val="none"/>
              </w:rPr>
            </w:pPr>
          </w:p>
        </w:tc>
        <w:tc>
          <w:tcPr>
            <w:tcW w:w="2160" w:type="dxa"/>
            <w:gridSpan w:val="2"/>
            <w:vAlign w:val="center"/>
          </w:tcPr>
          <w:p w14:paraId="51BF251A">
            <w:pPr>
              <w:topLinePunct/>
              <w:spacing w:line="440" w:lineRule="exact"/>
              <w:jc w:val="center"/>
              <w:rPr>
                <w:rFonts w:ascii="宋体" w:hAnsi="宋体"/>
                <w:color w:val="auto"/>
                <w:szCs w:val="21"/>
                <w:highlight w:val="none"/>
              </w:rPr>
            </w:pPr>
          </w:p>
        </w:tc>
        <w:tc>
          <w:tcPr>
            <w:tcW w:w="2160" w:type="dxa"/>
            <w:gridSpan w:val="3"/>
            <w:vAlign w:val="center"/>
          </w:tcPr>
          <w:p w14:paraId="64DDB8A7">
            <w:pPr>
              <w:topLinePunct/>
              <w:spacing w:line="440" w:lineRule="exact"/>
              <w:jc w:val="center"/>
              <w:rPr>
                <w:rFonts w:ascii="宋体" w:hAnsi="宋体"/>
                <w:color w:val="auto"/>
                <w:szCs w:val="21"/>
                <w:highlight w:val="none"/>
              </w:rPr>
            </w:pPr>
          </w:p>
        </w:tc>
        <w:tc>
          <w:tcPr>
            <w:tcW w:w="2205" w:type="dxa"/>
            <w:gridSpan w:val="2"/>
            <w:vAlign w:val="center"/>
          </w:tcPr>
          <w:p w14:paraId="4CECE6D3">
            <w:pPr>
              <w:topLinePunct/>
              <w:spacing w:line="440" w:lineRule="exact"/>
              <w:jc w:val="center"/>
              <w:rPr>
                <w:rFonts w:ascii="宋体" w:hAnsi="宋体"/>
                <w:color w:val="auto"/>
                <w:szCs w:val="21"/>
                <w:highlight w:val="none"/>
              </w:rPr>
            </w:pPr>
          </w:p>
        </w:tc>
      </w:tr>
      <w:tr w14:paraId="0D372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5" w:type="dxa"/>
            <w:gridSpan w:val="11"/>
            <w:vAlign w:val="center"/>
          </w:tcPr>
          <w:p w14:paraId="4B010D57">
            <w:pPr>
              <w:topLinePunct/>
              <w:spacing w:line="440" w:lineRule="exact"/>
              <w:jc w:val="center"/>
              <w:rPr>
                <w:rFonts w:ascii="宋体" w:hAnsi="宋体"/>
                <w:color w:val="auto"/>
                <w:szCs w:val="21"/>
                <w:highlight w:val="none"/>
              </w:rPr>
            </w:pPr>
            <w:r>
              <w:rPr>
                <w:rFonts w:hint="eastAsia" w:ascii="宋体" w:hAnsi="宋体"/>
                <w:color w:val="auto"/>
                <w:szCs w:val="21"/>
                <w:highlight w:val="none"/>
              </w:rPr>
              <w:t>投标人近三年项目业绩</w:t>
            </w:r>
          </w:p>
        </w:tc>
      </w:tr>
      <w:tr w14:paraId="33C0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gridSpan w:val="4"/>
            <w:vAlign w:val="center"/>
          </w:tcPr>
          <w:p w14:paraId="485194FE">
            <w:pPr>
              <w:topLinePunct/>
              <w:spacing w:line="440" w:lineRule="exact"/>
              <w:jc w:val="center"/>
              <w:rPr>
                <w:rFonts w:ascii="宋体" w:hAnsi="宋体"/>
                <w:color w:val="auto"/>
                <w:szCs w:val="21"/>
                <w:highlight w:val="none"/>
              </w:rPr>
            </w:pPr>
            <w:r>
              <w:rPr>
                <w:rFonts w:hint="eastAsia" w:ascii="宋体" w:hAnsi="宋体"/>
                <w:color w:val="auto"/>
                <w:szCs w:val="21"/>
                <w:highlight w:val="none"/>
              </w:rPr>
              <w:t>项目业绩名称</w:t>
            </w:r>
          </w:p>
        </w:tc>
        <w:tc>
          <w:tcPr>
            <w:tcW w:w="2160" w:type="dxa"/>
            <w:gridSpan w:val="2"/>
            <w:vAlign w:val="center"/>
          </w:tcPr>
          <w:p w14:paraId="3A80B17B">
            <w:pPr>
              <w:topLinePunct/>
              <w:spacing w:line="440" w:lineRule="exact"/>
              <w:jc w:val="center"/>
              <w:rPr>
                <w:rFonts w:ascii="宋体" w:hAnsi="宋体"/>
                <w:color w:val="auto"/>
                <w:szCs w:val="21"/>
                <w:highlight w:val="none"/>
              </w:rPr>
            </w:pPr>
            <w:r>
              <w:rPr>
                <w:rFonts w:hint="eastAsia" w:ascii="宋体" w:hAnsi="宋体"/>
                <w:color w:val="auto"/>
                <w:szCs w:val="21"/>
                <w:highlight w:val="none"/>
              </w:rPr>
              <w:t>项目地点、起止时间</w:t>
            </w:r>
          </w:p>
        </w:tc>
        <w:tc>
          <w:tcPr>
            <w:tcW w:w="2160" w:type="dxa"/>
            <w:gridSpan w:val="3"/>
            <w:vAlign w:val="center"/>
          </w:tcPr>
          <w:p w14:paraId="79542A9D">
            <w:pPr>
              <w:topLinePunct/>
              <w:spacing w:line="440" w:lineRule="exact"/>
              <w:jc w:val="center"/>
              <w:rPr>
                <w:rFonts w:ascii="宋体" w:hAnsi="宋体"/>
                <w:color w:val="auto"/>
                <w:szCs w:val="21"/>
                <w:highlight w:val="none"/>
              </w:rPr>
            </w:pPr>
            <w:r>
              <w:rPr>
                <w:rFonts w:hint="eastAsia" w:ascii="宋体" w:hAnsi="宋体"/>
                <w:color w:val="auto"/>
                <w:szCs w:val="21"/>
                <w:highlight w:val="none"/>
              </w:rPr>
              <w:t>合同内容、金额</w:t>
            </w:r>
          </w:p>
        </w:tc>
        <w:tc>
          <w:tcPr>
            <w:tcW w:w="2205" w:type="dxa"/>
            <w:gridSpan w:val="2"/>
            <w:vAlign w:val="center"/>
          </w:tcPr>
          <w:p w14:paraId="34D43D58">
            <w:pPr>
              <w:topLinePunct/>
              <w:spacing w:line="440" w:lineRule="exact"/>
              <w:jc w:val="center"/>
              <w:rPr>
                <w:rFonts w:ascii="宋体" w:hAnsi="宋体"/>
                <w:color w:val="auto"/>
                <w:szCs w:val="21"/>
                <w:highlight w:val="none"/>
              </w:rPr>
            </w:pPr>
            <w:r>
              <w:rPr>
                <w:rFonts w:hint="eastAsia" w:ascii="宋体" w:hAnsi="宋体"/>
                <w:color w:val="auto"/>
                <w:szCs w:val="21"/>
                <w:highlight w:val="none"/>
              </w:rPr>
              <w:t>甲方联系人及电话</w:t>
            </w:r>
          </w:p>
        </w:tc>
      </w:tr>
      <w:tr w14:paraId="5F5F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gridSpan w:val="4"/>
            <w:vAlign w:val="center"/>
          </w:tcPr>
          <w:p w14:paraId="5A2D9176">
            <w:pPr>
              <w:topLinePunct/>
              <w:spacing w:line="440" w:lineRule="exact"/>
              <w:jc w:val="center"/>
              <w:rPr>
                <w:rFonts w:ascii="宋体" w:hAnsi="宋体"/>
                <w:color w:val="auto"/>
                <w:szCs w:val="21"/>
                <w:highlight w:val="none"/>
              </w:rPr>
            </w:pPr>
          </w:p>
        </w:tc>
        <w:tc>
          <w:tcPr>
            <w:tcW w:w="2160" w:type="dxa"/>
            <w:gridSpan w:val="2"/>
            <w:vAlign w:val="center"/>
          </w:tcPr>
          <w:p w14:paraId="73B5124D">
            <w:pPr>
              <w:topLinePunct/>
              <w:spacing w:line="440" w:lineRule="exact"/>
              <w:jc w:val="center"/>
              <w:rPr>
                <w:rFonts w:ascii="宋体" w:hAnsi="宋体"/>
                <w:color w:val="auto"/>
                <w:szCs w:val="21"/>
                <w:highlight w:val="none"/>
              </w:rPr>
            </w:pPr>
          </w:p>
        </w:tc>
        <w:tc>
          <w:tcPr>
            <w:tcW w:w="2160" w:type="dxa"/>
            <w:gridSpan w:val="3"/>
            <w:vAlign w:val="center"/>
          </w:tcPr>
          <w:p w14:paraId="0782BD8D">
            <w:pPr>
              <w:topLinePunct/>
              <w:spacing w:line="440" w:lineRule="exact"/>
              <w:jc w:val="center"/>
              <w:rPr>
                <w:rFonts w:ascii="宋体" w:hAnsi="宋体"/>
                <w:color w:val="auto"/>
                <w:szCs w:val="21"/>
                <w:highlight w:val="none"/>
              </w:rPr>
            </w:pPr>
          </w:p>
        </w:tc>
        <w:tc>
          <w:tcPr>
            <w:tcW w:w="2205" w:type="dxa"/>
            <w:gridSpan w:val="2"/>
            <w:vAlign w:val="center"/>
          </w:tcPr>
          <w:p w14:paraId="4F1B2A65">
            <w:pPr>
              <w:topLinePunct/>
              <w:spacing w:line="440" w:lineRule="exact"/>
              <w:jc w:val="center"/>
              <w:rPr>
                <w:rFonts w:ascii="宋体" w:hAnsi="宋体"/>
                <w:color w:val="auto"/>
                <w:szCs w:val="21"/>
                <w:highlight w:val="none"/>
              </w:rPr>
            </w:pPr>
          </w:p>
        </w:tc>
      </w:tr>
      <w:tr w14:paraId="2E50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gridSpan w:val="4"/>
            <w:vAlign w:val="center"/>
          </w:tcPr>
          <w:p w14:paraId="545B52D3">
            <w:pPr>
              <w:topLinePunct/>
              <w:spacing w:line="440" w:lineRule="exact"/>
              <w:jc w:val="center"/>
              <w:rPr>
                <w:rFonts w:ascii="宋体" w:hAnsi="宋体"/>
                <w:color w:val="auto"/>
                <w:szCs w:val="21"/>
                <w:highlight w:val="none"/>
              </w:rPr>
            </w:pPr>
          </w:p>
        </w:tc>
        <w:tc>
          <w:tcPr>
            <w:tcW w:w="2160" w:type="dxa"/>
            <w:gridSpan w:val="2"/>
            <w:vAlign w:val="center"/>
          </w:tcPr>
          <w:p w14:paraId="31CB6588">
            <w:pPr>
              <w:topLinePunct/>
              <w:spacing w:line="440" w:lineRule="exact"/>
              <w:jc w:val="center"/>
              <w:rPr>
                <w:rFonts w:ascii="宋体" w:hAnsi="宋体"/>
                <w:color w:val="auto"/>
                <w:szCs w:val="21"/>
                <w:highlight w:val="none"/>
              </w:rPr>
            </w:pPr>
          </w:p>
        </w:tc>
        <w:tc>
          <w:tcPr>
            <w:tcW w:w="2160" w:type="dxa"/>
            <w:gridSpan w:val="3"/>
            <w:vAlign w:val="center"/>
          </w:tcPr>
          <w:p w14:paraId="66B602E5">
            <w:pPr>
              <w:topLinePunct/>
              <w:spacing w:line="440" w:lineRule="exact"/>
              <w:jc w:val="center"/>
              <w:rPr>
                <w:rFonts w:ascii="宋体" w:hAnsi="宋体"/>
                <w:color w:val="auto"/>
                <w:szCs w:val="21"/>
                <w:highlight w:val="none"/>
              </w:rPr>
            </w:pPr>
          </w:p>
        </w:tc>
        <w:tc>
          <w:tcPr>
            <w:tcW w:w="2205" w:type="dxa"/>
            <w:gridSpan w:val="2"/>
            <w:vAlign w:val="center"/>
          </w:tcPr>
          <w:p w14:paraId="0B920C56">
            <w:pPr>
              <w:topLinePunct/>
              <w:spacing w:line="440" w:lineRule="exact"/>
              <w:jc w:val="center"/>
              <w:rPr>
                <w:rFonts w:ascii="宋体" w:hAnsi="宋体"/>
                <w:color w:val="auto"/>
                <w:szCs w:val="21"/>
                <w:highlight w:val="none"/>
              </w:rPr>
            </w:pPr>
          </w:p>
        </w:tc>
      </w:tr>
      <w:tr w14:paraId="6E4E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gridSpan w:val="4"/>
            <w:vAlign w:val="center"/>
          </w:tcPr>
          <w:p w14:paraId="6A02C385">
            <w:pPr>
              <w:topLinePunct/>
              <w:spacing w:line="440" w:lineRule="exact"/>
              <w:jc w:val="center"/>
              <w:rPr>
                <w:rFonts w:ascii="宋体" w:hAnsi="宋体"/>
                <w:color w:val="auto"/>
                <w:szCs w:val="21"/>
                <w:highlight w:val="none"/>
              </w:rPr>
            </w:pPr>
          </w:p>
        </w:tc>
        <w:tc>
          <w:tcPr>
            <w:tcW w:w="2160" w:type="dxa"/>
            <w:gridSpan w:val="2"/>
            <w:vAlign w:val="center"/>
          </w:tcPr>
          <w:p w14:paraId="49285754">
            <w:pPr>
              <w:topLinePunct/>
              <w:spacing w:line="440" w:lineRule="exact"/>
              <w:jc w:val="center"/>
              <w:rPr>
                <w:rFonts w:ascii="宋体" w:hAnsi="宋体"/>
                <w:color w:val="auto"/>
                <w:szCs w:val="21"/>
                <w:highlight w:val="none"/>
              </w:rPr>
            </w:pPr>
          </w:p>
        </w:tc>
        <w:tc>
          <w:tcPr>
            <w:tcW w:w="2160" w:type="dxa"/>
            <w:gridSpan w:val="3"/>
            <w:vAlign w:val="center"/>
          </w:tcPr>
          <w:p w14:paraId="3694CDFA">
            <w:pPr>
              <w:topLinePunct/>
              <w:spacing w:line="440" w:lineRule="exact"/>
              <w:jc w:val="center"/>
              <w:rPr>
                <w:rFonts w:ascii="宋体" w:hAnsi="宋体"/>
                <w:color w:val="auto"/>
                <w:szCs w:val="21"/>
                <w:highlight w:val="none"/>
              </w:rPr>
            </w:pPr>
          </w:p>
        </w:tc>
        <w:tc>
          <w:tcPr>
            <w:tcW w:w="2205" w:type="dxa"/>
            <w:gridSpan w:val="2"/>
            <w:vAlign w:val="center"/>
          </w:tcPr>
          <w:p w14:paraId="78AEA74C">
            <w:pPr>
              <w:topLinePunct/>
              <w:spacing w:line="440" w:lineRule="exact"/>
              <w:jc w:val="center"/>
              <w:rPr>
                <w:rFonts w:ascii="宋体" w:hAnsi="宋体"/>
                <w:color w:val="auto"/>
                <w:szCs w:val="21"/>
                <w:highlight w:val="none"/>
              </w:rPr>
            </w:pPr>
          </w:p>
        </w:tc>
      </w:tr>
      <w:tr w14:paraId="46131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258" w:type="dxa"/>
            <w:gridSpan w:val="2"/>
            <w:vAlign w:val="center"/>
          </w:tcPr>
          <w:p w14:paraId="3F11CE7B">
            <w:pPr>
              <w:topLinePunct/>
              <w:spacing w:line="440" w:lineRule="exact"/>
              <w:jc w:val="center"/>
              <w:rPr>
                <w:rFonts w:ascii="宋体" w:hAnsi="宋体"/>
                <w:color w:val="auto"/>
                <w:szCs w:val="21"/>
                <w:highlight w:val="none"/>
              </w:rPr>
            </w:pPr>
            <w:r>
              <w:rPr>
                <w:rFonts w:ascii="宋体" w:hAnsi="宋体"/>
                <w:color w:val="auto"/>
                <w:szCs w:val="21"/>
                <w:highlight w:val="none"/>
              </w:rPr>
              <w:t>备注</w:t>
            </w:r>
          </w:p>
        </w:tc>
        <w:tc>
          <w:tcPr>
            <w:tcW w:w="7247" w:type="dxa"/>
            <w:gridSpan w:val="9"/>
            <w:vAlign w:val="center"/>
          </w:tcPr>
          <w:p w14:paraId="1256D76E">
            <w:pPr>
              <w:topLinePunct/>
              <w:spacing w:line="440" w:lineRule="exact"/>
              <w:rPr>
                <w:rFonts w:ascii="宋体" w:hAnsi="宋体"/>
                <w:color w:val="auto"/>
                <w:szCs w:val="21"/>
                <w:highlight w:val="none"/>
              </w:rPr>
            </w:pPr>
            <w:r>
              <w:rPr>
                <w:rFonts w:hint="eastAsia" w:ascii="宋体" w:hAnsi="宋体"/>
                <w:color w:val="auto"/>
                <w:szCs w:val="21"/>
                <w:highlight w:val="none"/>
              </w:rPr>
              <w:t>后附项目业绩证明材料</w:t>
            </w:r>
          </w:p>
        </w:tc>
      </w:tr>
    </w:tbl>
    <w:p w14:paraId="0E01624B">
      <w:pPr>
        <w:adjustRightInd w:val="0"/>
        <w:snapToGrid w:val="0"/>
        <w:spacing w:line="360" w:lineRule="auto"/>
        <w:jc w:val="center"/>
        <w:rPr>
          <w:rFonts w:ascii="宋体" w:hAnsi="宋体"/>
          <w:color w:val="auto"/>
          <w:sz w:val="24"/>
          <w:highlight w:val="none"/>
        </w:rPr>
      </w:pPr>
    </w:p>
    <w:p w14:paraId="0E45B5D5">
      <w:pPr>
        <w:spacing w:line="480" w:lineRule="exact"/>
        <w:rPr>
          <w:rFonts w:ascii="宋体" w:hAnsi="宋体"/>
          <w:color w:val="auto"/>
          <w:sz w:val="32"/>
          <w:szCs w:val="32"/>
          <w:highlight w:val="none"/>
        </w:rPr>
      </w:pPr>
    </w:p>
    <w:p w14:paraId="75CB8CF8">
      <w:pPr>
        <w:spacing w:line="480" w:lineRule="exact"/>
        <w:rPr>
          <w:rFonts w:ascii="宋体" w:hAnsi="宋体"/>
          <w:color w:val="auto"/>
          <w:sz w:val="32"/>
          <w:szCs w:val="32"/>
          <w:highlight w:val="none"/>
        </w:rPr>
        <w:sectPr>
          <w:pgSz w:w="11906" w:h="16838"/>
          <w:pgMar w:top="1440" w:right="1797" w:bottom="1440" w:left="1797" w:header="851" w:footer="992" w:gutter="0"/>
          <w:pgNumType w:fmt="decimal"/>
          <w:cols w:space="720" w:num="1"/>
          <w:docGrid w:linePitch="312" w:charSpace="0"/>
        </w:sectPr>
      </w:pPr>
    </w:p>
    <w:p w14:paraId="7B5C1416">
      <w:pPr>
        <w:adjustRightInd w:val="0"/>
        <w:snapToGrid w:val="0"/>
        <w:spacing w:line="480" w:lineRule="auto"/>
        <w:jc w:val="left"/>
        <w:rPr>
          <w:rFonts w:ascii="宋体" w:hAnsi="宋体"/>
          <w:bCs/>
          <w:color w:val="auto"/>
          <w:sz w:val="24"/>
          <w:highlight w:val="none"/>
        </w:rPr>
      </w:pPr>
      <w:r>
        <w:rPr>
          <w:rFonts w:hint="eastAsia" w:ascii="宋体" w:hAnsi="宋体"/>
          <w:bCs/>
          <w:color w:val="auto"/>
          <w:sz w:val="24"/>
          <w:highlight w:val="none"/>
        </w:rPr>
        <w:t>附件1</w:t>
      </w:r>
      <w:r>
        <w:rPr>
          <w:rFonts w:ascii="宋体" w:hAnsi="宋体"/>
          <w:bCs/>
          <w:color w:val="auto"/>
          <w:sz w:val="24"/>
          <w:highlight w:val="none"/>
        </w:rPr>
        <w:t>1</w:t>
      </w:r>
    </w:p>
    <w:p w14:paraId="7F67F3E5">
      <w:pPr>
        <w:adjustRightInd w:val="0"/>
        <w:snapToGrid w:val="0"/>
        <w:spacing w:line="360" w:lineRule="auto"/>
        <w:ind w:firstLine="562" w:firstLineChars="200"/>
        <w:jc w:val="center"/>
        <w:rPr>
          <w:rFonts w:ascii="宋体" w:hAnsi="宋体"/>
          <w:b/>
          <w:color w:val="auto"/>
          <w:sz w:val="28"/>
          <w:szCs w:val="28"/>
          <w:highlight w:val="none"/>
        </w:rPr>
      </w:pPr>
      <w:r>
        <w:rPr>
          <w:rFonts w:hint="eastAsia" w:ascii="宋体" w:hAnsi="宋体"/>
          <w:b/>
          <w:color w:val="auto"/>
          <w:sz w:val="28"/>
          <w:szCs w:val="28"/>
          <w:highlight w:val="none"/>
        </w:rPr>
        <w:t>具备履行合同所必需的设备和专业技术能力的承诺</w:t>
      </w:r>
    </w:p>
    <w:p w14:paraId="3D5FCA6E">
      <w:pPr>
        <w:adjustRightInd w:val="0"/>
        <w:snapToGrid w:val="0"/>
        <w:spacing w:line="360" w:lineRule="auto"/>
        <w:ind w:firstLine="560" w:firstLineChars="200"/>
        <w:jc w:val="center"/>
        <w:rPr>
          <w:rFonts w:ascii="宋体" w:hAnsi="宋体"/>
          <w:color w:val="auto"/>
          <w:sz w:val="28"/>
          <w:szCs w:val="28"/>
          <w:highlight w:val="none"/>
        </w:rPr>
      </w:pPr>
    </w:p>
    <w:p w14:paraId="171DFC91">
      <w:pPr>
        <w:autoSpaceDE w:val="0"/>
        <w:autoSpaceDN w:val="0"/>
        <w:adjustRightInd w:val="0"/>
        <w:spacing w:line="440" w:lineRule="exact"/>
        <w:jc w:val="left"/>
        <w:rPr>
          <w:rFonts w:ascii="宋体" w:cs="宋体"/>
          <w:color w:val="auto"/>
          <w:kern w:val="0"/>
          <w:szCs w:val="21"/>
          <w:highlight w:val="none"/>
        </w:rPr>
      </w:pPr>
      <w:r>
        <w:rPr>
          <w:rFonts w:hint="eastAsia" w:ascii="宋体" w:cs="宋体"/>
          <w:color w:val="auto"/>
          <w:kern w:val="0"/>
          <w:szCs w:val="21"/>
          <w:highlight w:val="none"/>
        </w:rPr>
        <w:t>本投标人郑重声明：</w:t>
      </w:r>
      <w:r>
        <w:rPr>
          <w:rFonts w:ascii="宋体" w:cs="宋体"/>
          <w:color w:val="auto"/>
          <w:kern w:val="0"/>
          <w:szCs w:val="21"/>
          <w:highlight w:val="none"/>
        </w:rPr>
        <w:t xml:space="preserve"> </w:t>
      </w:r>
    </w:p>
    <w:p w14:paraId="1AABD580">
      <w:pPr>
        <w:autoSpaceDE w:val="0"/>
        <w:autoSpaceDN w:val="0"/>
        <w:adjustRightInd w:val="0"/>
        <w:spacing w:line="440" w:lineRule="exact"/>
        <w:ind w:left="420"/>
        <w:jc w:val="left"/>
        <w:rPr>
          <w:rFonts w:ascii="宋体" w:cs="宋体"/>
          <w:color w:val="auto"/>
          <w:kern w:val="0"/>
          <w:szCs w:val="21"/>
          <w:highlight w:val="none"/>
        </w:rPr>
      </w:pPr>
    </w:p>
    <w:p w14:paraId="4262B4E5">
      <w:pPr>
        <w:autoSpaceDE w:val="0"/>
        <w:autoSpaceDN w:val="0"/>
        <w:adjustRightInd w:val="0"/>
        <w:spacing w:line="440" w:lineRule="exact"/>
        <w:ind w:firstLine="420" w:firstLineChars="200"/>
        <w:jc w:val="left"/>
        <w:rPr>
          <w:rFonts w:ascii="宋体" w:cs="宋体"/>
          <w:color w:val="auto"/>
          <w:kern w:val="0"/>
          <w:szCs w:val="21"/>
          <w:highlight w:val="none"/>
        </w:rPr>
      </w:pPr>
      <w:r>
        <w:rPr>
          <w:rFonts w:hint="eastAsia" w:ascii="宋体" w:cs="宋体"/>
          <w:color w:val="auto"/>
          <w:kern w:val="0"/>
          <w:szCs w:val="21"/>
          <w:highlight w:val="none"/>
        </w:rPr>
        <w:t>本公司（或单位）具备本项目履行合同所必需的设备和专业技术能力，特此承诺。</w:t>
      </w:r>
      <w:r>
        <w:rPr>
          <w:rFonts w:ascii="宋体" w:cs="宋体"/>
          <w:color w:val="auto"/>
          <w:kern w:val="0"/>
          <w:szCs w:val="21"/>
          <w:highlight w:val="none"/>
        </w:rPr>
        <w:t xml:space="preserve"> </w:t>
      </w:r>
    </w:p>
    <w:p w14:paraId="764B63EB">
      <w:pPr>
        <w:autoSpaceDE w:val="0"/>
        <w:autoSpaceDN w:val="0"/>
        <w:adjustRightInd w:val="0"/>
        <w:spacing w:line="440" w:lineRule="exact"/>
        <w:jc w:val="left"/>
        <w:rPr>
          <w:rFonts w:ascii="宋体" w:cs="宋体"/>
          <w:color w:val="auto"/>
          <w:kern w:val="0"/>
          <w:szCs w:val="21"/>
          <w:highlight w:val="none"/>
        </w:rPr>
      </w:pPr>
    </w:p>
    <w:p w14:paraId="6489B6B8">
      <w:pPr>
        <w:pStyle w:val="25"/>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7A0C6F8F">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68E021C2">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2FE88F9D">
      <w:pPr>
        <w:rPr>
          <w:rFonts w:hint="eastAsia" w:ascii="宋体" w:hAnsi="宋体"/>
          <w:color w:val="auto"/>
          <w:sz w:val="24"/>
          <w:highlight w:val="none"/>
        </w:rPr>
      </w:pPr>
      <w:r>
        <w:rPr>
          <w:rFonts w:hint="eastAsia" w:ascii="宋体" w:hAnsi="宋体"/>
          <w:color w:val="auto"/>
          <w:sz w:val="24"/>
          <w:highlight w:val="none"/>
        </w:rPr>
        <w:br w:type="page"/>
      </w:r>
    </w:p>
    <w:p w14:paraId="1A30BC2D">
      <w:pPr>
        <w:adjustRightInd w:val="0"/>
        <w:snapToGrid w:val="0"/>
        <w:rPr>
          <w:rFonts w:ascii="宋体" w:hAnsi="宋体"/>
          <w:color w:val="auto"/>
          <w:sz w:val="24"/>
          <w:highlight w:val="none"/>
        </w:rPr>
      </w:pPr>
      <w:r>
        <w:rPr>
          <w:rFonts w:hint="eastAsia" w:ascii="宋体" w:hAnsi="宋体"/>
          <w:color w:val="auto"/>
          <w:sz w:val="24"/>
          <w:highlight w:val="none"/>
        </w:rPr>
        <w:t>附件1</w:t>
      </w:r>
      <w:r>
        <w:rPr>
          <w:rFonts w:ascii="宋体" w:hAnsi="宋体"/>
          <w:color w:val="auto"/>
          <w:sz w:val="24"/>
          <w:highlight w:val="none"/>
        </w:rPr>
        <w:t>2</w:t>
      </w:r>
    </w:p>
    <w:p w14:paraId="133335BD">
      <w:pPr>
        <w:adjustRightInd w:val="0"/>
        <w:snapToGrid w:val="0"/>
        <w:spacing w:before="156" w:beforeLines="50" w:line="360" w:lineRule="auto"/>
        <w:rPr>
          <w:rFonts w:ascii="宋体" w:hAnsi="宋体"/>
          <w:b/>
          <w:color w:val="auto"/>
          <w:highlight w:val="none"/>
        </w:rPr>
      </w:pPr>
    </w:p>
    <w:p w14:paraId="77C02A2B">
      <w:pPr>
        <w:adjustRightInd w:val="0"/>
        <w:snapToGrid w:val="0"/>
        <w:spacing w:line="360" w:lineRule="auto"/>
        <w:ind w:firstLine="562" w:firstLineChars="200"/>
        <w:jc w:val="center"/>
        <w:rPr>
          <w:rFonts w:ascii="宋体" w:hAnsi="宋体"/>
          <w:b/>
          <w:color w:val="auto"/>
          <w:sz w:val="28"/>
          <w:szCs w:val="28"/>
          <w:highlight w:val="none"/>
        </w:rPr>
      </w:pPr>
      <w:r>
        <w:rPr>
          <w:rFonts w:hint="eastAsia" w:ascii="宋体" w:hAnsi="宋体"/>
          <w:b/>
          <w:color w:val="auto"/>
          <w:sz w:val="28"/>
          <w:szCs w:val="28"/>
          <w:highlight w:val="none"/>
        </w:rPr>
        <w:t>无重大违法记录声明书</w:t>
      </w:r>
    </w:p>
    <w:p w14:paraId="4F215438">
      <w:pPr>
        <w:widowControl/>
        <w:adjustRightInd w:val="0"/>
        <w:snapToGrid w:val="0"/>
        <w:spacing w:line="360" w:lineRule="auto"/>
        <w:jc w:val="center"/>
        <w:rPr>
          <w:rFonts w:ascii="宋体" w:hAnsi="宋体"/>
          <w:color w:val="auto"/>
          <w:szCs w:val="21"/>
          <w:highlight w:val="none"/>
        </w:rPr>
      </w:pPr>
    </w:p>
    <w:p w14:paraId="5300391C">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u w:val="single"/>
        </w:rPr>
        <w:t xml:space="preserve">（采购人）         </w:t>
      </w:r>
      <w:r>
        <w:rPr>
          <w:rFonts w:hint="eastAsia" w:ascii="宋体" w:hAnsi="宋体"/>
          <w:color w:val="auto"/>
          <w:szCs w:val="21"/>
          <w:highlight w:val="none"/>
        </w:rPr>
        <w:t>：</w:t>
      </w:r>
    </w:p>
    <w:p w14:paraId="346CCD21">
      <w:pPr>
        <w:adjustRightInd w:val="0"/>
        <w:snapToGrid w:val="0"/>
        <w:spacing w:line="360" w:lineRule="auto"/>
        <w:ind w:firstLine="420" w:firstLineChars="200"/>
        <w:rPr>
          <w:rFonts w:ascii="宋体" w:hAnsi="宋体"/>
          <w:color w:val="auto"/>
          <w:szCs w:val="21"/>
          <w:highlight w:val="none"/>
        </w:rPr>
      </w:pPr>
    </w:p>
    <w:p w14:paraId="779EB66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我公司参与</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w:t>
      </w:r>
      <w:r>
        <w:rPr>
          <w:rFonts w:hint="eastAsia" w:ascii="宋体" w:hAnsi="宋体"/>
          <w:color w:val="auto"/>
          <w:szCs w:val="21"/>
          <w:highlight w:val="none"/>
          <w:lang w:eastAsia="zh-CN"/>
        </w:rPr>
        <w:t>、标项号</w:t>
      </w:r>
      <w:r>
        <w:rPr>
          <w:rFonts w:hint="eastAsia" w:ascii="宋体" w:hAnsi="宋体"/>
          <w:color w:val="auto"/>
          <w:szCs w:val="21"/>
          <w:highlight w:val="none"/>
        </w:rPr>
        <w:t>、</w:t>
      </w:r>
      <w:r>
        <w:rPr>
          <w:rFonts w:hint="eastAsia" w:ascii="宋体" w:hAnsi="宋体"/>
          <w:color w:val="auto"/>
          <w:szCs w:val="21"/>
          <w:highlight w:val="none"/>
          <w:lang w:val="en-US" w:eastAsia="zh-CN"/>
        </w:rPr>
        <w:t>项目</w:t>
      </w:r>
      <w:r>
        <w:rPr>
          <w:rFonts w:hint="eastAsia" w:ascii="宋体" w:hAnsi="宋体"/>
          <w:color w:val="auto"/>
          <w:szCs w:val="21"/>
          <w:highlight w:val="none"/>
        </w:rPr>
        <w:t>编号）公开招标，本公司郑重声明，我方参加本项目政府采购活动前三年内无重大违法记录，符合《政府采购法》规定的投标人条件。若贵方在本项目采购过程中发现我方政府采购活动前三年内有重大违法记录，我公司将无条件退出本项目的投标，并承担因此引起的一切后果。我方对此声明负全部法律责任。</w:t>
      </w:r>
    </w:p>
    <w:p w14:paraId="19852F09">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特此声明  </w:t>
      </w:r>
    </w:p>
    <w:p w14:paraId="4ECCDBA2">
      <w:pPr>
        <w:adjustRightInd w:val="0"/>
        <w:snapToGrid w:val="0"/>
        <w:spacing w:line="360" w:lineRule="auto"/>
        <w:ind w:firstLine="420" w:firstLineChars="200"/>
        <w:rPr>
          <w:rFonts w:ascii="宋体" w:hAnsi="宋体"/>
          <w:color w:val="auto"/>
          <w:szCs w:val="21"/>
          <w:highlight w:val="none"/>
        </w:rPr>
      </w:pPr>
    </w:p>
    <w:p w14:paraId="3FDD25D9">
      <w:pPr>
        <w:adjustRightInd w:val="0"/>
        <w:snapToGrid w:val="0"/>
        <w:spacing w:line="360" w:lineRule="auto"/>
        <w:ind w:firstLine="420" w:firstLineChars="200"/>
        <w:rPr>
          <w:rFonts w:ascii="宋体" w:hAnsi="宋体"/>
          <w:color w:val="auto"/>
          <w:szCs w:val="21"/>
          <w:highlight w:val="none"/>
        </w:rPr>
      </w:pPr>
    </w:p>
    <w:p w14:paraId="77C91983">
      <w:pPr>
        <w:adjustRightInd w:val="0"/>
        <w:snapToGrid w:val="0"/>
        <w:spacing w:line="360" w:lineRule="auto"/>
        <w:ind w:firstLine="420" w:firstLineChars="200"/>
        <w:rPr>
          <w:rFonts w:ascii="宋体" w:hAnsi="宋体"/>
          <w:color w:val="auto"/>
          <w:szCs w:val="21"/>
          <w:highlight w:val="none"/>
        </w:rPr>
      </w:pPr>
    </w:p>
    <w:p w14:paraId="4A5C7948">
      <w:pPr>
        <w:adjustRightInd w:val="0"/>
        <w:snapToGrid w:val="0"/>
        <w:spacing w:line="360" w:lineRule="auto"/>
        <w:ind w:firstLine="420" w:firstLineChars="200"/>
        <w:rPr>
          <w:rFonts w:ascii="宋体" w:hAnsi="宋体"/>
          <w:color w:val="auto"/>
          <w:szCs w:val="21"/>
          <w:highlight w:val="none"/>
        </w:rPr>
      </w:pPr>
    </w:p>
    <w:p w14:paraId="001C131E">
      <w:pPr>
        <w:adjustRightInd w:val="0"/>
        <w:snapToGrid w:val="0"/>
        <w:spacing w:line="360" w:lineRule="auto"/>
        <w:ind w:firstLine="420" w:firstLineChars="200"/>
        <w:rPr>
          <w:rFonts w:ascii="宋体" w:hAnsi="宋体"/>
          <w:bCs/>
          <w:color w:val="auto"/>
          <w:szCs w:val="21"/>
          <w:highlight w:val="none"/>
        </w:rPr>
      </w:pPr>
    </w:p>
    <w:p w14:paraId="06404DB0">
      <w:pPr>
        <w:pStyle w:val="25"/>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26F7D879">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57092269">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B990F7A">
      <w:pPr>
        <w:spacing w:line="360" w:lineRule="auto"/>
        <w:ind w:firstLine="3502" w:firstLineChars="1668"/>
        <w:rPr>
          <w:rFonts w:ascii="宋体" w:hAnsi="宋体"/>
          <w:color w:val="auto"/>
          <w:szCs w:val="21"/>
          <w:highlight w:val="none"/>
        </w:rPr>
      </w:pPr>
    </w:p>
    <w:p w14:paraId="40058691">
      <w:pPr>
        <w:spacing w:line="360" w:lineRule="auto"/>
        <w:ind w:firstLine="3502" w:firstLineChars="1668"/>
        <w:rPr>
          <w:rFonts w:ascii="宋体" w:hAnsi="宋体"/>
          <w:color w:val="auto"/>
          <w:szCs w:val="21"/>
          <w:highlight w:val="none"/>
        </w:rPr>
      </w:pPr>
    </w:p>
    <w:p w14:paraId="2EDBFA5F">
      <w:pPr>
        <w:rPr>
          <w:color w:val="auto"/>
          <w:szCs w:val="21"/>
          <w:highlight w:val="none"/>
        </w:rPr>
      </w:pPr>
      <w:r>
        <w:rPr>
          <w:rFonts w:hint="eastAsia"/>
          <w:color w:val="auto"/>
          <w:highlight w:val="none"/>
        </w:rPr>
        <w:t>附注：近三年指成立三年以上的，为提交首次投标文件截止时间前三年内；成立不足三年的，为实际时间</w:t>
      </w:r>
      <w:r>
        <w:rPr>
          <w:rFonts w:hint="eastAsia"/>
          <w:color w:val="auto"/>
          <w:szCs w:val="21"/>
          <w:highlight w:val="none"/>
        </w:rPr>
        <w:t>。</w:t>
      </w:r>
    </w:p>
    <w:p w14:paraId="2656AAA5">
      <w:pPr>
        <w:adjustRightInd w:val="0"/>
        <w:snapToGrid w:val="0"/>
        <w:rPr>
          <w:rFonts w:ascii="宋体" w:hAnsi="宋体"/>
          <w:color w:val="auto"/>
          <w:sz w:val="24"/>
          <w:highlight w:val="none"/>
        </w:rPr>
      </w:pPr>
      <w:r>
        <w:rPr>
          <w:rFonts w:ascii="宋体" w:hAnsi="宋体"/>
          <w:color w:val="auto"/>
          <w:sz w:val="24"/>
          <w:highlight w:val="none"/>
        </w:rPr>
        <w:br w:type="page"/>
      </w:r>
      <w:r>
        <w:rPr>
          <w:rFonts w:hint="eastAsia" w:ascii="宋体" w:hAnsi="宋体"/>
          <w:color w:val="auto"/>
          <w:sz w:val="24"/>
          <w:highlight w:val="none"/>
        </w:rPr>
        <w:t>附件1</w:t>
      </w:r>
      <w:r>
        <w:rPr>
          <w:rFonts w:ascii="宋体" w:hAnsi="宋体"/>
          <w:color w:val="auto"/>
          <w:sz w:val="24"/>
          <w:highlight w:val="none"/>
        </w:rPr>
        <w:t>3</w:t>
      </w:r>
    </w:p>
    <w:p w14:paraId="1E9BA6EE">
      <w:pPr>
        <w:autoSpaceDE w:val="0"/>
        <w:autoSpaceDN w:val="0"/>
        <w:adjustRightInd w:val="0"/>
        <w:jc w:val="center"/>
        <w:rPr>
          <w:rFonts w:ascii="宋体" w:hAnsi="宋体"/>
          <w:b/>
          <w:color w:val="auto"/>
          <w:kern w:val="0"/>
          <w:sz w:val="24"/>
          <w:highlight w:val="none"/>
        </w:rPr>
      </w:pPr>
      <w:r>
        <w:rPr>
          <w:rFonts w:hint="eastAsia" w:ascii="宋体" w:hAnsi="宋体"/>
          <w:b/>
          <w:color w:val="auto"/>
          <w:kern w:val="0"/>
          <w:sz w:val="24"/>
          <w:highlight w:val="none"/>
        </w:rPr>
        <w:t>信用记录</w:t>
      </w:r>
    </w:p>
    <w:p w14:paraId="51A9D739">
      <w:pPr>
        <w:widowControl/>
        <w:adjustRightInd w:val="0"/>
        <w:snapToGrid w:val="0"/>
        <w:spacing w:line="360" w:lineRule="auto"/>
        <w:ind w:firstLine="444" w:firstLineChars="200"/>
        <w:jc w:val="center"/>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（复印件并加盖投标人单位公章）</w:t>
      </w:r>
    </w:p>
    <w:p w14:paraId="35E6D938">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2381FDD6">
      <w:pPr>
        <w:widowControl/>
        <w:adjustRightInd w:val="0"/>
        <w:snapToGrid w:val="0"/>
        <w:spacing w:line="360" w:lineRule="auto"/>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依据财库</w:t>
      </w:r>
      <w:r>
        <w:rPr>
          <w:rFonts w:ascii="宋体" w:hAnsi="宋体" w:cs="宋体"/>
          <w:color w:val="auto"/>
          <w:spacing w:val="6"/>
          <w:kern w:val="0"/>
          <w:szCs w:val="21"/>
          <w:highlight w:val="none"/>
        </w:rPr>
        <w:t>[2016]125</w:t>
      </w:r>
      <w:r>
        <w:rPr>
          <w:rFonts w:hint="eastAsia" w:ascii="宋体" w:hAnsi="宋体" w:cs="宋体"/>
          <w:color w:val="auto"/>
          <w:spacing w:val="6"/>
          <w:kern w:val="0"/>
          <w:szCs w:val="21"/>
          <w:highlight w:val="none"/>
        </w:rPr>
        <w:t>号文件规定，投标人须符合《关于在政府采购活动中查询及使用信用记录有关问题的通知》的相关要求，即具有良好的信用记录。</w:t>
      </w:r>
    </w:p>
    <w:p w14:paraId="38C4A445">
      <w:pPr>
        <w:widowControl/>
        <w:adjustRightInd w:val="0"/>
        <w:snapToGrid w:val="0"/>
        <w:spacing w:line="360" w:lineRule="auto"/>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投标人须提供本单位（出售文件起至递交投标文件截止日前）</w:t>
      </w:r>
      <w:r>
        <w:rPr>
          <w:rFonts w:ascii="宋体" w:hAnsi="宋体" w:cs="宋体"/>
          <w:color w:val="auto"/>
          <w:spacing w:val="6"/>
          <w:kern w:val="0"/>
          <w:szCs w:val="21"/>
          <w:highlight w:val="none"/>
        </w:rPr>
        <w:t>“</w:t>
      </w:r>
      <w:r>
        <w:rPr>
          <w:rFonts w:hint="eastAsia" w:ascii="宋体" w:hAnsi="宋体" w:cs="宋体"/>
          <w:color w:val="auto"/>
          <w:spacing w:val="6"/>
          <w:kern w:val="0"/>
          <w:szCs w:val="21"/>
          <w:highlight w:val="none"/>
        </w:rPr>
        <w:t>信用中国</w:t>
      </w:r>
      <w:r>
        <w:rPr>
          <w:rFonts w:ascii="宋体" w:hAnsi="宋体" w:cs="宋体"/>
          <w:color w:val="auto"/>
          <w:spacing w:val="6"/>
          <w:kern w:val="0"/>
          <w:szCs w:val="21"/>
          <w:highlight w:val="none"/>
        </w:rPr>
        <w:t>”</w:t>
      </w:r>
      <w:r>
        <w:rPr>
          <w:rFonts w:hint="eastAsia" w:ascii="宋体" w:hAnsi="宋体" w:cs="宋体"/>
          <w:color w:val="auto"/>
          <w:spacing w:val="6"/>
          <w:kern w:val="0"/>
          <w:szCs w:val="21"/>
          <w:highlight w:val="none"/>
        </w:rPr>
        <w:t>网站（</w:t>
      </w:r>
      <w:r>
        <w:rPr>
          <w:rFonts w:ascii="宋体" w:hAnsi="宋体" w:cs="宋体"/>
          <w:color w:val="auto"/>
          <w:spacing w:val="6"/>
          <w:kern w:val="0"/>
          <w:szCs w:val="21"/>
          <w:highlight w:val="none"/>
        </w:rPr>
        <w:t>www.creditchina.gov.cn</w:t>
      </w:r>
      <w:r>
        <w:rPr>
          <w:rFonts w:hint="eastAsia" w:ascii="宋体" w:hAnsi="宋体" w:cs="宋体"/>
          <w:color w:val="auto"/>
          <w:spacing w:val="6"/>
          <w:kern w:val="0"/>
          <w:szCs w:val="21"/>
          <w:highlight w:val="none"/>
        </w:rPr>
        <w:t>）及中国政府采购网（</w:t>
      </w:r>
      <w:r>
        <w:rPr>
          <w:rFonts w:ascii="宋体" w:hAnsi="宋体" w:cs="宋体"/>
          <w:color w:val="auto"/>
          <w:spacing w:val="6"/>
          <w:kern w:val="0"/>
          <w:szCs w:val="21"/>
          <w:highlight w:val="none"/>
        </w:rPr>
        <w:t>www.ccgp.gov.cn</w:t>
      </w:r>
      <w:r>
        <w:rPr>
          <w:rFonts w:hint="eastAsia" w:ascii="宋体" w:hAnsi="宋体" w:cs="宋体"/>
          <w:color w:val="auto"/>
          <w:spacing w:val="6"/>
          <w:kern w:val="0"/>
          <w:szCs w:val="21"/>
          <w:highlight w:val="none"/>
        </w:rPr>
        <w:t>）已公布的信用记录查询截图。</w:t>
      </w:r>
    </w:p>
    <w:p w14:paraId="3FED7105">
      <w:pPr>
        <w:widowControl/>
        <w:adjustRightInd w:val="0"/>
        <w:snapToGrid w:val="0"/>
        <w:spacing w:line="360" w:lineRule="auto"/>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截图含1）未被列入失信被执行人</w:t>
      </w:r>
    </w:p>
    <w:p w14:paraId="4DF60C51">
      <w:pPr>
        <w:widowControl/>
        <w:adjustRightInd w:val="0"/>
        <w:snapToGrid w:val="0"/>
        <w:spacing w:line="360" w:lineRule="auto"/>
        <w:ind w:firstLine="1221" w:firstLineChars="55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2）非重大税收违法案件当事人名单的投标人</w:t>
      </w:r>
    </w:p>
    <w:p w14:paraId="13EE1860">
      <w:pPr>
        <w:widowControl/>
        <w:adjustRightInd w:val="0"/>
        <w:snapToGrid w:val="0"/>
        <w:spacing w:line="360" w:lineRule="auto"/>
        <w:ind w:firstLine="1221" w:firstLineChars="55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3）未列入政府采购严重违法失信行为记录名单</w:t>
      </w:r>
    </w:p>
    <w:p w14:paraId="6BFD3642">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6E2C5006">
      <w:pPr>
        <w:widowControl/>
        <w:adjustRightInd w:val="0"/>
        <w:snapToGrid w:val="0"/>
        <w:spacing w:line="360" w:lineRule="auto"/>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例如：网站搜索页输入投标人名称，截图查询结果。</w:t>
      </w:r>
    </w:p>
    <w:p w14:paraId="42CFA814">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4E74BBAC">
      <w:pPr>
        <w:widowControl/>
        <w:adjustRightInd w:val="0"/>
        <w:snapToGrid w:val="0"/>
        <w:spacing w:line="360" w:lineRule="auto"/>
        <w:ind w:firstLine="446" w:firstLineChars="200"/>
        <w:jc w:val="left"/>
        <w:rPr>
          <w:rFonts w:ascii="宋体" w:hAnsi="宋体" w:cs="宋体"/>
          <w:b/>
          <w:color w:val="auto"/>
          <w:spacing w:val="6"/>
          <w:kern w:val="0"/>
          <w:szCs w:val="21"/>
          <w:highlight w:val="none"/>
        </w:rPr>
      </w:pPr>
      <w:r>
        <w:rPr>
          <w:rFonts w:hint="eastAsia" w:ascii="宋体" w:hAnsi="宋体" w:cs="宋体"/>
          <w:b/>
          <w:color w:val="auto"/>
          <w:spacing w:val="6"/>
          <w:kern w:val="0"/>
          <w:szCs w:val="21"/>
          <w:highlight w:val="none"/>
        </w:rPr>
        <w:t>说明：投标人提供的截图与采购人或采购代理机构查询截图不一致的，以采购人或采购代理机构查询结果为准。</w:t>
      </w:r>
    </w:p>
    <w:p w14:paraId="7DD7151C">
      <w:pPr>
        <w:widowControl/>
        <w:adjustRightInd w:val="0"/>
        <w:snapToGrid w:val="0"/>
        <w:spacing w:line="360" w:lineRule="auto"/>
        <w:ind w:firstLine="444" w:firstLineChars="200"/>
        <w:jc w:val="left"/>
        <w:rPr>
          <w:rFonts w:ascii="宋体" w:hAnsi="宋体" w:cs="宋体"/>
          <w:color w:val="auto"/>
          <w:spacing w:val="6"/>
          <w:kern w:val="0"/>
          <w:szCs w:val="21"/>
          <w:highlight w:val="none"/>
        </w:rPr>
        <w:sectPr>
          <w:footerReference r:id="rId9" w:type="even"/>
          <w:pgSz w:w="11906" w:h="16838"/>
          <w:pgMar w:top="1440" w:right="1800" w:bottom="1440" w:left="1800" w:header="851" w:footer="992" w:gutter="0"/>
          <w:pgNumType w:fmt="decimal"/>
          <w:cols w:space="720" w:num="1"/>
          <w:docGrid w:type="lines" w:linePitch="312" w:charSpace="0"/>
        </w:sectPr>
      </w:pPr>
    </w:p>
    <w:p w14:paraId="49893C44">
      <w:pPr>
        <w:pStyle w:val="3"/>
        <w:jc w:val="center"/>
        <w:rPr>
          <w:rFonts w:ascii="宋体" w:hAnsi="宋体"/>
          <w:color w:val="auto"/>
          <w:sz w:val="28"/>
          <w:szCs w:val="28"/>
          <w:highlight w:val="none"/>
        </w:rPr>
      </w:pPr>
      <w:bookmarkStart w:id="65" w:name="_Toc161933901"/>
      <w:bookmarkStart w:id="66" w:name="_Toc433187369"/>
      <w:r>
        <w:rPr>
          <w:rFonts w:hint="eastAsia" w:ascii="宋体" w:hAnsi="宋体"/>
          <w:color w:val="auto"/>
          <w:sz w:val="28"/>
          <w:szCs w:val="28"/>
          <w:highlight w:val="none"/>
        </w:rPr>
        <w:t>六、项目方案</w:t>
      </w:r>
      <w:bookmarkEnd w:id="65"/>
    </w:p>
    <w:p w14:paraId="7D9FFF9A">
      <w:pPr>
        <w:spacing w:line="360" w:lineRule="auto"/>
        <w:rPr>
          <w:rFonts w:ascii="宋体" w:hAnsi="宋体"/>
          <w:b/>
          <w:color w:val="auto"/>
          <w:szCs w:val="21"/>
          <w:highlight w:val="none"/>
        </w:rPr>
      </w:pPr>
    </w:p>
    <w:p w14:paraId="69B012EB">
      <w:pPr>
        <w:spacing w:line="420" w:lineRule="exact"/>
        <w:jc w:val="center"/>
        <w:rPr>
          <w:rFonts w:ascii="宋体" w:hAnsi="宋体"/>
          <w:bCs/>
          <w:color w:val="auto"/>
          <w:highlight w:val="none"/>
        </w:rPr>
      </w:pPr>
      <w:r>
        <w:rPr>
          <w:rFonts w:hint="eastAsia" w:ascii="宋体" w:hAnsi="宋体"/>
          <w:b/>
          <w:bCs/>
          <w:color w:val="auto"/>
          <w:highlight w:val="none"/>
          <w:lang w:val="en-GB"/>
        </w:rPr>
        <w:t>结合评审办法自行编制</w:t>
      </w:r>
      <w:r>
        <w:rPr>
          <w:rFonts w:ascii="宋体" w:hAnsi="宋体"/>
          <w:b/>
          <w:bCs/>
          <w:color w:val="auto"/>
          <w:highlight w:val="none"/>
        </w:rPr>
        <w:br w:type="page"/>
      </w:r>
      <w:bookmarkStart w:id="67" w:name="_Toc531624162"/>
      <w:bookmarkStart w:id="68" w:name="_Toc3979604"/>
      <w:bookmarkStart w:id="69" w:name="_Toc533178576"/>
      <w:r>
        <w:rPr>
          <w:rFonts w:hint="eastAsia" w:ascii="宋体" w:hAnsi="宋体"/>
          <w:bCs/>
          <w:color w:val="auto"/>
          <w:sz w:val="24"/>
          <w:highlight w:val="none"/>
        </w:rPr>
        <w:t>附件</w:t>
      </w:r>
      <w:bookmarkEnd w:id="67"/>
      <w:r>
        <w:rPr>
          <w:rFonts w:hint="eastAsia" w:ascii="宋体" w:hAnsi="宋体"/>
          <w:bCs/>
          <w:color w:val="auto"/>
          <w:sz w:val="24"/>
          <w:highlight w:val="none"/>
        </w:rPr>
        <w:t>1</w:t>
      </w:r>
      <w:bookmarkEnd w:id="68"/>
      <w:bookmarkEnd w:id="69"/>
      <w:r>
        <w:rPr>
          <w:rFonts w:hint="eastAsia" w:ascii="宋体" w:hAnsi="宋体"/>
          <w:bCs/>
          <w:color w:val="auto"/>
          <w:sz w:val="24"/>
          <w:highlight w:val="none"/>
        </w:rPr>
        <w:t>4</w:t>
      </w:r>
    </w:p>
    <w:p w14:paraId="22D38689">
      <w:pPr>
        <w:spacing w:line="420" w:lineRule="exact"/>
        <w:jc w:val="center"/>
        <w:rPr>
          <w:rFonts w:ascii="宋体" w:hAnsi="宋体"/>
          <w:b/>
          <w:color w:val="auto"/>
          <w:sz w:val="24"/>
          <w:highlight w:val="none"/>
        </w:rPr>
      </w:pPr>
      <w:r>
        <w:rPr>
          <w:rFonts w:hint="eastAsia" w:ascii="宋体" w:hAnsi="宋体"/>
          <w:b/>
          <w:color w:val="auto"/>
          <w:sz w:val="24"/>
          <w:highlight w:val="none"/>
        </w:rPr>
        <w:t>拟投入本项目的人员一览表</w:t>
      </w:r>
    </w:p>
    <w:p w14:paraId="0662ABEE">
      <w:pPr>
        <w:spacing w:line="360" w:lineRule="exact"/>
        <w:jc w:val="left"/>
        <w:rPr>
          <w:rFonts w:ascii="宋体" w:hAnsi="宋体"/>
          <w:b/>
          <w:color w:val="auto"/>
          <w:highlight w:val="none"/>
        </w:rPr>
      </w:pPr>
      <w:r>
        <w:rPr>
          <w:rFonts w:hint="eastAsia" w:ascii="宋体" w:hAnsi="宋体"/>
          <w:b/>
          <w:color w:val="auto"/>
          <w:highlight w:val="none"/>
        </w:rPr>
        <w:t xml:space="preserve">                          </w:t>
      </w:r>
    </w:p>
    <w:tbl>
      <w:tblPr>
        <w:tblStyle w:val="47"/>
        <w:tblW w:w="70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183"/>
        <w:gridCol w:w="945"/>
        <w:gridCol w:w="1137"/>
        <w:gridCol w:w="1359"/>
        <w:gridCol w:w="1142"/>
      </w:tblGrid>
      <w:tr w14:paraId="2E42B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exact"/>
          <w:jc w:val="center"/>
        </w:trPr>
        <w:tc>
          <w:tcPr>
            <w:tcW w:w="1276" w:type="dxa"/>
            <w:vAlign w:val="center"/>
          </w:tcPr>
          <w:p w14:paraId="7DDD3D23">
            <w:pPr>
              <w:jc w:val="center"/>
              <w:rPr>
                <w:rFonts w:ascii="宋体" w:hAnsi="宋体"/>
                <w:color w:val="auto"/>
                <w:highlight w:val="none"/>
              </w:rPr>
            </w:pPr>
            <w:r>
              <w:rPr>
                <w:rFonts w:hint="eastAsia" w:ascii="宋体" w:hAnsi="宋体"/>
                <w:color w:val="auto"/>
                <w:highlight w:val="none"/>
              </w:rPr>
              <w:t>职责分工</w:t>
            </w:r>
          </w:p>
        </w:tc>
        <w:tc>
          <w:tcPr>
            <w:tcW w:w="1183" w:type="dxa"/>
            <w:vAlign w:val="center"/>
          </w:tcPr>
          <w:p w14:paraId="74DB7B6A">
            <w:pPr>
              <w:jc w:val="center"/>
              <w:rPr>
                <w:rFonts w:ascii="宋体" w:hAnsi="宋体"/>
                <w:color w:val="auto"/>
                <w:highlight w:val="none"/>
              </w:rPr>
            </w:pPr>
            <w:r>
              <w:rPr>
                <w:rFonts w:hint="eastAsia" w:ascii="宋体" w:hAnsi="宋体"/>
                <w:color w:val="auto"/>
                <w:highlight w:val="none"/>
              </w:rPr>
              <w:t>姓名</w:t>
            </w:r>
          </w:p>
        </w:tc>
        <w:tc>
          <w:tcPr>
            <w:tcW w:w="945" w:type="dxa"/>
            <w:vAlign w:val="center"/>
          </w:tcPr>
          <w:p w14:paraId="45397364">
            <w:pPr>
              <w:jc w:val="center"/>
              <w:rPr>
                <w:rFonts w:ascii="宋体" w:hAnsi="宋体"/>
                <w:color w:val="auto"/>
                <w:highlight w:val="none"/>
              </w:rPr>
            </w:pPr>
            <w:r>
              <w:rPr>
                <w:rFonts w:hint="eastAsia" w:ascii="宋体" w:hAnsi="宋体"/>
                <w:color w:val="auto"/>
                <w:highlight w:val="none"/>
              </w:rPr>
              <w:t>年龄</w:t>
            </w:r>
          </w:p>
        </w:tc>
        <w:tc>
          <w:tcPr>
            <w:tcW w:w="1137" w:type="dxa"/>
            <w:vAlign w:val="center"/>
          </w:tcPr>
          <w:p w14:paraId="27AE0E8C">
            <w:pPr>
              <w:jc w:val="center"/>
              <w:rPr>
                <w:rFonts w:ascii="宋体" w:hAnsi="宋体"/>
                <w:color w:val="auto"/>
                <w:highlight w:val="none"/>
              </w:rPr>
            </w:pPr>
            <w:r>
              <w:rPr>
                <w:rFonts w:hint="eastAsia" w:ascii="宋体" w:hAnsi="宋体"/>
                <w:color w:val="auto"/>
                <w:highlight w:val="none"/>
              </w:rPr>
              <w:t>专业</w:t>
            </w:r>
          </w:p>
        </w:tc>
        <w:tc>
          <w:tcPr>
            <w:tcW w:w="1359" w:type="dxa"/>
            <w:vAlign w:val="center"/>
          </w:tcPr>
          <w:p w14:paraId="050A313F">
            <w:pPr>
              <w:jc w:val="center"/>
              <w:rPr>
                <w:rFonts w:ascii="宋体" w:hAnsi="宋体"/>
                <w:color w:val="auto"/>
                <w:highlight w:val="none"/>
              </w:rPr>
            </w:pPr>
            <w:r>
              <w:rPr>
                <w:rFonts w:hint="eastAsia" w:ascii="宋体" w:hAnsi="宋体"/>
                <w:color w:val="auto"/>
                <w:highlight w:val="none"/>
              </w:rPr>
              <w:t>在本项目中担任的岗位</w:t>
            </w:r>
          </w:p>
        </w:tc>
        <w:tc>
          <w:tcPr>
            <w:tcW w:w="1142" w:type="dxa"/>
            <w:vAlign w:val="center"/>
          </w:tcPr>
          <w:p w14:paraId="6BD1149F">
            <w:pPr>
              <w:ind w:firstLine="12"/>
              <w:jc w:val="center"/>
              <w:rPr>
                <w:rFonts w:ascii="宋体" w:hAnsi="宋体"/>
                <w:color w:val="auto"/>
                <w:highlight w:val="none"/>
              </w:rPr>
            </w:pPr>
            <w:r>
              <w:rPr>
                <w:rFonts w:hint="eastAsia" w:ascii="宋体" w:hAnsi="宋体"/>
                <w:color w:val="auto"/>
                <w:highlight w:val="none"/>
              </w:rPr>
              <w:t>备注</w:t>
            </w:r>
          </w:p>
        </w:tc>
      </w:tr>
      <w:tr w14:paraId="09358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Align w:val="center"/>
          </w:tcPr>
          <w:p w14:paraId="2F89CE86">
            <w:pPr>
              <w:jc w:val="center"/>
              <w:rPr>
                <w:rFonts w:ascii="宋体" w:hAnsi="宋体"/>
                <w:color w:val="auto"/>
                <w:highlight w:val="none"/>
              </w:rPr>
            </w:pPr>
            <w:r>
              <w:rPr>
                <w:rFonts w:hint="eastAsia" w:ascii="宋体" w:hAnsi="宋体"/>
                <w:color w:val="auto"/>
                <w:highlight w:val="none"/>
              </w:rPr>
              <w:t>项目负责人</w:t>
            </w:r>
          </w:p>
        </w:tc>
        <w:tc>
          <w:tcPr>
            <w:tcW w:w="1183" w:type="dxa"/>
            <w:vAlign w:val="center"/>
          </w:tcPr>
          <w:p w14:paraId="5A2192F5">
            <w:pPr>
              <w:jc w:val="center"/>
              <w:rPr>
                <w:rFonts w:ascii="宋体" w:hAnsi="宋体"/>
                <w:color w:val="auto"/>
                <w:highlight w:val="none"/>
              </w:rPr>
            </w:pPr>
          </w:p>
        </w:tc>
        <w:tc>
          <w:tcPr>
            <w:tcW w:w="945" w:type="dxa"/>
            <w:vAlign w:val="center"/>
          </w:tcPr>
          <w:p w14:paraId="0B1621A2">
            <w:pPr>
              <w:jc w:val="center"/>
              <w:rPr>
                <w:rFonts w:ascii="宋体" w:hAnsi="宋体"/>
                <w:color w:val="auto"/>
                <w:highlight w:val="none"/>
              </w:rPr>
            </w:pPr>
          </w:p>
        </w:tc>
        <w:tc>
          <w:tcPr>
            <w:tcW w:w="1137" w:type="dxa"/>
            <w:vAlign w:val="center"/>
          </w:tcPr>
          <w:p w14:paraId="63CE791F">
            <w:pPr>
              <w:pStyle w:val="255"/>
              <w:keepNext w:val="0"/>
              <w:adjustRightInd/>
              <w:spacing w:before="0" w:after="0" w:line="240" w:lineRule="auto"/>
              <w:textAlignment w:val="auto"/>
              <w:rPr>
                <w:rFonts w:ascii="宋体" w:hAnsi="宋体"/>
                <w:snapToGrid/>
                <w:color w:val="auto"/>
                <w:spacing w:val="0"/>
                <w:kern w:val="2"/>
                <w:szCs w:val="24"/>
                <w:highlight w:val="none"/>
              </w:rPr>
            </w:pPr>
          </w:p>
        </w:tc>
        <w:tc>
          <w:tcPr>
            <w:tcW w:w="1359" w:type="dxa"/>
            <w:vAlign w:val="center"/>
          </w:tcPr>
          <w:p w14:paraId="001B5BE5">
            <w:pPr>
              <w:jc w:val="center"/>
              <w:rPr>
                <w:rFonts w:ascii="宋体" w:hAnsi="宋体"/>
                <w:color w:val="auto"/>
                <w:highlight w:val="none"/>
              </w:rPr>
            </w:pPr>
          </w:p>
        </w:tc>
        <w:tc>
          <w:tcPr>
            <w:tcW w:w="1142" w:type="dxa"/>
            <w:vAlign w:val="center"/>
          </w:tcPr>
          <w:p w14:paraId="188D65E0">
            <w:pPr>
              <w:ind w:firstLine="12"/>
              <w:jc w:val="center"/>
              <w:rPr>
                <w:rFonts w:ascii="宋体" w:hAnsi="宋体"/>
                <w:color w:val="auto"/>
                <w:highlight w:val="none"/>
              </w:rPr>
            </w:pPr>
          </w:p>
        </w:tc>
      </w:tr>
      <w:tr w14:paraId="2E025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restart"/>
            <w:vAlign w:val="center"/>
          </w:tcPr>
          <w:p w14:paraId="006B3A7B">
            <w:pPr>
              <w:jc w:val="center"/>
              <w:rPr>
                <w:rFonts w:ascii="宋体" w:hAnsi="宋体"/>
                <w:color w:val="auto"/>
                <w:highlight w:val="none"/>
              </w:rPr>
            </w:pPr>
            <w:r>
              <w:rPr>
                <w:rFonts w:hint="eastAsia" w:ascii="宋体" w:hAnsi="宋体"/>
                <w:color w:val="auto"/>
                <w:highlight w:val="none"/>
              </w:rPr>
              <w:t>其他人员</w:t>
            </w:r>
          </w:p>
        </w:tc>
        <w:tc>
          <w:tcPr>
            <w:tcW w:w="1183" w:type="dxa"/>
            <w:vAlign w:val="center"/>
          </w:tcPr>
          <w:p w14:paraId="65F110E5">
            <w:pPr>
              <w:jc w:val="center"/>
              <w:rPr>
                <w:rFonts w:ascii="宋体" w:hAnsi="宋体"/>
                <w:color w:val="auto"/>
                <w:highlight w:val="none"/>
              </w:rPr>
            </w:pPr>
          </w:p>
        </w:tc>
        <w:tc>
          <w:tcPr>
            <w:tcW w:w="945" w:type="dxa"/>
            <w:vAlign w:val="center"/>
          </w:tcPr>
          <w:p w14:paraId="441FAB4E">
            <w:pPr>
              <w:jc w:val="center"/>
              <w:rPr>
                <w:rFonts w:ascii="宋体" w:hAnsi="宋体"/>
                <w:color w:val="auto"/>
                <w:highlight w:val="none"/>
              </w:rPr>
            </w:pPr>
          </w:p>
        </w:tc>
        <w:tc>
          <w:tcPr>
            <w:tcW w:w="1137" w:type="dxa"/>
            <w:vAlign w:val="center"/>
          </w:tcPr>
          <w:p w14:paraId="32179233">
            <w:pPr>
              <w:jc w:val="center"/>
              <w:rPr>
                <w:rFonts w:ascii="宋体" w:hAnsi="宋体"/>
                <w:color w:val="auto"/>
                <w:highlight w:val="none"/>
              </w:rPr>
            </w:pPr>
          </w:p>
        </w:tc>
        <w:tc>
          <w:tcPr>
            <w:tcW w:w="1359" w:type="dxa"/>
            <w:vAlign w:val="center"/>
          </w:tcPr>
          <w:p w14:paraId="5459A23D">
            <w:pPr>
              <w:jc w:val="center"/>
              <w:rPr>
                <w:rFonts w:ascii="宋体" w:hAnsi="宋体"/>
                <w:color w:val="auto"/>
                <w:highlight w:val="none"/>
              </w:rPr>
            </w:pPr>
          </w:p>
        </w:tc>
        <w:tc>
          <w:tcPr>
            <w:tcW w:w="1142" w:type="dxa"/>
            <w:vAlign w:val="center"/>
          </w:tcPr>
          <w:p w14:paraId="56586230">
            <w:pPr>
              <w:jc w:val="center"/>
              <w:rPr>
                <w:rFonts w:ascii="宋体" w:hAnsi="宋体"/>
                <w:color w:val="auto"/>
                <w:highlight w:val="none"/>
              </w:rPr>
            </w:pPr>
          </w:p>
        </w:tc>
      </w:tr>
      <w:tr w14:paraId="290DB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3066BE27">
            <w:pPr>
              <w:jc w:val="center"/>
              <w:rPr>
                <w:rFonts w:ascii="宋体" w:hAnsi="宋体"/>
                <w:color w:val="auto"/>
                <w:highlight w:val="none"/>
              </w:rPr>
            </w:pPr>
          </w:p>
        </w:tc>
        <w:tc>
          <w:tcPr>
            <w:tcW w:w="1183" w:type="dxa"/>
            <w:vAlign w:val="center"/>
          </w:tcPr>
          <w:p w14:paraId="5B3E2743">
            <w:pPr>
              <w:jc w:val="center"/>
              <w:rPr>
                <w:rFonts w:ascii="宋体" w:hAnsi="宋体"/>
                <w:color w:val="auto"/>
                <w:highlight w:val="none"/>
              </w:rPr>
            </w:pPr>
          </w:p>
        </w:tc>
        <w:tc>
          <w:tcPr>
            <w:tcW w:w="945" w:type="dxa"/>
            <w:vAlign w:val="center"/>
          </w:tcPr>
          <w:p w14:paraId="267B95D9">
            <w:pPr>
              <w:jc w:val="center"/>
              <w:rPr>
                <w:rFonts w:ascii="宋体" w:hAnsi="宋体"/>
                <w:color w:val="auto"/>
                <w:highlight w:val="none"/>
              </w:rPr>
            </w:pPr>
          </w:p>
        </w:tc>
        <w:tc>
          <w:tcPr>
            <w:tcW w:w="1137" w:type="dxa"/>
            <w:vAlign w:val="center"/>
          </w:tcPr>
          <w:p w14:paraId="0D0156C5">
            <w:pPr>
              <w:jc w:val="center"/>
              <w:rPr>
                <w:rFonts w:ascii="宋体" w:hAnsi="宋体"/>
                <w:color w:val="auto"/>
                <w:highlight w:val="none"/>
              </w:rPr>
            </w:pPr>
          </w:p>
        </w:tc>
        <w:tc>
          <w:tcPr>
            <w:tcW w:w="1359" w:type="dxa"/>
            <w:vAlign w:val="center"/>
          </w:tcPr>
          <w:p w14:paraId="70516374">
            <w:pPr>
              <w:jc w:val="center"/>
              <w:rPr>
                <w:rFonts w:ascii="宋体" w:hAnsi="宋体"/>
                <w:color w:val="auto"/>
                <w:highlight w:val="none"/>
              </w:rPr>
            </w:pPr>
          </w:p>
        </w:tc>
        <w:tc>
          <w:tcPr>
            <w:tcW w:w="1142" w:type="dxa"/>
            <w:vAlign w:val="center"/>
          </w:tcPr>
          <w:p w14:paraId="4E0BDE6A">
            <w:pPr>
              <w:jc w:val="center"/>
              <w:rPr>
                <w:rFonts w:ascii="宋体" w:hAnsi="宋体"/>
                <w:color w:val="auto"/>
                <w:highlight w:val="none"/>
              </w:rPr>
            </w:pPr>
          </w:p>
        </w:tc>
      </w:tr>
      <w:tr w14:paraId="6B549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11A34B03">
            <w:pPr>
              <w:jc w:val="center"/>
              <w:rPr>
                <w:rFonts w:ascii="宋体" w:hAnsi="宋体"/>
                <w:color w:val="auto"/>
                <w:highlight w:val="none"/>
              </w:rPr>
            </w:pPr>
          </w:p>
        </w:tc>
        <w:tc>
          <w:tcPr>
            <w:tcW w:w="1183" w:type="dxa"/>
            <w:vAlign w:val="center"/>
          </w:tcPr>
          <w:p w14:paraId="60AFA1B2">
            <w:pPr>
              <w:jc w:val="center"/>
              <w:rPr>
                <w:rFonts w:ascii="宋体" w:hAnsi="宋体"/>
                <w:color w:val="auto"/>
                <w:highlight w:val="none"/>
              </w:rPr>
            </w:pPr>
          </w:p>
        </w:tc>
        <w:tc>
          <w:tcPr>
            <w:tcW w:w="945" w:type="dxa"/>
            <w:vAlign w:val="center"/>
          </w:tcPr>
          <w:p w14:paraId="6D2FA127">
            <w:pPr>
              <w:jc w:val="center"/>
              <w:rPr>
                <w:rFonts w:ascii="宋体" w:hAnsi="宋体"/>
                <w:color w:val="auto"/>
                <w:highlight w:val="none"/>
              </w:rPr>
            </w:pPr>
          </w:p>
        </w:tc>
        <w:tc>
          <w:tcPr>
            <w:tcW w:w="1137" w:type="dxa"/>
            <w:vAlign w:val="center"/>
          </w:tcPr>
          <w:p w14:paraId="4F70C38A">
            <w:pPr>
              <w:jc w:val="center"/>
              <w:rPr>
                <w:rFonts w:ascii="宋体" w:hAnsi="宋体"/>
                <w:color w:val="auto"/>
                <w:highlight w:val="none"/>
              </w:rPr>
            </w:pPr>
          </w:p>
        </w:tc>
        <w:tc>
          <w:tcPr>
            <w:tcW w:w="1359" w:type="dxa"/>
            <w:vAlign w:val="center"/>
          </w:tcPr>
          <w:p w14:paraId="5ED7B695">
            <w:pPr>
              <w:jc w:val="center"/>
              <w:rPr>
                <w:rFonts w:ascii="宋体" w:hAnsi="宋体"/>
                <w:color w:val="auto"/>
                <w:highlight w:val="none"/>
              </w:rPr>
            </w:pPr>
          </w:p>
        </w:tc>
        <w:tc>
          <w:tcPr>
            <w:tcW w:w="1142" w:type="dxa"/>
            <w:vAlign w:val="center"/>
          </w:tcPr>
          <w:p w14:paraId="4A16EDA1">
            <w:pPr>
              <w:jc w:val="center"/>
              <w:rPr>
                <w:rFonts w:ascii="宋体" w:hAnsi="宋体"/>
                <w:color w:val="auto"/>
                <w:highlight w:val="none"/>
              </w:rPr>
            </w:pPr>
          </w:p>
        </w:tc>
      </w:tr>
      <w:tr w14:paraId="69DA2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15EA07E2">
            <w:pPr>
              <w:jc w:val="center"/>
              <w:rPr>
                <w:rFonts w:ascii="宋体" w:hAnsi="宋体"/>
                <w:color w:val="auto"/>
                <w:highlight w:val="none"/>
              </w:rPr>
            </w:pPr>
          </w:p>
        </w:tc>
        <w:tc>
          <w:tcPr>
            <w:tcW w:w="1183" w:type="dxa"/>
            <w:vAlign w:val="center"/>
          </w:tcPr>
          <w:p w14:paraId="51549EA7">
            <w:pPr>
              <w:jc w:val="center"/>
              <w:rPr>
                <w:rFonts w:ascii="宋体" w:hAnsi="宋体"/>
                <w:color w:val="auto"/>
                <w:highlight w:val="none"/>
              </w:rPr>
            </w:pPr>
          </w:p>
        </w:tc>
        <w:tc>
          <w:tcPr>
            <w:tcW w:w="945" w:type="dxa"/>
            <w:vAlign w:val="center"/>
          </w:tcPr>
          <w:p w14:paraId="479E9DD2">
            <w:pPr>
              <w:jc w:val="center"/>
              <w:rPr>
                <w:rFonts w:ascii="宋体" w:hAnsi="宋体"/>
                <w:color w:val="auto"/>
                <w:highlight w:val="none"/>
              </w:rPr>
            </w:pPr>
          </w:p>
        </w:tc>
        <w:tc>
          <w:tcPr>
            <w:tcW w:w="1137" w:type="dxa"/>
            <w:vAlign w:val="center"/>
          </w:tcPr>
          <w:p w14:paraId="6D6DB29B">
            <w:pPr>
              <w:jc w:val="center"/>
              <w:rPr>
                <w:rFonts w:ascii="宋体" w:hAnsi="宋体"/>
                <w:color w:val="auto"/>
                <w:highlight w:val="none"/>
              </w:rPr>
            </w:pPr>
          </w:p>
        </w:tc>
        <w:tc>
          <w:tcPr>
            <w:tcW w:w="1359" w:type="dxa"/>
            <w:vAlign w:val="center"/>
          </w:tcPr>
          <w:p w14:paraId="3A38203A">
            <w:pPr>
              <w:jc w:val="center"/>
              <w:rPr>
                <w:rFonts w:ascii="宋体" w:hAnsi="宋体"/>
                <w:color w:val="auto"/>
                <w:highlight w:val="none"/>
              </w:rPr>
            </w:pPr>
          </w:p>
        </w:tc>
        <w:tc>
          <w:tcPr>
            <w:tcW w:w="1142" w:type="dxa"/>
            <w:vAlign w:val="center"/>
          </w:tcPr>
          <w:p w14:paraId="5C651645">
            <w:pPr>
              <w:jc w:val="center"/>
              <w:rPr>
                <w:rFonts w:ascii="宋体" w:hAnsi="宋体"/>
                <w:color w:val="auto"/>
                <w:highlight w:val="none"/>
              </w:rPr>
            </w:pPr>
          </w:p>
        </w:tc>
      </w:tr>
      <w:tr w14:paraId="74AC8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0A1E996E">
            <w:pPr>
              <w:jc w:val="center"/>
              <w:rPr>
                <w:rFonts w:ascii="宋体" w:hAnsi="宋体"/>
                <w:color w:val="auto"/>
                <w:highlight w:val="none"/>
              </w:rPr>
            </w:pPr>
          </w:p>
        </w:tc>
        <w:tc>
          <w:tcPr>
            <w:tcW w:w="1183" w:type="dxa"/>
            <w:vAlign w:val="center"/>
          </w:tcPr>
          <w:p w14:paraId="7B008FE9">
            <w:pPr>
              <w:jc w:val="center"/>
              <w:rPr>
                <w:rFonts w:ascii="宋体" w:hAnsi="宋体"/>
                <w:color w:val="auto"/>
                <w:highlight w:val="none"/>
              </w:rPr>
            </w:pPr>
          </w:p>
        </w:tc>
        <w:tc>
          <w:tcPr>
            <w:tcW w:w="945" w:type="dxa"/>
            <w:vAlign w:val="center"/>
          </w:tcPr>
          <w:p w14:paraId="4E223871">
            <w:pPr>
              <w:jc w:val="center"/>
              <w:rPr>
                <w:rFonts w:ascii="宋体" w:hAnsi="宋体"/>
                <w:color w:val="auto"/>
                <w:highlight w:val="none"/>
              </w:rPr>
            </w:pPr>
          </w:p>
        </w:tc>
        <w:tc>
          <w:tcPr>
            <w:tcW w:w="1137" w:type="dxa"/>
            <w:vAlign w:val="center"/>
          </w:tcPr>
          <w:p w14:paraId="05DEB3F4">
            <w:pPr>
              <w:jc w:val="center"/>
              <w:rPr>
                <w:rFonts w:ascii="宋体" w:hAnsi="宋体"/>
                <w:color w:val="auto"/>
                <w:highlight w:val="none"/>
              </w:rPr>
            </w:pPr>
          </w:p>
        </w:tc>
        <w:tc>
          <w:tcPr>
            <w:tcW w:w="1359" w:type="dxa"/>
            <w:vAlign w:val="center"/>
          </w:tcPr>
          <w:p w14:paraId="78918EAA">
            <w:pPr>
              <w:jc w:val="center"/>
              <w:rPr>
                <w:rFonts w:ascii="宋体" w:hAnsi="宋体"/>
                <w:color w:val="auto"/>
                <w:highlight w:val="none"/>
              </w:rPr>
            </w:pPr>
          </w:p>
        </w:tc>
        <w:tc>
          <w:tcPr>
            <w:tcW w:w="1142" w:type="dxa"/>
            <w:vAlign w:val="center"/>
          </w:tcPr>
          <w:p w14:paraId="0BE56230">
            <w:pPr>
              <w:jc w:val="center"/>
              <w:rPr>
                <w:rFonts w:ascii="宋体" w:hAnsi="宋体"/>
                <w:color w:val="auto"/>
                <w:highlight w:val="none"/>
              </w:rPr>
            </w:pPr>
          </w:p>
        </w:tc>
      </w:tr>
      <w:tr w14:paraId="56749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5D1C4806">
            <w:pPr>
              <w:jc w:val="center"/>
              <w:rPr>
                <w:rFonts w:ascii="宋体" w:hAnsi="宋体"/>
                <w:color w:val="auto"/>
                <w:highlight w:val="none"/>
              </w:rPr>
            </w:pPr>
          </w:p>
        </w:tc>
        <w:tc>
          <w:tcPr>
            <w:tcW w:w="1183" w:type="dxa"/>
            <w:vAlign w:val="center"/>
          </w:tcPr>
          <w:p w14:paraId="6DB4A3FE">
            <w:pPr>
              <w:jc w:val="center"/>
              <w:rPr>
                <w:rFonts w:ascii="宋体" w:hAnsi="宋体"/>
                <w:color w:val="auto"/>
                <w:highlight w:val="none"/>
              </w:rPr>
            </w:pPr>
          </w:p>
        </w:tc>
        <w:tc>
          <w:tcPr>
            <w:tcW w:w="945" w:type="dxa"/>
            <w:vAlign w:val="center"/>
          </w:tcPr>
          <w:p w14:paraId="5AE826F4">
            <w:pPr>
              <w:jc w:val="center"/>
              <w:rPr>
                <w:rFonts w:ascii="宋体" w:hAnsi="宋体"/>
                <w:color w:val="auto"/>
                <w:highlight w:val="none"/>
              </w:rPr>
            </w:pPr>
          </w:p>
        </w:tc>
        <w:tc>
          <w:tcPr>
            <w:tcW w:w="1137" w:type="dxa"/>
            <w:vAlign w:val="center"/>
          </w:tcPr>
          <w:p w14:paraId="0ABA1C3C">
            <w:pPr>
              <w:jc w:val="center"/>
              <w:rPr>
                <w:rFonts w:ascii="宋体" w:hAnsi="宋体"/>
                <w:color w:val="auto"/>
                <w:highlight w:val="none"/>
              </w:rPr>
            </w:pPr>
          </w:p>
        </w:tc>
        <w:tc>
          <w:tcPr>
            <w:tcW w:w="1359" w:type="dxa"/>
            <w:vAlign w:val="center"/>
          </w:tcPr>
          <w:p w14:paraId="6DC4B52B">
            <w:pPr>
              <w:jc w:val="center"/>
              <w:rPr>
                <w:rFonts w:ascii="宋体" w:hAnsi="宋体"/>
                <w:color w:val="auto"/>
                <w:highlight w:val="none"/>
              </w:rPr>
            </w:pPr>
          </w:p>
        </w:tc>
        <w:tc>
          <w:tcPr>
            <w:tcW w:w="1142" w:type="dxa"/>
            <w:vAlign w:val="center"/>
          </w:tcPr>
          <w:p w14:paraId="42BE62D5">
            <w:pPr>
              <w:jc w:val="center"/>
              <w:rPr>
                <w:rFonts w:ascii="宋体" w:hAnsi="宋体"/>
                <w:color w:val="auto"/>
                <w:highlight w:val="none"/>
              </w:rPr>
            </w:pPr>
          </w:p>
        </w:tc>
      </w:tr>
      <w:tr w14:paraId="5AF54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tcBorders>
              <w:bottom w:val="single" w:color="auto" w:sz="4" w:space="0"/>
            </w:tcBorders>
            <w:vAlign w:val="center"/>
          </w:tcPr>
          <w:p w14:paraId="41024295">
            <w:pPr>
              <w:jc w:val="center"/>
              <w:rPr>
                <w:rFonts w:ascii="宋体" w:hAnsi="宋体"/>
                <w:color w:val="auto"/>
                <w:highlight w:val="none"/>
              </w:rPr>
            </w:pPr>
          </w:p>
        </w:tc>
        <w:tc>
          <w:tcPr>
            <w:tcW w:w="1183" w:type="dxa"/>
            <w:tcBorders>
              <w:bottom w:val="single" w:color="auto" w:sz="4" w:space="0"/>
            </w:tcBorders>
            <w:vAlign w:val="center"/>
          </w:tcPr>
          <w:p w14:paraId="72F1A56D">
            <w:pPr>
              <w:jc w:val="center"/>
              <w:rPr>
                <w:rFonts w:ascii="宋体" w:hAnsi="宋体"/>
                <w:color w:val="auto"/>
                <w:highlight w:val="none"/>
              </w:rPr>
            </w:pPr>
          </w:p>
        </w:tc>
        <w:tc>
          <w:tcPr>
            <w:tcW w:w="945" w:type="dxa"/>
            <w:vAlign w:val="center"/>
          </w:tcPr>
          <w:p w14:paraId="6D84AB68">
            <w:pPr>
              <w:jc w:val="center"/>
              <w:rPr>
                <w:rFonts w:ascii="宋体" w:hAnsi="宋体"/>
                <w:color w:val="auto"/>
                <w:highlight w:val="none"/>
              </w:rPr>
            </w:pPr>
          </w:p>
        </w:tc>
        <w:tc>
          <w:tcPr>
            <w:tcW w:w="1137" w:type="dxa"/>
            <w:vAlign w:val="center"/>
          </w:tcPr>
          <w:p w14:paraId="50D73BA1">
            <w:pPr>
              <w:jc w:val="center"/>
              <w:rPr>
                <w:rFonts w:ascii="宋体" w:hAnsi="宋体"/>
                <w:color w:val="auto"/>
                <w:highlight w:val="none"/>
              </w:rPr>
            </w:pPr>
          </w:p>
        </w:tc>
        <w:tc>
          <w:tcPr>
            <w:tcW w:w="1359" w:type="dxa"/>
            <w:vAlign w:val="center"/>
          </w:tcPr>
          <w:p w14:paraId="363A53FE">
            <w:pPr>
              <w:jc w:val="center"/>
              <w:rPr>
                <w:rFonts w:ascii="宋体" w:hAnsi="宋体"/>
                <w:color w:val="auto"/>
                <w:highlight w:val="none"/>
              </w:rPr>
            </w:pPr>
          </w:p>
        </w:tc>
        <w:tc>
          <w:tcPr>
            <w:tcW w:w="1142" w:type="dxa"/>
            <w:vAlign w:val="center"/>
          </w:tcPr>
          <w:p w14:paraId="59C6AB6A">
            <w:pPr>
              <w:jc w:val="center"/>
              <w:rPr>
                <w:rFonts w:ascii="宋体" w:hAnsi="宋体"/>
                <w:color w:val="auto"/>
                <w:highlight w:val="none"/>
              </w:rPr>
            </w:pPr>
          </w:p>
        </w:tc>
      </w:tr>
    </w:tbl>
    <w:p w14:paraId="677DE7AC">
      <w:pPr>
        <w:spacing w:line="400" w:lineRule="exact"/>
        <w:rPr>
          <w:rFonts w:ascii="宋体" w:hAnsi="宋体"/>
          <w:color w:val="auto"/>
          <w:highlight w:val="none"/>
        </w:rPr>
      </w:pPr>
    </w:p>
    <w:p w14:paraId="61C9563F">
      <w:pPr>
        <w:spacing w:line="400" w:lineRule="exact"/>
        <w:rPr>
          <w:rFonts w:ascii="宋体" w:hAnsi="宋体"/>
          <w:color w:val="auto"/>
          <w:highlight w:val="none"/>
        </w:rPr>
      </w:pPr>
      <w:r>
        <w:rPr>
          <w:rFonts w:ascii="宋体" w:hAnsi="宋体"/>
          <w:color w:val="auto"/>
          <w:highlight w:val="none"/>
        </w:rPr>
        <w:t xml:space="preserve"> </w:t>
      </w:r>
    </w:p>
    <w:p w14:paraId="5D6F88A9">
      <w:pPr>
        <w:spacing w:line="400" w:lineRule="exact"/>
        <w:rPr>
          <w:rFonts w:ascii="宋体" w:hAnsi="宋体"/>
          <w:color w:val="auto"/>
          <w:highlight w:val="none"/>
        </w:rPr>
      </w:pPr>
    </w:p>
    <w:p w14:paraId="3C37A59E">
      <w:pPr>
        <w:spacing w:line="400" w:lineRule="exact"/>
        <w:rPr>
          <w:rFonts w:ascii="宋体" w:hAnsi="宋体"/>
          <w:color w:val="auto"/>
          <w:highlight w:val="none"/>
        </w:rPr>
      </w:pPr>
    </w:p>
    <w:p w14:paraId="132E4D49">
      <w:pPr>
        <w:spacing w:line="400" w:lineRule="exact"/>
        <w:rPr>
          <w:rFonts w:ascii="宋体" w:hAnsi="宋体"/>
          <w:color w:val="auto"/>
          <w:highlight w:val="none"/>
        </w:rPr>
      </w:pPr>
    </w:p>
    <w:p w14:paraId="1EE8A5C3">
      <w:pPr>
        <w:pStyle w:val="25"/>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09014431">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4F5F558E">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67137E27">
      <w:pPr>
        <w:spacing w:line="400" w:lineRule="exact"/>
        <w:rPr>
          <w:rFonts w:ascii="宋体" w:hAnsi="宋体"/>
          <w:color w:val="auto"/>
          <w:highlight w:val="none"/>
        </w:rPr>
      </w:pPr>
    </w:p>
    <w:p w14:paraId="760035C2">
      <w:pPr>
        <w:spacing w:line="400" w:lineRule="exact"/>
        <w:rPr>
          <w:rFonts w:ascii="宋体" w:hAnsi="宋体"/>
          <w:color w:val="auto"/>
          <w:highlight w:val="none"/>
        </w:rPr>
      </w:pPr>
    </w:p>
    <w:p w14:paraId="3E4318AC">
      <w:pPr>
        <w:adjustRightInd w:val="0"/>
        <w:snapToGrid w:val="0"/>
        <w:spacing w:line="360" w:lineRule="auto"/>
        <w:rPr>
          <w:rFonts w:ascii="宋体" w:hAnsi="宋体"/>
          <w:bCs/>
          <w:color w:val="auto"/>
          <w:sz w:val="24"/>
          <w:highlight w:val="none"/>
        </w:rPr>
      </w:pPr>
      <w:r>
        <w:rPr>
          <w:rFonts w:ascii="宋体" w:hAnsi="宋体"/>
          <w:bCs/>
          <w:color w:val="auto"/>
          <w:highlight w:val="none"/>
        </w:rPr>
        <w:br w:type="page"/>
      </w:r>
      <w:r>
        <w:rPr>
          <w:rFonts w:hint="eastAsia" w:ascii="宋体" w:hAnsi="宋体"/>
          <w:bCs/>
          <w:color w:val="auto"/>
          <w:sz w:val="24"/>
          <w:highlight w:val="none"/>
        </w:rPr>
        <w:t>附件15</w:t>
      </w:r>
    </w:p>
    <w:p w14:paraId="5474A0E2">
      <w:pPr>
        <w:pStyle w:val="25"/>
        <w:snapToGrid w:val="0"/>
        <w:spacing w:before="295" w:after="295"/>
        <w:jc w:val="center"/>
        <w:rPr>
          <w:rFonts w:ascii="宋体" w:hAnsi="宋体"/>
          <w:b/>
          <w:color w:val="auto"/>
          <w:szCs w:val="24"/>
          <w:highlight w:val="none"/>
        </w:rPr>
      </w:pPr>
      <w:r>
        <w:rPr>
          <w:rFonts w:hint="eastAsia" w:ascii="宋体" w:hAnsi="宋体"/>
          <w:b/>
          <w:color w:val="auto"/>
          <w:szCs w:val="24"/>
          <w:highlight w:val="none"/>
        </w:rPr>
        <w:t>服务附表</w:t>
      </w:r>
    </w:p>
    <w:tbl>
      <w:tblPr>
        <w:tblStyle w:val="47"/>
        <w:tblW w:w="87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440"/>
        <w:gridCol w:w="191"/>
        <w:gridCol w:w="1440"/>
        <w:gridCol w:w="705"/>
        <w:gridCol w:w="1196"/>
        <w:gridCol w:w="2048"/>
      </w:tblGrid>
      <w:tr w14:paraId="3F844B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14:paraId="5EE93151">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公司名称</w:t>
            </w:r>
          </w:p>
        </w:tc>
        <w:tc>
          <w:tcPr>
            <w:tcW w:w="4972" w:type="dxa"/>
            <w:gridSpan w:val="5"/>
            <w:tcBorders>
              <w:top w:val="single" w:color="auto" w:sz="4" w:space="0"/>
              <w:left w:val="single" w:color="auto" w:sz="4" w:space="0"/>
              <w:bottom w:val="single" w:color="auto" w:sz="4" w:space="0"/>
              <w:right w:val="single" w:color="auto" w:sz="4" w:space="0"/>
            </w:tcBorders>
            <w:vAlign w:val="center"/>
          </w:tcPr>
          <w:p w14:paraId="3B1C1B2D">
            <w:pPr>
              <w:snapToGrid w:val="0"/>
              <w:spacing w:before="50" w:after="120" w:afterLines="50" w:line="400" w:lineRule="exact"/>
              <w:jc w:val="center"/>
              <w:rPr>
                <w:rFonts w:ascii="宋体" w:hAnsi="宋体"/>
                <w:color w:val="auto"/>
                <w:szCs w:val="21"/>
                <w:highlight w:val="none"/>
              </w:rPr>
            </w:pPr>
          </w:p>
        </w:tc>
        <w:tc>
          <w:tcPr>
            <w:tcW w:w="2048" w:type="dxa"/>
            <w:vMerge w:val="restart"/>
            <w:tcBorders>
              <w:top w:val="single" w:color="auto" w:sz="4" w:space="0"/>
              <w:left w:val="single" w:color="auto" w:sz="4" w:space="0"/>
              <w:bottom w:val="single" w:color="auto" w:sz="4" w:space="0"/>
              <w:right w:val="single" w:color="auto" w:sz="4" w:space="0"/>
            </w:tcBorders>
            <w:vAlign w:val="center"/>
          </w:tcPr>
          <w:p w14:paraId="2A3166D3">
            <w:pPr>
              <w:snapToGrid w:val="0"/>
              <w:spacing w:before="50" w:after="120" w:afterLines="50" w:line="400" w:lineRule="exact"/>
              <w:jc w:val="center"/>
              <w:rPr>
                <w:rFonts w:ascii="宋体" w:hAnsi="宋体"/>
                <w:color w:val="auto"/>
                <w:szCs w:val="21"/>
                <w:highlight w:val="none"/>
              </w:rPr>
            </w:pPr>
            <w:r>
              <w:rPr>
                <w:rFonts w:hint="eastAsia" w:ascii="宋体" w:hAnsi="宋体"/>
                <w:color w:val="auto"/>
                <w:szCs w:val="21"/>
                <w:highlight w:val="none"/>
              </w:rPr>
              <w:t>备注</w:t>
            </w:r>
          </w:p>
        </w:tc>
      </w:tr>
      <w:tr w14:paraId="4DDD1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14:paraId="0F417684">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地址</w:t>
            </w:r>
          </w:p>
        </w:tc>
        <w:tc>
          <w:tcPr>
            <w:tcW w:w="4972" w:type="dxa"/>
            <w:gridSpan w:val="5"/>
            <w:tcBorders>
              <w:top w:val="single" w:color="auto" w:sz="4" w:space="0"/>
              <w:left w:val="single" w:color="auto" w:sz="4" w:space="0"/>
              <w:bottom w:val="single" w:color="auto" w:sz="4" w:space="0"/>
              <w:right w:val="single" w:color="auto" w:sz="4" w:space="0"/>
            </w:tcBorders>
            <w:vAlign w:val="center"/>
          </w:tcPr>
          <w:p w14:paraId="31CD8B99">
            <w:pPr>
              <w:snapToGrid w:val="0"/>
              <w:spacing w:before="50" w:after="120" w:afterLines="50" w:line="400" w:lineRule="exact"/>
              <w:jc w:val="center"/>
              <w:rPr>
                <w:rFonts w:ascii="宋体" w:hAnsi="宋体"/>
                <w:color w:val="auto"/>
                <w:szCs w:val="21"/>
                <w:highlight w:val="none"/>
              </w:rPr>
            </w:pPr>
          </w:p>
        </w:tc>
        <w:tc>
          <w:tcPr>
            <w:tcW w:w="2048" w:type="dxa"/>
            <w:vMerge w:val="continue"/>
            <w:tcBorders>
              <w:top w:val="single" w:color="auto" w:sz="4" w:space="0"/>
              <w:left w:val="single" w:color="auto" w:sz="4" w:space="0"/>
              <w:bottom w:val="single" w:color="auto" w:sz="4" w:space="0"/>
              <w:right w:val="single" w:color="auto" w:sz="4" w:space="0"/>
            </w:tcBorders>
            <w:vAlign w:val="center"/>
          </w:tcPr>
          <w:p w14:paraId="65F60A8E">
            <w:pPr>
              <w:jc w:val="center"/>
              <w:rPr>
                <w:rFonts w:ascii="宋体" w:hAnsi="宋体"/>
                <w:color w:val="auto"/>
                <w:szCs w:val="21"/>
                <w:highlight w:val="none"/>
              </w:rPr>
            </w:pPr>
          </w:p>
        </w:tc>
      </w:tr>
      <w:tr w14:paraId="06F5AA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5327F209">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注册资本金</w:t>
            </w:r>
          </w:p>
        </w:tc>
        <w:tc>
          <w:tcPr>
            <w:tcW w:w="1440" w:type="dxa"/>
            <w:tcBorders>
              <w:top w:val="single" w:color="auto" w:sz="4" w:space="0"/>
              <w:left w:val="single" w:color="auto" w:sz="4" w:space="0"/>
              <w:bottom w:val="single" w:color="auto" w:sz="4" w:space="0"/>
              <w:right w:val="single" w:color="auto" w:sz="4" w:space="0"/>
            </w:tcBorders>
          </w:tcPr>
          <w:p w14:paraId="0CF27481">
            <w:pPr>
              <w:snapToGrid w:val="0"/>
              <w:spacing w:before="50" w:after="120" w:afterLines="50" w:line="400" w:lineRule="exact"/>
              <w:jc w:val="left"/>
              <w:rPr>
                <w:rFonts w:ascii="宋体" w:hAnsi="宋体"/>
                <w:color w:val="auto"/>
                <w:szCs w:val="21"/>
                <w:highlight w:val="none"/>
              </w:rPr>
            </w:pPr>
          </w:p>
        </w:tc>
        <w:tc>
          <w:tcPr>
            <w:tcW w:w="2336" w:type="dxa"/>
            <w:gridSpan w:val="3"/>
            <w:tcBorders>
              <w:top w:val="single" w:color="auto" w:sz="4" w:space="0"/>
              <w:left w:val="single" w:color="auto" w:sz="4" w:space="0"/>
              <w:bottom w:val="single" w:color="auto" w:sz="4" w:space="0"/>
              <w:right w:val="single" w:color="auto" w:sz="4" w:space="0"/>
            </w:tcBorders>
          </w:tcPr>
          <w:p w14:paraId="06F17411">
            <w:pPr>
              <w:snapToGrid w:val="0"/>
              <w:spacing w:before="50" w:after="120" w:afterLines="50" w:line="400" w:lineRule="exact"/>
              <w:jc w:val="left"/>
              <w:rPr>
                <w:rFonts w:ascii="宋体" w:hAnsi="宋体"/>
                <w:color w:val="auto"/>
                <w:szCs w:val="21"/>
                <w:highlight w:val="none"/>
              </w:rPr>
            </w:pPr>
            <w:r>
              <w:rPr>
                <w:rFonts w:hint="eastAsia" w:ascii="宋体" w:hAnsi="宋体"/>
                <w:color w:val="auto"/>
                <w:szCs w:val="21"/>
                <w:highlight w:val="none"/>
              </w:rPr>
              <w:t>其中：投标人出资比例</w:t>
            </w:r>
          </w:p>
        </w:tc>
        <w:tc>
          <w:tcPr>
            <w:tcW w:w="1196" w:type="dxa"/>
            <w:tcBorders>
              <w:top w:val="single" w:color="auto" w:sz="4" w:space="0"/>
              <w:left w:val="single" w:color="auto" w:sz="4" w:space="0"/>
              <w:bottom w:val="single" w:color="auto" w:sz="4" w:space="0"/>
              <w:right w:val="single" w:color="auto" w:sz="4" w:space="0"/>
            </w:tcBorders>
          </w:tcPr>
          <w:p w14:paraId="64CEA7C3">
            <w:pPr>
              <w:snapToGrid w:val="0"/>
              <w:spacing w:before="50" w:after="120" w:afterLines="50" w:line="400" w:lineRule="exact"/>
              <w:jc w:val="left"/>
              <w:rPr>
                <w:rFonts w:ascii="宋体" w:hAnsi="宋体"/>
                <w:color w:val="auto"/>
                <w:szCs w:val="21"/>
                <w:highlight w:val="none"/>
              </w:rPr>
            </w:pPr>
          </w:p>
        </w:tc>
        <w:tc>
          <w:tcPr>
            <w:tcW w:w="2048" w:type="dxa"/>
            <w:vMerge w:val="restart"/>
            <w:tcBorders>
              <w:top w:val="single" w:color="auto" w:sz="4" w:space="0"/>
              <w:left w:val="single" w:color="auto" w:sz="4" w:space="0"/>
              <w:right w:val="single" w:color="auto" w:sz="4" w:space="0"/>
            </w:tcBorders>
            <w:vAlign w:val="center"/>
          </w:tcPr>
          <w:p w14:paraId="44B20F92">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提供相关证明材料（如：营业执照或租房合同等）</w:t>
            </w:r>
          </w:p>
        </w:tc>
      </w:tr>
      <w:tr w14:paraId="1F971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7D5AC5FC">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员工总人数</w:t>
            </w:r>
          </w:p>
        </w:tc>
        <w:tc>
          <w:tcPr>
            <w:tcW w:w="1440" w:type="dxa"/>
            <w:tcBorders>
              <w:top w:val="single" w:color="auto" w:sz="4" w:space="0"/>
              <w:left w:val="single" w:color="auto" w:sz="4" w:space="0"/>
              <w:bottom w:val="single" w:color="auto" w:sz="4" w:space="0"/>
              <w:right w:val="single" w:color="auto" w:sz="4" w:space="0"/>
            </w:tcBorders>
          </w:tcPr>
          <w:p w14:paraId="19C95400">
            <w:pPr>
              <w:snapToGrid w:val="0"/>
              <w:spacing w:before="50" w:after="120" w:afterLines="50" w:line="400" w:lineRule="exact"/>
              <w:jc w:val="left"/>
              <w:rPr>
                <w:rFonts w:ascii="宋体" w:hAnsi="宋体"/>
                <w:color w:val="auto"/>
                <w:szCs w:val="21"/>
                <w:highlight w:val="none"/>
              </w:rPr>
            </w:pPr>
          </w:p>
        </w:tc>
        <w:tc>
          <w:tcPr>
            <w:tcW w:w="2336" w:type="dxa"/>
            <w:gridSpan w:val="3"/>
            <w:tcBorders>
              <w:top w:val="single" w:color="auto" w:sz="4" w:space="0"/>
              <w:left w:val="single" w:color="auto" w:sz="4" w:space="0"/>
              <w:bottom w:val="single" w:color="auto" w:sz="4" w:space="0"/>
              <w:right w:val="single" w:color="auto" w:sz="4" w:space="0"/>
            </w:tcBorders>
          </w:tcPr>
          <w:p w14:paraId="174283A5">
            <w:pPr>
              <w:snapToGrid w:val="0"/>
              <w:spacing w:before="50" w:after="120" w:afterLines="50" w:line="400" w:lineRule="exact"/>
              <w:ind w:left="60"/>
              <w:jc w:val="left"/>
              <w:rPr>
                <w:rFonts w:ascii="宋体" w:hAnsi="宋体"/>
                <w:color w:val="auto"/>
                <w:szCs w:val="21"/>
                <w:highlight w:val="none"/>
              </w:rPr>
            </w:pPr>
            <w:r>
              <w:rPr>
                <w:rFonts w:hint="eastAsia" w:ascii="宋体" w:hAnsi="宋体"/>
                <w:color w:val="auto"/>
                <w:szCs w:val="21"/>
                <w:highlight w:val="none"/>
              </w:rPr>
              <w:t>其中：技术人员数</w:t>
            </w:r>
          </w:p>
        </w:tc>
        <w:tc>
          <w:tcPr>
            <w:tcW w:w="1196" w:type="dxa"/>
            <w:tcBorders>
              <w:top w:val="single" w:color="auto" w:sz="4" w:space="0"/>
              <w:left w:val="single" w:color="auto" w:sz="4" w:space="0"/>
              <w:bottom w:val="single" w:color="auto" w:sz="4" w:space="0"/>
              <w:right w:val="single" w:color="auto" w:sz="4" w:space="0"/>
            </w:tcBorders>
          </w:tcPr>
          <w:p w14:paraId="44FA34AC">
            <w:pPr>
              <w:snapToGrid w:val="0"/>
              <w:spacing w:before="50" w:after="120" w:afterLines="50" w:line="400" w:lineRule="exact"/>
              <w:jc w:val="left"/>
              <w:rPr>
                <w:rFonts w:ascii="宋体" w:hAnsi="宋体"/>
                <w:color w:val="auto"/>
                <w:szCs w:val="21"/>
                <w:highlight w:val="none"/>
              </w:rPr>
            </w:pPr>
          </w:p>
        </w:tc>
        <w:tc>
          <w:tcPr>
            <w:tcW w:w="2048" w:type="dxa"/>
            <w:vMerge w:val="continue"/>
            <w:tcBorders>
              <w:left w:val="single" w:color="auto" w:sz="4" w:space="0"/>
              <w:right w:val="single" w:color="auto" w:sz="4" w:space="0"/>
            </w:tcBorders>
            <w:vAlign w:val="center"/>
          </w:tcPr>
          <w:p w14:paraId="3D82155E">
            <w:pPr>
              <w:snapToGrid w:val="0"/>
              <w:spacing w:before="50" w:after="120" w:afterLines="50" w:line="400" w:lineRule="exact"/>
              <w:rPr>
                <w:rFonts w:ascii="宋体" w:hAnsi="宋体"/>
                <w:color w:val="auto"/>
                <w:szCs w:val="21"/>
                <w:highlight w:val="none"/>
              </w:rPr>
            </w:pPr>
          </w:p>
        </w:tc>
      </w:tr>
      <w:tr w14:paraId="5DD6A7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2AFE3F8D">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经营期限</w:t>
            </w:r>
          </w:p>
        </w:tc>
        <w:tc>
          <w:tcPr>
            <w:tcW w:w="4972" w:type="dxa"/>
            <w:gridSpan w:val="5"/>
            <w:tcBorders>
              <w:top w:val="single" w:color="auto" w:sz="4" w:space="0"/>
              <w:left w:val="single" w:color="auto" w:sz="4" w:space="0"/>
              <w:bottom w:val="single" w:color="auto" w:sz="4" w:space="0"/>
              <w:right w:val="single" w:color="auto" w:sz="4" w:space="0"/>
            </w:tcBorders>
          </w:tcPr>
          <w:p w14:paraId="56FDCCB2">
            <w:pPr>
              <w:snapToGrid w:val="0"/>
              <w:spacing w:before="50" w:after="120" w:afterLines="50" w:line="400" w:lineRule="exact"/>
              <w:jc w:val="left"/>
              <w:rPr>
                <w:rFonts w:ascii="宋体" w:hAnsi="宋体"/>
                <w:color w:val="auto"/>
                <w:szCs w:val="21"/>
                <w:highlight w:val="none"/>
              </w:rPr>
            </w:pPr>
          </w:p>
        </w:tc>
        <w:tc>
          <w:tcPr>
            <w:tcW w:w="2048" w:type="dxa"/>
            <w:vMerge w:val="continue"/>
            <w:tcBorders>
              <w:left w:val="single" w:color="auto" w:sz="4" w:space="0"/>
              <w:bottom w:val="single" w:color="auto" w:sz="4" w:space="0"/>
              <w:right w:val="single" w:color="auto" w:sz="4" w:space="0"/>
            </w:tcBorders>
            <w:vAlign w:val="center"/>
          </w:tcPr>
          <w:p w14:paraId="7AB5550D">
            <w:pPr>
              <w:snapToGrid w:val="0"/>
              <w:spacing w:before="50" w:after="120" w:afterLines="50" w:line="400" w:lineRule="exact"/>
              <w:rPr>
                <w:rFonts w:ascii="宋体" w:hAnsi="宋体"/>
                <w:color w:val="auto"/>
                <w:szCs w:val="21"/>
                <w:highlight w:val="none"/>
              </w:rPr>
            </w:pPr>
          </w:p>
        </w:tc>
      </w:tr>
      <w:tr w14:paraId="5CD15C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35D64FCA">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售后服务协议</w:t>
            </w:r>
          </w:p>
        </w:tc>
        <w:tc>
          <w:tcPr>
            <w:tcW w:w="4972" w:type="dxa"/>
            <w:gridSpan w:val="5"/>
            <w:tcBorders>
              <w:top w:val="single" w:color="auto" w:sz="4" w:space="0"/>
              <w:left w:val="single" w:color="auto" w:sz="4" w:space="0"/>
              <w:bottom w:val="single" w:color="auto" w:sz="4" w:space="0"/>
              <w:right w:val="single" w:color="auto" w:sz="4" w:space="0"/>
            </w:tcBorders>
          </w:tcPr>
          <w:p w14:paraId="53259197">
            <w:pPr>
              <w:snapToGrid w:val="0"/>
              <w:spacing w:before="50" w:after="120" w:afterLines="50" w:line="400" w:lineRule="exact"/>
              <w:jc w:val="left"/>
              <w:rPr>
                <w:rFonts w:ascii="宋体" w:hAnsi="宋体"/>
                <w:color w:val="auto"/>
                <w:szCs w:val="21"/>
                <w:highlight w:val="none"/>
              </w:rPr>
            </w:pPr>
          </w:p>
        </w:tc>
        <w:tc>
          <w:tcPr>
            <w:tcW w:w="2048" w:type="dxa"/>
            <w:tcBorders>
              <w:top w:val="single" w:color="auto" w:sz="4" w:space="0"/>
              <w:left w:val="single" w:color="auto" w:sz="4" w:space="0"/>
              <w:bottom w:val="single" w:color="auto" w:sz="4" w:space="0"/>
              <w:right w:val="single" w:color="auto" w:sz="4" w:space="0"/>
            </w:tcBorders>
            <w:vAlign w:val="center"/>
          </w:tcPr>
          <w:p w14:paraId="6E8D15F1">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提供相关证明材料</w:t>
            </w:r>
          </w:p>
        </w:tc>
      </w:tr>
      <w:tr w14:paraId="2B325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59F0227E">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售后服务内容</w:t>
            </w:r>
          </w:p>
        </w:tc>
        <w:tc>
          <w:tcPr>
            <w:tcW w:w="4972" w:type="dxa"/>
            <w:gridSpan w:val="5"/>
            <w:tcBorders>
              <w:top w:val="single" w:color="auto" w:sz="4" w:space="0"/>
              <w:left w:val="single" w:color="auto" w:sz="4" w:space="0"/>
              <w:bottom w:val="single" w:color="auto" w:sz="4" w:space="0"/>
              <w:right w:val="single" w:color="auto" w:sz="4" w:space="0"/>
            </w:tcBorders>
          </w:tcPr>
          <w:p w14:paraId="0DB0E3DD">
            <w:pPr>
              <w:snapToGrid w:val="0"/>
              <w:spacing w:before="50" w:after="120" w:afterLines="50" w:line="400" w:lineRule="exact"/>
              <w:jc w:val="left"/>
              <w:rPr>
                <w:rFonts w:ascii="宋体" w:hAnsi="宋体"/>
                <w:color w:val="auto"/>
                <w:szCs w:val="21"/>
                <w:highlight w:val="none"/>
              </w:rPr>
            </w:pPr>
          </w:p>
        </w:tc>
        <w:tc>
          <w:tcPr>
            <w:tcW w:w="2048" w:type="dxa"/>
            <w:vMerge w:val="restart"/>
            <w:tcBorders>
              <w:top w:val="single" w:color="auto" w:sz="4" w:space="0"/>
              <w:left w:val="single" w:color="auto" w:sz="4" w:space="0"/>
              <w:right w:val="single" w:color="auto" w:sz="4" w:space="0"/>
            </w:tcBorders>
            <w:vAlign w:val="center"/>
          </w:tcPr>
          <w:p w14:paraId="4F94DA95">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此部分内容做附件进行详细说明</w:t>
            </w:r>
          </w:p>
        </w:tc>
      </w:tr>
      <w:tr w14:paraId="2D4AD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50426EB8">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服务承诺</w:t>
            </w:r>
          </w:p>
        </w:tc>
        <w:tc>
          <w:tcPr>
            <w:tcW w:w="4972" w:type="dxa"/>
            <w:gridSpan w:val="5"/>
            <w:tcBorders>
              <w:top w:val="single" w:color="auto" w:sz="4" w:space="0"/>
              <w:left w:val="single" w:color="auto" w:sz="4" w:space="0"/>
              <w:bottom w:val="single" w:color="auto" w:sz="4" w:space="0"/>
              <w:right w:val="single" w:color="auto" w:sz="4" w:space="0"/>
            </w:tcBorders>
          </w:tcPr>
          <w:p w14:paraId="66A737B7">
            <w:pPr>
              <w:snapToGrid w:val="0"/>
              <w:spacing w:before="50" w:after="120" w:afterLines="50" w:line="400" w:lineRule="exact"/>
              <w:jc w:val="left"/>
              <w:rPr>
                <w:rFonts w:ascii="宋体" w:hAnsi="宋体"/>
                <w:color w:val="auto"/>
                <w:szCs w:val="21"/>
                <w:highlight w:val="none"/>
              </w:rPr>
            </w:pPr>
          </w:p>
        </w:tc>
        <w:tc>
          <w:tcPr>
            <w:tcW w:w="2048" w:type="dxa"/>
            <w:vMerge w:val="continue"/>
            <w:tcBorders>
              <w:left w:val="single" w:color="auto" w:sz="4" w:space="0"/>
              <w:bottom w:val="single" w:color="auto" w:sz="4" w:space="0"/>
              <w:right w:val="single" w:color="auto" w:sz="4" w:space="0"/>
            </w:tcBorders>
            <w:vAlign w:val="center"/>
          </w:tcPr>
          <w:p w14:paraId="4B978E53">
            <w:pPr>
              <w:snapToGrid w:val="0"/>
              <w:spacing w:before="50" w:after="120" w:afterLines="50" w:line="400" w:lineRule="exact"/>
              <w:rPr>
                <w:rFonts w:ascii="宋体" w:hAnsi="宋体"/>
                <w:color w:val="auto"/>
                <w:szCs w:val="21"/>
                <w:highlight w:val="none"/>
              </w:rPr>
            </w:pPr>
          </w:p>
        </w:tc>
      </w:tr>
      <w:tr w14:paraId="34497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049C3128">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工作业绩</w:t>
            </w:r>
          </w:p>
        </w:tc>
        <w:tc>
          <w:tcPr>
            <w:tcW w:w="4972" w:type="dxa"/>
            <w:gridSpan w:val="5"/>
            <w:tcBorders>
              <w:top w:val="single" w:color="auto" w:sz="4" w:space="0"/>
              <w:left w:val="single" w:color="auto" w:sz="4" w:space="0"/>
              <w:bottom w:val="single" w:color="auto" w:sz="4" w:space="0"/>
              <w:right w:val="single" w:color="auto" w:sz="4" w:space="0"/>
            </w:tcBorders>
          </w:tcPr>
          <w:p w14:paraId="60E050D8">
            <w:pPr>
              <w:snapToGrid w:val="0"/>
              <w:spacing w:before="50" w:after="120" w:afterLines="50" w:line="400" w:lineRule="exact"/>
              <w:jc w:val="left"/>
              <w:rPr>
                <w:rFonts w:ascii="宋体" w:hAnsi="宋体"/>
                <w:color w:val="auto"/>
                <w:szCs w:val="21"/>
                <w:highlight w:val="none"/>
              </w:rPr>
            </w:pPr>
          </w:p>
        </w:tc>
        <w:tc>
          <w:tcPr>
            <w:tcW w:w="2048" w:type="dxa"/>
            <w:tcBorders>
              <w:top w:val="single" w:color="auto" w:sz="4" w:space="0"/>
              <w:left w:val="single" w:color="auto" w:sz="4" w:space="0"/>
              <w:bottom w:val="single" w:color="auto" w:sz="4" w:space="0"/>
              <w:right w:val="single" w:color="auto" w:sz="4" w:space="0"/>
            </w:tcBorders>
            <w:vAlign w:val="center"/>
          </w:tcPr>
          <w:p w14:paraId="52345EC1">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提供相关证明材料</w:t>
            </w:r>
          </w:p>
        </w:tc>
      </w:tr>
      <w:tr w14:paraId="21255F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69042118">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咨询电话</w:t>
            </w:r>
          </w:p>
        </w:tc>
        <w:tc>
          <w:tcPr>
            <w:tcW w:w="1631" w:type="dxa"/>
            <w:gridSpan w:val="2"/>
            <w:tcBorders>
              <w:top w:val="single" w:color="auto" w:sz="4" w:space="0"/>
              <w:left w:val="single" w:color="auto" w:sz="4" w:space="0"/>
              <w:bottom w:val="single" w:color="auto" w:sz="4" w:space="0"/>
              <w:right w:val="single" w:color="auto" w:sz="2" w:space="0"/>
            </w:tcBorders>
          </w:tcPr>
          <w:p w14:paraId="1ACAB483">
            <w:pPr>
              <w:snapToGrid w:val="0"/>
              <w:spacing w:before="50" w:after="120" w:afterLines="50" w:line="400" w:lineRule="exact"/>
              <w:jc w:val="left"/>
              <w:rPr>
                <w:rFonts w:ascii="宋体" w:hAnsi="宋体"/>
                <w:color w:val="auto"/>
                <w:szCs w:val="21"/>
                <w:highlight w:val="none"/>
              </w:rPr>
            </w:pPr>
          </w:p>
        </w:tc>
        <w:tc>
          <w:tcPr>
            <w:tcW w:w="1440" w:type="dxa"/>
            <w:tcBorders>
              <w:top w:val="single" w:color="auto" w:sz="4" w:space="0"/>
              <w:left w:val="single" w:color="auto" w:sz="2" w:space="0"/>
              <w:bottom w:val="single" w:color="auto" w:sz="4" w:space="0"/>
              <w:right w:val="single" w:color="auto" w:sz="2" w:space="0"/>
            </w:tcBorders>
          </w:tcPr>
          <w:p w14:paraId="11D45CB0">
            <w:pPr>
              <w:snapToGrid w:val="0"/>
              <w:spacing w:before="50" w:after="120" w:afterLines="50" w:line="400" w:lineRule="exact"/>
              <w:ind w:firstLine="210" w:firstLineChars="100"/>
              <w:rPr>
                <w:rFonts w:ascii="宋体" w:hAnsi="宋体"/>
                <w:color w:val="auto"/>
                <w:szCs w:val="21"/>
                <w:highlight w:val="none"/>
              </w:rPr>
            </w:pPr>
            <w:r>
              <w:rPr>
                <w:rFonts w:hint="eastAsia" w:ascii="宋体" w:hAnsi="宋体"/>
                <w:color w:val="auto"/>
                <w:szCs w:val="21"/>
                <w:highlight w:val="none"/>
              </w:rPr>
              <w:t>传</w:t>
            </w:r>
            <w:r>
              <w:rPr>
                <w:rFonts w:ascii="宋体" w:hAnsi="宋体"/>
                <w:color w:val="auto"/>
                <w:szCs w:val="21"/>
                <w:highlight w:val="none"/>
              </w:rPr>
              <w:t xml:space="preserve"> 真</w:t>
            </w:r>
          </w:p>
        </w:tc>
        <w:tc>
          <w:tcPr>
            <w:tcW w:w="1901" w:type="dxa"/>
            <w:gridSpan w:val="2"/>
            <w:tcBorders>
              <w:top w:val="single" w:color="auto" w:sz="4" w:space="0"/>
              <w:left w:val="single" w:color="auto" w:sz="2" w:space="0"/>
              <w:bottom w:val="single" w:color="auto" w:sz="4" w:space="0"/>
              <w:right w:val="single" w:color="auto" w:sz="2" w:space="0"/>
            </w:tcBorders>
          </w:tcPr>
          <w:p w14:paraId="69D36B00">
            <w:pPr>
              <w:snapToGrid w:val="0"/>
              <w:spacing w:before="50" w:after="120" w:afterLines="50" w:line="400" w:lineRule="exact"/>
              <w:jc w:val="left"/>
              <w:rPr>
                <w:rFonts w:ascii="宋体" w:hAnsi="宋体"/>
                <w:color w:val="auto"/>
                <w:szCs w:val="21"/>
                <w:highlight w:val="none"/>
              </w:rPr>
            </w:pPr>
          </w:p>
        </w:tc>
        <w:tc>
          <w:tcPr>
            <w:tcW w:w="2048" w:type="dxa"/>
            <w:vMerge w:val="restart"/>
            <w:tcBorders>
              <w:top w:val="single" w:color="auto" w:sz="4" w:space="0"/>
              <w:left w:val="single" w:color="auto" w:sz="2" w:space="0"/>
              <w:right w:val="single" w:color="auto" w:sz="4" w:space="0"/>
            </w:tcBorders>
            <w:vAlign w:val="center"/>
          </w:tcPr>
          <w:p w14:paraId="4F2C0968">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附人员身份证等相关证件</w:t>
            </w:r>
          </w:p>
        </w:tc>
      </w:tr>
      <w:tr w14:paraId="139C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02A17839">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负责人</w:t>
            </w:r>
          </w:p>
        </w:tc>
        <w:tc>
          <w:tcPr>
            <w:tcW w:w="1631" w:type="dxa"/>
            <w:gridSpan w:val="2"/>
            <w:tcBorders>
              <w:top w:val="single" w:color="auto" w:sz="4" w:space="0"/>
              <w:left w:val="single" w:color="auto" w:sz="4" w:space="0"/>
              <w:bottom w:val="single" w:color="auto" w:sz="4" w:space="0"/>
              <w:right w:val="single" w:color="auto" w:sz="2" w:space="0"/>
            </w:tcBorders>
          </w:tcPr>
          <w:p w14:paraId="02F261D8">
            <w:pPr>
              <w:snapToGrid w:val="0"/>
              <w:spacing w:before="50" w:after="120" w:afterLines="50" w:line="400" w:lineRule="exact"/>
              <w:jc w:val="left"/>
              <w:rPr>
                <w:rFonts w:ascii="宋体" w:hAnsi="宋体"/>
                <w:color w:val="auto"/>
                <w:szCs w:val="21"/>
                <w:highlight w:val="none"/>
              </w:rPr>
            </w:pPr>
          </w:p>
        </w:tc>
        <w:tc>
          <w:tcPr>
            <w:tcW w:w="1440" w:type="dxa"/>
            <w:tcBorders>
              <w:top w:val="single" w:color="auto" w:sz="4" w:space="0"/>
              <w:left w:val="single" w:color="auto" w:sz="2" w:space="0"/>
              <w:bottom w:val="single" w:color="auto" w:sz="4" w:space="0"/>
              <w:right w:val="single" w:color="auto" w:sz="2" w:space="0"/>
            </w:tcBorders>
          </w:tcPr>
          <w:p w14:paraId="5CCF6A98">
            <w:pPr>
              <w:snapToGrid w:val="0"/>
              <w:spacing w:before="50" w:after="120" w:afterLines="50" w:line="400" w:lineRule="exact"/>
              <w:jc w:val="center"/>
              <w:rPr>
                <w:rFonts w:ascii="宋体" w:hAnsi="宋体"/>
                <w:color w:val="auto"/>
                <w:szCs w:val="21"/>
                <w:highlight w:val="none"/>
              </w:rPr>
            </w:pPr>
            <w:r>
              <w:rPr>
                <w:rFonts w:hint="eastAsia" w:ascii="宋体" w:hAnsi="宋体"/>
                <w:color w:val="auto"/>
                <w:szCs w:val="21"/>
                <w:highlight w:val="none"/>
              </w:rPr>
              <w:t>联系电话</w:t>
            </w:r>
          </w:p>
        </w:tc>
        <w:tc>
          <w:tcPr>
            <w:tcW w:w="1901" w:type="dxa"/>
            <w:gridSpan w:val="2"/>
            <w:tcBorders>
              <w:top w:val="single" w:color="auto" w:sz="4" w:space="0"/>
              <w:left w:val="single" w:color="auto" w:sz="2" w:space="0"/>
              <w:bottom w:val="single" w:color="auto" w:sz="4" w:space="0"/>
              <w:right w:val="single" w:color="auto" w:sz="2" w:space="0"/>
            </w:tcBorders>
          </w:tcPr>
          <w:p w14:paraId="24EE9907">
            <w:pPr>
              <w:snapToGrid w:val="0"/>
              <w:spacing w:before="50" w:after="120" w:afterLines="50" w:line="400" w:lineRule="exact"/>
              <w:jc w:val="left"/>
              <w:rPr>
                <w:rFonts w:ascii="宋体" w:hAnsi="宋体"/>
                <w:color w:val="auto"/>
                <w:szCs w:val="21"/>
                <w:highlight w:val="none"/>
              </w:rPr>
            </w:pPr>
          </w:p>
        </w:tc>
        <w:tc>
          <w:tcPr>
            <w:tcW w:w="2048" w:type="dxa"/>
            <w:vMerge w:val="continue"/>
            <w:tcBorders>
              <w:left w:val="single" w:color="auto" w:sz="2" w:space="0"/>
              <w:bottom w:val="single" w:color="auto" w:sz="4" w:space="0"/>
              <w:right w:val="single" w:color="auto" w:sz="4" w:space="0"/>
            </w:tcBorders>
          </w:tcPr>
          <w:p w14:paraId="2732026E">
            <w:pPr>
              <w:snapToGrid w:val="0"/>
              <w:spacing w:before="50" w:after="120" w:afterLines="50" w:line="400" w:lineRule="exact"/>
              <w:jc w:val="left"/>
              <w:rPr>
                <w:rFonts w:ascii="宋体" w:hAnsi="宋体"/>
                <w:color w:val="auto"/>
                <w:szCs w:val="21"/>
                <w:highlight w:val="none"/>
              </w:rPr>
            </w:pPr>
          </w:p>
        </w:tc>
      </w:tr>
    </w:tbl>
    <w:p w14:paraId="0626369D">
      <w:pPr>
        <w:spacing w:line="440" w:lineRule="exact"/>
        <w:jc w:val="right"/>
        <w:rPr>
          <w:rFonts w:ascii="宋体" w:hAnsi="宋体"/>
          <w:color w:val="auto"/>
          <w:szCs w:val="21"/>
          <w:highlight w:val="none"/>
        </w:rPr>
      </w:pPr>
    </w:p>
    <w:p w14:paraId="41720838">
      <w:pPr>
        <w:pStyle w:val="25"/>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0AFBD876">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2EF8D506">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729DBAA7">
      <w:pPr>
        <w:pStyle w:val="3"/>
        <w:jc w:val="center"/>
        <w:rPr>
          <w:rFonts w:ascii="宋体" w:hAnsi="宋体"/>
          <w:color w:val="auto"/>
          <w:highlight w:val="none"/>
        </w:rPr>
      </w:pPr>
      <w:r>
        <w:rPr>
          <w:rFonts w:ascii="宋体" w:hAnsi="宋体"/>
          <w:color w:val="auto"/>
          <w:szCs w:val="21"/>
          <w:highlight w:val="none"/>
        </w:rPr>
        <w:br w:type="page"/>
      </w:r>
      <w:bookmarkEnd w:id="66"/>
      <w:bookmarkStart w:id="70" w:name="_Toc161933902"/>
      <w:bookmarkStart w:id="71" w:name="_Toc439149570"/>
      <w:r>
        <w:rPr>
          <w:rFonts w:hint="eastAsia" w:ascii="宋体" w:hAnsi="宋体"/>
          <w:color w:val="auto"/>
          <w:highlight w:val="none"/>
        </w:rPr>
        <w:t>七、响应/偏离表</w:t>
      </w:r>
      <w:bookmarkEnd w:id="70"/>
    </w:p>
    <w:p w14:paraId="7B3C4FA7">
      <w:pPr>
        <w:spacing w:line="360" w:lineRule="exact"/>
        <w:jc w:val="left"/>
        <w:rPr>
          <w:rFonts w:ascii="宋体" w:hAnsi="宋体"/>
          <w:b/>
          <w:color w:val="auto"/>
          <w:highlight w:val="none"/>
        </w:rPr>
      </w:pPr>
      <w:r>
        <w:rPr>
          <w:rFonts w:hint="eastAsia" w:ascii="宋体" w:hAnsi="宋体"/>
          <w:b/>
          <w:color w:val="auto"/>
          <w:highlight w:val="none"/>
        </w:rPr>
        <w:t xml:space="preserve">                         </w:t>
      </w:r>
    </w:p>
    <w:tbl>
      <w:tblPr>
        <w:tblStyle w:val="47"/>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79"/>
        <w:gridCol w:w="1332"/>
        <w:gridCol w:w="1948"/>
        <w:gridCol w:w="2600"/>
        <w:gridCol w:w="1288"/>
        <w:gridCol w:w="840"/>
      </w:tblGrid>
      <w:tr w14:paraId="7D80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vAlign w:val="center"/>
          </w:tcPr>
          <w:p w14:paraId="217CD69C">
            <w:pPr>
              <w:adjustRightInd w:val="0"/>
              <w:snapToGrid w:val="0"/>
              <w:ind w:left="-88" w:leftChars="-42"/>
              <w:jc w:val="center"/>
              <w:rPr>
                <w:rFonts w:ascii="宋体" w:hAnsi="宋体"/>
                <w:bCs/>
                <w:color w:val="auto"/>
                <w:szCs w:val="21"/>
                <w:highlight w:val="none"/>
              </w:rPr>
            </w:pPr>
            <w:r>
              <w:rPr>
                <w:rFonts w:hint="eastAsia" w:ascii="宋体" w:hAnsi="宋体"/>
                <w:bCs/>
                <w:color w:val="auto"/>
                <w:szCs w:val="21"/>
                <w:highlight w:val="none"/>
              </w:rPr>
              <w:t>序号</w:t>
            </w:r>
          </w:p>
        </w:tc>
        <w:tc>
          <w:tcPr>
            <w:tcW w:w="1332" w:type="dxa"/>
            <w:vAlign w:val="center"/>
          </w:tcPr>
          <w:p w14:paraId="08D6FBA5">
            <w:pPr>
              <w:adjustRightInd w:val="0"/>
              <w:snapToGrid w:val="0"/>
              <w:ind w:left="-88" w:leftChars="-42"/>
              <w:jc w:val="center"/>
              <w:rPr>
                <w:rFonts w:ascii="宋体" w:hAnsi="宋体"/>
                <w:color w:val="auto"/>
                <w:szCs w:val="21"/>
                <w:highlight w:val="none"/>
              </w:rPr>
            </w:pPr>
            <w:r>
              <w:rPr>
                <w:rFonts w:hint="eastAsia" w:ascii="宋体" w:hAnsi="宋体"/>
                <w:color w:val="auto"/>
                <w:szCs w:val="21"/>
                <w:highlight w:val="none"/>
              </w:rPr>
              <w:t>文件条目号</w:t>
            </w:r>
          </w:p>
        </w:tc>
        <w:tc>
          <w:tcPr>
            <w:tcW w:w="1948" w:type="dxa"/>
            <w:vAlign w:val="center"/>
          </w:tcPr>
          <w:p w14:paraId="44202A72">
            <w:pPr>
              <w:adjustRightInd w:val="0"/>
              <w:snapToGrid w:val="0"/>
              <w:ind w:left="-88" w:leftChars="-42"/>
              <w:jc w:val="center"/>
              <w:rPr>
                <w:rFonts w:ascii="宋体" w:hAnsi="宋体"/>
                <w:bCs/>
                <w:color w:val="auto"/>
                <w:szCs w:val="21"/>
                <w:highlight w:val="none"/>
              </w:rPr>
            </w:pPr>
            <w:r>
              <w:rPr>
                <w:rFonts w:hint="eastAsia" w:ascii="宋体" w:hAnsi="宋体"/>
                <w:bCs/>
                <w:color w:val="auto"/>
                <w:szCs w:val="21"/>
                <w:highlight w:val="none"/>
              </w:rPr>
              <w:t>采购规格/条款</w:t>
            </w:r>
          </w:p>
        </w:tc>
        <w:tc>
          <w:tcPr>
            <w:tcW w:w="2600" w:type="dxa"/>
            <w:vAlign w:val="center"/>
          </w:tcPr>
          <w:p w14:paraId="689E5E3D">
            <w:pPr>
              <w:adjustRightInd w:val="0"/>
              <w:snapToGrid w:val="0"/>
              <w:ind w:left="-88" w:leftChars="-42"/>
              <w:jc w:val="center"/>
              <w:rPr>
                <w:rFonts w:ascii="宋体" w:hAnsi="宋体"/>
                <w:bCs/>
                <w:color w:val="auto"/>
                <w:szCs w:val="21"/>
                <w:highlight w:val="none"/>
              </w:rPr>
            </w:pPr>
            <w:r>
              <w:rPr>
                <w:rFonts w:hint="eastAsia" w:ascii="宋体" w:hAnsi="宋体"/>
                <w:bCs/>
                <w:color w:val="auto"/>
                <w:szCs w:val="21"/>
                <w:highlight w:val="none"/>
              </w:rPr>
              <w:t>投标文件的规格/条款</w:t>
            </w:r>
          </w:p>
        </w:tc>
        <w:tc>
          <w:tcPr>
            <w:tcW w:w="1288" w:type="dxa"/>
            <w:vAlign w:val="center"/>
          </w:tcPr>
          <w:p w14:paraId="160DA61E">
            <w:pPr>
              <w:adjustRightInd w:val="0"/>
              <w:snapToGrid w:val="0"/>
              <w:ind w:left="-88" w:leftChars="-42"/>
              <w:jc w:val="center"/>
              <w:rPr>
                <w:rFonts w:ascii="宋体" w:hAnsi="宋体"/>
                <w:bCs/>
                <w:color w:val="auto"/>
                <w:szCs w:val="21"/>
                <w:highlight w:val="none"/>
              </w:rPr>
            </w:pPr>
            <w:r>
              <w:rPr>
                <w:rFonts w:hint="eastAsia" w:ascii="宋体" w:hAnsi="宋体"/>
                <w:bCs/>
                <w:color w:val="auto"/>
                <w:szCs w:val="21"/>
                <w:highlight w:val="none"/>
              </w:rPr>
              <w:t>响应与偏离</w:t>
            </w:r>
          </w:p>
        </w:tc>
        <w:tc>
          <w:tcPr>
            <w:tcW w:w="840" w:type="dxa"/>
            <w:vAlign w:val="center"/>
          </w:tcPr>
          <w:p w14:paraId="7D7FE46E">
            <w:pPr>
              <w:adjustRightInd w:val="0"/>
              <w:snapToGrid w:val="0"/>
              <w:ind w:left="-88" w:leftChars="-42"/>
              <w:jc w:val="center"/>
              <w:rPr>
                <w:rFonts w:ascii="宋体" w:hAnsi="宋体"/>
                <w:bCs/>
                <w:color w:val="auto"/>
                <w:szCs w:val="21"/>
                <w:highlight w:val="none"/>
              </w:rPr>
            </w:pPr>
            <w:r>
              <w:rPr>
                <w:rFonts w:hint="eastAsia" w:ascii="宋体" w:hAnsi="宋体"/>
                <w:bCs/>
                <w:color w:val="auto"/>
                <w:szCs w:val="21"/>
                <w:highlight w:val="none"/>
              </w:rPr>
              <w:t>说明</w:t>
            </w:r>
          </w:p>
        </w:tc>
      </w:tr>
      <w:tr w14:paraId="5F3B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689FF113">
            <w:pPr>
              <w:adjustRightInd w:val="0"/>
              <w:snapToGrid w:val="0"/>
              <w:ind w:left="-88" w:leftChars="-42"/>
              <w:jc w:val="center"/>
              <w:rPr>
                <w:rFonts w:ascii="宋体" w:hAnsi="宋体"/>
                <w:color w:val="auto"/>
                <w:szCs w:val="21"/>
                <w:highlight w:val="none"/>
              </w:rPr>
            </w:pPr>
          </w:p>
        </w:tc>
        <w:tc>
          <w:tcPr>
            <w:tcW w:w="1332" w:type="dxa"/>
            <w:vAlign w:val="center"/>
          </w:tcPr>
          <w:p w14:paraId="1E6E09B3">
            <w:pPr>
              <w:adjustRightInd w:val="0"/>
              <w:snapToGrid w:val="0"/>
              <w:ind w:left="-88" w:leftChars="-42"/>
              <w:jc w:val="center"/>
              <w:rPr>
                <w:rFonts w:ascii="宋体" w:hAnsi="宋体"/>
                <w:color w:val="auto"/>
                <w:szCs w:val="21"/>
                <w:highlight w:val="none"/>
              </w:rPr>
            </w:pPr>
          </w:p>
        </w:tc>
        <w:tc>
          <w:tcPr>
            <w:tcW w:w="1948" w:type="dxa"/>
            <w:vAlign w:val="center"/>
          </w:tcPr>
          <w:p w14:paraId="561DCB0F">
            <w:pPr>
              <w:adjustRightInd w:val="0"/>
              <w:snapToGrid w:val="0"/>
              <w:ind w:left="-88" w:leftChars="-42"/>
              <w:jc w:val="center"/>
              <w:rPr>
                <w:rFonts w:ascii="宋体" w:hAnsi="宋体"/>
                <w:bCs/>
                <w:color w:val="auto"/>
                <w:szCs w:val="21"/>
                <w:highlight w:val="none"/>
              </w:rPr>
            </w:pPr>
          </w:p>
        </w:tc>
        <w:tc>
          <w:tcPr>
            <w:tcW w:w="2600" w:type="dxa"/>
            <w:vAlign w:val="center"/>
          </w:tcPr>
          <w:p w14:paraId="1D960E91">
            <w:pPr>
              <w:adjustRightInd w:val="0"/>
              <w:snapToGrid w:val="0"/>
              <w:ind w:left="-88" w:leftChars="-42"/>
              <w:jc w:val="center"/>
              <w:rPr>
                <w:rFonts w:ascii="宋体" w:hAnsi="宋体"/>
                <w:bCs/>
                <w:color w:val="auto"/>
                <w:szCs w:val="21"/>
                <w:highlight w:val="none"/>
              </w:rPr>
            </w:pPr>
          </w:p>
        </w:tc>
        <w:tc>
          <w:tcPr>
            <w:tcW w:w="1288" w:type="dxa"/>
            <w:vAlign w:val="center"/>
          </w:tcPr>
          <w:p w14:paraId="4BD28F90">
            <w:pPr>
              <w:adjustRightInd w:val="0"/>
              <w:snapToGrid w:val="0"/>
              <w:ind w:left="-88" w:leftChars="-42"/>
              <w:jc w:val="center"/>
              <w:rPr>
                <w:rFonts w:ascii="宋体" w:hAnsi="宋体"/>
                <w:bCs/>
                <w:color w:val="auto"/>
                <w:szCs w:val="21"/>
                <w:highlight w:val="none"/>
              </w:rPr>
            </w:pPr>
          </w:p>
        </w:tc>
        <w:tc>
          <w:tcPr>
            <w:tcW w:w="840" w:type="dxa"/>
            <w:vAlign w:val="center"/>
          </w:tcPr>
          <w:p w14:paraId="5B1D9170">
            <w:pPr>
              <w:adjustRightInd w:val="0"/>
              <w:snapToGrid w:val="0"/>
              <w:ind w:left="-88" w:leftChars="-42"/>
              <w:jc w:val="center"/>
              <w:rPr>
                <w:rFonts w:ascii="宋体" w:hAnsi="宋体"/>
                <w:bCs/>
                <w:color w:val="auto"/>
                <w:szCs w:val="21"/>
                <w:highlight w:val="none"/>
              </w:rPr>
            </w:pPr>
          </w:p>
        </w:tc>
      </w:tr>
      <w:tr w14:paraId="2B8EB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04CD5116">
            <w:pPr>
              <w:adjustRightInd w:val="0"/>
              <w:snapToGrid w:val="0"/>
              <w:ind w:left="-88" w:leftChars="-42"/>
              <w:jc w:val="center"/>
              <w:rPr>
                <w:rFonts w:ascii="宋体" w:hAnsi="宋体"/>
                <w:color w:val="auto"/>
                <w:szCs w:val="21"/>
                <w:highlight w:val="none"/>
              </w:rPr>
            </w:pPr>
          </w:p>
        </w:tc>
        <w:tc>
          <w:tcPr>
            <w:tcW w:w="1332" w:type="dxa"/>
            <w:vAlign w:val="center"/>
          </w:tcPr>
          <w:p w14:paraId="43C0FCE8">
            <w:pPr>
              <w:adjustRightInd w:val="0"/>
              <w:snapToGrid w:val="0"/>
              <w:ind w:left="-88" w:leftChars="-42"/>
              <w:jc w:val="center"/>
              <w:rPr>
                <w:rFonts w:ascii="宋体" w:hAnsi="宋体"/>
                <w:color w:val="auto"/>
                <w:szCs w:val="21"/>
                <w:highlight w:val="none"/>
              </w:rPr>
            </w:pPr>
          </w:p>
        </w:tc>
        <w:tc>
          <w:tcPr>
            <w:tcW w:w="1948" w:type="dxa"/>
            <w:vAlign w:val="center"/>
          </w:tcPr>
          <w:p w14:paraId="06F8A244">
            <w:pPr>
              <w:adjustRightInd w:val="0"/>
              <w:snapToGrid w:val="0"/>
              <w:ind w:left="-88" w:leftChars="-42"/>
              <w:jc w:val="center"/>
              <w:rPr>
                <w:rFonts w:ascii="宋体" w:hAnsi="宋体"/>
                <w:color w:val="auto"/>
                <w:szCs w:val="21"/>
                <w:highlight w:val="none"/>
              </w:rPr>
            </w:pPr>
          </w:p>
        </w:tc>
        <w:tc>
          <w:tcPr>
            <w:tcW w:w="2600" w:type="dxa"/>
            <w:vAlign w:val="center"/>
          </w:tcPr>
          <w:p w14:paraId="115A763F">
            <w:pPr>
              <w:adjustRightInd w:val="0"/>
              <w:snapToGrid w:val="0"/>
              <w:ind w:left="-88" w:leftChars="-42"/>
              <w:jc w:val="center"/>
              <w:rPr>
                <w:rFonts w:ascii="宋体" w:hAnsi="宋体"/>
                <w:color w:val="auto"/>
                <w:szCs w:val="21"/>
                <w:highlight w:val="none"/>
              </w:rPr>
            </w:pPr>
          </w:p>
        </w:tc>
        <w:tc>
          <w:tcPr>
            <w:tcW w:w="1288" w:type="dxa"/>
            <w:vAlign w:val="center"/>
          </w:tcPr>
          <w:p w14:paraId="12506804">
            <w:pPr>
              <w:adjustRightInd w:val="0"/>
              <w:snapToGrid w:val="0"/>
              <w:ind w:left="-88" w:leftChars="-42"/>
              <w:jc w:val="center"/>
              <w:rPr>
                <w:rFonts w:ascii="宋体" w:hAnsi="宋体"/>
                <w:color w:val="auto"/>
                <w:szCs w:val="21"/>
                <w:highlight w:val="none"/>
              </w:rPr>
            </w:pPr>
          </w:p>
        </w:tc>
        <w:tc>
          <w:tcPr>
            <w:tcW w:w="840" w:type="dxa"/>
            <w:vAlign w:val="center"/>
          </w:tcPr>
          <w:p w14:paraId="54793565">
            <w:pPr>
              <w:adjustRightInd w:val="0"/>
              <w:snapToGrid w:val="0"/>
              <w:ind w:left="-88" w:leftChars="-42"/>
              <w:jc w:val="center"/>
              <w:rPr>
                <w:rFonts w:ascii="宋体" w:hAnsi="宋体"/>
                <w:color w:val="auto"/>
                <w:szCs w:val="21"/>
                <w:highlight w:val="none"/>
              </w:rPr>
            </w:pPr>
          </w:p>
        </w:tc>
      </w:tr>
      <w:tr w14:paraId="71EBE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7F0D4E2E">
            <w:pPr>
              <w:adjustRightInd w:val="0"/>
              <w:snapToGrid w:val="0"/>
              <w:ind w:left="-88" w:leftChars="-42"/>
              <w:jc w:val="center"/>
              <w:rPr>
                <w:rFonts w:ascii="宋体" w:hAnsi="宋体"/>
                <w:color w:val="auto"/>
                <w:szCs w:val="21"/>
                <w:highlight w:val="none"/>
              </w:rPr>
            </w:pPr>
          </w:p>
        </w:tc>
        <w:tc>
          <w:tcPr>
            <w:tcW w:w="1332" w:type="dxa"/>
            <w:vAlign w:val="center"/>
          </w:tcPr>
          <w:p w14:paraId="609CD00B">
            <w:pPr>
              <w:adjustRightInd w:val="0"/>
              <w:snapToGrid w:val="0"/>
              <w:ind w:left="-88" w:leftChars="-42"/>
              <w:jc w:val="center"/>
              <w:rPr>
                <w:rFonts w:ascii="宋体" w:hAnsi="宋体"/>
                <w:color w:val="auto"/>
                <w:szCs w:val="21"/>
                <w:highlight w:val="none"/>
              </w:rPr>
            </w:pPr>
          </w:p>
        </w:tc>
        <w:tc>
          <w:tcPr>
            <w:tcW w:w="1948" w:type="dxa"/>
            <w:vAlign w:val="center"/>
          </w:tcPr>
          <w:p w14:paraId="04B486F4">
            <w:pPr>
              <w:adjustRightInd w:val="0"/>
              <w:snapToGrid w:val="0"/>
              <w:ind w:left="-88" w:leftChars="-42"/>
              <w:jc w:val="center"/>
              <w:rPr>
                <w:rFonts w:ascii="宋体" w:hAnsi="宋体"/>
                <w:color w:val="auto"/>
                <w:szCs w:val="21"/>
                <w:highlight w:val="none"/>
              </w:rPr>
            </w:pPr>
          </w:p>
        </w:tc>
        <w:tc>
          <w:tcPr>
            <w:tcW w:w="2600" w:type="dxa"/>
            <w:vAlign w:val="center"/>
          </w:tcPr>
          <w:p w14:paraId="56DB1447">
            <w:pPr>
              <w:adjustRightInd w:val="0"/>
              <w:snapToGrid w:val="0"/>
              <w:ind w:left="-88" w:leftChars="-42"/>
              <w:jc w:val="center"/>
              <w:rPr>
                <w:rFonts w:ascii="宋体" w:hAnsi="宋体"/>
                <w:color w:val="auto"/>
                <w:szCs w:val="21"/>
                <w:highlight w:val="none"/>
              </w:rPr>
            </w:pPr>
          </w:p>
        </w:tc>
        <w:tc>
          <w:tcPr>
            <w:tcW w:w="1288" w:type="dxa"/>
            <w:vAlign w:val="center"/>
          </w:tcPr>
          <w:p w14:paraId="568574BA">
            <w:pPr>
              <w:adjustRightInd w:val="0"/>
              <w:snapToGrid w:val="0"/>
              <w:ind w:left="-88" w:leftChars="-42"/>
              <w:jc w:val="center"/>
              <w:rPr>
                <w:rFonts w:ascii="宋体" w:hAnsi="宋体"/>
                <w:color w:val="auto"/>
                <w:szCs w:val="21"/>
                <w:highlight w:val="none"/>
              </w:rPr>
            </w:pPr>
          </w:p>
        </w:tc>
        <w:tc>
          <w:tcPr>
            <w:tcW w:w="840" w:type="dxa"/>
            <w:vAlign w:val="center"/>
          </w:tcPr>
          <w:p w14:paraId="58C0C67F">
            <w:pPr>
              <w:adjustRightInd w:val="0"/>
              <w:snapToGrid w:val="0"/>
              <w:ind w:left="-88" w:leftChars="-42"/>
              <w:jc w:val="center"/>
              <w:rPr>
                <w:rFonts w:ascii="宋体" w:hAnsi="宋体"/>
                <w:color w:val="auto"/>
                <w:szCs w:val="21"/>
                <w:highlight w:val="none"/>
              </w:rPr>
            </w:pPr>
          </w:p>
        </w:tc>
      </w:tr>
      <w:tr w14:paraId="5168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648F87AE">
            <w:pPr>
              <w:adjustRightInd w:val="0"/>
              <w:snapToGrid w:val="0"/>
              <w:ind w:left="-88" w:leftChars="-42"/>
              <w:jc w:val="center"/>
              <w:rPr>
                <w:rFonts w:ascii="宋体" w:hAnsi="宋体"/>
                <w:color w:val="auto"/>
                <w:szCs w:val="21"/>
                <w:highlight w:val="none"/>
              </w:rPr>
            </w:pPr>
          </w:p>
        </w:tc>
        <w:tc>
          <w:tcPr>
            <w:tcW w:w="1332" w:type="dxa"/>
            <w:vAlign w:val="center"/>
          </w:tcPr>
          <w:p w14:paraId="2D1B2303">
            <w:pPr>
              <w:adjustRightInd w:val="0"/>
              <w:snapToGrid w:val="0"/>
              <w:ind w:left="-88" w:leftChars="-42"/>
              <w:jc w:val="center"/>
              <w:rPr>
                <w:rFonts w:ascii="宋体" w:hAnsi="宋体"/>
                <w:color w:val="auto"/>
                <w:szCs w:val="21"/>
                <w:highlight w:val="none"/>
              </w:rPr>
            </w:pPr>
          </w:p>
        </w:tc>
        <w:tc>
          <w:tcPr>
            <w:tcW w:w="1948" w:type="dxa"/>
            <w:vAlign w:val="center"/>
          </w:tcPr>
          <w:p w14:paraId="72E902CD">
            <w:pPr>
              <w:adjustRightInd w:val="0"/>
              <w:snapToGrid w:val="0"/>
              <w:ind w:left="-88" w:leftChars="-42"/>
              <w:jc w:val="center"/>
              <w:rPr>
                <w:rFonts w:ascii="宋体" w:hAnsi="宋体"/>
                <w:color w:val="auto"/>
                <w:szCs w:val="21"/>
                <w:highlight w:val="none"/>
              </w:rPr>
            </w:pPr>
          </w:p>
        </w:tc>
        <w:tc>
          <w:tcPr>
            <w:tcW w:w="2600" w:type="dxa"/>
            <w:vAlign w:val="center"/>
          </w:tcPr>
          <w:p w14:paraId="1133687B">
            <w:pPr>
              <w:adjustRightInd w:val="0"/>
              <w:snapToGrid w:val="0"/>
              <w:ind w:left="-88" w:leftChars="-42"/>
              <w:jc w:val="center"/>
              <w:rPr>
                <w:rFonts w:ascii="宋体" w:hAnsi="宋体"/>
                <w:color w:val="auto"/>
                <w:szCs w:val="21"/>
                <w:highlight w:val="none"/>
              </w:rPr>
            </w:pPr>
          </w:p>
        </w:tc>
        <w:tc>
          <w:tcPr>
            <w:tcW w:w="1288" w:type="dxa"/>
            <w:vAlign w:val="center"/>
          </w:tcPr>
          <w:p w14:paraId="5E49D19E">
            <w:pPr>
              <w:adjustRightInd w:val="0"/>
              <w:snapToGrid w:val="0"/>
              <w:ind w:left="-88" w:leftChars="-42"/>
              <w:jc w:val="center"/>
              <w:rPr>
                <w:rFonts w:ascii="宋体" w:hAnsi="宋体"/>
                <w:color w:val="auto"/>
                <w:szCs w:val="21"/>
                <w:highlight w:val="none"/>
              </w:rPr>
            </w:pPr>
          </w:p>
        </w:tc>
        <w:tc>
          <w:tcPr>
            <w:tcW w:w="840" w:type="dxa"/>
            <w:vAlign w:val="center"/>
          </w:tcPr>
          <w:p w14:paraId="5036C025">
            <w:pPr>
              <w:adjustRightInd w:val="0"/>
              <w:snapToGrid w:val="0"/>
              <w:ind w:left="-88" w:leftChars="-42"/>
              <w:jc w:val="center"/>
              <w:rPr>
                <w:rFonts w:ascii="宋体" w:hAnsi="宋体"/>
                <w:color w:val="auto"/>
                <w:szCs w:val="21"/>
                <w:highlight w:val="none"/>
              </w:rPr>
            </w:pPr>
          </w:p>
        </w:tc>
      </w:tr>
      <w:tr w14:paraId="3BC8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10107E8F">
            <w:pPr>
              <w:adjustRightInd w:val="0"/>
              <w:snapToGrid w:val="0"/>
              <w:ind w:left="-88" w:leftChars="-42"/>
              <w:jc w:val="center"/>
              <w:rPr>
                <w:rFonts w:ascii="宋体" w:hAnsi="宋体"/>
                <w:color w:val="auto"/>
                <w:szCs w:val="21"/>
                <w:highlight w:val="none"/>
              </w:rPr>
            </w:pPr>
          </w:p>
        </w:tc>
        <w:tc>
          <w:tcPr>
            <w:tcW w:w="1332" w:type="dxa"/>
            <w:vAlign w:val="center"/>
          </w:tcPr>
          <w:p w14:paraId="549962FE">
            <w:pPr>
              <w:adjustRightInd w:val="0"/>
              <w:snapToGrid w:val="0"/>
              <w:ind w:left="-88" w:leftChars="-42"/>
              <w:jc w:val="center"/>
              <w:rPr>
                <w:rFonts w:ascii="宋体" w:hAnsi="宋体"/>
                <w:color w:val="auto"/>
                <w:szCs w:val="21"/>
                <w:highlight w:val="none"/>
              </w:rPr>
            </w:pPr>
          </w:p>
        </w:tc>
        <w:tc>
          <w:tcPr>
            <w:tcW w:w="1948" w:type="dxa"/>
            <w:vAlign w:val="center"/>
          </w:tcPr>
          <w:p w14:paraId="33353229">
            <w:pPr>
              <w:adjustRightInd w:val="0"/>
              <w:snapToGrid w:val="0"/>
              <w:ind w:left="-88" w:leftChars="-42"/>
              <w:jc w:val="center"/>
              <w:rPr>
                <w:rFonts w:ascii="宋体" w:hAnsi="宋体"/>
                <w:color w:val="auto"/>
                <w:szCs w:val="21"/>
                <w:highlight w:val="none"/>
              </w:rPr>
            </w:pPr>
          </w:p>
        </w:tc>
        <w:tc>
          <w:tcPr>
            <w:tcW w:w="2600" w:type="dxa"/>
            <w:vAlign w:val="center"/>
          </w:tcPr>
          <w:p w14:paraId="5880741A">
            <w:pPr>
              <w:adjustRightInd w:val="0"/>
              <w:snapToGrid w:val="0"/>
              <w:ind w:left="-88" w:leftChars="-42"/>
              <w:jc w:val="center"/>
              <w:rPr>
                <w:rFonts w:ascii="宋体" w:hAnsi="宋体"/>
                <w:color w:val="auto"/>
                <w:szCs w:val="21"/>
                <w:highlight w:val="none"/>
              </w:rPr>
            </w:pPr>
          </w:p>
        </w:tc>
        <w:tc>
          <w:tcPr>
            <w:tcW w:w="1288" w:type="dxa"/>
            <w:vAlign w:val="center"/>
          </w:tcPr>
          <w:p w14:paraId="20A960B8">
            <w:pPr>
              <w:adjustRightInd w:val="0"/>
              <w:snapToGrid w:val="0"/>
              <w:ind w:left="-88" w:leftChars="-42"/>
              <w:jc w:val="center"/>
              <w:rPr>
                <w:rFonts w:ascii="宋体" w:hAnsi="宋体"/>
                <w:color w:val="auto"/>
                <w:szCs w:val="21"/>
                <w:highlight w:val="none"/>
              </w:rPr>
            </w:pPr>
          </w:p>
        </w:tc>
        <w:tc>
          <w:tcPr>
            <w:tcW w:w="840" w:type="dxa"/>
            <w:vAlign w:val="center"/>
          </w:tcPr>
          <w:p w14:paraId="36EAC563">
            <w:pPr>
              <w:adjustRightInd w:val="0"/>
              <w:snapToGrid w:val="0"/>
              <w:ind w:left="-88" w:leftChars="-42"/>
              <w:jc w:val="center"/>
              <w:rPr>
                <w:rFonts w:ascii="宋体" w:hAnsi="宋体"/>
                <w:color w:val="auto"/>
                <w:szCs w:val="21"/>
                <w:highlight w:val="none"/>
              </w:rPr>
            </w:pPr>
          </w:p>
        </w:tc>
      </w:tr>
      <w:tr w14:paraId="40D3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1330F58A">
            <w:pPr>
              <w:adjustRightInd w:val="0"/>
              <w:snapToGrid w:val="0"/>
              <w:ind w:left="-88" w:leftChars="-42"/>
              <w:jc w:val="center"/>
              <w:rPr>
                <w:rFonts w:ascii="宋体" w:hAnsi="宋体"/>
                <w:color w:val="auto"/>
                <w:szCs w:val="21"/>
                <w:highlight w:val="none"/>
              </w:rPr>
            </w:pPr>
          </w:p>
        </w:tc>
        <w:tc>
          <w:tcPr>
            <w:tcW w:w="1332" w:type="dxa"/>
            <w:vAlign w:val="center"/>
          </w:tcPr>
          <w:p w14:paraId="52F50187">
            <w:pPr>
              <w:adjustRightInd w:val="0"/>
              <w:snapToGrid w:val="0"/>
              <w:ind w:left="-88" w:leftChars="-42"/>
              <w:jc w:val="center"/>
              <w:rPr>
                <w:rFonts w:ascii="宋体" w:hAnsi="宋体"/>
                <w:color w:val="auto"/>
                <w:szCs w:val="21"/>
                <w:highlight w:val="none"/>
              </w:rPr>
            </w:pPr>
          </w:p>
        </w:tc>
        <w:tc>
          <w:tcPr>
            <w:tcW w:w="1948" w:type="dxa"/>
            <w:vAlign w:val="center"/>
          </w:tcPr>
          <w:p w14:paraId="74C4231B">
            <w:pPr>
              <w:adjustRightInd w:val="0"/>
              <w:snapToGrid w:val="0"/>
              <w:ind w:left="-88" w:leftChars="-42"/>
              <w:jc w:val="center"/>
              <w:rPr>
                <w:rFonts w:ascii="宋体" w:hAnsi="宋体"/>
                <w:color w:val="auto"/>
                <w:szCs w:val="21"/>
                <w:highlight w:val="none"/>
              </w:rPr>
            </w:pPr>
          </w:p>
        </w:tc>
        <w:tc>
          <w:tcPr>
            <w:tcW w:w="2600" w:type="dxa"/>
            <w:vAlign w:val="center"/>
          </w:tcPr>
          <w:p w14:paraId="118B8B53">
            <w:pPr>
              <w:adjustRightInd w:val="0"/>
              <w:snapToGrid w:val="0"/>
              <w:ind w:left="-88" w:leftChars="-42"/>
              <w:jc w:val="center"/>
              <w:rPr>
                <w:rFonts w:ascii="宋体" w:hAnsi="宋体"/>
                <w:color w:val="auto"/>
                <w:szCs w:val="21"/>
                <w:highlight w:val="none"/>
              </w:rPr>
            </w:pPr>
          </w:p>
        </w:tc>
        <w:tc>
          <w:tcPr>
            <w:tcW w:w="1288" w:type="dxa"/>
            <w:vAlign w:val="center"/>
          </w:tcPr>
          <w:p w14:paraId="245DB256">
            <w:pPr>
              <w:adjustRightInd w:val="0"/>
              <w:snapToGrid w:val="0"/>
              <w:ind w:left="-88" w:leftChars="-42"/>
              <w:jc w:val="center"/>
              <w:rPr>
                <w:rFonts w:ascii="宋体" w:hAnsi="宋体"/>
                <w:color w:val="auto"/>
                <w:szCs w:val="21"/>
                <w:highlight w:val="none"/>
              </w:rPr>
            </w:pPr>
          </w:p>
        </w:tc>
        <w:tc>
          <w:tcPr>
            <w:tcW w:w="840" w:type="dxa"/>
            <w:vAlign w:val="center"/>
          </w:tcPr>
          <w:p w14:paraId="408E2DFF">
            <w:pPr>
              <w:adjustRightInd w:val="0"/>
              <w:snapToGrid w:val="0"/>
              <w:ind w:left="-88" w:leftChars="-42"/>
              <w:jc w:val="center"/>
              <w:rPr>
                <w:rFonts w:ascii="宋体" w:hAnsi="宋体"/>
                <w:color w:val="auto"/>
                <w:szCs w:val="21"/>
                <w:highlight w:val="none"/>
              </w:rPr>
            </w:pPr>
          </w:p>
        </w:tc>
      </w:tr>
      <w:tr w14:paraId="578E8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2FB788E4">
            <w:pPr>
              <w:adjustRightInd w:val="0"/>
              <w:snapToGrid w:val="0"/>
              <w:ind w:left="-88" w:leftChars="-42"/>
              <w:jc w:val="center"/>
              <w:rPr>
                <w:rFonts w:ascii="宋体" w:hAnsi="宋体"/>
                <w:color w:val="auto"/>
                <w:szCs w:val="21"/>
                <w:highlight w:val="none"/>
              </w:rPr>
            </w:pPr>
          </w:p>
        </w:tc>
        <w:tc>
          <w:tcPr>
            <w:tcW w:w="1332" w:type="dxa"/>
            <w:vAlign w:val="center"/>
          </w:tcPr>
          <w:p w14:paraId="3F9886FE">
            <w:pPr>
              <w:adjustRightInd w:val="0"/>
              <w:snapToGrid w:val="0"/>
              <w:ind w:left="-88" w:leftChars="-42"/>
              <w:jc w:val="center"/>
              <w:rPr>
                <w:rFonts w:ascii="宋体" w:hAnsi="宋体"/>
                <w:color w:val="auto"/>
                <w:szCs w:val="21"/>
                <w:highlight w:val="none"/>
              </w:rPr>
            </w:pPr>
          </w:p>
        </w:tc>
        <w:tc>
          <w:tcPr>
            <w:tcW w:w="1948" w:type="dxa"/>
            <w:vAlign w:val="center"/>
          </w:tcPr>
          <w:p w14:paraId="04A42EE0">
            <w:pPr>
              <w:adjustRightInd w:val="0"/>
              <w:snapToGrid w:val="0"/>
              <w:ind w:left="-88" w:leftChars="-42"/>
              <w:jc w:val="center"/>
              <w:rPr>
                <w:rFonts w:ascii="宋体" w:hAnsi="宋体"/>
                <w:color w:val="auto"/>
                <w:szCs w:val="21"/>
                <w:highlight w:val="none"/>
              </w:rPr>
            </w:pPr>
          </w:p>
        </w:tc>
        <w:tc>
          <w:tcPr>
            <w:tcW w:w="2600" w:type="dxa"/>
            <w:vAlign w:val="center"/>
          </w:tcPr>
          <w:p w14:paraId="38CD43AE">
            <w:pPr>
              <w:adjustRightInd w:val="0"/>
              <w:snapToGrid w:val="0"/>
              <w:ind w:left="-88" w:leftChars="-42"/>
              <w:jc w:val="center"/>
              <w:rPr>
                <w:rFonts w:ascii="宋体" w:hAnsi="宋体"/>
                <w:color w:val="auto"/>
                <w:szCs w:val="21"/>
                <w:highlight w:val="none"/>
              </w:rPr>
            </w:pPr>
          </w:p>
        </w:tc>
        <w:tc>
          <w:tcPr>
            <w:tcW w:w="1288" w:type="dxa"/>
            <w:vAlign w:val="center"/>
          </w:tcPr>
          <w:p w14:paraId="4280820A">
            <w:pPr>
              <w:adjustRightInd w:val="0"/>
              <w:snapToGrid w:val="0"/>
              <w:ind w:left="-88" w:leftChars="-42"/>
              <w:jc w:val="center"/>
              <w:rPr>
                <w:rFonts w:ascii="宋体" w:hAnsi="宋体"/>
                <w:color w:val="auto"/>
                <w:szCs w:val="21"/>
                <w:highlight w:val="none"/>
              </w:rPr>
            </w:pPr>
          </w:p>
        </w:tc>
        <w:tc>
          <w:tcPr>
            <w:tcW w:w="840" w:type="dxa"/>
            <w:vAlign w:val="center"/>
          </w:tcPr>
          <w:p w14:paraId="62930FAC">
            <w:pPr>
              <w:adjustRightInd w:val="0"/>
              <w:snapToGrid w:val="0"/>
              <w:ind w:left="-88" w:leftChars="-42"/>
              <w:jc w:val="center"/>
              <w:rPr>
                <w:rFonts w:ascii="宋体" w:hAnsi="宋体"/>
                <w:color w:val="auto"/>
                <w:szCs w:val="21"/>
                <w:highlight w:val="none"/>
              </w:rPr>
            </w:pPr>
          </w:p>
        </w:tc>
      </w:tr>
    </w:tbl>
    <w:p w14:paraId="717B9748">
      <w:pPr>
        <w:adjustRightInd w:val="0"/>
        <w:snapToGrid w:val="0"/>
        <w:spacing w:before="50" w:line="360" w:lineRule="auto"/>
        <w:ind w:firstLine="315" w:firstLineChars="150"/>
        <w:rPr>
          <w:rFonts w:ascii="宋体" w:hAnsi="宋体"/>
          <w:color w:val="auto"/>
          <w:szCs w:val="21"/>
          <w:highlight w:val="none"/>
        </w:rPr>
      </w:pPr>
      <w:r>
        <w:rPr>
          <w:rFonts w:hint="eastAsia" w:ascii="宋体" w:hAnsi="宋体"/>
          <w:color w:val="auto"/>
          <w:szCs w:val="21"/>
          <w:highlight w:val="none"/>
        </w:rPr>
        <w:t xml:space="preserve">说明： “响应与偏离”应注明“响应”或“偏离”。  </w:t>
      </w:r>
    </w:p>
    <w:p w14:paraId="1D50AE92">
      <w:pPr>
        <w:adjustRightInd w:val="0"/>
        <w:snapToGrid w:val="0"/>
        <w:spacing w:before="50" w:line="360" w:lineRule="auto"/>
        <w:ind w:firstLine="315" w:firstLineChars="150"/>
        <w:rPr>
          <w:rFonts w:ascii="宋体" w:hAnsi="宋体"/>
          <w:color w:val="auto"/>
          <w:szCs w:val="21"/>
          <w:highlight w:val="none"/>
        </w:rPr>
      </w:pPr>
    </w:p>
    <w:p w14:paraId="57EA0B03">
      <w:pPr>
        <w:adjustRightInd w:val="0"/>
        <w:snapToGrid w:val="0"/>
        <w:spacing w:line="360" w:lineRule="auto"/>
        <w:ind w:left="-88" w:leftChars="-42"/>
        <w:rPr>
          <w:rFonts w:ascii="宋体" w:hAnsi="宋体"/>
          <w:color w:val="auto"/>
          <w:szCs w:val="21"/>
          <w:highlight w:val="none"/>
        </w:rPr>
      </w:pPr>
      <w:r>
        <w:rPr>
          <w:rFonts w:hint="eastAsia" w:ascii="宋体" w:hAnsi="宋体"/>
          <w:color w:val="auto"/>
          <w:szCs w:val="21"/>
          <w:highlight w:val="none"/>
        </w:rPr>
        <w:t xml:space="preserve">        </w:t>
      </w:r>
    </w:p>
    <w:p w14:paraId="5FD423A2">
      <w:pPr>
        <w:pStyle w:val="27"/>
        <w:adjustRightInd w:val="0"/>
        <w:snapToGrid w:val="0"/>
        <w:spacing w:line="360" w:lineRule="auto"/>
        <w:rPr>
          <w:rFonts w:ascii="宋体" w:hAnsi="宋体"/>
          <w:color w:val="auto"/>
          <w:sz w:val="21"/>
          <w:szCs w:val="21"/>
          <w:highlight w:val="none"/>
        </w:rPr>
      </w:pPr>
    </w:p>
    <w:p w14:paraId="444C2696">
      <w:pPr>
        <w:pStyle w:val="25"/>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43B7A805">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36C125BE">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251251B6">
      <w:pPr>
        <w:pStyle w:val="27"/>
        <w:adjustRightInd w:val="0"/>
        <w:snapToGrid w:val="0"/>
        <w:spacing w:line="360" w:lineRule="auto"/>
        <w:rPr>
          <w:rFonts w:ascii="宋体" w:hAnsi="宋体"/>
          <w:color w:val="auto"/>
          <w:sz w:val="21"/>
          <w:szCs w:val="21"/>
          <w:highlight w:val="none"/>
          <w:u w:val="single"/>
        </w:rPr>
      </w:pPr>
    </w:p>
    <w:p w14:paraId="039D5F88">
      <w:pPr>
        <w:pStyle w:val="27"/>
        <w:adjustRightInd w:val="0"/>
        <w:snapToGrid w:val="0"/>
        <w:spacing w:line="360" w:lineRule="auto"/>
        <w:rPr>
          <w:rFonts w:ascii="宋体" w:hAnsi="宋体"/>
          <w:color w:val="auto"/>
          <w:sz w:val="21"/>
          <w:szCs w:val="21"/>
          <w:highlight w:val="none"/>
          <w:u w:val="single"/>
        </w:rPr>
      </w:pPr>
    </w:p>
    <w:p w14:paraId="3542D50F">
      <w:pPr>
        <w:pStyle w:val="27"/>
        <w:adjustRightInd w:val="0"/>
        <w:snapToGrid w:val="0"/>
        <w:spacing w:line="360" w:lineRule="auto"/>
        <w:rPr>
          <w:rFonts w:ascii="宋体" w:hAnsi="宋体"/>
          <w:color w:val="auto"/>
          <w:sz w:val="21"/>
          <w:szCs w:val="21"/>
          <w:highlight w:val="none"/>
          <w:u w:val="single"/>
        </w:rPr>
      </w:pPr>
      <w:bookmarkStart w:id="72" w:name="_Toc12906832"/>
    </w:p>
    <w:p w14:paraId="1A7E9356">
      <w:pPr>
        <w:pStyle w:val="27"/>
        <w:adjustRightInd w:val="0"/>
        <w:snapToGrid w:val="0"/>
        <w:spacing w:line="360" w:lineRule="auto"/>
        <w:rPr>
          <w:rFonts w:ascii="宋体" w:hAnsi="宋体"/>
          <w:color w:val="auto"/>
          <w:sz w:val="21"/>
          <w:szCs w:val="21"/>
          <w:highlight w:val="none"/>
          <w:u w:val="single"/>
        </w:rPr>
      </w:pPr>
    </w:p>
    <w:p w14:paraId="4FEF53A6">
      <w:pPr>
        <w:pStyle w:val="27"/>
        <w:adjustRightInd w:val="0"/>
        <w:snapToGrid w:val="0"/>
        <w:spacing w:line="360" w:lineRule="auto"/>
        <w:rPr>
          <w:rFonts w:ascii="宋体" w:hAnsi="宋体"/>
          <w:color w:val="auto"/>
          <w:sz w:val="21"/>
          <w:szCs w:val="21"/>
          <w:highlight w:val="none"/>
          <w:u w:val="single"/>
        </w:rPr>
      </w:pPr>
    </w:p>
    <w:bookmarkEnd w:id="72"/>
    <w:p w14:paraId="51198F3D">
      <w:pPr>
        <w:adjustRightInd w:val="0"/>
        <w:snapToGrid w:val="0"/>
        <w:spacing w:line="360" w:lineRule="auto"/>
        <w:outlineLvl w:val="1"/>
        <w:rPr>
          <w:rFonts w:ascii="宋体" w:hAnsi="宋体"/>
          <w:color w:val="auto"/>
          <w:szCs w:val="21"/>
          <w:highlight w:val="none"/>
          <w:u w:val="single"/>
        </w:rPr>
        <w:sectPr>
          <w:footerReference r:id="rId10" w:type="even"/>
          <w:pgSz w:w="11906" w:h="16838"/>
          <w:pgMar w:top="1440" w:right="1797" w:bottom="1440" w:left="1797" w:header="851" w:footer="992" w:gutter="0"/>
          <w:pgNumType w:fmt="decimal"/>
          <w:cols w:space="720" w:num="1"/>
          <w:docGrid w:linePitch="312" w:charSpace="0"/>
        </w:sectPr>
      </w:pPr>
    </w:p>
    <w:p w14:paraId="50A4F32D">
      <w:pPr>
        <w:pStyle w:val="3"/>
        <w:jc w:val="center"/>
        <w:rPr>
          <w:rFonts w:ascii="宋体" w:hAnsi="宋体"/>
          <w:color w:val="auto"/>
          <w:sz w:val="28"/>
          <w:szCs w:val="28"/>
          <w:highlight w:val="none"/>
        </w:rPr>
      </w:pPr>
      <w:bookmarkStart w:id="73" w:name="_Toc161933903"/>
      <w:r>
        <w:rPr>
          <w:rFonts w:hint="eastAsia" w:ascii="宋体" w:hAnsi="宋体"/>
          <w:color w:val="auto"/>
          <w:sz w:val="28"/>
          <w:szCs w:val="28"/>
          <w:highlight w:val="none"/>
        </w:rPr>
        <w:t>八、投标人认为需要提供的其它资料</w:t>
      </w:r>
      <w:bookmarkEnd w:id="71"/>
      <w:bookmarkEnd w:id="73"/>
    </w:p>
    <w:p w14:paraId="2A943E28">
      <w:pPr>
        <w:rPr>
          <w:rFonts w:ascii="宋体" w:hAnsi="宋体"/>
          <w:color w:val="auto"/>
          <w:highlight w:val="none"/>
        </w:rPr>
      </w:pPr>
    </w:p>
    <w:bookmarkEnd w:id="0"/>
    <w:p w14:paraId="1A4C5199">
      <w:pPr>
        <w:spacing w:line="360" w:lineRule="exact"/>
        <w:rPr>
          <w:rFonts w:ascii="宋体" w:hAnsi="宋体"/>
          <w:color w:val="auto"/>
          <w:highlight w:val="none"/>
        </w:rPr>
      </w:pPr>
    </w:p>
    <w:p w14:paraId="34E664FC">
      <w:pPr>
        <w:rPr>
          <w:color w:val="auto"/>
          <w:highlight w:val="none"/>
        </w:rPr>
      </w:pPr>
    </w:p>
    <w:sectPr>
      <w:pgSz w:w="11906" w:h="16838"/>
      <w:pgMar w:top="1440" w:right="1797" w:bottom="1440" w:left="179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ail">
    <w:altName w:val="Courier New"/>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MS Sans Serif">
    <w:altName w:val="Arial"/>
    <w:panose1 w:val="00000000000000000000"/>
    <w:charset w:val="00"/>
    <w:family w:val="auto"/>
    <w:pitch w:val="default"/>
    <w:sig w:usb0="00000000" w:usb1="00000000" w:usb2="00000000" w:usb3="00000000" w:csb0="FFFFFFFF" w:csb1="00000000"/>
  </w:font>
  <w:font w:name="Verdana">
    <w:panose1 w:val="020B0604030504040204"/>
    <w:charset w:val="00"/>
    <w:family w:val="swiss"/>
    <w:pitch w:val="default"/>
    <w:sig w:usb0="A10006FF" w:usb1="4000205B" w:usb2="0000001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仿宋_GBK">
    <w:panose1 w:val="02000000000000000000"/>
    <w:charset w:val="86"/>
    <w:family w:val="auto"/>
    <w:pitch w:val="default"/>
    <w:sig w:usb0="A00002BF" w:usb1="38CF7CFA" w:usb2="00082016" w:usb3="00000000" w:csb0="00040001" w:csb1="00000000"/>
  </w:font>
  <w:font w:name="inherit">
    <w:altName w:val="Cambria"/>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ABD17">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F2D8C">
    <w:pPr>
      <w:pStyle w:val="30"/>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F250787">
                          <w:pPr>
                            <w:pStyle w:val="30"/>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bUHaHEAQAAjwMAAA4AAABkcnMvZTJvRG9jLnhtbK1TzY7TMBC+I/EO&#10;lu80TYV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n5W86csHThl+/fLj9+XX5+&#10;ZWWypw9YUddjeIApQwqT1qEFm96kgg3Z0vPVUjVEJqlYrlfr9ZLclnQ2J4RTPH0eAOO98paloOZA&#10;d5atFKcPGMfWuSVNc/5OG0N1URn3V4EwU6VIjEeOKYrDfpiI731zJrU9XXfNHW03Z+a9IzfTZswB&#10;zMF+Do4B9KEjam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CbUHaHEAQAAjwMAAA4AAAAAAAAAAQAgAAAAHwEAAGRycy9lMm9Eb2MueG1s&#10;UEsFBgAAAAAGAAYAWQEAAFUFAAAAAA==&#10;">
              <v:fill on="f" focussize="0,0"/>
              <v:stroke on="f"/>
              <v:imagedata o:title=""/>
              <o:lock v:ext="edit" aspectratio="f"/>
              <v:textbox inset="0mm,0mm,0mm,0mm" style="mso-fit-shape-to-text:t;">
                <w:txbxContent>
                  <w:p w14:paraId="6F250787">
                    <w:pPr>
                      <w:pStyle w:val="30"/>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87303">
    <w:pPr>
      <w:pStyle w:val="3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23B21">
                          <w:pPr>
                            <w:pStyle w:val="3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0523B21">
                    <w:pPr>
                      <w:pStyle w:val="3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D61A2">
    <w:pPr>
      <w:ind w:right="360" w:firstLine="360"/>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188</w:t>
    </w:r>
    <w:r>
      <w:rPr>
        <w:rFonts w:ascii="宋体" w:hAnsi="宋体"/>
        <w:kern w:val="0"/>
        <w:sz w:val="28"/>
        <w:szCs w:val="28"/>
      </w:rPr>
      <w:fldChar w:fldCharType="end"/>
    </w:r>
    <w:r>
      <w:rPr>
        <w:rFonts w:ascii="宋体" w:hAnsi="宋体"/>
        <w:kern w:val="0"/>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4232C">
    <w:pPr>
      <w:ind w:right="360" w:firstLine="360"/>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188</w:t>
    </w:r>
    <w:r>
      <w:rPr>
        <w:rFonts w:ascii="宋体" w:hAnsi="宋体"/>
        <w:kern w:val="0"/>
        <w:sz w:val="28"/>
        <w:szCs w:val="28"/>
      </w:rPr>
      <w:fldChar w:fldCharType="end"/>
    </w:r>
    <w:r>
      <w:rPr>
        <w:rFonts w:ascii="宋体" w:hAnsi="宋体"/>
        <w:kern w:val="0"/>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B31DF">
    <w:pPr>
      <w:ind w:right="360" w:firstLine="360"/>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188</w:t>
    </w:r>
    <w:r>
      <w:rPr>
        <w:rFonts w:ascii="宋体" w:hAnsi="宋体"/>
        <w:kern w:val="0"/>
        <w:sz w:val="28"/>
        <w:szCs w:val="28"/>
      </w:rPr>
      <w:fldChar w:fldCharType="end"/>
    </w:r>
    <w:r>
      <w:rPr>
        <w:rFonts w:ascii="宋体" w:hAnsi="宋体"/>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5002">
    <w:pPr>
      <w:pStyle w:val="3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A6DCC">
    <w:pPr>
      <w:pStyle w:val="31"/>
      <w:pBdr>
        <w:bottom w:val="none" w:color="auto" w:sz="0" w:space="0"/>
      </w:pBdr>
      <w:jc w:val="right"/>
    </w:pPr>
    <w:r>
      <w:rPr>
        <w:rFonts w:hint="eastAsia"/>
      </w:rPr>
      <w:t xml:space="preserve"> </w:t>
    </w:r>
    <w:r>
      <w:t xml:space="preserve">   </w:t>
    </w:r>
    <w:r>
      <w:drawing>
        <wp:anchor distT="0" distB="0" distL="114300" distR="114300" simplePos="0" relativeHeight="251659264" behindDoc="0" locked="0" layoutInCell="1" allowOverlap="1">
          <wp:simplePos x="0" y="0"/>
          <wp:positionH relativeFrom="margin">
            <wp:posOffset>-657225</wp:posOffset>
          </wp:positionH>
          <wp:positionV relativeFrom="margin">
            <wp:posOffset>-333375</wp:posOffset>
          </wp:positionV>
          <wp:extent cx="3009900" cy="28575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009900" cy="285750"/>
                  </a:xfrm>
                  <a:prstGeom prst="rect">
                    <a:avLst/>
                  </a:prstGeom>
                  <a:noFill/>
                  <a:ln>
                    <a:noFill/>
                  </a:ln>
                </pic:spPr>
              </pic:pic>
            </a:graphicData>
          </a:graphic>
        </wp:anchor>
      </w:drawing>
    </w:r>
    <w:r>
      <w:rPr>
        <w:rFonts w:hint="eastAsia"/>
        <w:sz w:val="24"/>
        <w:szCs w:val="24"/>
      </w:rPr>
      <w:t>采购文件</w:t>
    </w:r>
  </w:p>
  <w:p w14:paraId="7553FF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DCFB8C"/>
    <w:multiLevelType w:val="singleLevel"/>
    <w:tmpl w:val="ABDCFB8C"/>
    <w:lvl w:ilvl="0" w:tentative="0">
      <w:start w:val="1"/>
      <w:numFmt w:val="decimal"/>
      <w:lvlText w:val="%1."/>
      <w:lvlJc w:val="left"/>
      <w:pPr>
        <w:ind w:left="425" w:hanging="425"/>
      </w:pPr>
      <w:rPr>
        <w:rFonts w:hint="default"/>
      </w:rPr>
    </w:lvl>
  </w:abstractNum>
  <w:abstractNum w:abstractNumId="1">
    <w:nsid w:val="4B9159FB"/>
    <w:multiLevelType w:val="singleLevel"/>
    <w:tmpl w:val="4B9159FB"/>
    <w:lvl w:ilvl="0" w:tentative="0">
      <w:start w:val="1"/>
      <w:numFmt w:val="decimal"/>
      <w:lvlText w:val="%1."/>
      <w:lvlJc w:val="left"/>
      <w:pPr>
        <w:tabs>
          <w:tab w:val="left" w:pos="312"/>
        </w:tabs>
      </w:pPr>
    </w:lvl>
  </w:abstractNum>
  <w:abstractNum w:abstractNumId="2">
    <w:nsid w:val="5E385750"/>
    <w:multiLevelType w:val="multilevel"/>
    <w:tmpl w:val="5E385750"/>
    <w:lvl w:ilvl="0" w:tentative="0">
      <w:start w:val="1"/>
      <w:numFmt w:val="decimal"/>
      <w:lvlText w:val="%1."/>
      <w:lvlJc w:val="left"/>
      <w:pPr>
        <w:ind w:left="915" w:hanging="360"/>
      </w:pPr>
      <w:rPr>
        <w:rFonts w:hint="default"/>
      </w:r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abstractNum w:abstractNumId="3">
    <w:nsid w:val="74E0B265"/>
    <w:multiLevelType w:val="singleLevel"/>
    <w:tmpl w:val="74E0B265"/>
    <w:lvl w:ilvl="0" w:tentative="0">
      <w:start w:val="1"/>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hideSpellingErrors/>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4MDI3MzIwNjFlZGFiYzIyNmUwMDcwZWVjOWJiMjkifQ=="/>
  </w:docVars>
  <w:rsids>
    <w:rsidRoot w:val="002A5EDF"/>
    <w:rsid w:val="00003597"/>
    <w:rsid w:val="00007FB8"/>
    <w:rsid w:val="0002460D"/>
    <w:rsid w:val="00036F53"/>
    <w:rsid w:val="000404A1"/>
    <w:rsid w:val="000416F9"/>
    <w:rsid w:val="000469F9"/>
    <w:rsid w:val="0007600A"/>
    <w:rsid w:val="00093240"/>
    <w:rsid w:val="000B7E10"/>
    <w:rsid w:val="000C0101"/>
    <w:rsid w:val="000E519E"/>
    <w:rsid w:val="000E5559"/>
    <w:rsid w:val="00116183"/>
    <w:rsid w:val="001175E8"/>
    <w:rsid w:val="00130E68"/>
    <w:rsid w:val="001423F5"/>
    <w:rsid w:val="001676DA"/>
    <w:rsid w:val="001953EE"/>
    <w:rsid w:val="001A3BD2"/>
    <w:rsid w:val="001F1D1C"/>
    <w:rsid w:val="00211658"/>
    <w:rsid w:val="00213308"/>
    <w:rsid w:val="00232740"/>
    <w:rsid w:val="002765C6"/>
    <w:rsid w:val="00294BA3"/>
    <w:rsid w:val="002A5EDF"/>
    <w:rsid w:val="002B4591"/>
    <w:rsid w:val="002C009D"/>
    <w:rsid w:val="002C651E"/>
    <w:rsid w:val="002C7D74"/>
    <w:rsid w:val="002D4DB4"/>
    <w:rsid w:val="003061C7"/>
    <w:rsid w:val="003151CA"/>
    <w:rsid w:val="003214D8"/>
    <w:rsid w:val="003303D3"/>
    <w:rsid w:val="00337B1F"/>
    <w:rsid w:val="00346936"/>
    <w:rsid w:val="00351E9D"/>
    <w:rsid w:val="00354245"/>
    <w:rsid w:val="003547CC"/>
    <w:rsid w:val="00362D5A"/>
    <w:rsid w:val="00373CC3"/>
    <w:rsid w:val="00382664"/>
    <w:rsid w:val="003B2056"/>
    <w:rsid w:val="003D574A"/>
    <w:rsid w:val="003E4124"/>
    <w:rsid w:val="003E78AB"/>
    <w:rsid w:val="003F63A2"/>
    <w:rsid w:val="00406BB9"/>
    <w:rsid w:val="0042027B"/>
    <w:rsid w:val="004249FE"/>
    <w:rsid w:val="00427E02"/>
    <w:rsid w:val="0047631F"/>
    <w:rsid w:val="004B1D96"/>
    <w:rsid w:val="004C1D86"/>
    <w:rsid w:val="004F12ED"/>
    <w:rsid w:val="00502FD9"/>
    <w:rsid w:val="005060EB"/>
    <w:rsid w:val="00511045"/>
    <w:rsid w:val="00516EBB"/>
    <w:rsid w:val="00522B02"/>
    <w:rsid w:val="005231B4"/>
    <w:rsid w:val="005275C4"/>
    <w:rsid w:val="00535DAF"/>
    <w:rsid w:val="005377A8"/>
    <w:rsid w:val="0056030E"/>
    <w:rsid w:val="0056592C"/>
    <w:rsid w:val="00566340"/>
    <w:rsid w:val="0057035E"/>
    <w:rsid w:val="005B13DC"/>
    <w:rsid w:val="00603058"/>
    <w:rsid w:val="0061064F"/>
    <w:rsid w:val="0062612F"/>
    <w:rsid w:val="006461EC"/>
    <w:rsid w:val="006505FE"/>
    <w:rsid w:val="0065412B"/>
    <w:rsid w:val="006545EE"/>
    <w:rsid w:val="006612B5"/>
    <w:rsid w:val="00667C4A"/>
    <w:rsid w:val="0067383B"/>
    <w:rsid w:val="00676114"/>
    <w:rsid w:val="006829A3"/>
    <w:rsid w:val="00692BC8"/>
    <w:rsid w:val="006957EB"/>
    <w:rsid w:val="006B7012"/>
    <w:rsid w:val="006C7F68"/>
    <w:rsid w:val="006D2C40"/>
    <w:rsid w:val="006D5EA4"/>
    <w:rsid w:val="006E2D30"/>
    <w:rsid w:val="006E66B0"/>
    <w:rsid w:val="00707CFA"/>
    <w:rsid w:val="00714E89"/>
    <w:rsid w:val="00720B2A"/>
    <w:rsid w:val="00736C12"/>
    <w:rsid w:val="00764DFD"/>
    <w:rsid w:val="00786959"/>
    <w:rsid w:val="007B29B2"/>
    <w:rsid w:val="007C14FF"/>
    <w:rsid w:val="007C2A22"/>
    <w:rsid w:val="00810CA7"/>
    <w:rsid w:val="00810F5E"/>
    <w:rsid w:val="008141A2"/>
    <w:rsid w:val="00842342"/>
    <w:rsid w:val="00854060"/>
    <w:rsid w:val="00862B69"/>
    <w:rsid w:val="00863C24"/>
    <w:rsid w:val="00867932"/>
    <w:rsid w:val="008701D8"/>
    <w:rsid w:val="00890986"/>
    <w:rsid w:val="00891F8B"/>
    <w:rsid w:val="008A5F9A"/>
    <w:rsid w:val="008B5C3F"/>
    <w:rsid w:val="008B7423"/>
    <w:rsid w:val="008C6987"/>
    <w:rsid w:val="008D005C"/>
    <w:rsid w:val="008F6850"/>
    <w:rsid w:val="00901231"/>
    <w:rsid w:val="009018B5"/>
    <w:rsid w:val="009022E7"/>
    <w:rsid w:val="009054FE"/>
    <w:rsid w:val="00922053"/>
    <w:rsid w:val="0093148D"/>
    <w:rsid w:val="00947564"/>
    <w:rsid w:val="0095038B"/>
    <w:rsid w:val="0096277E"/>
    <w:rsid w:val="00963D60"/>
    <w:rsid w:val="00993F0B"/>
    <w:rsid w:val="009B354A"/>
    <w:rsid w:val="009B577C"/>
    <w:rsid w:val="009B7901"/>
    <w:rsid w:val="009C4AA1"/>
    <w:rsid w:val="009D4C35"/>
    <w:rsid w:val="00A07E0D"/>
    <w:rsid w:val="00A14B5B"/>
    <w:rsid w:val="00A217CF"/>
    <w:rsid w:val="00A45422"/>
    <w:rsid w:val="00A467B8"/>
    <w:rsid w:val="00A51D8D"/>
    <w:rsid w:val="00A77480"/>
    <w:rsid w:val="00A86090"/>
    <w:rsid w:val="00A94ABF"/>
    <w:rsid w:val="00AA0706"/>
    <w:rsid w:val="00AA192C"/>
    <w:rsid w:val="00AA640F"/>
    <w:rsid w:val="00AB6E5B"/>
    <w:rsid w:val="00AB75AE"/>
    <w:rsid w:val="00AB7A1E"/>
    <w:rsid w:val="00AD2FB3"/>
    <w:rsid w:val="00AF63EF"/>
    <w:rsid w:val="00B3664D"/>
    <w:rsid w:val="00B40055"/>
    <w:rsid w:val="00B4535E"/>
    <w:rsid w:val="00B471C9"/>
    <w:rsid w:val="00B605F4"/>
    <w:rsid w:val="00BB62A5"/>
    <w:rsid w:val="00BC36B5"/>
    <w:rsid w:val="00C0149C"/>
    <w:rsid w:val="00C04B3D"/>
    <w:rsid w:val="00C04E3E"/>
    <w:rsid w:val="00C051D6"/>
    <w:rsid w:val="00C117F7"/>
    <w:rsid w:val="00C24B2E"/>
    <w:rsid w:val="00C31C2C"/>
    <w:rsid w:val="00C6342E"/>
    <w:rsid w:val="00C95693"/>
    <w:rsid w:val="00CA4A29"/>
    <w:rsid w:val="00CD0C95"/>
    <w:rsid w:val="00CF3291"/>
    <w:rsid w:val="00D02ADD"/>
    <w:rsid w:val="00D0748B"/>
    <w:rsid w:val="00D10862"/>
    <w:rsid w:val="00D14004"/>
    <w:rsid w:val="00D211D7"/>
    <w:rsid w:val="00D32381"/>
    <w:rsid w:val="00D51CFF"/>
    <w:rsid w:val="00D56F3D"/>
    <w:rsid w:val="00D60D62"/>
    <w:rsid w:val="00D70E9E"/>
    <w:rsid w:val="00D8123A"/>
    <w:rsid w:val="00DA741A"/>
    <w:rsid w:val="00DB25AB"/>
    <w:rsid w:val="00DD27D8"/>
    <w:rsid w:val="00DE2902"/>
    <w:rsid w:val="00E001A8"/>
    <w:rsid w:val="00E03CFD"/>
    <w:rsid w:val="00E13D8B"/>
    <w:rsid w:val="00E264F8"/>
    <w:rsid w:val="00E33BF5"/>
    <w:rsid w:val="00E44B18"/>
    <w:rsid w:val="00E51BF3"/>
    <w:rsid w:val="00E54EDC"/>
    <w:rsid w:val="00E62EEB"/>
    <w:rsid w:val="00E775BC"/>
    <w:rsid w:val="00EA2A25"/>
    <w:rsid w:val="00EC3B2B"/>
    <w:rsid w:val="00F4193B"/>
    <w:rsid w:val="00F9447F"/>
    <w:rsid w:val="00F9472C"/>
    <w:rsid w:val="00FC7028"/>
    <w:rsid w:val="011A470B"/>
    <w:rsid w:val="015974C0"/>
    <w:rsid w:val="018A58CB"/>
    <w:rsid w:val="02BE3A7E"/>
    <w:rsid w:val="05760640"/>
    <w:rsid w:val="05E50700"/>
    <w:rsid w:val="079774EB"/>
    <w:rsid w:val="0837460B"/>
    <w:rsid w:val="09643EED"/>
    <w:rsid w:val="0A4C7BC2"/>
    <w:rsid w:val="0AE24082"/>
    <w:rsid w:val="0C286A0F"/>
    <w:rsid w:val="0D3A63F7"/>
    <w:rsid w:val="0DC37150"/>
    <w:rsid w:val="0EF33DD5"/>
    <w:rsid w:val="0F6E2388"/>
    <w:rsid w:val="104A4BA3"/>
    <w:rsid w:val="111F21DD"/>
    <w:rsid w:val="11F748B7"/>
    <w:rsid w:val="12511942"/>
    <w:rsid w:val="126C2810"/>
    <w:rsid w:val="129D3724"/>
    <w:rsid w:val="13CE5AEB"/>
    <w:rsid w:val="146B6E96"/>
    <w:rsid w:val="1597143B"/>
    <w:rsid w:val="15F01D49"/>
    <w:rsid w:val="1942722A"/>
    <w:rsid w:val="19A8735C"/>
    <w:rsid w:val="1AA44EB0"/>
    <w:rsid w:val="1B7E6D29"/>
    <w:rsid w:val="202C00F5"/>
    <w:rsid w:val="205B22B2"/>
    <w:rsid w:val="222D01DC"/>
    <w:rsid w:val="227402E9"/>
    <w:rsid w:val="22AD4B1E"/>
    <w:rsid w:val="25C738C2"/>
    <w:rsid w:val="25E736F3"/>
    <w:rsid w:val="25F25669"/>
    <w:rsid w:val="27862B69"/>
    <w:rsid w:val="2858580E"/>
    <w:rsid w:val="28DF55E9"/>
    <w:rsid w:val="2F21159B"/>
    <w:rsid w:val="2F6242E5"/>
    <w:rsid w:val="2F8C006E"/>
    <w:rsid w:val="2FDD18E2"/>
    <w:rsid w:val="312A43D2"/>
    <w:rsid w:val="313663E3"/>
    <w:rsid w:val="32110C25"/>
    <w:rsid w:val="32481BE1"/>
    <w:rsid w:val="33AC3D18"/>
    <w:rsid w:val="35571045"/>
    <w:rsid w:val="35A80B15"/>
    <w:rsid w:val="36013076"/>
    <w:rsid w:val="3B412E66"/>
    <w:rsid w:val="3BF4487B"/>
    <w:rsid w:val="3C853D0C"/>
    <w:rsid w:val="3CF35A33"/>
    <w:rsid w:val="3D107C99"/>
    <w:rsid w:val="3D8D40E0"/>
    <w:rsid w:val="3F450160"/>
    <w:rsid w:val="3FEF145E"/>
    <w:rsid w:val="44A23EE3"/>
    <w:rsid w:val="45764C38"/>
    <w:rsid w:val="45B778DE"/>
    <w:rsid w:val="479D35E9"/>
    <w:rsid w:val="47DA5636"/>
    <w:rsid w:val="483F3FB3"/>
    <w:rsid w:val="4D107F19"/>
    <w:rsid w:val="4E7B76FB"/>
    <w:rsid w:val="4FBB0836"/>
    <w:rsid w:val="51BD7ED9"/>
    <w:rsid w:val="51E27E6A"/>
    <w:rsid w:val="529E42FF"/>
    <w:rsid w:val="542B4A38"/>
    <w:rsid w:val="57DF519E"/>
    <w:rsid w:val="58263061"/>
    <w:rsid w:val="59F32D2E"/>
    <w:rsid w:val="5A644857"/>
    <w:rsid w:val="5B69000D"/>
    <w:rsid w:val="5BF91D71"/>
    <w:rsid w:val="5D5757D7"/>
    <w:rsid w:val="5F2E27F7"/>
    <w:rsid w:val="5F3C390C"/>
    <w:rsid w:val="5F4973A1"/>
    <w:rsid w:val="61250CEA"/>
    <w:rsid w:val="62FA49E8"/>
    <w:rsid w:val="63371354"/>
    <w:rsid w:val="64D52A07"/>
    <w:rsid w:val="665B1146"/>
    <w:rsid w:val="66DD4F9F"/>
    <w:rsid w:val="67B348FD"/>
    <w:rsid w:val="67E4235D"/>
    <w:rsid w:val="68064D12"/>
    <w:rsid w:val="6902505D"/>
    <w:rsid w:val="69327182"/>
    <w:rsid w:val="69B94D9E"/>
    <w:rsid w:val="6ACD7CE2"/>
    <w:rsid w:val="6C0A1E4A"/>
    <w:rsid w:val="6E2C7516"/>
    <w:rsid w:val="72A3472B"/>
    <w:rsid w:val="73F024A5"/>
    <w:rsid w:val="74060BC4"/>
    <w:rsid w:val="77CA4EC1"/>
    <w:rsid w:val="78320EC2"/>
    <w:rsid w:val="788928EB"/>
    <w:rsid w:val="79341F69"/>
    <w:rsid w:val="799803B4"/>
    <w:rsid w:val="7B0F54EB"/>
    <w:rsid w:val="7C5677D2"/>
    <w:rsid w:val="7CF90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3"/>
    <w:autoRedefine/>
    <w:qFormat/>
    <w:uiPriority w:val="0"/>
    <w:pPr>
      <w:keepNext/>
      <w:spacing w:line="360" w:lineRule="auto"/>
      <w:jc w:val="center"/>
      <w:outlineLvl w:val="0"/>
    </w:pPr>
    <w:rPr>
      <w:b/>
      <w:bCs/>
      <w:sz w:val="28"/>
      <w:szCs w:val="20"/>
    </w:rPr>
  </w:style>
  <w:style w:type="paragraph" w:styleId="3">
    <w:name w:val="heading 2"/>
    <w:basedOn w:val="1"/>
    <w:next w:val="1"/>
    <w:link w:val="64"/>
    <w:autoRedefine/>
    <w:qFormat/>
    <w:uiPriority w:val="0"/>
    <w:pPr>
      <w:keepNext/>
      <w:keepLines/>
      <w:spacing w:line="360" w:lineRule="auto"/>
      <w:outlineLvl w:val="1"/>
    </w:pPr>
    <w:rPr>
      <w:rFonts w:ascii="Arial" w:hAnsi="Arial"/>
      <w:b/>
      <w:bCs/>
      <w:sz w:val="24"/>
      <w:szCs w:val="32"/>
    </w:rPr>
  </w:style>
  <w:style w:type="paragraph" w:styleId="4">
    <w:name w:val="heading 3"/>
    <w:basedOn w:val="1"/>
    <w:next w:val="1"/>
    <w:link w:val="65"/>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66"/>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7"/>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68"/>
    <w:autoRedefine/>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69"/>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70"/>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71"/>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rFonts w:ascii="Calibri" w:hAnsi="Calibri"/>
      <w:szCs w:val="22"/>
    </w:rPr>
  </w:style>
  <w:style w:type="paragraph" w:styleId="12">
    <w:name w:val="Normal Indent"/>
    <w:basedOn w:val="1"/>
    <w:next w:val="1"/>
    <w:autoRedefine/>
    <w:qFormat/>
    <w:uiPriority w:val="0"/>
    <w:pPr>
      <w:widowControl/>
      <w:ind w:firstLine="420"/>
      <w:jc w:val="left"/>
    </w:pPr>
    <w:rPr>
      <w:kern w:val="0"/>
      <w:sz w:val="20"/>
      <w:szCs w:val="20"/>
    </w:rPr>
  </w:style>
  <w:style w:type="paragraph" w:styleId="13">
    <w:name w:val="Document Map"/>
    <w:basedOn w:val="1"/>
    <w:link w:val="72"/>
    <w:autoRedefine/>
    <w:semiHidden/>
    <w:qFormat/>
    <w:uiPriority w:val="0"/>
    <w:pPr>
      <w:shd w:val="clear" w:color="auto" w:fill="000080"/>
    </w:pPr>
  </w:style>
  <w:style w:type="paragraph" w:styleId="14">
    <w:name w:val="toa heading"/>
    <w:basedOn w:val="1"/>
    <w:next w:val="1"/>
    <w:autoRedefine/>
    <w:qFormat/>
    <w:uiPriority w:val="99"/>
    <w:pPr>
      <w:spacing w:before="120"/>
    </w:pPr>
    <w:rPr>
      <w:rFonts w:ascii="Cambria" w:hAnsi="Cambria"/>
      <w:sz w:val="24"/>
    </w:rPr>
  </w:style>
  <w:style w:type="paragraph" w:styleId="15">
    <w:name w:val="annotation text"/>
    <w:basedOn w:val="1"/>
    <w:link w:val="73"/>
    <w:autoRedefine/>
    <w:semiHidden/>
    <w:qFormat/>
    <w:uiPriority w:val="0"/>
    <w:pPr>
      <w:jc w:val="left"/>
    </w:pPr>
  </w:style>
  <w:style w:type="paragraph" w:styleId="16">
    <w:name w:val="Salutation"/>
    <w:basedOn w:val="1"/>
    <w:next w:val="1"/>
    <w:link w:val="74"/>
    <w:autoRedefine/>
    <w:qFormat/>
    <w:uiPriority w:val="0"/>
    <w:rPr>
      <w:rFonts w:ascii="仿宋_GB2312" w:eastAsia="仿宋_GB2312"/>
      <w:sz w:val="24"/>
    </w:rPr>
  </w:style>
  <w:style w:type="paragraph" w:styleId="17">
    <w:name w:val="Body Text 3"/>
    <w:basedOn w:val="1"/>
    <w:link w:val="75"/>
    <w:autoRedefine/>
    <w:qFormat/>
    <w:uiPriority w:val="0"/>
    <w:pPr>
      <w:autoSpaceDE w:val="0"/>
      <w:autoSpaceDN w:val="0"/>
      <w:adjustRightInd w:val="0"/>
      <w:spacing w:line="410" w:lineRule="atLeast"/>
      <w:jc w:val="left"/>
    </w:pPr>
    <w:rPr>
      <w:rFonts w:ascii="宋体"/>
      <w:color w:val="000000"/>
      <w:kern w:val="0"/>
      <w:sz w:val="24"/>
      <w:szCs w:val="20"/>
    </w:rPr>
  </w:style>
  <w:style w:type="paragraph" w:styleId="18">
    <w:name w:val="Body Text"/>
    <w:basedOn w:val="1"/>
    <w:next w:val="19"/>
    <w:link w:val="62"/>
    <w:autoRedefine/>
    <w:qFormat/>
    <w:uiPriority w:val="99"/>
    <w:pPr>
      <w:spacing w:after="120"/>
      <w:jc w:val="center"/>
    </w:pPr>
    <w:rPr>
      <w:b/>
    </w:rPr>
  </w:style>
  <w:style w:type="paragraph" w:styleId="19">
    <w:name w:val="Body Text First Indent"/>
    <w:basedOn w:val="18"/>
    <w:next w:val="1"/>
    <w:link w:val="88"/>
    <w:autoRedefine/>
    <w:qFormat/>
    <w:uiPriority w:val="0"/>
    <w:pPr>
      <w:ind w:firstLine="420" w:firstLineChars="100"/>
    </w:pPr>
  </w:style>
  <w:style w:type="paragraph" w:styleId="20">
    <w:name w:val="Body Text Indent"/>
    <w:basedOn w:val="1"/>
    <w:next w:val="1"/>
    <w:link w:val="76"/>
    <w:autoRedefine/>
    <w:qFormat/>
    <w:uiPriority w:val="0"/>
    <w:pPr>
      <w:spacing w:after="120"/>
      <w:ind w:left="420" w:leftChars="200"/>
    </w:pPr>
  </w:style>
  <w:style w:type="paragraph" w:styleId="21">
    <w:name w:val="Block Text"/>
    <w:basedOn w:val="1"/>
    <w:autoRedefine/>
    <w:qFormat/>
    <w:uiPriority w:val="0"/>
    <w:pPr>
      <w:ind w:left="1171" w:right="91" w:hanging="1080"/>
    </w:pPr>
    <w:rPr>
      <w:rFonts w:eastAsia="楷体_GB2312"/>
      <w:szCs w:val="20"/>
    </w:rPr>
  </w:style>
  <w:style w:type="paragraph" w:styleId="22">
    <w:name w:val="index 4"/>
    <w:basedOn w:val="1"/>
    <w:next w:val="1"/>
    <w:autoRedefine/>
    <w:unhideWhenUsed/>
    <w:qFormat/>
    <w:uiPriority w:val="99"/>
    <w:pPr>
      <w:ind w:left="600" w:leftChars="600"/>
    </w:pPr>
    <w:rPr>
      <w:rFonts w:ascii="Calibri" w:hAnsi="Calibri"/>
    </w:rPr>
  </w:style>
  <w:style w:type="paragraph" w:styleId="23">
    <w:name w:val="toc 5"/>
    <w:basedOn w:val="1"/>
    <w:next w:val="1"/>
    <w:autoRedefine/>
    <w:qFormat/>
    <w:uiPriority w:val="0"/>
    <w:pPr>
      <w:ind w:left="1680" w:leftChars="800"/>
    </w:pPr>
    <w:rPr>
      <w:rFonts w:ascii="Calibri" w:hAnsi="Calibri"/>
      <w:szCs w:val="22"/>
    </w:rPr>
  </w:style>
  <w:style w:type="paragraph" w:styleId="24">
    <w:name w:val="toc 3"/>
    <w:basedOn w:val="1"/>
    <w:next w:val="1"/>
    <w:autoRedefine/>
    <w:qFormat/>
    <w:uiPriority w:val="39"/>
    <w:pPr>
      <w:ind w:left="840" w:leftChars="400"/>
    </w:pPr>
  </w:style>
  <w:style w:type="paragraph" w:styleId="25">
    <w:name w:val="Plain Text"/>
    <w:basedOn w:val="1"/>
    <w:link w:val="77"/>
    <w:autoRedefine/>
    <w:qFormat/>
    <w:uiPriority w:val="99"/>
    <w:rPr>
      <w:sz w:val="24"/>
      <w:szCs w:val="20"/>
    </w:rPr>
  </w:style>
  <w:style w:type="paragraph" w:styleId="26">
    <w:name w:val="toc 8"/>
    <w:basedOn w:val="1"/>
    <w:next w:val="1"/>
    <w:autoRedefine/>
    <w:qFormat/>
    <w:uiPriority w:val="0"/>
    <w:pPr>
      <w:ind w:left="2940" w:leftChars="1400"/>
    </w:pPr>
    <w:rPr>
      <w:rFonts w:ascii="Calibri" w:hAnsi="Calibri"/>
      <w:szCs w:val="22"/>
    </w:rPr>
  </w:style>
  <w:style w:type="paragraph" w:styleId="27">
    <w:name w:val="Date"/>
    <w:basedOn w:val="1"/>
    <w:next w:val="1"/>
    <w:link w:val="78"/>
    <w:autoRedefine/>
    <w:qFormat/>
    <w:uiPriority w:val="0"/>
    <w:rPr>
      <w:sz w:val="24"/>
      <w:szCs w:val="20"/>
    </w:rPr>
  </w:style>
  <w:style w:type="paragraph" w:styleId="28">
    <w:name w:val="Body Text Indent 2"/>
    <w:basedOn w:val="1"/>
    <w:link w:val="79"/>
    <w:autoRedefine/>
    <w:qFormat/>
    <w:uiPriority w:val="0"/>
    <w:pPr>
      <w:spacing w:after="120" w:line="480" w:lineRule="auto"/>
      <w:ind w:left="420" w:leftChars="200"/>
    </w:pPr>
  </w:style>
  <w:style w:type="paragraph" w:styleId="29">
    <w:name w:val="Balloon Text"/>
    <w:basedOn w:val="1"/>
    <w:link w:val="80"/>
    <w:autoRedefine/>
    <w:qFormat/>
    <w:uiPriority w:val="0"/>
    <w:rPr>
      <w:rFonts w:ascii="Calibri" w:hAnsi="Calibri"/>
      <w:sz w:val="18"/>
      <w:szCs w:val="18"/>
    </w:rPr>
  </w:style>
  <w:style w:type="paragraph" w:styleId="30">
    <w:name w:val="footer"/>
    <w:basedOn w:val="1"/>
    <w:link w:val="81"/>
    <w:autoRedefine/>
    <w:qFormat/>
    <w:uiPriority w:val="99"/>
    <w:pPr>
      <w:tabs>
        <w:tab w:val="center" w:pos="4153"/>
        <w:tab w:val="right" w:pos="8306"/>
      </w:tabs>
      <w:snapToGrid w:val="0"/>
      <w:jc w:val="left"/>
    </w:pPr>
    <w:rPr>
      <w:sz w:val="18"/>
      <w:szCs w:val="18"/>
    </w:rPr>
  </w:style>
  <w:style w:type="paragraph" w:styleId="31">
    <w:name w:val="header"/>
    <w:basedOn w:val="1"/>
    <w:link w:val="82"/>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spacing w:line="500" w:lineRule="exact"/>
    </w:pPr>
    <w:rPr>
      <w:rFonts w:ascii="黑体"/>
      <w:b/>
      <w:sz w:val="24"/>
    </w:rPr>
  </w:style>
  <w:style w:type="paragraph" w:styleId="33">
    <w:name w:val="toc 4"/>
    <w:basedOn w:val="1"/>
    <w:next w:val="1"/>
    <w:autoRedefine/>
    <w:qFormat/>
    <w:uiPriority w:val="0"/>
    <w:pPr>
      <w:ind w:left="1260" w:leftChars="600"/>
    </w:pPr>
  </w:style>
  <w:style w:type="paragraph" w:styleId="34">
    <w:name w:val="index heading"/>
    <w:basedOn w:val="1"/>
    <w:next w:val="35"/>
    <w:autoRedefine/>
    <w:semiHidden/>
    <w:qFormat/>
    <w:uiPriority w:val="0"/>
  </w:style>
  <w:style w:type="paragraph" w:styleId="35">
    <w:name w:val="index 1"/>
    <w:basedOn w:val="1"/>
    <w:next w:val="1"/>
    <w:autoRedefine/>
    <w:unhideWhenUsed/>
    <w:qFormat/>
    <w:uiPriority w:val="0"/>
  </w:style>
  <w:style w:type="paragraph" w:styleId="36">
    <w:name w:val="List"/>
    <w:basedOn w:val="1"/>
    <w:autoRedefine/>
    <w:qFormat/>
    <w:uiPriority w:val="0"/>
    <w:pPr>
      <w:ind w:left="200" w:hanging="200" w:hangingChars="200"/>
    </w:pPr>
    <w:rPr>
      <w:sz w:val="28"/>
    </w:rPr>
  </w:style>
  <w:style w:type="paragraph" w:styleId="37">
    <w:name w:val="toc 6"/>
    <w:basedOn w:val="1"/>
    <w:next w:val="1"/>
    <w:autoRedefine/>
    <w:qFormat/>
    <w:uiPriority w:val="0"/>
    <w:pPr>
      <w:ind w:left="2100" w:leftChars="1000"/>
    </w:pPr>
    <w:rPr>
      <w:rFonts w:ascii="Calibri" w:hAnsi="Calibri"/>
      <w:szCs w:val="22"/>
    </w:rPr>
  </w:style>
  <w:style w:type="paragraph" w:styleId="38">
    <w:name w:val="Body Text Indent 3"/>
    <w:basedOn w:val="1"/>
    <w:link w:val="83"/>
    <w:autoRedefine/>
    <w:qFormat/>
    <w:uiPriority w:val="0"/>
    <w:pPr>
      <w:spacing w:after="120"/>
      <w:ind w:left="420" w:leftChars="200"/>
    </w:pPr>
    <w:rPr>
      <w:sz w:val="16"/>
      <w:szCs w:val="16"/>
    </w:rPr>
  </w:style>
  <w:style w:type="paragraph" w:styleId="39">
    <w:name w:val="toc 2"/>
    <w:basedOn w:val="1"/>
    <w:next w:val="1"/>
    <w:autoRedefine/>
    <w:qFormat/>
    <w:uiPriority w:val="39"/>
    <w:pPr>
      <w:tabs>
        <w:tab w:val="right" w:leader="dot" w:pos="8302"/>
      </w:tabs>
      <w:spacing w:line="500" w:lineRule="exact"/>
      <w:ind w:left="420" w:leftChars="200"/>
    </w:pPr>
    <w:rPr>
      <w:rFonts w:ascii="宋体" w:hAnsi="宋体" w:cs="宋体"/>
    </w:rPr>
  </w:style>
  <w:style w:type="paragraph" w:styleId="40">
    <w:name w:val="toc 9"/>
    <w:basedOn w:val="1"/>
    <w:next w:val="1"/>
    <w:autoRedefine/>
    <w:qFormat/>
    <w:uiPriority w:val="0"/>
    <w:pPr>
      <w:ind w:left="3360" w:leftChars="1600"/>
    </w:pPr>
    <w:rPr>
      <w:rFonts w:ascii="Calibri" w:hAnsi="Calibri"/>
      <w:szCs w:val="22"/>
    </w:rPr>
  </w:style>
  <w:style w:type="paragraph" w:styleId="41">
    <w:name w:val="Body Text 2"/>
    <w:basedOn w:val="1"/>
    <w:link w:val="84"/>
    <w:autoRedefine/>
    <w:qFormat/>
    <w:uiPriority w:val="0"/>
    <w:pPr>
      <w:spacing w:after="120" w:line="480" w:lineRule="auto"/>
    </w:pPr>
  </w:style>
  <w:style w:type="paragraph" w:styleId="42">
    <w:name w:val="HTML Preformatted"/>
    <w:basedOn w:val="1"/>
    <w:link w:val="8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3">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44">
    <w:name w:val="Title"/>
    <w:basedOn w:val="1"/>
    <w:next w:val="1"/>
    <w:link w:val="86"/>
    <w:autoRedefine/>
    <w:qFormat/>
    <w:uiPriority w:val="0"/>
    <w:pPr>
      <w:spacing w:before="240" w:after="60"/>
      <w:jc w:val="center"/>
      <w:outlineLvl w:val="0"/>
    </w:pPr>
    <w:rPr>
      <w:rFonts w:ascii="Cambria" w:hAnsi="Cambria"/>
      <w:b/>
      <w:sz w:val="32"/>
    </w:rPr>
  </w:style>
  <w:style w:type="paragraph" w:styleId="45">
    <w:name w:val="annotation subject"/>
    <w:basedOn w:val="15"/>
    <w:next w:val="15"/>
    <w:link w:val="87"/>
    <w:autoRedefine/>
    <w:qFormat/>
    <w:uiPriority w:val="0"/>
    <w:rPr>
      <w:b/>
      <w:bCs/>
    </w:rPr>
  </w:style>
  <w:style w:type="paragraph" w:styleId="46">
    <w:name w:val="Body Text First Indent 2"/>
    <w:basedOn w:val="20"/>
    <w:next w:val="12"/>
    <w:autoRedefine/>
    <w:unhideWhenUsed/>
    <w:qFormat/>
    <w:uiPriority w:val="99"/>
    <w:pPr>
      <w:ind w:firstLine="420" w:firstLineChars="200"/>
    </w:pPr>
  </w:style>
  <w:style w:type="table" w:styleId="48">
    <w:name w:val="Table Grid"/>
    <w:basedOn w:val="4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autoRedefine/>
    <w:qFormat/>
    <w:uiPriority w:val="22"/>
    <w:rPr>
      <w:b/>
      <w:bCs/>
    </w:rPr>
  </w:style>
  <w:style w:type="character" w:styleId="51">
    <w:name w:val="page number"/>
    <w:basedOn w:val="49"/>
    <w:autoRedefine/>
    <w:qFormat/>
    <w:uiPriority w:val="0"/>
  </w:style>
  <w:style w:type="character" w:styleId="52">
    <w:name w:val="FollowedHyperlink"/>
    <w:autoRedefine/>
    <w:qFormat/>
    <w:uiPriority w:val="0"/>
    <w:rPr>
      <w:color w:val="800080"/>
      <w:u w:val="single"/>
    </w:rPr>
  </w:style>
  <w:style w:type="character" w:styleId="53">
    <w:name w:val="Emphasis"/>
    <w:autoRedefine/>
    <w:qFormat/>
    <w:uiPriority w:val="0"/>
    <w:rPr>
      <w:rFonts w:ascii="Times New Roman" w:hAnsi="Times New Roman" w:eastAsia="宋体"/>
    </w:rPr>
  </w:style>
  <w:style w:type="character" w:styleId="54">
    <w:name w:val="HTML Definition"/>
    <w:autoRedefine/>
    <w:qFormat/>
    <w:uiPriority w:val="0"/>
    <w:rPr>
      <w:rFonts w:ascii="Times New Roman" w:hAnsi="Times New Roman" w:eastAsia="宋体"/>
    </w:rPr>
  </w:style>
  <w:style w:type="character" w:styleId="55">
    <w:name w:val="HTML Variable"/>
    <w:autoRedefine/>
    <w:qFormat/>
    <w:uiPriority w:val="0"/>
    <w:rPr>
      <w:rFonts w:ascii="Times New Roman" w:hAnsi="Times New Roman" w:eastAsia="宋体"/>
    </w:rPr>
  </w:style>
  <w:style w:type="character" w:styleId="56">
    <w:name w:val="Hyperlink"/>
    <w:autoRedefine/>
    <w:qFormat/>
    <w:uiPriority w:val="99"/>
    <w:rPr>
      <w:color w:val="136EC2"/>
      <w:u w:val="single"/>
    </w:rPr>
  </w:style>
  <w:style w:type="character" w:styleId="57">
    <w:name w:val="HTML Code"/>
    <w:autoRedefine/>
    <w:qFormat/>
    <w:uiPriority w:val="0"/>
    <w:rPr>
      <w:rFonts w:ascii="Courier New" w:hAnsi="Courier New" w:eastAsia="Courier New" w:cs="Courier New"/>
      <w:sz w:val="20"/>
    </w:rPr>
  </w:style>
  <w:style w:type="character" w:styleId="58">
    <w:name w:val="annotation reference"/>
    <w:autoRedefine/>
    <w:qFormat/>
    <w:uiPriority w:val="0"/>
    <w:rPr>
      <w:sz w:val="21"/>
      <w:szCs w:val="21"/>
    </w:rPr>
  </w:style>
  <w:style w:type="character" w:styleId="59">
    <w:name w:val="HTML Cite"/>
    <w:autoRedefine/>
    <w:qFormat/>
    <w:uiPriority w:val="0"/>
    <w:rPr>
      <w:rFonts w:ascii="Times New Roman" w:hAnsi="Times New Roman" w:eastAsia="宋体"/>
    </w:rPr>
  </w:style>
  <w:style w:type="character" w:styleId="60">
    <w:name w:val="HTML Keyboard"/>
    <w:autoRedefine/>
    <w:qFormat/>
    <w:uiPriority w:val="0"/>
    <w:rPr>
      <w:rFonts w:ascii="Courier New" w:hAnsi="Courier New" w:eastAsia="Courier New" w:cs="Courier New"/>
      <w:sz w:val="20"/>
    </w:rPr>
  </w:style>
  <w:style w:type="character" w:styleId="61">
    <w:name w:val="HTML Sample"/>
    <w:basedOn w:val="49"/>
    <w:autoRedefine/>
    <w:qFormat/>
    <w:uiPriority w:val="0"/>
    <w:rPr>
      <w:rFonts w:ascii="Courier New" w:hAnsi="Courier New" w:eastAsia="Courier New" w:cs="Courier New"/>
    </w:rPr>
  </w:style>
  <w:style w:type="character" w:customStyle="1" w:styleId="62">
    <w:name w:val="正文文本 字符"/>
    <w:basedOn w:val="49"/>
    <w:link w:val="18"/>
    <w:autoRedefine/>
    <w:qFormat/>
    <w:uiPriority w:val="99"/>
    <w:rPr>
      <w:b/>
      <w:kern w:val="2"/>
      <w:sz w:val="21"/>
      <w:szCs w:val="24"/>
    </w:rPr>
  </w:style>
  <w:style w:type="character" w:customStyle="1" w:styleId="63">
    <w:name w:val="标题 1 字符"/>
    <w:basedOn w:val="49"/>
    <w:link w:val="2"/>
    <w:autoRedefine/>
    <w:qFormat/>
    <w:uiPriority w:val="0"/>
    <w:rPr>
      <w:rFonts w:ascii="Times New Roman" w:hAnsi="Times New Roman" w:eastAsia="宋体" w:cs="Times New Roman"/>
      <w:b/>
      <w:bCs/>
      <w:sz w:val="28"/>
      <w:szCs w:val="20"/>
    </w:rPr>
  </w:style>
  <w:style w:type="character" w:customStyle="1" w:styleId="64">
    <w:name w:val="标题 2 字符"/>
    <w:basedOn w:val="49"/>
    <w:link w:val="3"/>
    <w:autoRedefine/>
    <w:qFormat/>
    <w:uiPriority w:val="0"/>
    <w:rPr>
      <w:rFonts w:ascii="Arial" w:hAnsi="Arial" w:eastAsia="宋体" w:cs="Times New Roman"/>
      <w:b/>
      <w:bCs/>
      <w:sz w:val="24"/>
      <w:szCs w:val="32"/>
    </w:rPr>
  </w:style>
  <w:style w:type="character" w:customStyle="1" w:styleId="65">
    <w:name w:val="标题 3 字符"/>
    <w:basedOn w:val="49"/>
    <w:link w:val="4"/>
    <w:autoRedefine/>
    <w:qFormat/>
    <w:uiPriority w:val="0"/>
    <w:rPr>
      <w:rFonts w:ascii="Times New Roman" w:hAnsi="Times New Roman" w:eastAsia="宋体" w:cs="Times New Roman"/>
      <w:b/>
      <w:bCs/>
      <w:sz w:val="32"/>
      <w:szCs w:val="32"/>
    </w:rPr>
  </w:style>
  <w:style w:type="character" w:customStyle="1" w:styleId="66">
    <w:name w:val="标题 4 字符"/>
    <w:basedOn w:val="49"/>
    <w:link w:val="5"/>
    <w:autoRedefine/>
    <w:qFormat/>
    <w:uiPriority w:val="0"/>
    <w:rPr>
      <w:rFonts w:ascii="Arial" w:hAnsi="Arial" w:eastAsia="黑体" w:cs="Times New Roman"/>
      <w:b/>
      <w:bCs/>
      <w:sz w:val="28"/>
      <w:szCs w:val="28"/>
    </w:rPr>
  </w:style>
  <w:style w:type="character" w:customStyle="1" w:styleId="67">
    <w:name w:val="标题 5 字符"/>
    <w:basedOn w:val="49"/>
    <w:link w:val="6"/>
    <w:autoRedefine/>
    <w:qFormat/>
    <w:uiPriority w:val="0"/>
    <w:rPr>
      <w:rFonts w:ascii="Times New Roman" w:hAnsi="Times New Roman" w:eastAsia="宋体" w:cs="Times New Roman"/>
      <w:b/>
      <w:bCs/>
      <w:kern w:val="0"/>
      <w:sz w:val="28"/>
      <w:szCs w:val="28"/>
    </w:rPr>
  </w:style>
  <w:style w:type="character" w:customStyle="1" w:styleId="68">
    <w:name w:val="标题 6 字符"/>
    <w:basedOn w:val="49"/>
    <w:link w:val="7"/>
    <w:autoRedefine/>
    <w:qFormat/>
    <w:uiPriority w:val="0"/>
    <w:rPr>
      <w:rFonts w:ascii="Arial" w:hAnsi="Arial" w:eastAsia="黑体" w:cs="Times New Roman"/>
      <w:b/>
      <w:bCs/>
      <w:kern w:val="0"/>
      <w:sz w:val="24"/>
      <w:szCs w:val="24"/>
    </w:rPr>
  </w:style>
  <w:style w:type="character" w:customStyle="1" w:styleId="69">
    <w:name w:val="标题 7 字符"/>
    <w:basedOn w:val="49"/>
    <w:link w:val="8"/>
    <w:autoRedefine/>
    <w:qFormat/>
    <w:uiPriority w:val="0"/>
    <w:rPr>
      <w:rFonts w:ascii="Times New Roman" w:hAnsi="Times New Roman" w:eastAsia="宋体" w:cs="Times New Roman"/>
      <w:b/>
      <w:bCs/>
      <w:kern w:val="0"/>
      <w:sz w:val="24"/>
      <w:szCs w:val="24"/>
    </w:rPr>
  </w:style>
  <w:style w:type="character" w:customStyle="1" w:styleId="70">
    <w:name w:val="标题 8 字符"/>
    <w:basedOn w:val="49"/>
    <w:link w:val="9"/>
    <w:autoRedefine/>
    <w:qFormat/>
    <w:uiPriority w:val="0"/>
    <w:rPr>
      <w:rFonts w:ascii="Arial" w:hAnsi="Arial" w:eastAsia="黑体" w:cs="Times New Roman"/>
      <w:kern w:val="0"/>
      <w:sz w:val="24"/>
      <w:szCs w:val="24"/>
    </w:rPr>
  </w:style>
  <w:style w:type="character" w:customStyle="1" w:styleId="71">
    <w:name w:val="标题 9 字符"/>
    <w:basedOn w:val="49"/>
    <w:link w:val="10"/>
    <w:autoRedefine/>
    <w:qFormat/>
    <w:uiPriority w:val="0"/>
    <w:rPr>
      <w:rFonts w:ascii="Arial" w:hAnsi="Arial" w:eastAsia="黑体" w:cs="Times New Roman"/>
      <w:kern w:val="0"/>
      <w:szCs w:val="21"/>
    </w:rPr>
  </w:style>
  <w:style w:type="character" w:customStyle="1" w:styleId="72">
    <w:name w:val="文档结构图 字符"/>
    <w:basedOn w:val="49"/>
    <w:link w:val="13"/>
    <w:autoRedefine/>
    <w:semiHidden/>
    <w:qFormat/>
    <w:uiPriority w:val="0"/>
    <w:rPr>
      <w:rFonts w:ascii="Times New Roman" w:hAnsi="Times New Roman" w:eastAsia="宋体" w:cs="Times New Roman"/>
      <w:szCs w:val="24"/>
      <w:shd w:val="clear" w:color="auto" w:fill="000080"/>
    </w:rPr>
  </w:style>
  <w:style w:type="character" w:customStyle="1" w:styleId="73">
    <w:name w:val="批注文字 字符"/>
    <w:basedOn w:val="49"/>
    <w:link w:val="15"/>
    <w:autoRedefine/>
    <w:semiHidden/>
    <w:qFormat/>
    <w:uiPriority w:val="0"/>
    <w:rPr>
      <w:rFonts w:ascii="Times New Roman" w:hAnsi="Times New Roman" w:eastAsia="宋体" w:cs="Times New Roman"/>
      <w:szCs w:val="24"/>
    </w:rPr>
  </w:style>
  <w:style w:type="character" w:customStyle="1" w:styleId="74">
    <w:name w:val="称呼 字符"/>
    <w:basedOn w:val="49"/>
    <w:link w:val="16"/>
    <w:autoRedefine/>
    <w:qFormat/>
    <w:uiPriority w:val="0"/>
    <w:rPr>
      <w:rFonts w:ascii="仿宋_GB2312" w:hAnsi="Times New Roman" w:eastAsia="仿宋_GB2312" w:cs="Times New Roman"/>
      <w:sz w:val="24"/>
      <w:szCs w:val="24"/>
    </w:rPr>
  </w:style>
  <w:style w:type="character" w:customStyle="1" w:styleId="75">
    <w:name w:val="正文文本 3 字符"/>
    <w:basedOn w:val="49"/>
    <w:link w:val="17"/>
    <w:autoRedefine/>
    <w:qFormat/>
    <w:uiPriority w:val="0"/>
    <w:rPr>
      <w:rFonts w:ascii="宋体" w:hAnsi="Times New Roman" w:eastAsia="宋体" w:cs="Times New Roman"/>
      <w:color w:val="000000"/>
      <w:kern w:val="0"/>
      <w:sz w:val="24"/>
      <w:szCs w:val="20"/>
    </w:rPr>
  </w:style>
  <w:style w:type="character" w:customStyle="1" w:styleId="76">
    <w:name w:val="正文文本缩进 字符"/>
    <w:basedOn w:val="49"/>
    <w:link w:val="20"/>
    <w:autoRedefine/>
    <w:qFormat/>
    <w:uiPriority w:val="0"/>
    <w:rPr>
      <w:rFonts w:ascii="Times New Roman" w:hAnsi="Times New Roman" w:eastAsia="宋体" w:cs="Times New Roman"/>
      <w:szCs w:val="24"/>
    </w:rPr>
  </w:style>
  <w:style w:type="character" w:customStyle="1" w:styleId="77">
    <w:name w:val="纯文本 字符"/>
    <w:basedOn w:val="49"/>
    <w:link w:val="25"/>
    <w:autoRedefine/>
    <w:qFormat/>
    <w:uiPriority w:val="99"/>
    <w:rPr>
      <w:rFonts w:ascii="Times New Roman" w:hAnsi="Times New Roman" w:eastAsia="宋体" w:cs="Times New Roman"/>
      <w:sz w:val="24"/>
      <w:szCs w:val="20"/>
    </w:rPr>
  </w:style>
  <w:style w:type="character" w:customStyle="1" w:styleId="78">
    <w:name w:val="日期 字符"/>
    <w:basedOn w:val="49"/>
    <w:link w:val="27"/>
    <w:autoRedefine/>
    <w:qFormat/>
    <w:uiPriority w:val="0"/>
    <w:rPr>
      <w:rFonts w:ascii="Times New Roman" w:hAnsi="Times New Roman" w:eastAsia="宋体" w:cs="Times New Roman"/>
      <w:sz w:val="24"/>
      <w:szCs w:val="20"/>
    </w:rPr>
  </w:style>
  <w:style w:type="character" w:customStyle="1" w:styleId="79">
    <w:name w:val="正文文本缩进 2 字符"/>
    <w:basedOn w:val="49"/>
    <w:link w:val="28"/>
    <w:autoRedefine/>
    <w:qFormat/>
    <w:uiPriority w:val="0"/>
    <w:rPr>
      <w:rFonts w:ascii="Times New Roman" w:hAnsi="Times New Roman" w:eastAsia="宋体" w:cs="Times New Roman"/>
      <w:szCs w:val="24"/>
    </w:rPr>
  </w:style>
  <w:style w:type="character" w:customStyle="1" w:styleId="80">
    <w:name w:val="批注框文本 字符"/>
    <w:basedOn w:val="49"/>
    <w:link w:val="29"/>
    <w:autoRedefine/>
    <w:qFormat/>
    <w:uiPriority w:val="0"/>
    <w:rPr>
      <w:rFonts w:ascii="Calibri" w:hAnsi="Calibri" w:eastAsia="宋体" w:cs="Times New Roman"/>
      <w:sz w:val="18"/>
      <w:szCs w:val="18"/>
    </w:rPr>
  </w:style>
  <w:style w:type="character" w:customStyle="1" w:styleId="81">
    <w:name w:val="页脚 字符"/>
    <w:basedOn w:val="49"/>
    <w:link w:val="30"/>
    <w:autoRedefine/>
    <w:qFormat/>
    <w:uiPriority w:val="99"/>
    <w:rPr>
      <w:rFonts w:ascii="Times New Roman" w:hAnsi="Times New Roman" w:eastAsia="宋体" w:cs="Times New Roman"/>
      <w:sz w:val="18"/>
      <w:szCs w:val="18"/>
    </w:rPr>
  </w:style>
  <w:style w:type="character" w:customStyle="1" w:styleId="82">
    <w:name w:val="页眉 字符"/>
    <w:basedOn w:val="49"/>
    <w:link w:val="31"/>
    <w:autoRedefine/>
    <w:qFormat/>
    <w:uiPriority w:val="0"/>
    <w:rPr>
      <w:rFonts w:ascii="Times New Roman" w:hAnsi="Times New Roman" w:eastAsia="宋体" w:cs="Times New Roman"/>
      <w:sz w:val="18"/>
      <w:szCs w:val="18"/>
    </w:rPr>
  </w:style>
  <w:style w:type="character" w:customStyle="1" w:styleId="83">
    <w:name w:val="正文文本缩进 3 字符"/>
    <w:basedOn w:val="49"/>
    <w:link w:val="38"/>
    <w:autoRedefine/>
    <w:qFormat/>
    <w:uiPriority w:val="0"/>
    <w:rPr>
      <w:rFonts w:ascii="Times New Roman" w:hAnsi="Times New Roman" w:eastAsia="宋体" w:cs="Times New Roman"/>
      <w:sz w:val="16"/>
      <w:szCs w:val="16"/>
    </w:rPr>
  </w:style>
  <w:style w:type="character" w:customStyle="1" w:styleId="84">
    <w:name w:val="正文文本 2 字符"/>
    <w:basedOn w:val="49"/>
    <w:link w:val="41"/>
    <w:autoRedefine/>
    <w:qFormat/>
    <w:uiPriority w:val="0"/>
    <w:rPr>
      <w:rFonts w:ascii="Times New Roman" w:hAnsi="Times New Roman" w:eastAsia="宋体" w:cs="Times New Roman"/>
      <w:szCs w:val="24"/>
    </w:rPr>
  </w:style>
  <w:style w:type="character" w:customStyle="1" w:styleId="85">
    <w:name w:val="HTML 预设格式 字符"/>
    <w:basedOn w:val="49"/>
    <w:link w:val="42"/>
    <w:autoRedefine/>
    <w:qFormat/>
    <w:uiPriority w:val="0"/>
    <w:rPr>
      <w:rFonts w:ascii="Arial" w:hAnsi="Arial" w:eastAsia="宋体" w:cs="Arial"/>
      <w:kern w:val="0"/>
      <w:sz w:val="24"/>
      <w:szCs w:val="24"/>
    </w:rPr>
  </w:style>
  <w:style w:type="character" w:customStyle="1" w:styleId="86">
    <w:name w:val="标题 字符"/>
    <w:basedOn w:val="49"/>
    <w:link w:val="44"/>
    <w:autoRedefine/>
    <w:qFormat/>
    <w:uiPriority w:val="0"/>
    <w:rPr>
      <w:rFonts w:ascii="Cambria" w:hAnsi="Cambria" w:eastAsia="宋体" w:cs="Times New Roman"/>
      <w:b/>
      <w:sz w:val="32"/>
      <w:szCs w:val="24"/>
    </w:rPr>
  </w:style>
  <w:style w:type="character" w:customStyle="1" w:styleId="87">
    <w:name w:val="批注主题 字符"/>
    <w:basedOn w:val="73"/>
    <w:link w:val="45"/>
    <w:autoRedefine/>
    <w:qFormat/>
    <w:uiPriority w:val="0"/>
    <w:rPr>
      <w:rFonts w:ascii="Times New Roman" w:hAnsi="Times New Roman" w:eastAsia="宋体" w:cs="Times New Roman"/>
      <w:b/>
      <w:bCs/>
      <w:szCs w:val="24"/>
    </w:rPr>
  </w:style>
  <w:style w:type="character" w:customStyle="1" w:styleId="88">
    <w:name w:val="正文首行缩进 字符"/>
    <w:basedOn w:val="62"/>
    <w:link w:val="19"/>
    <w:autoRedefine/>
    <w:qFormat/>
    <w:uiPriority w:val="0"/>
    <w:rPr>
      <w:rFonts w:ascii="Times New Roman" w:hAnsi="Times New Roman" w:eastAsia="宋体" w:cs="Times New Roman"/>
      <w:kern w:val="2"/>
      <w:sz w:val="21"/>
      <w:szCs w:val="24"/>
    </w:rPr>
  </w:style>
  <w:style w:type="character" w:customStyle="1" w:styleId="89">
    <w:name w:val="Font Style122"/>
    <w:autoRedefine/>
    <w:unhideWhenUsed/>
    <w:qFormat/>
    <w:uiPriority w:val="0"/>
    <w:rPr>
      <w:rFonts w:hint="eastAsia" w:ascii="宋体" w:hAnsi="宋体" w:eastAsia="宋体"/>
      <w:spacing w:val="20"/>
      <w:sz w:val="24"/>
    </w:rPr>
  </w:style>
  <w:style w:type="character" w:customStyle="1" w:styleId="90">
    <w:name w:val="标题 4 Char Char"/>
    <w:autoRedefine/>
    <w:qFormat/>
    <w:uiPriority w:val="0"/>
    <w:rPr>
      <w:rFonts w:ascii="Arial" w:hAnsi="Arial" w:eastAsia="宋体"/>
      <w:b/>
      <w:bCs/>
      <w:kern w:val="2"/>
      <w:sz w:val="21"/>
      <w:szCs w:val="28"/>
      <w:lang w:val="en-US" w:eastAsia="zh-CN" w:bidi="ar-SA"/>
    </w:rPr>
  </w:style>
  <w:style w:type="character" w:customStyle="1" w:styleId="91">
    <w:name w:val="标题 1 Char"/>
    <w:autoRedefine/>
    <w:qFormat/>
    <w:uiPriority w:val="0"/>
    <w:rPr>
      <w:rFonts w:ascii="Cambria" w:hAnsi="Cambria"/>
      <w:b/>
      <w:bCs/>
      <w:kern w:val="32"/>
      <w:sz w:val="32"/>
      <w:szCs w:val="32"/>
    </w:rPr>
  </w:style>
  <w:style w:type="character" w:customStyle="1" w:styleId="92">
    <w:name w:val="Font Style116"/>
    <w:autoRedefine/>
    <w:unhideWhenUsed/>
    <w:qFormat/>
    <w:uiPriority w:val="0"/>
    <w:rPr>
      <w:rFonts w:hint="eastAsia" w:ascii="宋体" w:hAnsi="宋体" w:eastAsia="宋体"/>
      <w:spacing w:val="-20"/>
      <w:sz w:val="24"/>
    </w:rPr>
  </w:style>
  <w:style w:type="character" w:customStyle="1" w:styleId="93">
    <w:name w:val="标题 6 Char"/>
    <w:autoRedefine/>
    <w:qFormat/>
    <w:uiPriority w:val="0"/>
    <w:rPr>
      <w:rFonts w:ascii="Arial" w:hAnsi="Arial" w:eastAsia="黑体"/>
      <w:b/>
      <w:bCs/>
      <w:sz w:val="24"/>
      <w:szCs w:val="24"/>
    </w:rPr>
  </w:style>
  <w:style w:type="character" w:customStyle="1" w:styleId="94">
    <w:name w:val="Font Style127"/>
    <w:autoRedefine/>
    <w:unhideWhenUsed/>
    <w:qFormat/>
    <w:uiPriority w:val="0"/>
    <w:rPr>
      <w:rFonts w:hint="eastAsia" w:ascii="Times New Roman" w:hAnsi="Times New Roman" w:eastAsia="Times New Roman"/>
      <w:sz w:val="20"/>
    </w:rPr>
  </w:style>
  <w:style w:type="character" w:customStyle="1" w:styleId="95">
    <w:name w:val="Font Style121"/>
    <w:autoRedefine/>
    <w:unhideWhenUsed/>
    <w:qFormat/>
    <w:uiPriority w:val="0"/>
    <w:rPr>
      <w:rFonts w:hint="eastAsia" w:ascii="宋体" w:hAnsi="宋体" w:eastAsia="宋体"/>
      <w:spacing w:val="-10"/>
      <w:sz w:val="30"/>
    </w:rPr>
  </w:style>
  <w:style w:type="character" w:customStyle="1" w:styleId="96">
    <w:name w:val="bds_nopic2"/>
    <w:autoRedefine/>
    <w:qFormat/>
    <w:uiPriority w:val="0"/>
    <w:rPr>
      <w:rFonts w:ascii="Times New Roman" w:hAnsi="Times New Roman" w:eastAsia="宋体"/>
    </w:rPr>
  </w:style>
  <w:style w:type="character" w:customStyle="1" w:styleId="97">
    <w:name w:val="param-name"/>
    <w:autoRedefine/>
    <w:qFormat/>
    <w:uiPriority w:val="0"/>
  </w:style>
  <w:style w:type="character" w:customStyle="1" w:styleId="98">
    <w:name w:val="bookmark-item"/>
    <w:autoRedefine/>
    <w:qFormat/>
    <w:uiPriority w:val="0"/>
  </w:style>
  <w:style w:type="character" w:customStyle="1" w:styleId="99">
    <w:name w:val="标题 5 Char"/>
    <w:autoRedefine/>
    <w:qFormat/>
    <w:uiPriority w:val="0"/>
    <w:rPr>
      <w:b/>
      <w:bCs/>
      <w:kern w:val="2"/>
      <w:sz w:val="28"/>
      <w:szCs w:val="28"/>
    </w:rPr>
  </w:style>
  <w:style w:type="character" w:customStyle="1" w:styleId="100">
    <w:name w:val="Font Style119"/>
    <w:autoRedefine/>
    <w:unhideWhenUsed/>
    <w:qFormat/>
    <w:uiPriority w:val="0"/>
    <w:rPr>
      <w:rFonts w:hint="eastAsia" w:ascii="宋体" w:hAnsi="宋体" w:eastAsia="宋体"/>
      <w:sz w:val="24"/>
    </w:rPr>
  </w:style>
  <w:style w:type="character" w:customStyle="1" w:styleId="101">
    <w:name w:val="批注文字 Char"/>
    <w:autoRedefine/>
    <w:qFormat/>
    <w:uiPriority w:val="0"/>
    <w:rPr>
      <w:kern w:val="2"/>
      <w:sz w:val="21"/>
      <w:szCs w:val="24"/>
    </w:rPr>
  </w:style>
  <w:style w:type="character" w:customStyle="1" w:styleId="102">
    <w:name w:val="bds_more7"/>
    <w:autoRedefine/>
    <w:qFormat/>
    <w:uiPriority w:val="0"/>
    <w:rPr>
      <w:rFonts w:ascii="Times New Roman" w:hAnsi="Times New Roman" w:eastAsia="宋体"/>
    </w:rPr>
  </w:style>
  <w:style w:type="character" w:customStyle="1" w:styleId="103">
    <w:name w:val="纯文本 Char1 Char Char Char"/>
    <w:autoRedefine/>
    <w:semiHidden/>
    <w:qFormat/>
    <w:locked/>
    <w:uiPriority w:val="0"/>
    <w:rPr>
      <w:rFonts w:ascii="宋体" w:hAnsi="Courier New" w:eastAsia="宋体"/>
      <w:kern w:val="2"/>
      <w:sz w:val="24"/>
      <w:szCs w:val="24"/>
      <w:lang w:val="en-US" w:eastAsia="zh-CN" w:bidi="ar-SA"/>
    </w:rPr>
  </w:style>
  <w:style w:type="character" w:customStyle="1" w:styleId="104">
    <w:name w:val="sidecatalog-index2"/>
    <w:autoRedefine/>
    <w:qFormat/>
    <w:uiPriority w:val="0"/>
    <w:rPr>
      <w:rFonts w:ascii="Arail" w:hAnsi="Arail" w:eastAsia="Arail" w:cs="Arail"/>
      <w:color w:val="999999"/>
      <w:sz w:val="21"/>
      <w:szCs w:val="21"/>
    </w:rPr>
  </w:style>
  <w:style w:type="character" w:customStyle="1" w:styleId="105">
    <w:name w:val="批注框文本 Char"/>
    <w:autoRedefine/>
    <w:qFormat/>
    <w:uiPriority w:val="0"/>
    <w:rPr>
      <w:kern w:val="2"/>
      <w:sz w:val="18"/>
      <w:szCs w:val="18"/>
    </w:rPr>
  </w:style>
  <w:style w:type="character" w:customStyle="1" w:styleId="106">
    <w:name w:val="apple-converted-space"/>
    <w:autoRedefine/>
    <w:qFormat/>
    <w:uiPriority w:val="0"/>
    <w:rPr>
      <w:rFonts w:ascii="Tahoma" w:hAnsi="Tahoma" w:cs="仿宋_GB2312"/>
      <w:sz w:val="24"/>
      <w:szCs w:val="28"/>
    </w:rPr>
  </w:style>
  <w:style w:type="character" w:customStyle="1" w:styleId="107">
    <w:name w:val="Char Char17"/>
    <w:autoRedefine/>
    <w:qFormat/>
    <w:uiPriority w:val="0"/>
    <w:rPr>
      <w:rFonts w:ascii="宋体" w:hAnsi="Times New Roman" w:eastAsia="宋体"/>
      <w:b/>
      <w:sz w:val="28"/>
      <w:lang w:val="en-US" w:eastAsia="zh-CN" w:bidi="ar-SA"/>
    </w:rPr>
  </w:style>
  <w:style w:type="character" w:customStyle="1" w:styleId="108">
    <w:name w:val="标题 9 Char"/>
    <w:autoRedefine/>
    <w:qFormat/>
    <w:uiPriority w:val="0"/>
    <w:rPr>
      <w:rFonts w:ascii="Arial" w:hAnsi="Arial" w:eastAsia="黑体"/>
      <w:sz w:val="21"/>
      <w:szCs w:val="21"/>
    </w:rPr>
  </w:style>
  <w:style w:type="character" w:customStyle="1" w:styleId="109">
    <w:name w:val="Font Style126"/>
    <w:autoRedefine/>
    <w:unhideWhenUsed/>
    <w:qFormat/>
    <w:uiPriority w:val="0"/>
    <w:rPr>
      <w:rFonts w:hint="eastAsia" w:ascii="宋体" w:hAnsi="宋体" w:eastAsia="宋体"/>
      <w:b/>
      <w:spacing w:val="-30"/>
      <w:sz w:val="28"/>
    </w:rPr>
  </w:style>
  <w:style w:type="character" w:customStyle="1" w:styleId="110">
    <w:name w:val="Char Char15"/>
    <w:autoRedefine/>
    <w:qFormat/>
    <w:uiPriority w:val="0"/>
    <w:rPr>
      <w:b/>
      <w:bCs/>
      <w:sz w:val="24"/>
      <w:szCs w:val="24"/>
    </w:rPr>
  </w:style>
  <w:style w:type="character" w:customStyle="1" w:styleId="111">
    <w:name w:val="Font Style94"/>
    <w:autoRedefine/>
    <w:unhideWhenUsed/>
    <w:qFormat/>
    <w:uiPriority w:val="0"/>
    <w:rPr>
      <w:rFonts w:hint="eastAsia" w:ascii="Times New Roman" w:hAnsi="Times New Roman" w:eastAsia="Times New Roman"/>
      <w:sz w:val="28"/>
    </w:rPr>
  </w:style>
  <w:style w:type="character" w:customStyle="1" w:styleId="112">
    <w:name w:val="Char Char14"/>
    <w:autoRedefine/>
    <w:qFormat/>
    <w:uiPriority w:val="0"/>
    <w:rPr>
      <w:rFonts w:ascii="Arial" w:hAnsi="Arial" w:eastAsia="黑体"/>
      <w:b/>
      <w:bCs/>
      <w:sz w:val="28"/>
      <w:szCs w:val="28"/>
      <w:lang w:val="en-US" w:eastAsia="zh-CN" w:bidi="ar-SA"/>
    </w:rPr>
  </w:style>
  <w:style w:type="character" w:customStyle="1" w:styleId="113">
    <w:name w:val="p0 Char"/>
    <w:link w:val="114"/>
    <w:autoRedefine/>
    <w:qFormat/>
    <w:uiPriority w:val="0"/>
    <w:rPr>
      <w:rFonts w:eastAsia="宋体"/>
      <w:szCs w:val="21"/>
    </w:rPr>
  </w:style>
  <w:style w:type="paragraph" w:customStyle="1" w:styleId="114">
    <w:name w:val="p0"/>
    <w:basedOn w:val="1"/>
    <w:link w:val="113"/>
    <w:autoRedefine/>
    <w:qFormat/>
    <w:uiPriority w:val="0"/>
    <w:pPr>
      <w:widowControl/>
    </w:pPr>
    <w:rPr>
      <w:rFonts w:asciiTheme="minorHAnsi" w:hAnsiTheme="minorHAnsi" w:cstheme="minorBidi"/>
      <w:szCs w:val="21"/>
    </w:rPr>
  </w:style>
  <w:style w:type="character" w:customStyle="1" w:styleId="115">
    <w:name w:val="Char Char16"/>
    <w:autoRedefine/>
    <w:qFormat/>
    <w:uiPriority w:val="0"/>
    <w:rPr>
      <w:rFonts w:ascii="宋体" w:hAnsi="Times New Roman" w:eastAsia="宋体"/>
      <w:b/>
      <w:sz w:val="24"/>
      <w:lang w:val="en-US" w:eastAsia="zh-CN" w:bidi="ar-SA"/>
    </w:rPr>
  </w:style>
  <w:style w:type="character" w:customStyle="1" w:styleId="116">
    <w:name w:val="bds_more9"/>
    <w:autoRedefine/>
    <w:qFormat/>
    <w:uiPriority w:val="0"/>
    <w:rPr>
      <w:rFonts w:ascii="Times New Roman" w:hAnsi="Times New Roman" w:eastAsia="宋体"/>
    </w:rPr>
  </w:style>
  <w:style w:type="character" w:customStyle="1" w:styleId="117">
    <w:name w:val="sidecatalog-index1"/>
    <w:autoRedefine/>
    <w:qFormat/>
    <w:uiPriority w:val="0"/>
    <w:rPr>
      <w:rFonts w:ascii="Arial" w:hAnsi="Arial" w:eastAsia="宋体" w:cs="Arial"/>
      <w:b/>
      <w:color w:val="999999"/>
      <w:sz w:val="21"/>
      <w:szCs w:val="21"/>
    </w:rPr>
  </w:style>
  <w:style w:type="character" w:customStyle="1" w:styleId="118">
    <w:name w:val="Font Style104"/>
    <w:autoRedefine/>
    <w:unhideWhenUsed/>
    <w:qFormat/>
    <w:uiPriority w:val="0"/>
    <w:rPr>
      <w:rFonts w:hint="eastAsia" w:ascii="宋体" w:hAnsi="宋体" w:eastAsia="宋体"/>
      <w:spacing w:val="30"/>
      <w:sz w:val="18"/>
    </w:rPr>
  </w:style>
  <w:style w:type="character" w:customStyle="1" w:styleId="119">
    <w:name w:val="sidecatalog-dot"/>
    <w:autoRedefine/>
    <w:qFormat/>
    <w:uiPriority w:val="0"/>
    <w:rPr>
      <w:rFonts w:ascii="Times New Roman" w:hAnsi="Times New Roman" w:eastAsia="宋体"/>
    </w:rPr>
  </w:style>
  <w:style w:type="character" w:customStyle="1" w:styleId="120">
    <w:name w:val="bds_more8"/>
    <w:autoRedefine/>
    <w:qFormat/>
    <w:uiPriority w:val="0"/>
    <w:rPr>
      <w:rFonts w:ascii="Times New Roman" w:hAnsi="Times New Roman" w:eastAsia="宋体"/>
    </w:rPr>
  </w:style>
  <w:style w:type="character" w:customStyle="1" w:styleId="121">
    <w:name w:val="plus"/>
    <w:autoRedefine/>
    <w:qFormat/>
    <w:uiPriority w:val="0"/>
    <w:rPr>
      <w:rFonts w:ascii="Times New Roman" w:hAnsi="Times New Roman" w:eastAsia="宋体"/>
      <w:b/>
      <w:vanish/>
      <w:color w:val="1F8DEF"/>
      <w:sz w:val="24"/>
      <w:szCs w:val="24"/>
    </w:rPr>
  </w:style>
  <w:style w:type="character" w:customStyle="1" w:styleId="122">
    <w:name w:val="polysemyred"/>
    <w:autoRedefine/>
    <w:qFormat/>
    <w:uiPriority w:val="0"/>
    <w:rPr>
      <w:rFonts w:ascii="Times New Roman" w:hAnsi="Times New Roman" w:eastAsia="宋体"/>
      <w:color w:val="FF6666"/>
      <w:sz w:val="18"/>
      <w:szCs w:val="18"/>
    </w:rPr>
  </w:style>
  <w:style w:type="character" w:customStyle="1" w:styleId="123">
    <w:name w:val="lemmatitleh12"/>
    <w:autoRedefine/>
    <w:qFormat/>
    <w:uiPriority w:val="0"/>
    <w:rPr>
      <w:rFonts w:ascii="Times New Roman" w:hAnsi="Times New Roman" w:eastAsia="宋体"/>
    </w:rPr>
  </w:style>
  <w:style w:type="character" w:customStyle="1" w:styleId="124">
    <w:name w:val="页脚 Char"/>
    <w:autoRedefine/>
    <w:qFormat/>
    <w:uiPriority w:val="99"/>
    <w:rPr>
      <w:kern w:val="2"/>
      <w:sz w:val="18"/>
      <w:szCs w:val="18"/>
    </w:rPr>
  </w:style>
  <w:style w:type="character" w:customStyle="1" w:styleId="125">
    <w:name w:val="批注文字 Char Char"/>
    <w:autoRedefine/>
    <w:qFormat/>
    <w:uiPriority w:val="0"/>
    <w:rPr>
      <w:kern w:val="2"/>
      <w:sz w:val="21"/>
      <w:szCs w:val="24"/>
      <w:lang w:bidi="ar-SA"/>
    </w:rPr>
  </w:style>
  <w:style w:type="character" w:customStyle="1" w:styleId="126">
    <w:name w:val="p0 Char Char"/>
    <w:autoRedefine/>
    <w:qFormat/>
    <w:uiPriority w:val="0"/>
    <w:rPr>
      <w:rFonts w:eastAsia="宋体"/>
      <w:kern w:val="2"/>
      <w:sz w:val="21"/>
      <w:szCs w:val="21"/>
      <w:lang w:val="en-US" w:eastAsia="zh-CN" w:bidi="ar-SA"/>
    </w:rPr>
  </w:style>
  <w:style w:type="character" w:customStyle="1" w:styleId="127">
    <w:name w:val="Font Style128"/>
    <w:autoRedefine/>
    <w:unhideWhenUsed/>
    <w:qFormat/>
    <w:uiPriority w:val="0"/>
    <w:rPr>
      <w:rFonts w:hint="eastAsia" w:ascii="Times New Roman" w:hAnsi="Times New Roman" w:eastAsia="Times New Roman"/>
      <w:sz w:val="16"/>
    </w:rPr>
  </w:style>
  <w:style w:type="character" w:customStyle="1" w:styleId="128">
    <w:name w:val="desc"/>
    <w:autoRedefine/>
    <w:qFormat/>
    <w:uiPriority w:val="0"/>
    <w:rPr>
      <w:rFonts w:ascii="Times New Roman" w:hAnsi="Times New Roman" w:eastAsia="宋体"/>
      <w:color w:val="000000"/>
      <w:sz w:val="18"/>
      <w:szCs w:val="18"/>
    </w:rPr>
  </w:style>
  <w:style w:type="character" w:customStyle="1" w:styleId="129">
    <w:name w:val="Font Style117"/>
    <w:autoRedefine/>
    <w:unhideWhenUsed/>
    <w:qFormat/>
    <w:uiPriority w:val="0"/>
    <w:rPr>
      <w:rFonts w:hint="eastAsia" w:ascii="宋体" w:hAnsi="宋体" w:eastAsia="宋体"/>
      <w:spacing w:val="20"/>
      <w:sz w:val="24"/>
    </w:rPr>
  </w:style>
  <w:style w:type="character" w:customStyle="1" w:styleId="130">
    <w:name w:val="Font Style90"/>
    <w:autoRedefine/>
    <w:unhideWhenUsed/>
    <w:qFormat/>
    <w:uiPriority w:val="0"/>
    <w:rPr>
      <w:rFonts w:hint="eastAsia" w:ascii="宋体" w:hAnsi="宋体" w:eastAsia="宋体"/>
      <w:b/>
      <w:spacing w:val="-20"/>
      <w:sz w:val="40"/>
    </w:rPr>
  </w:style>
  <w:style w:type="character" w:customStyle="1" w:styleId="131">
    <w:name w:val="批注主题 Char"/>
    <w:autoRedefine/>
    <w:qFormat/>
    <w:uiPriority w:val="0"/>
    <w:rPr>
      <w:b/>
      <w:bCs/>
      <w:kern w:val="2"/>
      <w:sz w:val="21"/>
      <w:szCs w:val="24"/>
    </w:rPr>
  </w:style>
  <w:style w:type="character" w:customStyle="1" w:styleId="132">
    <w:name w:val="标题 Char1"/>
    <w:autoRedefine/>
    <w:qFormat/>
    <w:uiPriority w:val="0"/>
    <w:rPr>
      <w:rFonts w:ascii="Cambria" w:hAnsi="Cambria" w:eastAsia="宋体" w:cs="Times New Roman"/>
      <w:b/>
      <w:bCs/>
      <w:sz w:val="32"/>
      <w:szCs w:val="32"/>
    </w:rPr>
  </w:style>
  <w:style w:type="character" w:customStyle="1" w:styleId="133">
    <w:name w:val="普通文字 Char"/>
    <w:autoRedefine/>
    <w:semiHidden/>
    <w:qFormat/>
    <w:locked/>
    <w:uiPriority w:val="0"/>
    <w:rPr>
      <w:rFonts w:ascii="宋体" w:hAnsi="Courier New" w:eastAsia="宋体" w:cs="Courier New"/>
      <w:kern w:val="2"/>
      <w:sz w:val="21"/>
      <w:szCs w:val="21"/>
      <w:lang w:val="en-US" w:eastAsia="zh-CN" w:bidi="ar-SA"/>
    </w:rPr>
  </w:style>
  <w:style w:type="character" w:customStyle="1" w:styleId="134">
    <w:name w:val="Font Style131"/>
    <w:autoRedefine/>
    <w:unhideWhenUsed/>
    <w:qFormat/>
    <w:uiPriority w:val="0"/>
    <w:rPr>
      <w:rFonts w:hint="eastAsia" w:ascii="Times New Roman" w:hAnsi="Times New Roman" w:eastAsia="Times New Roman"/>
      <w:sz w:val="18"/>
    </w:rPr>
  </w:style>
  <w:style w:type="character" w:customStyle="1" w:styleId="135">
    <w:name w:val="morelink-item"/>
    <w:autoRedefine/>
    <w:qFormat/>
    <w:uiPriority w:val="0"/>
    <w:rPr>
      <w:rFonts w:ascii="Times New Roman" w:hAnsi="Times New Roman" w:eastAsia="宋体"/>
    </w:rPr>
  </w:style>
  <w:style w:type="character" w:customStyle="1" w:styleId="136">
    <w:name w:val="apple-style-span"/>
    <w:autoRedefine/>
    <w:qFormat/>
    <w:uiPriority w:val="0"/>
    <w:rPr>
      <w:rFonts w:ascii="Tahoma" w:hAnsi="Tahoma" w:cs="仿宋_GB2312"/>
      <w:sz w:val="24"/>
      <w:szCs w:val="28"/>
    </w:rPr>
  </w:style>
  <w:style w:type="character" w:customStyle="1" w:styleId="137">
    <w:name w:val="bds_more10"/>
    <w:autoRedefine/>
    <w:qFormat/>
    <w:uiPriority w:val="0"/>
    <w:rPr>
      <w:rFonts w:ascii="Times New Roman" w:hAnsi="Times New Roman" w:eastAsia="宋体"/>
    </w:rPr>
  </w:style>
  <w:style w:type="character" w:customStyle="1" w:styleId="138">
    <w:name w:val="普通文字1 Char"/>
    <w:autoRedefine/>
    <w:qFormat/>
    <w:uiPriority w:val="0"/>
    <w:rPr>
      <w:rFonts w:ascii="宋体" w:hAnsi="Courier New" w:eastAsia="宋体" w:cs="Courier New"/>
      <w:kern w:val="2"/>
      <w:sz w:val="21"/>
      <w:szCs w:val="21"/>
      <w:lang w:val="en-US" w:eastAsia="zh-CN" w:bidi="ar-SA"/>
    </w:rPr>
  </w:style>
  <w:style w:type="character" w:customStyle="1" w:styleId="139">
    <w:name w:val="bds_nopic1"/>
    <w:autoRedefine/>
    <w:qFormat/>
    <w:uiPriority w:val="0"/>
    <w:rPr>
      <w:rFonts w:ascii="Times New Roman" w:hAnsi="Times New Roman" w:eastAsia="宋体"/>
    </w:rPr>
  </w:style>
  <w:style w:type="character" w:customStyle="1" w:styleId="140">
    <w:name w:val="标题 3 Char"/>
    <w:autoRedefine/>
    <w:qFormat/>
    <w:uiPriority w:val="0"/>
    <w:rPr>
      <w:b/>
      <w:bCs/>
      <w:sz w:val="24"/>
      <w:szCs w:val="24"/>
    </w:rPr>
  </w:style>
  <w:style w:type="character" w:customStyle="1" w:styleId="141">
    <w:name w:val="Font Style124"/>
    <w:autoRedefine/>
    <w:unhideWhenUsed/>
    <w:qFormat/>
    <w:uiPriority w:val="0"/>
    <w:rPr>
      <w:rFonts w:hint="eastAsia" w:ascii="宋体" w:hAnsi="宋体" w:eastAsia="宋体"/>
      <w:spacing w:val="30"/>
      <w:sz w:val="24"/>
    </w:rPr>
  </w:style>
  <w:style w:type="character" w:customStyle="1" w:styleId="142">
    <w:name w:val="正文文本缩进 3 Char"/>
    <w:autoRedefine/>
    <w:qFormat/>
    <w:uiPriority w:val="0"/>
    <w:rPr>
      <w:rFonts w:ascii="宋体" w:hAnsi="MS Sans Serif"/>
      <w:color w:val="000000"/>
      <w:sz w:val="24"/>
    </w:rPr>
  </w:style>
  <w:style w:type="character" w:customStyle="1" w:styleId="143">
    <w:name w:val="font21"/>
    <w:autoRedefine/>
    <w:qFormat/>
    <w:uiPriority w:val="0"/>
    <w:rPr>
      <w:rFonts w:hint="eastAsia" w:ascii="宋体" w:hAnsi="宋体" w:eastAsia="宋体" w:cs="宋体"/>
      <w:color w:val="333333"/>
      <w:sz w:val="18"/>
      <w:szCs w:val="18"/>
      <w:u w:val="none"/>
      <w:vertAlign w:val="superscript"/>
    </w:rPr>
  </w:style>
  <w:style w:type="character" w:customStyle="1" w:styleId="144">
    <w:name w:val="zzi1"/>
    <w:autoRedefine/>
    <w:qFormat/>
    <w:uiPriority w:val="0"/>
    <w:rPr>
      <w:rFonts w:ascii="Tahoma" w:hAnsi="Tahoma" w:cs="仿宋_GB2312"/>
      <w:sz w:val="22"/>
      <w:szCs w:val="22"/>
    </w:rPr>
  </w:style>
  <w:style w:type="character" w:customStyle="1" w:styleId="145">
    <w:name w:val="Font Style125"/>
    <w:autoRedefine/>
    <w:unhideWhenUsed/>
    <w:qFormat/>
    <w:uiPriority w:val="0"/>
    <w:rPr>
      <w:rFonts w:hint="eastAsia" w:ascii="宋体" w:hAnsi="宋体" w:eastAsia="宋体"/>
      <w:b/>
      <w:sz w:val="26"/>
    </w:rPr>
  </w:style>
  <w:style w:type="character" w:customStyle="1" w:styleId="146">
    <w:name w:val="font11"/>
    <w:autoRedefine/>
    <w:qFormat/>
    <w:uiPriority w:val="0"/>
    <w:rPr>
      <w:rFonts w:hint="default" w:ascii="Times New Roman" w:hAnsi="Times New Roman" w:cs="Times New Roman"/>
      <w:b/>
      <w:color w:val="000000"/>
      <w:sz w:val="21"/>
      <w:szCs w:val="21"/>
      <w:u w:val="none"/>
    </w:rPr>
  </w:style>
  <w:style w:type="character" w:customStyle="1" w:styleId="147">
    <w:name w:val="polysemyexp"/>
    <w:autoRedefine/>
    <w:qFormat/>
    <w:uiPriority w:val="0"/>
    <w:rPr>
      <w:rFonts w:ascii="Times New Roman" w:hAnsi="Times New Roman" w:eastAsia="宋体"/>
      <w:color w:val="AAAAAA"/>
      <w:sz w:val="18"/>
      <w:szCs w:val="18"/>
    </w:rPr>
  </w:style>
  <w:style w:type="character" w:customStyle="1" w:styleId="148">
    <w:name w:val="Font Style115"/>
    <w:autoRedefine/>
    <w:unhideWhenUsed/>
    <w:qFormat/>
    <w:uiPriority w:val="0"/>
    <w:rPr>
      <w:rFonts w:hint="eastAsia" w:ascii="Times New Roman" w:hAnsi="Times New Roman" w:eastAsia="Times New Roman"/>
      <w:sz w:val="16"/>
    </w:rPr>
  </w:style>
  <w:style w:type="character" w:customStyle="1" w:styleId="149">
    <w:name w:val="Font Style123"/>
    <w:autoRedefine/>
    <w:unhideWhenUsed/>
    <w:qFormat/>
    <w:uiPriority w:val="0"/>
    <w:rPr>
      <w:rFonts w:hint="eastAsia" w:ascii="宋体" w:hAnsi="宋体" w:eastAsia="宋体"/>
      <w:b/>
      <w:sz w:val="32"/>
    </w:rPr>
  </w:style>
  <w:style w:type="character" w:customStyle="1" w:styleId="150">
    <w:name w:val="标题 4 Char"/>
    <w:autoRedefine/>
    <w:qFormat/>
    <w:uiPriority w:val="0"/>
    <w:rPr>
      <w:rFonts w:ascii="Arial" w:hAnsi="Arial" w:eastAsia="宋体" w:cs="Times New Roman"/>
      <w:b/>
      <w:bCs/>
      <w:szCs w:val="28"/>
    </w:rPr>
  </w:style>
  <w:style w:type="character" w:customStyle="1" w:styleId="151">
    <w:name w:val="日期 Char"/>
    <w:autoRedefine/>
    <w:qFormat/>
    <w:uiPriority w:val="0"/>
    <w:rPr>
      <w:kern w:val="2"/>
      <w:sz w:val="21"/>
      <w:szCs w:val="24"/>
    </w:rPr>
  </w:style>
  <w:style w:type="character" w:customStyle="1" w:styleId="152">
    <w:name w:val="Heading 2 Hidden Char"/>
    <w:autoRedefine/>
    <w:qFormat/>
    <w:uiPriority w:val="0"/>
    <w:rPr>
      <w:rFonts w:ascii="Arial" w:hAnsi="Arial" w:eastAsia="宋体"/>
      <w:b/>
      <w:bCs/>
      <w:kern w:val="2"/>
      <w:sz w:val="24"/>
      <w:szCs w:val="32"/>
      <w:lang w:val="en-US" w:eastAsia="zh-CN" w:bidi="ar-SA"/>
    </w:rPr>
  </w:style>
  <w:style w:type="character" w:customStyle="1" w:styleId="153">
    <w:name w:val="标题 Char"/>
    <w:autoRedefine/>
    <w:qFormat/>
    <w:uiPriority w:val="0"/>
    <w:rPr>
      <w:rFonts w:ascii="Cambria" w:hAnsi="Cambria"/>
      <w:b/>
      <w:kern w:val="2"/>
      <w:sz w:val="32"/>
      <w:szCs w:val="24"/>
    </w:rPr>
  </w:style>
  <w:style w:type="character" w:customStyle="1" w:styleId="154">
    <w:name w:val="Font Style105"/>
    <w:autoRedefine/>
    <w:unhideWhenUsed/>
    <w:qFormat/>
    <w:uiPriority w:val="0"/>
    <w:rPr>
      <w:rFonts w:hint="eastAsia" w:ascii="Times New Roman" w:hAnsi="Times New Roman" w:eastAsia="Times New Roman"/>
      <w:w w:val="60"/>
      <w:sz w:val="26"/>
    </w:rPr>
  </w:style>
  <w:style w:type="character" w:customStyle="1" w:styleId="155">
    <w:name w:val="标题 2 Char"/>
    <w:autoRedefine/>
    <w:qFormat/>
    <w:uiPriority w:val="0"/>
    <w:rPr>
      <w:rFonts w:ascii="Cambria" w:hAnsi="Cambria" w:eastAsia="宋体" w:cs="Times New Roman"/>
      <w:b/>
      <w:bCs/>
      <w:kern w:val="2"/>
      <w:sz w:val="32"/>
      <w:szCs w:val="32"/>
    </w:rPr>
  </w:style>
  <w:style w:type="character" w:customStyle="1" w:styleId="156">
    <w:name w:val="sidecatalog-dot1"/>
    <w:autoRedefine/>
    <w:qFormat/>
    <w:uiPriority w:val="0"/>
    <w:rPr>
      <w:rFonts w:ascii="Times New Roman" w:hAnsi="Times New Roman" w:eastAsia="宋体"/>
    </w:rPr>
  </w:style>
  <w:style w:type="character" w:customStyle="1" w:styleId="157">
    <w:name w:val="Font Style133"/>
    <w:autoRedefine/>
    <w:unhideWhenUsed/>
    <w:qFormat/>
    <w:uiPriority w:val="0"/>
    <w:rPr>
      <w:rFonts w:hint="eastAsia" w:ascii="宋体" w:hAnsi="宋体" w:eastAsia="宋体"/>
      <w:spacing w:val="30"/>
      <w:sz w:val="24"/>
    </w:rPr>
  </w:style>
  <w:style w:type="character" w:customStyle="1" w:styleId="158">
    <w:name w:val="标题 8 Char"/>
    <w:autoRedefine/>
    <w:qFormat/>
    <w:uiPriority w:val="0"/>
    <w:rPr>
      <w:rFonts w:ascii="Arial" w:hAnsi="Arial" w:eastAsia="黑体"/>
      <w:sz w:val="24"/>
      <w:szCs w:val="24"/>
    </w:rPr>
  </w:style>
  <w:style w:type="character" w:customStyle="1" w:styleId="159">
    <w:name w:val="bds_nopic"/>
    <w:autoRedefine/>
    <w:qFormat/>
    <w:uiPriority w:val="0"/>
    <w:rPr>
      <w:rFonts w:ascii="Times New Roman" w:hAnsi="Times New Roman" w:eastAsia="宋体"/>
    </w:rPr>
  </w:style>
  <w:style w:type="character" w:customStyle="1" w:styleId="160">
    <w:name w:val="sort1"/>
    <w:autoRedefine/>
    <w:qFormat/>
    <w:uiPriority w:val="0"/>
    <w:rPr>
      <w:rFonts w:ascii="Times New Roman" w:hAnsi="Times New Roman" w:eastAsia="宋体"/>
    </w:rPr>
  </w:style>
  <w:style w:type="character" w:customStyle="1" w:styleId="161">
    <w:name w:val="font61"/>
    <w:autoRedefine/>
    <w:qFormat/>
    <w:uiPriority w:val="0"/>
    <w:rPr>
      <w:rFonts w:hint="eastAsia" w:ascii="宋体" w:hAnsi="宋体" w:eastAsia="宋体" w:cs="宋体"/>
      <w:color w:val="333333"/>
      <w:sz w:val="18"/>
      <w:szCs w:val="18"/>
      <w:u w:val="none"/>
    </w:rPr>
  </w:style>
  <w:style w:type="character" w:customStyle="1" w:styleId="162">
    <w:name w:val="Char Char6"/>
    <w:autoRedefine/>
    <w:qFormat/>
    <w:uiPriority w:val="0"/>
    <w:rPr>
      <w:rFonts w:ascii="Arial" w:hAnsi="Arial" w:eastAsia="黑体"/>
      <w:sz w:val="24"/>
      <w:szCs w:val="24"/>
      <w:lang w:val="en-US" w:eastAsia="zh-CN" w:bidi="ar-SA"/>
    </w:rPr>
  </w:style>
  <w:style w:type="character" w:customStyle="1" w:styleId="163">
    <w:name w:val="Font Style86"/>
    <w:autoRedefine/>
    <w:unhideWhenUsed/>
    <w:qFormat/>
    <w:uiPriority w:val="0"/>
    <w:rPr>
      <w:rFonts w:hint="eastAsia" w:ascii="黑体" w:hAnsi="黑体" w:eastAsia="黑体"/>
      <w:spacing w:val="10"/>
      <w:sz w:val="30"/>
    </w:rPr>
  </w:style>
  <w:style w:type="character" w:customStyle="1" w:styleId="164">
    <w:name w:val="10_2_2"/>
    <w:autoRedefine/>
    <w:qFormat/>
    <w:uiPriority w:val="0"/>
    <w:rPr>
      <w:rFonts w:hint="default" w:ascii="Times New Roman" w:hAnsi="Times New Roman" w:cs="Times New Roman"/>
      <w:sz w:val="20"/>
      <w:szCs w:val="20"/>
    </w:rPr>
  </w:style>
  <w:style w:type="character" w:customStyle="1" w:styleId="165">
    <w:name w:val="sort"/>
    <w:autoRedefine/>
    <w:qFormat/>
    <w:uiPriority w:val="0"/>
    <w:rPr>
      <w:rFonts w:ascii="Times New Roman" w:hAnsi="Times New Roman" w:eastAsia="宋体"/>
      <w:color w:val="FFFFFF"/>
      <w:bdr w:val="single" w:color="auto" w:sz="24" w:space="0"/>
    </w:rPr>
  </w:style>
  <w:style w:type="character" w:customStyle="1" w:styleId="166">
    <w:name w:val="标题 7 Char"/>
    <w:autoRedefine/>
    <w:qFormat/>
    <w:uiPriority w:val="0"/>
    <w:rPr>
      <w:b/>
      <w:bCs/>
      <w:sz w:val="24"/>
      <w:szCs w:val="24"/>
    </w:rPr>
  </w:style>
  <w:style w:type="character" w:customStyle="1" w:styleId="167">
    <w:name w:val="纯文本 字符1"/>
    <w:autoRedefine/>
    <w:semiHidden/>
    <w:qFormat/>
    <w:locked/>
    <w:uiPriority w:val="0"/>
    <w:rPr>
      <w:kern w:val="2"/>
      <w:sz w:val="24"/>
    </w:rPr>
  </w:style>
  <w:style w:type="character" w:customStyle="1" w:styleId="168">
    <w:name w:val="bds_more6"/>
    <w:autoRedefine/>
    <w:qFormat/>
    <w:uiPriority w:val="0"/>
    <w:rPr>
      <w:rFonts w:hint="eastAsia" w:ascii="宋体" w:hAnsi="宋体" w:eastAsia="宋体" w:cs="宋体"/>
    </w:rPr>
  </w:style>
  <w:style w:type="character" w:customStyle="1" w:styleId="169">
    <w:name w:val="页眉 Char"/>
    <w:autoRedefine/>
    <w:qFormat/>
    <w:uiPriority w:val="0"/>
    <w:rPr>
      <w:kern w:val="2"/>
      <w:sz w:val="18"/>
      <w:szCs w:val="18"/>
    </w:rPr>
  </w:style>
  <w:style w:type="character" w:customStyle="1" w:styleId="170">
    <w:name w:val="样式2 Char Char"/>
    <w:autoRedefine/>
    <w:qFormat/>
    <w:uiPriority w:val="0"/>
    <w:rPr>
      <w:rFonts w:eastAsia="宋体"/>
      <w:kern w:val="2"/>
      <w:sz w:val="18"/>
      <w:szCs w:val="18"/>
      <w:lang w:val="en-US" w:eastAsia="zh-CN" w:bidi="ar-SA"/>
    </w:rPr>
  </w:style>
  <w:style w:type="character" w:customStyle="1" w:styleId="171">
    <w:name w:val="Font Style134"/>
    <w:autoRedefine/>
    <w:unhideWhenUsed/>
    <w:qFormat/>
    <w:uiPriority w:val="0"/>
    <w:rPr>
      <w:rFonts w:hint="eastAsia" w:ascii="宋体" w:hAnsi="宋体" w:eastAsia="宋体"/>
      <w:spacing w:val="20"/>
      <w:sz w:val="22"/>
    </w:rPr>
  </w:style>
  <w:style w:type="paragraph" w:customStyle="1" w:styleId="172">
    <w:name w:val="Char1 Char Char Char"/>
    <w:basedOn w:val="1"/>
    <w:autoRedefine/>
    <w:qFormat/>
    <w:uiPriority w:val="0"/>
    <w:pPr>
      <w:widowControl/>
      <w:spacing w:after="160" w:line="240" w:lineRule="exact"/>
      <w:jc w:val="left"/>
    </w:pPr>
    <w:rPr>
      <w:kern w:val="0"/>
      <w:sz w:val="24"/>
      <w:szCs w:val="20"/>
    </w:rPr>
  </w:style>
  <w:style w:type="paragraph" w:customStyle="1" w:styleId="173">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74">
    <w:name w:val="Char Char1 Char Char Char Char Char1 Char Char Char Char"/>
    <w:basedOn w:val="13"/>
    <w:autoRedefine/>
    <w:qFormat/>
    <w:uiPriority w:val="0"/>
    <w:rPr>
      <w:rFonts w:ascii="Tahoma" w:hAnsi="Tahoma"/>
    </w:rPr>
  </w:style>
  <w:style w:type="paragraph" w:customStyle="1" w:styleId="175">
    <w:name w:val="Style26"/>
    <w:basedOn w:val="1"/>
    <w:autoRedefine/>
    <w:unhideWhenUsed/>
    <w:qFormat/>
    <w:uiPriority w:val="0"/>
  </w:style>
  <w:style w:type="paragraph" w:customStyle="1" w:styleId="176">
    <w:name w:val="1"/>
    <w:basedOn w:val="1"/>
    <w:autoRedefine/>
    <w:qFormat/>
    <w:uiPriority w:val="0"/>
    <w:pPr>
      <w:spacing w:after="156" w:afterLines="50" w:line="360" w:lineRule="auto"/>
    </w:pPr>
    <w:rPr>
      <w:rFonts w:ascii="宋体" w:hAnsi="宋体"/>
      <w:b/>
      <w:sz w:val="30"/>
      <w:szCs w:val="21"/>
    </w:rPr>
  </w:style>
  <w:style w:type="paragraph" w:customStyle="1" w:styleId="177">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8">
    <w:name w:val="Style11"/>
    <w:basedOn w:val="1"/>
    <w:autoRedefine/>
    <w:unhideWhenUsed/>
    <w:qFormat/>
    <w:uiPriority w:val="0"/>
    <w:pPr>
      <w:spacing w:line="559" w:lineRule="exact"/>
      <w:ind w:firstLine="590"/>
    </w:pPr>
  </w:style>
  <w:style w:type="paragraph" w:customStyle="1" w:styleId="179">
    <w:name w:val="样式1"/>
    <w:basedOn w:val="1"/>
    <w:autoRedefine/>
    <w:qFormat/>
    <w:uiPriority w:val="0"/>
    <w:pPr>
      <w:tabs>
        <w:tab w:val="left" w:pos="360"/>
      </w:tabs>
      <w:adjustRightInd w:val="0"/>
      <w:ind w:left="360" w:hanging="360"/>
      <w:textAlignment w:val="baseline"/>
    </w:pPr>
    <w:rPr>
      <w:rFonts w:ascii="宋体" w:hAnsi="宋体"/>
      <w:kern w:val="0"/>
      <w:szCs w:val="21"/>
    </w:rPr>
  </w:style>
  <w:style w:type="paragraph" w:customStyle="1" w:styleId="180">
    <w:name w:val="Char Char Char1 Char"/>
    <w:basedOn w:val="1"/>
    <w:autoRedefine/>
    <w:qFormat/>
    <w:uiPriority w:val="0"/>
    <w:pPr>
      <w:tabs>
        <w:tab w:val="left" w:pos="360"/>
      </w:tabs>
      <w:snapToGrid w:val="0"/>
      <w:spacing w:line="360" w:lineRule="auto"/>
    </w:pPr>
    <w:rPr>
      <w:rFonts w:eastAsia="仿宋_GB2312" w:cs="宋体"/>
      <w:sz w:val="24"/>
    </w:rPr>
  </w:style>
  <w:style w:type="paragraph" w:customStyle="1" w:styleId="181">
    <w:name w:val="Char1 Char Char Char 字元 Char Char 字元 Char 字元 Char1 Char Char Char"/>
    <w:basedOn w:val="1"/>
    <w:autoRedefine/>
    <w:qFormat/>
    <w:uiPriority w:val="0"/>
    <w:rPr>
      <w:szCs w:val="20"/>
    </w:rPr>
  </w:style>
  <w:style w:type="paragraph" w:customStyle="1" w:styleId="182">
    <w:name w:val="Style48"/>
    <w:basedOn w:val="1"/>
    <w:autoRedefine/>
    <w:unhideWhenUsed/>
    <w:qFormat/>
    <w:uiPriority w:val="0"/>
    <w:pPr>
      <w:spacing w:line="542" w:lineRule="exact"/>
      <w:jc w:val="right"/>
    </w:pPr>
  </w:style>
  <w:style w:type="paragraph" w:customStyle="1" w:styleId="183">
    <w:name w:val="Style64"/>
    <w:basedOn w:val="1"/>
    <w:autoRedefine/>
    <w:unhideWhenUsed/>
    <w:qFormat/>
    <w:uiPriority w:val="0"/>
  </w:style>
  <w:style w:type="paragraph" w:customStyle="1" w:styleId="184">
    <w:name w:val="Style73"/>
    <w:basedOn w:val="1"/>
    <w:autoRedefine/>
    <w:unhideWhenUsed/>
    <w:qFormat/>
    <w:uiPriority w:val="0"/>
    <w:pPr>
      <w:spacing w:line="538" w:lineRule="exact"/>
      <w:ind w:firstLine="533"/>
    </w:pPr>
  </w:style>
  <w:style w:type="paragraph" w:customStyle="1" w:styleId="185">
    <w:name w:val="Style58"/>
    <w:basedOn w:val="1"/>
    <w:autoRedefine/>
    <w:unhideWhenUsed/>
    <w:qFormat/>
    <w:uiPriority w:val="0"/>
    <w:pPr>
      <w:spacing w:line="413" w:lineRule="exact"/>
    </w:pPr>
  </w:style>
  <w:style w:type="paragraph" w:customStyle="1" w:styleId="186">
    <w:name w:val="p18_1_2"/>
    <w:basedOn w:val="1"/>
    <w:autoRedefine/>
    <w:qFormat/>
    <w:uiPriority w:val="0"/>
    <w:pPr>
      <w:widowControl/>
    </w:pPr>
    <w:rPr>
      <w:kern w:val="0"/>
      <w:szCs w:val="21"/>
    </w:rPr>
  </w:style>
  <w:style w:type="paragraph" w:customStyle="1" w:styleId="187">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188">
    <w:name w:val="Style70"/>
    <w:basedOn w:val="1"/>
    <w:autoRedefine/>
    <w:unhideWhenUsed/>
    <w:qFormat/>
    <w:uiPriority w:val="0"/>
    <w:pPr>
      <w:spacing w:line="549" w:lineRule="exact"/>
      <w:ind w:firstLine="686"/>
    </w:pPr>
  </w:style>
  <w:style w:type="paragraph" w:customStyle="1" w:styleId="189">
    <w:name w:val="表格内容"/>
    <w:basedOn w:val="18"/>
    <w:autoRedefine/>
    <w:qFormat/>
    <w:uiPriority w:val="0"/>
    <w:pPr>
      <w:suppressLineNumbers/>
      <w:suppressAutoHyphens/>
      <w:jc w:val="left"/>
    </w:pPr>
    <w:rPr>
      <w:rFonts w:cs="Tahoma"/>
      <w:kern w:val="0"/>
      <w:sz w:val="24"/>
    </w:rPr>
  </w:style>
  <w:style w:type="paragraph" w:customStyle="1" w:styleId="190">
    <w:name w:val="Style56"/>
    <w:basedOn w:val="1"/>
    <w:autoRedefine/>
    <w:unhideWhenUsed/>
    <w:qFormat/>
    <w:uiPriority w:val="0"/>
  </w:style>
  <w:style w:type="paragraph" w:customStyle="1" w:styleId="191">
    <w:name w:val="Style21"/>
    <w:basedOn w:val="1"/>
    <w:autoRedefine/>
    <w:unhideWhenUsed/>
    <w:qFormat/>
    <w:uiPriority w:val="0"/>
    <w:pPr>
      <w:spacing w:line="566" w:lineRule="exact"/>
      <w:ind w:firstLine="682"/>
    </w:pPr>
  </w:style>
  <w:style w:type="paragraph" w:customStyle="1" w:styleId="192">
    <w:name w:val="附录标识"/>
    <w:basedOn w:val="193"/>
    <w:autoRedefine/>
    <w:qFormat/>
    <w:uiPriority w:val="0"/>
    <w:pPr>
      <w:tabs>
        <w:tab w:val="left" w:pos="360"/>
        <w:tab w:val="left" w:pos="720"/>
        <w:tab w:val="left" w:pos="6405"/>
      </w:tabs>
      <w:spacing w:after="200"/>
    </w:pPr>
    <w:rPr>
      <w:sz w:val="21"/>
    </w:rPr>
  </w:style>
  <w:style w:type="paragraph" w:customStyle="1" w:styleId="193">
    <w:name w:val="前言、引言标题"/>
    <w:next w:val="1"/>
    <w:autoRedefine/>
    <w:qFormat/>
    <w:uiPriority w:val="0"/>
    <w:pPr>
      <w:shd w:val="clear" w:color="FFFFFF" w:fill="FFFFFF"/>
      <w:tabs>
        <w:tab w:val="left" w:pos="360"/>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194">
    <w:name w:val="reader-word-layer reader-word-s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5">
    <w:name w:val="Style53"/>
    <w:basedOn w:val="1"/>
    <w:autoRedefine/>
    <w:unhideWhenUsed/>
    <w:qFormat/>
    <w:uiPriority w:val="0"/>
    <w:pPr>
      <w:spacing w:line="533" w:lineRule="exact"/>
      <w:ind w:firstLine="581"/>
    </w:pPr>
  </w:style>
  <w:style w:type="paragraph" w:customStyle="1" w:styleId="196">
    <w:name w:val="Style52"/>
    <w:basedOn w:val="1"/>
    <w:autoRedefine/>
    <w:unhideWhenUsed/>
    <w:qFormat/>
    <w:uiPriority w:val="0"/>
    <w:pPr>
      <w:spacing w:line="682" w:lineRule="exact"/>
      <w:ind w:firstLine="557"/>
    </w:pPr>
  </w:style>
  <w:style w:type="paragraph" w:customStyle="1" w:styleId="197">
    <w:name w:val="Style81"/>
    <w:basedOn w:val="1"/>
    <w:autoRedefine/>
    <w:unhideWhenUsed/>
    <w:qFormat/>
    <w:uiPriority w:val="0"/>
    <w:pPr>
      <w:spacing w:line="547" w:lineRule="exact"/>
    </w:pPr>
  </w:style>
  <w:style w:type="paragraph" w:customStyle="1" w:styleId="198">
    <w:name w:val="Char Char Char"/>
    <w:basedOn w:val="1"/>
    <w:autoRedefine/>
    <w:qFormat/>
    <w:uiPriority w:val="0"/>
    <w:rPr>
      <w:rFonts w:ascii="宋体" w:hAnsi="宋体"/>
      <w:b/>
      <w:sz w:val="28"/>
      <w:szCs w:val="28"/>
    </w:rPr>
  </w:style>
  <w:style w:type="paragraph" w:customStyle="1" w:styleId="199">
    <w:name w:val="默认段落字体 Para Char Char Char Char Char Char Char Char Char1 Char Char Char Char"/>
    <w:basedOn w:val="1"/>
    <w:autoRedefine/>
    <w:qFormat/>
    <w:uiPriority w:val="0"/>
    <w:rPr>
      <w:rFonts w:ascii="Tahoma" w:hAnsi="Tahoma"/>
      <w:sz w:val="24"/>
      <w:szCs w:val="20"/>
    </w:rPr>
  </w:style>
  <w:style w:type="paragraph" w:customStyle="1" w:styleId="200">
    <w:name w:val="Style36"/>
    <w:basedOn w:val="1"/>
    <w:autoRedefine/>
    <w:unhideWhenUsed/>
    <w:qFormat/>
    <w:uiPriority w:val="0"/>
  </w:style>
  <w:style w:type="paragraph" w:customStyle="1" w:styleId="20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02">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03">
    <w:name w:val="Style46"/>
    <w:basedOn w:val="1"/>
    <w:autoRedefine/>
    <w:unhideWhenUsed/>
    <w:qFormat/>
    <w:uiPriority w:val="0"/>
    <w:pPr>
      <w:spacing w:line="672" w:lineRule="exact"/>
    </w:pPr>
  </w:style>
  <w:style w:type="paragraph" w:customStyle="1" w:styleId="204">
    <w:name w:val="1 Char Char Char Char"/>
    <w:basedOn w:val="1"/>
    <w:autoRedefine/>
    <w:qFormat/>
    <w:uiPriority w:val="0"/>
  </w:style>
  <w:style w:type="paragraph" w:customStyle="1" w:styleId="205">
    <w:name w:val="默认段落字体 Para Char Char Char Char Char Char Char"/>
    <w:basedOn w:val="1"/>
    <w:autoRedefine/>
    <w:qFormat/>
    <w:uiPriority w:val="0"/>
    <w:pPr>
      <w:adjustRightInd w:val="0"/>
      <w:spacing w:line="360" w:lineRule="atLeast"/>
      <w:jc w:val="left"/>
      <w:textAlignment w:val="baseline"/>
    </w:pPr>
    <w:rPr>
      <w:kern w:val="0"/>
      <w:sz w:val="24"/>
      <w:szCs w:val="20"/>
    </w:rPr>
  </w:style>
  <w:style w:type="paragraph" w:customStyle="1" w:styleId="206">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207">
    <w:name w:val="Style13"/>
    <w:basedOn w:val="1"/>
    <w:autoRedefine/>
    <w:unhideWhenUsed/>
    <w:qFormat/>
    <w:uiPriority w:val="0"/>
  </w:style>
  <w:style w:type="paragraph" w:customStyle="1" w:styleId="208">
    <w:name w:val="NO3"/>
    <w:basedOn w:val="1"/>
    <w:autoRedefine/>
    <w:qFormat/>
    <w:uiPriority w:val="0"/>
    <w:pPr>
      <w:tabs>
        <w:tab w:val="left" w:pos="907"/>
      </w:tabs>
      <w:spacing w:line="360" w:lineRule="auto"/>
    </w:pPr>
    <w:rPr>
      <w:rFonts w:ascii="宋体" w:hAnsi="宋体"/>
      <w:sz w:val="24"/>
    </w:rPr>
  </w:style>
  <w:style w:type="paragraph" w:customStyle="1" w:styleId="209">
    <w:name w:val="Style72"/>
    <w:basedOn w:val="1"/>
    <w:autoRedefine/>
    <w:unhideWhenUsed/>
    <w:qFormat/>
    <w:uiPriority w:val="0"/>
  </w:style>
  <w:style w:type="paragraph" w:customStyle="1" w:styleId="210">
    <w:name w:val="Style16"/>
    <w:basedOn w:val="1"/>
    <w:autoRedefine/>
    <w:unhideWhenUsed/>
    <w:qFormat/>
    <w:uiPriority w:val="0"/>
    <w:pPr>
      <w:jc w:val="right"/>
    </w:pPr>
  </w:style>
  <w:style w:type="paragraph" w:customStyle="1" w:styleId="211">
    <w:name w:val="Style24"/>
    <w:basedOn w:val="1"/>
    <w:autoRedefine/>
    <w:unhideWhenUsed/>
    <w:qFormat/>
    <w:uiPriority w:val="0"/>
  </w:style>
  <w:style w:type="paragraph" w:customStyle="1" w:styleId="212">
    <w:name w:val="表正文"/>
    <w:autoRedefine/>
    <w:qFormat/>
    <w:uiPriority w:val="0"/>
    <w:pPr>
      <w:widowControl w:val="0"/>
      <w:ind w:left="840" w:leftChars="350"/>
      <w:jc w:val="both"/>
      <w:outlineLvl w:val="0"/>
    </w:pPr>
    <w:rPr>
      <w:rFonts w:ascii="宋体" w:hAnsi="Times New Roman" w:eastAsia="宋体" w:cs="Times New Roman"/>
      <w:b/>
      <w:sz w:val="24"/>
      <w:lang w:val="en-US" w:eastAsia="zh-CN" w:bidi="ar-SA"/>
    </w:rPr>
  </w:style>
  <w:style w:type="paragraph" w:customStyle="1" w:styleId="213">
    <w:name w:val="标题2"/>
    <w:basedOn w:val="44"/>
    <w:autoRedefine/>
    <w:qFormat/>
    <w:uiPriority w:val="0"/>
    <w:pPr>
      <w:spacing w:after="240"/>
      <w:jc w:val="left"/>
    </w:pPr>
    <w:rPr>
      <w:sz w:val="30"/>
    </w:rPr>
  </w:style>
  <w:style w:type="paragraph" w:customStyle="1" w:styleId="214">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5">
    <w:name w:val="Style29"/>
    <w:basedOn w:val="1"/>
    <w:autoRedefine/>
    <w:unhideWhenUsed/>
    <w:qFormat/>
    <w:uiPriority w:val="0"/>
    <w:pPr>
      <w:spacing w:line="547" w:lineRule="exact"/>
      <w:ind w:firstLine="547"/>
    </w:pPr>
  </w:style>
  <w:style w:type="paragraph" w:customStyle="1" w:styleId="216">
    <w:name w:val="Char Char1 Char Char Char Char Char Char Char"/>
    <w:basedOn w:val="1"/>
    <w:autoRedefine/>
    <w:qFormat/>
    <w:uiPriority w:val="0"/>
    <w:pPr>
      <w:widowControl/>
      <w:spacing w:after="160" w:line="240" w:lineRule="exact"/>
      <w:jc w:val="left"/>
    </w:pPr>
  </w:style>
  <w:style w:type="paragraph" w:customStyle="1" w:styleId="217">
    <w:name w:val="列表段落1"/>
    <w:basedOn w:val="1"/>
    <w:autoRedefine/>
    <w:qFormat/>
    <w:uiPriority w:val="0"/>
    <w:pPr>
      <w:ind w:firstLine="420" w:firstLineChars="200"/>
    </w:pPr>
    <w:rPr>
      <w:rFonts w:ascii="Calibri" w:hAnsi="Calibri" w:cs="Calibri"/>
      <w:szCs w:val="21"/>
    </w:rPr>
  </w:style>
  <w:style w:type="paragraph" w:customStyle="1" w:styleId="218">
    <w:name w:val="Style61"/>
    <w:basedOn w:val="1"/>
    <w:autoRedefine/>
    <w:unhideWhenUsed/>
    <w:qFormat/>
    <w:uiPriority w:val="0"/>
  </w:style>
  <w:style w:type="paragraph" w:customStyle="1" w:styleId="219">
    <w:name w:val="Style42"/>
    <w:basedOn w:val="1"/>
    <w:autoRedefine/>
    <w:unhideWhenUsed/>
    <w:qFormat/>
    <w:uiPriority w:val="0"/>
    <w:pPr>
      <w:spacing w:line="542" w:lineRule="exact"/>
      <w:ind w:firstLine="547"/>
    </w:pPr>
  </w:style>
  <w:style w:type="paragraph" w:customStyle="1" w:styleId="220">
    <w:name w:val="Char1 Char Char Char Char Char Char Char Char Char"/>
    <w:basedOn w:val="1"/>
    <w:autoRedefine/>
    <w:qFormat/>
    <w:uiPriority w:val="0"/>
    <w:rPr>
      <w:szCs w:val="20"/>
    </w:rPr>
  </w:style>
  <w:style w:type="paragraph" w:customStyle="1" w:styleId="221">
    <w:name w:val="Style44"/>
    <w:basedOn w:val="1"/>
    <w:autoRedefine/>
    <w:unhideWhenUsed/>
    <w:qFormat/>
    <w:uiPriority w:val="0"/>
  </w:style>
  <w:style w:type="paragraph" w:customStyle="1" w:styleId="222">
    <w:name w:val="Style10"/>
    <w:basedOn w:val="1"/>
    <w:autoRedefine/>
    <w:unhideWhenUsed/>
    <w:qFormat/>
    <w:uiPriority w:val="0"/>
    <w:pPr>
      <w:spacing w:line="538" w:lineRule="exact"/>
    </w:pPr>
  </w:style>
  <w:style w:type="paragraph" w:customStyle="1" w:styleId="223">
    <w:name w:val="Style63"/>
    <w:basedOn w:val="1"/>
    <w:autoRedefine/>
    <w:unhideWhenUsed/>
    <w:qFormat/>
    <w:uiPriority w:val="0"/>
    <w:pPr>
      <w:spacing w:line="564" w:lineRule="exact"/>
      <w:ind w:firstLine="682"/>
    </w:pPr>
  </w:style>
  <w:style w:type="paragraph" w:customStyle="1" w:styleId="224">
    <w:name w:val="Style41"/>
    <w:basedOn w:val="1"/>
    <w:autoRedefine/>
    <w:unhideWhenUsed/>
    <w:qFormat/>
    <w:uiPriority w:val="0"/>
    <w:pPr>
      <w:spacing w:line="542" w:lineRule="exact"/>
      <w:ind w:firstLine="125"/>
    </w:pPr>
  </w:style>
  <w:style w:type="paragraph" w:customStyle="1" w:styleId="225">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6">
    <w:name w:val="Style27"/>
    <w:basedOn w:val="1"/>
    <w:autoRedefine/>
    <w:unhideWhenUsed/>
    <w:qFormat/>
    <w:uiPriority w:val="0"/>
  </w:style>
  <w:style w:type="paragraph" w:customStyle="1" w:styleId="227">
    <w:name w:val="Style45"/>
    <w:basedOn w:val="1"/>
    <w:autoRedefine/>
    <w:unhideWhenUsed/>
    <w:qFormat/>
    <w:uiPriority w:val="0"/>
  </w:style>
  <w:style w:type="paragraph" w:customStyle="1" w:styleId="228">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29">
    <w:name w:val="Style71"/>
    <w:basedOn w:val="1"/>
    <w:autoRedefine/>
    <w:unhideWhenUsed/>
    <w:qFormat/>
    <w:uiPriority w:val="0"/>
    <w:pPr>
      <w:spacing w:line="538" w:lineRule="exact"/>
      <w:ind w:firstLine="101"/>
    </w:pPr>
  </w:style>
  <w:style w:type="paragraph" w:customStyle="1" w:styleId="230">
    <w:name w:val="Style5"/>
    <w:basedOn w:val="1"/>
    <w:autoRedefine/>
    <w:unhideWhenUsed/>
    <w:qFormat/>
    <w:uiPriority w:val="0"/>
  </w:style>
  <w:style w:type="paragraph" w:customStyle="1" w:styleId="231">
    <w:name w:val="Style76"/>
    <w:basedOn w:val="1"/>
    <w:autoRedefine/>
    <w:unhideWhenUsed/>
    <w:qFormat/>
    <w:uiPriority w:val="0"/>
  </w:style>
  <w:style w:type="paragraph" w:customStyle="1" w:styleId="232">
    <w:name w:val="Style50"/>
    <w:basedOn w:val="1"/>
    <w:autoRedefine/>
    <w:unhideWhenUsed/>
    <w:qFormat/>
    <w:uiPriority w:val="0"/>
  </w:style>
  <w:style w:type="paragraph" w:customStyle="1" w:styleId="233">
    <w:name w:val="Char Char Char Char Char Char Char Char Char Char"/>
    <w:basedOn w:val="1"/>
    <w:autoRedefine/>
    <w:qFormat/>
    <w:uiPriority w:val="0"/>
    <w:rPr>
      <w:kern w:val="16"/>
    </w:rPr>
  </w:style>
  <w:style w:type="paragraph" w:styleId="234">
    <w:name w:val="List Paragraph"/>
    <w:basedOn w:val="1"/>
    <w:link w:val="235"/>
    <w:autoRedefine/>
    <w:qFormat/>
    <w:uiPriority w:val="34"/>
    <w:pPr>
      <w:ind w:firstLine="420" w:firstLineChars="200"/>
    </w:pPr>
    <w:rPr>
      <w:rFonts w:ascii="Calibri" w:hAnsi="Calibri"/>
      <w:szCs w:val="22"/>
    </w:rPr>
  </w:style>
  <w:style w:type="character" w:customStyle="1" w:styleId="235">
    <w:name w:val="列出段落 字符"/>
    <w:link w:val="234"/>
    <w:autoRedefine/>
    <w:qFormat/>
    <w:uiPriority w:val="34"/>
    <w:rPr>
      <w:rFonts w:ascii="Calibri" w:hAnsi="Calibri" w:eastAsia="宋体" w:cs="Times New Roman"/>
    </w:rPr>
  </w:style>
  <w:style w:type="paragraph" w:customStyle="1" w:styleId="236">
    <w:name w:val="Style54"/>
    <w:basedOn w:val="1"/>
    <w:autoRedefine/>
    <w:unhideWhenUsed/>
    <w:qFormat/>
    <w:uiPriority w:val="0"/>
  </w:style>
  <w:style w:type="paragraph" w:styleId="23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8">
    <w:name w:val="文档正文"/>
    <w:basedOn w:val="1"/>
    <w:autoRedefine/>
    <w:qFormat/>
    <w:uiPriority w:val="0"/>
    <w:pPr>
      <w:suppressAutoHyphens/>
      <w:spacing w:line="312" w:lineRule="atLeast"/>
      <w:ind w:firstLine="567"/>
      <w:jc w:val="left"/>
      <w:textAlignment w:val="baseline"/>
    </w:pPr>
    <w:rPr>
      <w:rFonts w:ascii="长城仿宋" w:hAnsi="长城仿宋" w:eastAsia="长城仿宋" w:cs="Tahoma"/>
      <w:b/>
      <w:w w:val="80"/>
      <w:kern w:val="1"/>
      <w:sz w:val="28"/>
      <w:szCs w:val="20"/>
    </w:rPr>
  </w:style>
  <w:style w:type="paragraph" w:customStyle="1" w:styleId="239">
    <w:name w:val="Char1"/>
    <w:basedOn w:val="1"/>
    <w:autoRedefine/>
    <w:semiHidden/>
    <w:qFormat/>
    <w:uiPriority w:val="0"/>
    <w:rPr>
      <w:rFonts w:ascii="Tahoma" w:hAnsi="Tahoma" w:cs="仿宋_GB2312"/>
      <w:sz w:val="24"/>
      <w:szCs w:val="28"/>
    </w:rPr>
  </w:style>
  <w:style w:type="paragraph" w:customStyle="1" w:styleId="240">
    <w:name w:val="Style59"/>
    <w:basedOn w:val="1"/>
    <w:autoRedefine/>
    <w:unhideWhenUsed/>
    <w:qFormat/>
    <w:uiPriority w:val="0"/>
  </w:style>
  <w:style w:type="paragraph" w:customStyle="1" w:styleId="241">
    <w:name w:val="Style69"/>
    <w:basedOn w:val="1"/>
    <w:autoRedefine/>
    <w:unhideWhenUsed/>
    <w:qFormat/>
    <w:uiPriority w:val="0"/>
    <w:pPr>
      <w:spacing w:line="557" w:lineRule="exact"/>
      <w:ind w:firstLine="1666"/>
    </w:pPr>
  </w:style>
  <w:style w:type="paragraph" w:customStyle="1" w:styleId="242">
    <w:name w:val="Char Char1 Char Char Char"/>
    <w:basedOn w:val="1"/>
    <w:autoRedefine/>
    <w:qFormat/>
    <w:uiPriority w:val="0"/>
    <w:rPr>
      <w:kern w:val="0"/>
      <w:sz w:val="20"/>
      <w:szCs w:val="20"/>
    </w:rPr>
  </w:style>
  <w:style w:type="paragraph" w:customStyle="1" w:styleId="243">
    <w:name w:val="Style12"/>
    <w:basedOn w:val="1"/>
    <w:autoRedefine/>
    <w:unhideWhenUsed/>
    <w:qFormat/>
    <w:uiPriority w:val="0"/>
    <w:pPr>
      <w:spacing w:line="564" w:lineRule="exact"/>
      <w:ind w:hanging="115"/>
    </w:pPr>
  </w:style>
  <w:style w:type="paragraph" w:customStyle="1" w:styleId="244">
    <w:name w:val="标题3"/>
    <w:basedOn w:val="2"/>
    <w:autoRedefine/>
    <w:qFormat/>
    <w:uiPriority w:val="0"/>
    <w:pPr>
      <w:spacing w:before="156" w:beforeLines="50" w:after="156" w:afterLines="50" w:line="400" w:lineRule="exact"/>
      <w:jc w:val="both"/>
    </w:pPr>
    <w:rPr>
      <w:rFonts w:ascii="宋体" w:hAnsi="宋体"/>
      <w:kern w:val="32"/>
      <w:szCs w:val="32"/>
    </w:rPr>
  </w:style>
  <w:style w:type="paragraph" w:customStyle="1" w:styleId="245">
    <w:name w:val="Style67"/>
    <w:basedOn w:val="1"/>
    <w:autoRedefine/>
    <w:unhideWhenUsed/>
    <w:qFormat/>
    <w:uiPriority w:val="0"/>
    <w:pPr>
      <w:spacing w:line="566" w:lineRule="exact"/>
      <w:ind w:firstLine="552"/>
    </w:pPr>
  </w:style>
  <w:style w:type="paragraph" w:customStyle="1" w:styleId="246">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247">
    <w:name w:val="Style28"/>
    <w:basedOn w:val="1"/>
    <w:autoRedefine/>
    <w:unhideWhenUsed/>
    <w:qFormat/>
    <w:uiPriority w:val="0"/>
    <w:pPr>
      <w:spacing w:line="552" w:lineRule="exact"/>
      <w:ind w:firstLine="547"/>
    </w:pPr>
  </w:style>
  <w:style w:type="paragraph" w:customStyle="1" w:styleId="248">
    <w:name w:val="Style8"/>
    <w:basedOn w:val="1"/>
    <w:autoRedefine/>
    <w:unhideWhenUsed/>
    <w:qFormat/>
    <w:uiPriority w:val="0"/>
    <w:pPr>
      <w:spacing w:line="566" w:lineRule="exact"/>
      <w:jc w:val="center"/>
    </w:pPr>
  </w:style>
  <w:style w:type="paragraph" w:customStyle="1" w:styleId="249">
    <w:name w:val="Style62"/>
    <w:basedOn w:val="1"/>
    <w:autoRedefine/>
    <w:unhideWhenUsed/>
    <w:qFormat/>
    <w:uiPriority w:val="0"/>
  </w:style>
  <w:style w:type="paragraph" w:customStyle="1" w:styleId="250">
    <w:name w:val="Style60"/>
    <w:basedOn w:val="1"/>
    <w:autoRedefine/>
    <w:unhideWhenUsed/>
    <w:qFormat/>
    <w:uiPriority w:val="0"/>
    <w:pPr>
      <w:spacing w:line="566" w:lineRule="exact"/>
    </w:pPr>
  </w:style>
  <w:style w:type="paragraph" w:customStyle="1" w:styleId="251">
    <w:name w:val="Style15"/>
    <w:basedOn w:val="1"/>
    <w:autoRedefine/>
    <w:unhideWhenUsed/>
    <w:qFormat/>
    <w:uiPriority w:val="0"/>
    <w:pPr>
      <w:spacing w:line="557" w:lineRule="exact"/>
      <w:ind w:firstLine="672"/>
    </w:pPr>
  </w:style>
  <w:style w:type="paragraph" w:customStyle="1" w:styleId="252">
    <w:name w:val="Style74"/>
    <w:basedOn w:val="1"/>
    <w:autoRedefine/>
    <w:unhideWhenUsed/>
    <w:qFormat/>
    <w:uiPriority w:val="0"/>
    <w:pPr>
      <w:spacing w:line="437" w:lineRule="exact"/>
    </w:pPr>
  </w:style>
  <w:style w:type="paragraph" w:customStyle="1" w:styleId="253">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4">
    <w:name w:val="Style9"/>
    <w:basedOn w:val="1"/>
    <w:autoRedefine/>
    <w:unhideWhenUsed/>
    <w:qFormat/>
    <w:uiPriority w:val="0"/>
  </w:style>
  <w:style w:type="paragraph" w:customStyle="1" w:styleId="255">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56">
    <w:name w:val="Style68"/>
    <w:basedOn w:val="1"/>
    <w:autoRedefine/>
    <w:unhideWhenUsed/>
    <w:qFormat/>
    <w:uiPriority w:val="0"/>
    <w:pPr>
      <w:spacing w:line="547" w:lineRule="exact"/>
    </w:pPr>
  </w:style>
  <w:style w:type="paragraph" w:customStyle="1" w:styleId="257">
    <w:name w:val="Style47"/>
    <w:basedOn w:val="1"/>
    <w:autoRedefine/>
    <w:unhideWhenUsed/>
    <w:qFormat/>
    <w:uiPriority w:val="0"/>
  </w:style>
  <w:style w:type="paragraph" w:customStyle="1" w:styleId="258">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259">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60">
    <w:name w:val="样式 标题 2 + 宋体 五号 行距: 单倍行距"/>
    <w:basedOn w:val="3"/>
    <w:autoRedefine/>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261">
    <w:name w:val="_Style 39"/>
    <w:basedOn w:val="214"/>
    <w:autoRedefine/>
    <w:qFormat/>
    <w:uiPriority w:val="0"/>
  </w:style>
  <w:style w:type="paragraph" w:customStyle="1" w:styleId="262">
    <w:name w:val="Style23"/>
    <w:basedOn w:val="1"/>
    <w:autoRedefine/>
    <w:unhideWhenUsed/>
    <w:qFormat/>
    <w:uiPriority w:val="0"/>
  </w:style>
  <w:style w:type="paragraph" w:customStyle="1" w:styleId="263">
    <w:name w:val="默认段落字体 Para Char Char Char Char Char Char Char Char Char Char Char Char Char Char Char Char Char Char Char"/>
    <w:basedOn w:val="1"/>
    <w:autoRedefine/>
    <w:qFormat/>
    <w:uiPriority w:val="0"/>
  </w:style>
  <w:style w:type="paragraph" w:customStyle="1" w:styleId="264">
    <w:name w:val="p16"/>
    <w:basedOn w:val="1"/>
    <w:autoRedefine/>
    <w:qFormat/>
    <w:uiPriority w:val="0"/>
    <w:pPr>
      <w:widowControl/>
      <w:jc w:val="left"/>
    </w:pPr>
    <w:rPr>
      <w:kern w:val="0"/>
      <w:szCs w:val="21"/>
    </w:rPr>
  </w:style>
  <w:style w:type="paragraph" w:customStyle="1" w:styleId="265">
    <w:name w:val="正文_29_3_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66">
    <w:name w:val="Style78"/>
    <w:basedOn w:val="1"/>
    <w:autoRedefine/>
    <w:unhideWhenUsed/>
    <w:qFormat/>
    <w:uiPriority w:val="0"/>
  </w:style>
  <w:style w:type="paragraph" w:customStyle="1" w:styleId="267">
    <w:name w:val="样式 标题 2 + Times New Roman 四号 非加粗 段前: 5 磅 段后: 0 磅 行距: 固定值 20..."/>
    <w:basedOn w:val="3"/>
    <w:autoRedefine/>
    <w:qFormat/>
    <w:uiPriority w:val="0"/>
    <w:pPr>
      <w:spacing w:before="100" w:line="400" w:lineRule="exact"/>
    </w:pPr>
    <w:rPr>
      <w:rFonts w:ascii="Times New Roman" w:hAnsi="Times New Roman" w:eastAsia="黑体"/>
      <w:b w:val="0"/>
      <w:bCs w:val="0"/>
      <w:sz w:val="28"/>
      <w:szCs w:val="20"/>
    </w:rPr>
  </w:style>
  <w:style w:type="paragraph" w:customStyle="1" w:styleId="268">
    <w:name w:val="Char2"/>
    <w:basedOn w:val="1"/>
    <w:autoRedefine/>
    <w:qFormat/>
    <w:uiPriority w:val="0"/>
    <w:pPr>
      <w:tabs>
        <w:tab w:val="left" w:pos="360"/>
      </w:tabs>
      <w:ind w:left="360" w:hanging="360" w:hangingChars="200"/>
    </w:pPr>
    <w:rPr>
      <w:sz w:val="24"/>
    </w:rPr>
  </w:style>
  <w:style w:type="paragraph" w:customStyle="1" w:styleId="269">
    <w:name w:val="Style4"/>
    <w:basedOn w:val="1"/>
    <w:autoRedefine/>
    <w:unhideWhenUsed/>
    <w:qFormat/>
    <w:uiPriority w:val="0"/>
  </w:style>
  <w:style w:type="paragraph" w:customStyle="1" w:styleId="270">
    <w:name w:val="Style65"/>
    <w:basedOn w:val="1"/>
    <w:autoRedefine/>
    <w:unhideWhenUsed/>
    <w:qFormat/>
    <w:uiPriority w:val="0"/>
  </w:style>
  <w:style w:type="paragraph" w:customStyle="1" w:styleId="271">
    <w:name w:val="标题 1 +"/>
    <w:basedOn w:val="2"/>
    <w:next w:val="1"/>
    <w:autoRedefine/>
    <w:qFormat/>
    <w:uiPriority w:val="0"/>
    <w:pPr>
      <w:keepLines/>
      <w:spacing w:line="600" w:lineRule="auto"/>
    </w:pPr>
    <w:rPr>
      <w:rFonts w:eastAsia="黑体"/>
      <w:kern w:val="0"/>
      <w:sz w:val="32"/>
      <w:szCs w:val="32"/>
    </w:rPr>
  </w:style>
  <w:style w:type="paragraph" w:customStyle="1" w:styleId="272">
    <w:name w:val="Style77"/>
    <w:basedOn w:val="1"/>
    <w:autoRedefine/>
    <w:unhideWhenUsed/>
    <w:qFormat/>
    <w:uiPriority w:val="0"/>
  </w:style>
  <w:style w:type="paragraph" w:customStyle="1" w:styleId="273">
    <w:name w:val="Style34"/>
    <w:basedOn w:val="1"/>
    <w:autoRedefine/>
    <w:unhideWhenUsed/>
    <w:qFormat/>
    <w:uiPriority w:val="0"/>
    <w:pPr>
      <w:spacing w:line="375" w:lineRule="exact"/>
    </w:pPr>
  </w:style>
  <w:style w:type="paragraph" w:customStyle="1" w:styleId="274">
    <w:name w:val="Style80"/>
    <w:basedOn w:val="1"/>
    <w:autoRedefine/>
    <w:unhideWhenUsed/>
    <w:qFormat/>
    <w:uiPriority w:val="0"/>
  </w:style>
  <w:style w:type="paragraph" w:customStyle="1" w:styleId="275">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276">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277">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78">
    <w:name w:val="Table Paragraph"/>
    <w:basedOn w:val="1"/>
    <w:autoRedefine/>
    <w:qFormat/>
    <w:uiPriority w:val="1"/>
    <w:rPr>
      <w:rFonts w:ascii="宋体" w:hAnsi="宋体" w:cs="宋体"/>
      <w:lang w:val="ja-JP" w:eastAsia="ja-JP" w:bidi="ja-JP"/>
    </w:rPr>
  </w:style>
  <w:style w:type="paragraph" w:customStyle="1" w:styleId="279">
    <w:name w:val="列出段落1"/>
    <w:basedOn w:val="1"/>
    <w:autoRedefine/>
    <w:qFormat/>
    <w:uiPriority w:val="34"/>
    <w:pPr>
      <w:ind w:firstLine="420" w:firstLineChars="200"/>
    </w:pPr>
  </w:style>
  <w:style w:type="paragraph" w:customStyle="1" w:styleId="280">
    <w:name w:val="1."/>
    <w:basedOn w:val="1"/>
    <w:autoRedefine/>
    <w:qFormat/>
    <w:uiPriority w:val="0"/>
    <w:pPr>
      <w:tabs>
        <w:tab w:val="left" w:pos="420"/>
      </w:tabs>
      <w:spacing w:line="360" w:lineRule="auto"/>
      <w:ind w:left="420" w:hanging="420"/>
    </w:pPr>
    <w:rPr>
      <w:rFonts w:ascii="Calibri" w:hAnsi="Calibri"/>
      <w:sz w:val="24"/>
    </w:rPr>
  </w:style>
  <w:style w:type="paragraph" w:customStyle="1" w:styleId="281">
    <w:name w:val="tc"/>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82">
    <w:name w:val="displayarti"/>
    <w:basedOn w:val="49"/>
    <w:autoRedefine/>
    <w:qFormat/>
    <w:uiPriority w:val="0"/>
  </w:style>
  <w:style w:type="table" w:customStyle="1" w:styleId="283">
    <w:name w:val="Table Normal"/>
    <w:basedOn w:val="47"/>
    <w:autoRedefine/>
    <w:qFormat/>
    <w:uiPriority w:val="0"/>
    <w:rPr>
      <w:rFonts w:eastAsia="Times New Roman"/>
    </w:rPr>
    <w:tblPr>
      <w:tblCellMar>
        <w:left w:w="0" w:type="dxa"/>
        <w:right w:w="0" w:type="dxa"/>
      </w:tblCellMar>
    </w:tblPr>
  </w:style>
  <w:style w:type="character" w:customStyle="1" w:styleId="284">
    <w:name w:val="正文缩进 Char1"/>
    <w:link w:val="285"/>
    <w:autoRedefine/>
    <w:qFormat/>
    <w:uiPriority w:val="0"/>
    <w:rPr>
      <w:rFonts w:ascii="宋体"/>
      <w:sz w:val="24"/>
    </w:rPr>
  </w:style>
  <w:style w:type="paragraph" w:customStyle="1" w:styleId="285">
    <w:name w:val="正文缩进1"/>
    <w:basedOn w:val="1"/>
    <w:link w:val="284"/>
    <w:autoRedefine/>
    <w:qFormat/>
    <w:uiPriority w:val="0"/>
    <w:pPr>
      <w:autoSpaceDE w:val="0"/>
      <w:autoSpaceDN w:val="0"/>
      <w:adjustRightInd w:val="0"/>
      <w:ind w:firstLine="420"/>
      <w:jc w:val="left"/>
    </w:pPr>
    <w:rPr>
      <w:rFonts w:ascii="宋体" w:hAnsiTheme="minorHAnsi" w:eastAsiaTheme="minorEastAsia" w:cstheme="minorBidi"/>
      <w:sz w:val="24"/>
      <w:szCs w:val="22"/>
    </w:rPr>
  </w:style>
  <w:style w:type="paragraph" w:customStyle="1" w:styleId="286">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87">
    <w:name w:val="font31"/>
    <w:basedOn w:val="49"/>
    <w:autoRedefine/>
    <w:qFormat/>
    <w:uiPriority w:val="0"/>
    <w:rPr>
      <w:rFonts w:hint="eastAsia" w:ascii="方正仿宋_GBK" w:hAnsi="方正仿宋_GBK" w:eastAsia="方正仿宋_GBK"/>
      <w:color w:val="000000"/>
      <w:sz w:val="24"/>
      <w:szCs w:val="24"/>
      <w:u w:val="none"/>
    </w:rPr>
  </w:style>
  <w:style w:type="character" w:customStyle="1" w:styleId="288">
    <w:name w:val="font41"/>
    <w:basedOn w:val="49"/>
    <w:autoRedefine/>
    <w:qFormat/>
    <w:uiPriority w:val="0"/>
    <w:rPr>
      <w:rFonts w:hint="eastAsia" w:ascii="方正仿宋_GBK" w:hAnsi="方正仿宋_GBK" w:eastAsia="方正仿宋_GBK"/>
      <w:color w:val="000000"/>
      <w:sz w:val="24"/>
      <w:szCs w:val="24"/>
      <w:u w:val="none"/>
    </w:rPr>
  </w:style>
  <w:style w:type="character" w:customStyle="1" w:styleId="289">
    <w:name w:val="font51"/>
    <w:basedOn w:val="49"/>
    <w:autoRedefine/>
    <w:qFormat/>
    <w:uiPriority w:val="0"/>
    <w:rPr>
      <w:rFonts w:hint="eastAsia" w:ascii="方正仿宋_GBK" w:hAnsi="方正仿宋_GBK" w:eastAsia="方正仿宋_GBK"/>
      <w:color w:val="000000"/>
      <w:sz w:val="22"/>
      <w:szCs w:val="22"/>
      <w:u w:val="none"/>
    </w:rPr>
  </w:style>
  <w:style w:type="character" w:customStyle="1" w:styleId="290">
    <w:name w:val="font71"/>
    <w:basedOn w:val="49"/>
    <w:autoRedefine/>
    <w:qFormat/>
    <w:uiPriority w:val="0"/>
    <w:rPr>
      <w:rFonts w:hint="default" w:ascii="Times New Roman" w:hAnsi="Times New Roman" w:cs="Times New Roman"/>
      <w:color w:val="000000"/>
      <w:sz w:val="24"/>
      <w:szCs w:val="24"/>
      <w:u w:val="none"/>
    </w:rPr>
  </w:style>
  <w:style w:type="paragraph" w:customStyle="1" w:styleId="291">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92">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93">
    <w:name w:val="font1"/>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94">
    <w:name w:val="font2"/>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95">
    <w:name w:val="font3"/>
    <w:basedOn w:val="1"/>
    <w:autoRedefine/>
    <w:qFormat/>
    <w:uiPriority w:val="0"/>
    <w:pPr>
      <w:widowControl/>
      <w:spacing w:before="100" w:beforeAutospacing="1" w:after="100" w:afterAutospacing="1"/>
      <w:jc w:val="left"/>
    </w:pPr>
    <w:rPr>
      <w:rFonts w:ascii="宋体" w:hAnsi="宋体" w:cs="宋体"/>
      <w:b/>
      <w:bCs/>
      <w:color w:val="000000"/>
      <w:kern w:val="0"/>
      <w:sz w:val="22"/>
      <w:szCs w:val="22"/>
    </w:rPr>
  </w:style>
  <w:style w:type="paragraph" w:customStyle="1" w:styleId="296">
    <w:name w:val="font4"/>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97">
    <w:name w:val="font5"/>
    <w:basedOn w:val="1"/>
    <w:autoRedefine/>
    <w:qFormat/>
    <w:uiPriority w:val="0"/>
    <w:pPr>
      <w:widowControl/>
      <w:spacing w:before="100" w:beforeAutospacing="1" w:after="100" w:afterAutospacing="1"/>
      <w:jc w:val="left"/>
    </w:pPr>
    <w:rPr>
      <w:rFonts w:ascii="宋体" w:hAnsi="宋体" w:cs="宋体"/>
      <w:b/>
      <w:bCs/>
      <w:color w:val="000000"/>
      <w:kern w:val="0"/>
      <w:sz w:val="22"/>
      <w:szCs w:val="22"/>
    </w:rPr>
  </w:style>
  <w:style w:type="paragraph" w:customStyle="1" w:styleId="298">
    <w:name w:val="font6"/>
    <w:basedOn w:val="1"/>
    <w:autoRedefine/>
    <w:qFormat/>
    <w:uiPriority w:val="0"/>
    <w:pPr>
      <w:widowControl/>
      <w:spacing w:before="100" w:beforeAutospacing="1" w:after="100" w:afterAutospacing="1"/>
      <w:jc w:val="left"/>
    </w:pPr>
    <w:rPr>
      <w:rFonts w:ascii="宋体" w:hAnsi="宋体" w:cs="宋体"/>
      <w:color w:val="000000"/>
      <w:kern w:val="0"/>
      <w:sz w:val="22"/>
      <w:szCs w:val="22"/>
      <w:vertAlign w:val="subscript"/>
    </w:rPr>
  </w:style>
  <w:style w:type="paragraph" w:customStyle="1" w:styleId="299">
    <w:name w:val="et3"/>
    <w:basedOn w:val="1"/>
    <w:autoRedefine/>
    <w:qFormat/>
    <w:uiPriority w:val="0"/>
    <w:pPr>
      <w:widowControl/>
      <w:spacing w:before="100" w:beforeAutospacing="1" w:after="100" w:afterAutospacing="1"/>
      <w:jc w:val="center"/>
    </w:pPr>
    <w:rPr>
      <w:rFonts w:ascii="宋体" w:hAnsi="宋体" w:cs="宋体"/>
      <w:color w:val="000000"/>
      <w:kern w:val="0"/>
      <w:sz w:val="24"/>
    </w:rPr>
  </w:style>
  <w:style w:type="paragraph" w:customStyle="1" w:styleId="300">
    <w:name w:val="et5"/>
    <w:basedOn w:val="1"/>
    <w:autoRedefine/>
    <w:qFormat/>
    <w:uiPriority w:val="0"/>
    <w:pPr>
      <w:widowControl/>
      <w:spacing w:before="100" w:beforeAutospacing="1" w:after="100" w:afterAutospacing="1"/>
      <w:jc w:val="center"/>
    </w:pPr>
    <w:rPr>
      <w:rFonts w:ascii="宋体" w:hAnsi="宋体" w:cs="宋体"/>
      <w:b/>
      <w:bCs/>
      <w:kern w:val="0"/>
      <w:sz w:val="24"/>
    </w:rPr>
  </w:style>
  <w:style w:type="paragraph" w:customStyle="1" w:styleId="301">
    <w:name w:val="et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24"/>
    </w:rPr>
  </w:style>
  <w:style w:type="paragraph" w:customStyle="1" w:styleId="302">
    <w:name w:val="et7"/>
    <w:basedOn w:val="1"/>
    <w:autoRedefine/>
    <w:qFormat/>
    <w:uiPriority w:val="0"/>
    <w:pPr>
      <w:widowControl/>
      <w:pBdr>
        <w:top w:val="single" w:color="000000" w:sz="4" w:space="0"/>
        <w:bottom w:val="single" w:color="000000" w:sz="4" w:space="0"/>
      </w:pBdr>
      <w:spacing w:before="100" w:beforeAutospacing="1" w:after="100" w:afterAutospacing="1"/>
      <w:jc w:val="left"/>
    </w:pPr>
    <w:rPr>
      <w:rFonts w:ascii="宋体" w:hAnsi="宋体" w:cs="宋体"/>
      <w:b/>
      <w:bCs/>
      <w:kern w:val="0"/>
      <w:sz w:val="24"/>
    </w:rPr>
  </w:style>
  <w:style w:type="paragraph" w:customStyle="1" w:styleId="303">
    <w:name w:val="et8"/>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b/>
      <w:bCs/>
      <w:kern w:val="0"/>
      <w:sz w:val="24"/>
    </w:rPr>
  </w:style>
  <w:style w:type="paragraph" w:customStyle="1" w:styleId="304">
    <w:name w:val="et9"/>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宋体" w:hAnsi="宋体" w:cs="宋体"/>
      <w:b/>
      <w:bCs/>
      <w:kern w:val="0"/>
      <w:sz w:val="24"/>
    </w:rPr>
  </w:style>
  <w:style w:type="paragraph" w:customStyle="1" w:styleId="305">
    <w:name w:val="et1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306">
    <w:name w:val="et1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307">
    <w:name w:val="et12"/>
    <w:basedOn w:val="1"/>
    <w:autoRedefine/>
    <w:qFormat/>
    <w:uiPriority w:val="0"/>
    <w:pPr>
      <w:widowControl/>
      <w:pBdr>
        <w:top w:val="single" w:color="000000" w:sz="4" w:space="0"/>
        <w:bottom w:val="single" w:color="000000" w:sz="4" w:space="0"/>
      </w:pBdr>
      <w:spacing w:before="100" w:beforeAutospacing="1" w:after="100" w:afterAutospacing="1"/>
      <w:jc w:val="left"/>
    </w:pPr>
    <w:rPr>
      <w:rFonts w:ascii="宋体" w:hAnsi="宋体" w:cs="宋体"/>
      <w:b/>
      <w:bCs/>
      <w:kern w:val="0"/>
      <w:sz w:val="24"/>
    </w:rPr>
  </w:style>
  <w:style w:type="paragraph" w:customStyle="1" w:styleId="308">
    <w:name w:val="et13"/>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b/>
      <w:bCs/>
      <w:kern w:val="0"/>
      <w:sz w:val="24"/>
    </w:rPr>
  </w:style>
  <w:style w:type="paragraph" w:customStyle="1" w:styleId="309">
    <w:name w:val="et14"/>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宋体" w:hAnsi="宋体" w:cs="宋体"/>
      <w:b/>
      <w:bCs/>
      <w:kern w:val="0"/>
      <w:sz w:val="24"/>
    </w:rPr>
  </w:style>
  <w:style w:type="paragraph" w:customStyle="1" w:styleId="310">
    <w:name w:val="et15"/>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kern w:val="0"/>
      <w:sz w:val="24"/>
    </w:rPr>
  </w:style>
  <w:style w:type="paragraph" w:customStyle="1" w:styleId="311">
    <w:name w:val="et1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rPr>
  </w:style>
  <w:style w:type="paragraph" w:customStyle="1" w:styleId="312">
    <w:name w:val="et17"/>
    <w:basedOn w:val="1"/>
    <w:autoRedefine/>
    <w:qFormat/>
    <w:uiPriority w:val="0"/>
    <w:pPr>
      <w:widowControl/>
      <w:pBdr>
        <w:top w:val="single" w:color="000000" w:sz="4" w:space="0"/>
        <w:bottom w:val="single" w:color="000000" w:sz="4" w:space="0"/>
      </w:pBdr>
      <w:spacing w:before="100" w:beforeAutospacing="1" w:after="100" w:afterAutospacing="1"/>
      <w:jc w:val="center"/>
    </w:pPr>
    <w:rPr>
      <w:rFonts w:ascii="宋体" w:hAnsi="宋体" w:cs="宋体"/>
      <w:b/>
      <w:bCs/>
      <w:kern w:val="0"/>
      <w:sz w:val="24"/>
    </w:rPr>
  </w:style>
  <w:style w:type="paragraph" w:customStyle="1" w:styleId="313">
    <w:name w:val="et18"/>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24"/>
    </w:rPr>
  </w:style>
  <w:style w:type="paragraph" w:customStyle="1" w:styleId="314">
    <w:name w:val="et1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rPr>
  </w:style>
  <w:style w:type="paragraph" w:customStyle="1" w:styleId="315">
    <w:name w:val="et2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color w:val="000000"/>
      <w:kern w:val="0"/>
      <w:sz w:val="24"/>
    </w:rPr>
  </w:style>
  <w:style w:type="paragraph" w:customStyle="1" w:styleId="316">
    <w:name w:val="et2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kern w:val="0"/>
      <w:sz w:val="24"/>
    </w:rPr>
  </w:style>
  <w:style w:type="paragraph" w:customStyle="1" w:styleId="317">
    <w:name w:val="et2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4"/>
    </w:rPr>
  </w:style>
  <w:style w:type="character" w:customStyle="1" w:styleId="318">
    <w:name w:val="font01"/>
    <w:basedOn w:val="49"/>
    <w:autoRedefine/>
    <w:qFormat/>
    <w:uiPriority w:val="0"/>
    <w:rPr>
      <w:rFonts w:hint="eastAsia" w:ascii="宋体" w:hAnsi="宋体" w:eastAsia="宋体"/>
      <w:color w:val="000000"/>
      <w:sz w:val="22"/>
      <w:szCs w:val="22"/>
      <w:u w:val="none"/>
    </w:rPr>
  </w:style>
  <w:style w:type="paragraph" w:customStyle="1" w:styleId="319">
    <w:name w:val="font7"/>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320">
    <w:name w:val="et2"/>
    <w:basedOn w:val="1"/>
    <w:autoRedefine/>
    <w:qFormat/>
    <w:uiPriority w:val="0"/>
    <w:pPr>
      <w:widowControl/>
      <w:spacing w:before="100" w:beforeAutospacing="1" w:after="100" w:afterAutospacing="1"/>
      <w:jc w:val="center"/>
    </w:pPr>
    <w:rPr>
      <w:rFonts w:ascii="宋体" w:hAnsi="宋体" w:cs="宋体"/>
      <w:color w:val="000000"/>
      <w:kern w:val="0"/>
      <w:sz w:val="24"/>
    </w:rPr>
  </w:style>
  <w:style w:type="paragraph" w:customStyle="1" w:styleId="321">
    <w:name w:val="et4"/>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322">
    <w:name w:val="et23"/>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24"/>
    </w:rPr>
  </w:style>
  <w:style w:type="paragraph" w:customStyle="1" w:styleId="323">
    <w:name w:val="et2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rPr>
  </w:style>
  <w:style w:type="paragraph" w:customStyle="1" w:styleId="324">
    <w:name w:val="et2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325">
    <w:name w:val="et28"/>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rPr>
  </w:style>
  <w:style w:type="paragraph" w:customStyle="1" w:styleId="326">
    <w:name w:val="et2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rPr>
  </w:style>
  <w:style w:type="paragraph" w:customStyle="1" w:styleId="327">
    <w:name w:val="et3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328">
    <w:name w:val="et3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329">
    <w:name w:val="et3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24"/>
    </w:rPr>
  </w:style>
  <w:style w:type="paragraph" w:customStyle="1" w:styleId="330">
    <w:name w:val="et3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kern w:val="0"/>
      <w:sz w:val="24"/>
    </w:rPr>
  </w:style>
  <w:style w:type="paragraph" w:customStyle="1" w:styleId="331">
    <w:name w:val="et2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character" w:customStyle="1" w:styleId="332">
    <w:name w:val="font91"/>
    <w:basedOn w:val="49"/>
    <w:autoRedefine/>
    <w:qFormat/>
    <w:uiPriority w:val="0"/>
    <w:rPr>
      <w:rFonts w:hint="default" w:ascii="Arial" w:hAnsi="Arial" w:cs="Arial"/>
      <w:color w:val="000000"/>
      <w:sz w:val="22"/>
      <w:szCs w:val="22"/>
      <w:u w:val="none"/>
    </w:rPr>
  </w:style>
  <w:style w:type="paragraph" w:customStyle="1" w:styleId="333">
    <w:name w:val="报告正文"/>
    <w:basedOn w:val="1"/>
    <w:autoRedefine/>
    <w:qFormat/>
    <w:uiPriority w:val="0"/>
    <w:pPr>
      <w:spacing w:line="360" w:lineRule="auto"/>
      <w:ind w:firstLine="560" w:firstLineChars="200"/>
    </w:pPr>
    <w:rPr>
      <w:rFonts w:ascii="宋体" w:hAnsi="宋体"/>
      <w:snapToGrid w:val="0"/>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093E7A-9A8C-432A-A237-112FBC244F58}">
  <ds:schemaRefs/>
</ds:datastoreItem>
</file>

<file path=docProps/app.xml><?xml version="1.0" encoding="utf-8"?>
<Properties xmlns="http://schemas.openxmlformats.org/officeDocument/2006/extended-properties" xmlns:vt="http://schemas.openxmlformats.org/officeDocument/2006/docPropsVTypes">
  <Template>Normal</Template>
  <Pages>60</Pages>
  <Words>255</Words>
  <Characters>286</Characters>
  <Lines>564</Lines>
  <Paragraphs>158</Paragraphs>
  <TotalTime>32</TotalTime>
  <ScaleCrop>false</ScaleCrop>
  <LinksUpToDate>false</LinksUpToDate>
  <CharactersWithSpaces>320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2024-03-21T09:49:00Z</dcterms:created>
  <dc:creator>xie</dc:creator>
  <cp:lastModifiedBy>谢二狗</cp:lastModifiedBy>
  <cp:lastPrinted>2023-09-21T03:57:00Z</cp:lastPrinted>
  <dcterms:modified xsi:type="dcterms:W3CDTF">2025-06-19T03:09:02Z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B79D47B22810421D80AB75A5FBFA5D1C_13</vt:lpwstr>
  </property>
  <property fmtid="{D5CDD505-2E9C-101B-9397-08002B2CF9AE}" pid="4" name="KSOTemplateDocerSaveRecord">
    <vt:lpwstr>eyJoZGlkIjoiNzJmZjJhNWFkY2NjYzAxYWZkMjFmNzNkN2FhZjZjNjAiLCJ1c2VySWQiOiIzNzczMjE0NzAifQ==</vt:lpwstr>
  </property>
</Properties>
</file>