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4"/>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4"/>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新疆维吾尔自治区地质局乌鲁木齐地质大队时频电磁剖面技术服务项目</w:t>
      </w:r>
    </w:p>
    <w:bookmarkEnd w:id="1"/>
    <w:p w14:paraId="3CF5BBF1">
      <w:pPr>
        <w:pStyle w:val="24"/>
        <w:adjustRightInd w:val="0"/>
        <w:snapToGrid w:val="0"/>
        <w:spacing w:line="360" w:lineRule="auto"/>
        <w:jc w:val="center"/>
        <w:rPr>
          <w:rFonts w:ascii="宋体" w:hAnsi="宋体"/>
          <w:color w:val="auto"/>
          <w:szCs w:val="24"/>
          <w:highlight w:val="none"/>
        </w:rPr>
      </w:pPr>
    </w:p>
    <w:p w14:paraId="55FE0EAC">
      <w:pPr>
        <w:pStyle w:val="24"/>
        <w:adjustRightInd w:val="0"/>
        <w:snapToGrid w:val="0"/>
        <w:spacing w:line="360" w:lineRule="auto"/>
        <w:jc w:val="center"/>
        <w:rPr>
          <w:rFonts w:ascii="宋体" w:hAnsi="宋体"/>
          <w:color w:val="auto"/>
          <w:szCs w:val="24"/>
          <w:highlight w:val="none"/>
        </w:rPr>
      </w:pPr>
    </w:p>
    <w:p w14:paraId="2C96F455">
      <w:pPr>
        <w:pStyle w:val="24"/>
        <w:adjustRightInd w:val="0"/>
        <w:snapToGrid w:val="0"/>
        <w:spacing w:line="360" w:lineRule="auto"/>
        <w:jc w:val="center"/>
        <w:rPr>
          <w:rFonts w:ascii="宋体" w:hAnsi="宋体"/>
          <w:color w:val="auto"/>
          <w:szCs w:val="24"/>
          <w:highlight w:val="none"/>
        </w:rPr>
      </w:pPr>
    </w:p>
    <w:p w14:paraId="754EE0F0">
      <w:pPr>
        <w:pStyle w:val="24"/>
        <w:adjustRightInd w:val="0"/>
        <w:snapToGrid w:val="0"/>
        <w:spacing w:line="360" w:lineRule="auto"/>
        <w:jc w:val="center"/>
        <w:rPr>
          <w:rFonts w:ascii="宋体" w:hAnsi="宋体"/>
          <w:color w:val="auto"/>
          <w:szCs w:val="24"/>
          <w:highlight w:val="none"/>
        </w:rPr>
      </w:pPr>
    </w:p>
    <w:p w14:paraId="3274C5EA">
      <w:pPr>
        <w:pStyle w:val="24"/>
        <w:adjustRightInd w:val="0"/>
        <w:snapToGrid w:val="0"/>
        <w:spacing w:line="360" w:lineRule="auto"/>
        <w:jc w:val="center"/>
        <w:rPr>
          <w:rFonts w:ascii="宋体" w:hAnsi="宋体"/>
          <w:color w:val="auto"/>
          <w:szCs w:val="24"/>
          <w:highlight w:val="none"/>
        </w:rPr>
      </w:pPr>
    </w:p>
    <w:p w14:paraId="3A9E7677">
      <w:pPr>
        <w:pStyle w:val="24"/>
        <w:adjustRightInd w:val="0"/>
        <w:snapToGrid w:val="0"/>
        <w:spacing w:line="360" w:lineRule="auto"/>
        <w:jc w:val="center"/>
        <w:rPr>
          <w:rFonts w:ascii="宋体" w:hAnsi="宋体"/>
          <w:color w:val="auto"/>
          <w:szCs w:val="24"/>
          <w:highlight w:val="none"/>
        </w:rPr>
      </w:pPr>
    </w:p>
    <w:p w14:paraId="0A412E82">
      <w:pPr>
        <w:pStyle w:val="24"/>
        <w:adjustRightInd w:val="0"/>
        <w:snapToGrid w:val="0"/>
        <w:spacing w:line="360" w:lineRule="auto"/>
        <w:jc w:val="center"/>
        <w:rPr>
          <w:rFonts w:ascii="宋体" w:hAnsi="宋体"/>
          <w:color w:val="auto"/>
          <w:szCs w:val="24"/>
          <w:highlight w:val="none"/>
        </w:rPr>
      </w:pPr>
    </w:p>
    <w:p w14:paraId="248612D7">
      <w:pPr>
        <w:pStyle w:val="24"/>
        <w:adjustRightInd w:val="0"/>
        <w:snapToGrid w:val="0"/>
        <w:spacing w:line="360" w:lineRule="auto"/>
        <w:jc w:val="center"/>
        <w:rPr>
          <w:rFonts w:ascii="宋体" w:hAnsi="宋体"/>
          <w:b/>
          <w:color w:val="auto"/>
          <w:szCs w:val="24"/>
          <w:highlight w:val="none"/>
        </w:rPr>
      </w:pPr>
    </w:p>
    <w:p w14:paraId="5886818B">
      <w:pPr>
        <w:pStyle w:val="24"/>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4"/>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4"/>
        <w:adjustRightInd w:val="0"/>
        <w:snapToGrid w:val="0"/>
        <w:spacing w:line="360" w:lineRule="auto"/>
        <w:ind w:firstLine="948" w:firstLineChars="295"/>
        <w:rPr>
          <w:rFonts w:ascii="宋体" w:hAnsi="宋体"/>
          <w:b/>
          <w:color w:val="auto"/>
          <w:sz w:val="32"/>
          <w:szCs w:val="32"/>
          <w:highlight w:val="none"/>
        </w:rPr>
      </w:pPr>
    </w:p>
    <w:p w14:paraId="1F509F3F">
      <w:pPr>
        <w:pStyle w:val="24"/>
        <w:adjustRightInd w:val="0"/>
        <w:snapToGrid w:val="0"/>
        <w:spacing w:line="360" w:lineRule="auto"/>
        <w:rPr>
          <w:rFonts w:ascii="宋体" w:hAnsi="宋体"/>
          <w:b/>
          <w:color w:val="auto"/>
          <w:sz w:val="32"/>
          <w:szCs w:val="32"/>
          <w:highlight w:val="none"/>
        </w:rPr>
      </w:pPr>
    </w:p>
    <w:p w14:paraId="1AEC86C5">
      <w:pPr>
        <w:pStyle w:val="24"/>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新疆维吾尔自治区地质局乌鲁木齐地质大队</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时频电磁剖面技术</w:t>
      </w:r>
    </w:p>
    <w:p w14:paraId="3F4C626D">
      <w:pPr>
        <w:spacing w:line="360" w:lineRule="auto"/>
        <w:ind w:firstLine="562" w:firstLineChars="200"/>
        <w:jc w:val="left"/>
        <w:rPr>
          <w:rFonts w:hint="eastAsia" w:ascii="宋体" w:hAnsi="宋体" w:eastAsia="宋体"/>
          <w:b/>
          <w:color w:val="auto"/>
          <w:sz w:val="32"/>
          <w:szCs w:val="40"/>
          <w:highlight w:val="none"/>
          <w:lang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ZYZB-2025-Z-056</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p>
    <w:bookmarkEnd w:id="2"/>
    <w:p w14:paraId="0E5810EC">
      <w:pPr>
        <w:pStyle w:val="24"/>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1"/>
        <w:tabs>
          <w:tab w:val="right" w:leader="dot" w:pos="8302"/>
        </w:tabs>
        <w:rPr>
          <w:rFonts w:asciiTheme="minorHAnsi" w:hAnsiTheme="minorHAnsi" w:eastAsiaTheme="minorEastAsia" w:cstheme="minorBidi"/>
          <w:b w:val="0"/>
          <w:color w:val="auto"/>
          <w:sz w:val="21"/>
          <w:szCs w:val="22"/>
          <w:highlight w:val="none"/>
        </w:rPr>
      </w:pPr>
      <w:bookmarkStart w:id="3" w:name="_Toc419219410"/>
      <w:bookmarkStart w:id="4" w:name="_Toc419219645"/>
      <w:bookmarkStart w:id="5" w:name="_Toc420948005"/>
      <w:bookmarkStart w:id="6" w:name="_Toc41921949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21E90D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E81917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55C52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479F8E">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A579BC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593989A">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A365A29">
      <w:pPr>
        <w:pStyle w:val="31"/>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ADFC47">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AADD7A4">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6B32573">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757B7A1">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CB2594A">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77BDE49">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0987B8C">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CECF3CD">
      <w:pPr>
        <w:pStyle w:val="38"/>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18"/>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18"/>
        <w:rPr>
          <w:color w:val="auto"/>
          <w:highlight w:val="none"/>
        </w:rPr>
      </w:pPr>
    </w:p>
    <w:p w14:paraId="040E0F78">
      <w:pPr>
        <w:pStyle w:val="18"/>
        <w:rPr>
          <w:color w:val="auto"/>
          <w:highlight w:val="none"/>
        </w:rPr>
      </w:pPr>
      <w:r>
        <w:rPr>
          <w:color w:val="auto"/>
          <w:highlight w:val="none"/>
        </w:rPr>
        <w:br w:type="page"/>
      </w:r>
    </w:p>
    <w:p w14:paraId="090F398F">
      <w:pPr>
        <w:pStyle w:val="2"/>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2"/>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33113175"/>
      <w:bookmarkStart w:id="10" w:name="_Toc420948006"/>
    </w:p>
    <w:p w14:paraId="661344D8">
      <w:pPr>
        <w:pStyle w:val="3"/>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新疆维吾尔自治区地质局乌鲁木齐地质大队时频电磁剖面技术服务项目</w:t>
      </w:r>
      <w:r>
        <w:rPr>
          <w:rFonts w:ascii="inherit" w:hAnsi="inherit" w:eastAsia="微软雅黑"/>
          <w:color w:val="auto"/>
          <w:sz w:val="39"/>
          <w:szCs w:val="39"/>
          <w:highlight w:val="none"/>
        </w:rPr>
        <w:t>公开招标公告</w:t>
      </w:r>
      <w:bookmarkEnd w:id="11"/>
    </w:p>
    <w:p w14:paraId="4262757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E39EF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新疆维吾尔自治区地质局乌鲁木齐地质大队时频电磁剖面技术服务项目</w:t>
      </w:r>
      <w:r>
        <w:rPr>
          <w:rFonts w:hint="eastAsia" w:ascii="仿宋" w:hAnsi="仿宋" w:eastAsia="仿宋" w:cs="仿宋"/>
          <w:color w:val="auto"/>
          <w:sz w:val="24"/>
          <w:szCs w:val="24"/>
          <w:highlight w:val="none"/>
        </w:rPr>
        <w:t>的潜在投标人应在政采云平台http://www.zcygov.cn获取招标文件，并于202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07月18日</w:t>
      </w:r>
      <w:r>
        <w:rPr>
          <w:rFonts w:hint="eastAsia" w:ascii="仿宋" w:hAnsi="仿宋" w:eastAsia="仿宋" w:cs="仿宋"/>
          <w:color w:val="auto"/>
          <w:sz w:val="24"/>
          <w:szCs w:val="24"/>
          <w:highlight w:val="none"/>
        </w:rPr>
        <w:t xml:space="preserve"> 11:00（北京时间）前递交投标文件。</w:t>
      </w:r>
    </w:p>
    <w:p w14:paraId="4E119AF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ZYZB-2025-Z-056</w:t>
      </w:r>
    </w:p>
    <w:p w14:paraId="2AA05E04">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新疆维吾尔自治区地质局乌鲁木齐地质大队时频电磁剖面技术服务项目</w:t>
      </w:r>
    </w:p>
    <w:p w14:paraId="1DB8144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1590600</w:t>
      </w:r>
      <w:r>
        <w:rPr>
          <w:rFonts w:hint="eastAsia" w:ascii="仿宋" w:hAnsi="仿宋" w:eastAsia="仿宋" w:cs="仿宋"/>
          <w:color w:val="auto"/>
          <w:sz w:val="24"/>
          <w:szCs w:val="24"/>
          <w:highlight w:val="none"/>
        </w:rPr>
        <w:t>元（人民币）</w:t>
      </w:r>
    </w:p>
    <w:p w14:paraId="3ABD5740">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6F6EC649">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ascii="微软雅黑" w:hAnsi="微软雅黑" w:eastAsia="微软雅黑" w:cs="微软雅黑"/>
          <w:i w:val="0"/>
          <w:iCs w:val="0"/>
          <w:caps w:val="0"/>
          <w:color w:val="000000"/>
          <w:spacing w:val="0"/>
          <w:sz w:val="21"/>
          <w:szCs w:val="21"/>
          <w:highlight w:val="none"/>
        </w:rPr>
        <w:t>新</w:t>
      </w:r>
      <w:r>
        <w:rPr>
          <w:rFonts w:hint="eastAsia" w:ascii="仿宋" w:hAnsi="仿宋" w:eastAsia="仿宋" w:cs="仿宋"/>
          <w:color w:val="auto"/>
          <w:sz w:val="24"/>
          <w:szCs w:val="24"/>
          <w:highlight w:val="none"/>
          <w:lang w:val="en-US" w:eastAsia="zh-CN"/>
        </w:rPr>
        <w:t>疆乌鲁木齐市永丰南油气资源潜力评价时频电磁剖面技术服务。</w:t>
      </w:r>
    </w:p>
    <w:p w14:paraId="4DE19AA4">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2"/>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1590600</w:t>
      </w:r>
      <w:r>
        <w:rPr>
          <w:rFonts w:hint="eastAsia" w:ascii="仿宋" w:hAnsi="仿宋" w:eastAsia="仿宋" w:cs="仿宋"/>
          <w:color w:val="auto"/>
          <w:sz w:val="24"/>
          <w:szCs w:val="24"/>
          <w:highlight w:val="none"/>
        </w:rPr>
        <w:t>元（人民币）</w:t>
      </w:r>
    </w:p>
    <w:p w14:paraId="3D301039">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时频电磁剖面技术服务</w:t>
      </w:r>
    </w:p>
    <w:p w14:paraId="44C9360F">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F50C9A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2025年7月完成数据采集、处理解释和报告。</w:t>
      </w:r>
    </w:p>
    <w:p w14:paraId="05036BB8">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2"/>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41A1477">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p>
    <w:p w14:paraId="251F5B35">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bookmarkStart w:id="73" w:name="_GoBack"/>
      <w:bookmarkEnd w:id="73"/>
    </w:p>
    <w:p w14:paraId="6BD5A32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27</w:t>
      </w:r>
      <w:r>
        <w:rPr>
          <w:rStyle w:val="50"/>
          <w:rFonts w:hint="eastAsia" w:ascii="仿宋" w:hAnsi="仿宋" w:eastAsia="仿宋" w:cs="仿宋"/>
          <w:b w:val="0"/>
          <w:bCs w:val="0"/>
          <w:color w:val="auto"/>
          <w:sz w:val="24"/>
          <w:szCs w:val="24"/>
          <w:highlight w:val="none"/>
        </w:rPr>
        <w:t>日至202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eastAsia="zh-CN"/>
        </w:rPr>
        <w:t>07月</w:t>
      </w:r>
      <w:r>
        <w:rPr>
          <w:rStyle w:val="50"/>
          <w:rFonts w:hint="eastAsia" w:ascii="仿宋" w:hAnsi="仿宋" w:eastAsia="仿宋" w:cs="仿宋"/>
          <w:b w:val="0"/>
          <w:bCs w:val="0"/>
          <w:color w:val="auto"/>
          <w:sz w:val="24"/>
          <w:szCs w:val="24"/>
          <w:highlight w:val="none"/>
          <w:lang w:val="en-US" w:eastAsia="zh-CN"/>
        </w:rPr>
        <w:t>04</w:t>
      </w:r>
      <w:r>
        <w:rPr>
          <w:rStyle w:val="50"/>
          <w:rFonts w:hint="eastAsia" w:ascii="仿宋" w:hAnsi="仿宋" w:eastAsia="仿宋" w:cs="仿宋"/>
          <w:b w:val="0"/>
          <w:bCs w:val="0"/>
          <w:color w:val="auto"/>
          <w:sz w:val="24"/>
          <w:szCs w:val="24"/>
          <w:highlight w:val="none"/>
          <w:lang w:eastAsia="zh-CN"/>
        </w:rPr>
        <w:t>日</w:t>
      </w:r>
      <w:r>
        <w:rPr>
          <w:rStyle w:val="50"/>
          <w:rFonts w:hint="eastAsia" w:ascii="仿宋" w:hAnsi="仿宋" w:eastAsia="仿宋" w:cs="仿宋"/>
          <w:b w:val="0"/>
          <w:bCs w:val="0"/>
          <w:color w:val="auto"/>
          <w:sz w:val="24"/>
          <w:szCs w:val="24"/>
          <w:highlight w:val="none"/>
        </w:rPr>
        <w:t>，每天上午00:00至12:00，下午12:00至23:59（北京时间，法定节假日除外）</w:t>
      </w:r>
    </w:p>
    <w:p w14:paraId="7DDE87B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eastAsia="zh-CN"/>
        </w:rPr>
        <w:t>07月18日</w:t>
      </w:r>
      <w:r>
        <w:rPr>
          <w:rStyle w:val="50"/>
          <w:rFonts w:hint="eastAsia" w:ascii="仿宋" w:hAnsi="仿宋" w:eastAsia="仿宋" w:cs="仿宋"/>
          <w:b w:val="0"/>
          <w:bCs w:val="0"/>
          <w:color w:val="auto"/>
          <w:sz w:val="24"/>
          <w:szCs w:val="24"/>
          <w:highlight w:val="none"/>
        </w:rPr>
        <w:t xml:space="preserve"> 11:00（北京时间）</w:t>
      </w:r>
    </w:p>
    <w:p w14:paraId="084A130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eastAsia="zh-CN"/>
        </w:rPr>
        <w:t>07月18日</w:t>
      </w:r>
      <w:r>
        <w:rPr>
          <w:rStyle w:val="50"/>
          <w:rFonts w:hint="eastAsia" w:ascii="仿宋" w:hAnsi="仿宋" w:eastAsia="仿宋" w:cs="仿宋"/>
          <w:b w:val="0"/>
          <w:bCs w:val="0"/>
          <w:color w:val="auto"/>
          <w:sz w:val="24"/>
          <w:szCs w:val="24"/>
          <w:highlight w:val="none"/>
        </w:rPr>
        <w:t xml:space="preserve"> 11:00（北京时间）</w:t>
      </w:r>
    </w:p>
    <w:p w14:paraId="7D95C13D">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新疆维吾尔自治区地质局乌鲁木齐地质大队</w:t>
      </w:r>
    </w:p>
    <w:p w14:paraId="263D3311">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乌鲁木齐市沙依巴克区西环中路497号</w:t>
      </w:r>
    </w:p>
    <w:p w14:paraId="150CABB8">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eastAsia="zh-CN"/>
        </w:rPr>
        <w:t xml:space="preserve">梁斌 </w:t>
      </w:r>
      <w:r>
        <w:rPr>
          <w:rStyle w:val="50"/>
          <w:rFonts w:hint="eastAsia" w:ascii="仿宋" w:hAnsi="仿宋" w:eastAsia="仿宋" w:cs="仿宋"/>
          <w:b w:val="0"/>
          <w:bCs w:val="0"/>
          <w:color w:val="auto"/>
          <w:sz w:val="24"/>
          <w:szCs w:val="24"/>
          <w:highlight w:val="none"/>
          <w:lang w:val="en-US" w:eastAsia="zh-CN"/>
        </w:rPr>
        <w:t>18690823878</w:t>
      </w:r>
    </w:p>
    <w:p w14:paraId="3359EDE4">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 0991-3651985</w:t>
      </w:r>
    </w:p>
    <w:p w14:paraId="6F65323A">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2"/>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w:t>
      </w:r>
      <w:r>
        <w:rPr>
          <w:rStyle w:val="50"/>
          <w:rFonts w:hint="eastAsia" w:ascii="仿宋" w:hAnsi="仿宋" w:eastAsia="仿宋" w:cs="仿宋"/>
          <w:b w:val="0"/>
          <w:bCs w:val="0"/>
          <w:color w:val="auto"/>
          <w:sz w:val="24"/>
          <w:szCs w:val="24"/>
          <w:highlight w:val="none"/>
          <w:lang w:val="en-US" w:eastAsia="zh-CN"/>
        </w:rPr>
        <w:t xml:space="preserve">罗雄雄 </w:t>
      </w:r>
      <w:r>
        <w:rPr>
          <w:rStyle w:val="50"/>
          <w:rFonts w:hint="eastAsia" w:ascii="仿宋" w:hAnsi="仿宋" w:eastAsia="仿宋" w:cs="仿宋"/>
          <w:b w:val="0"/>
          <w:bCs w:val="0"/>
          <w:color w:val="auto"/>
          <w:sz w:val="24"/>
          <w:szCs w:val="24"/>
          <w:highlight w:val="none"/>
        </w:rPr>
        <w:t>谢楠</w:t>
      </w:r>
    </w:p>
    <w:p w14:paraId="7CEB49AE">
      <w:pPr>
        <w:pStyle w:val="42"/>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18999960560 18599192565</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3"/>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新疆维吾尔自治区地质局乌鲁木齐地质大队时频电磁剖面技术服务项目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时频电磁剖面技术</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864" w:type="dxa"/>
            <w:vAlign w:val="center"/>
          </w:tcPr>
          <w:p w14:paraId="1C2AC6D9">
            <w:pPr>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eastAsia="zh-CN"/>
              </w:rPr>
              <w:t>2025年7月完成数据采集、处理解释和报告。</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18"/>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名 称：</w:t>
            </w:r>
            <w:r>
              <w:rPr>
                <w:rFonts w:hint="eastAsia" w:ascii="宋体" w:hAnsi="宋体" w:eastAsia="宋体" w:cs="宋体"/>
                <w:b w:val="0"/>
                <w:bCs/>
                <w:color w:val="auto"/>
                <w:highlight w:val="none"/>
                <w:lang w:eastAsia="zh-CN"/>
              </w:rPr>
              <w:t>新疆维吾尔自治区地质局乌鲁木齐地质大队</w:t>
            </w:r>
          </w:p>
          <w:p w14:paraId="1947DACD">
            <w:pPr>
              <w:pStyle w:val="18"/>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地址：</w:t>
            </w:r>
            <w:r>
              <w:rPr>
                <w:rFonts w:hint="eastAsia" w:ascii="宋体" w:hAnsi="宋体" w:eastAsia="宋体" w:cs="宋体"/>
                <w:b w:val="0"/>
                <w:bCs/>
                <w:color w:val="auto"/>
                <w:highlight w:val="none"/>
                <w:lang w:eastAsia="zh-CN"/>
              </w:rPr>
              <w:t>乌鲁木齐市沙依巴克区西环中路497号</w:t>
            </w:r>
          </w:p>
          <w:p w14:paraId="43362B27">
            <w:pPr>
              <w:pStyle w:val="18"/>
              <w:jc w:val="left"/>
              <w:rPr>
                <w:rFonts w:hint="eastAsia" w:ascii="宋体" w:hAnsi="宋体" w:eastAsia="宋体" w:cs="宋体"/>
                <w:color w:val="auto"/>
                <w:highlight w:val="none"/>
              </w:rPr>
            </w:pPr>
            <w:r>
              <w:rPr>
                <w:rFonts w:hint="eastAsia" w:ascii="宋体" w:hAnsi="宋体" w:eastAsia="宋体" w:cs="宋体"/>
                <w:b w:val="0"/>
                <w:bCs/>
                <w:color w:val="auto"/>
                <w:highlight w:val="none"/>
              </w:rPr>
              <w:t>联系方式：</w:t>
            </w:r>
            <w:r>
              <w:rPr>
                <w:rFonts w:hint="eastAsia" w:ascii="宋体" w:hAnsi="宋体" w:eastAsia="宋体" w:cs="宋体"/>
                <w:b w:val="0"/>
                <w:bCs/>
                <w:color w:val="auto"/>
                <w:highlight w:val="none"/>
                <w:lang w:eastAsia="zh-CN"/>
              </w:rPr>
              <w:t xml:space="preserve">梁斌 </w:t>
            </w:r>
            <w:r>
              <w:rPr>
                <w:rFonts w:hint="eastAsia" w:ascii="宋体" w:hAnsi="宋体" w:eastAsia="宋体" w:cs="宋体"/>
                <w:b w:val="0"/>
                <w:bCs/>
                <w:color w:val="auto"/>
                <w:highlight w:val="none"/>
                <w:lang w:val="en-US" w:eastAsia="zh-CN"/>
              </w:rPr>
              <w:t>18690823878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中益招标有限公司</w:t>
            </w:r>
          </w:p>
          <w:p w14:paraId="3010A7C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地址：新市区北京南路416号盈科国际中心30楼3001室</w:t>
            </w:r>
          </w:p>
          <w:p w14:paraId="2B8989FD">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项目联系人：谢楠</w:t>
            </w:r>
            <w:r>
              <w:rPr>
                <w:rFonts w:hint="eastAsia" w:ascii="宋体" w:hAnsi="宋体" w:eastAsia="宋体" w:cs="宋体"/>
                <w:color w:val="auto"/>
                <w:szCs w:val="21"/>
                <w:highlight w:val="none"/>
                <w:lang w:val="en-US" w:eastAsia="zh-CN"/>
              </w:rPr>
              <w:t xml:space="preserve">  罗雄雄 </w:t>
            </w:r>
          </w:p>
          <w:p w14:paraId="75680B5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无</w:t>
            </w:r>
          </w:p>
          <w:p w14:paraId="0EE7BF6C">
            <w:pPr>
              <w:spacing w:line="400" w:lineRule="atLeas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eastAsia="zh-CN"/>
              </w:rPr>
              <w:t>07月18日</w:t>
            </w:r>
            <w:r>
              <w:rPr>
                <w:rFonts w:hint="eastAsia" w:ascii="宋体" w:hAnsi="宋体"/>
                <w:color w:val="auto"/>
                <w:szCs w:val="21"/>
                <w:highlight w:val="none"/>
              </w:rPr>
              <w:t>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4"/>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eastAsia="zh-CN"/>
              </w:rPr>
              <w:t>07月18日</w:t>
            </w: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1590600</w:t>
            </w:r>
            <w:r>
              <w:rPr>
                <w:rFonts w:hint="eastAsia" w:ascii="宋体" w:hAnsi="宋体" w:eastAsia="宋体" w:cs="Times New Roman"/>
                <w:bCs/>
                <w:color w:val="auto"/>
                <w:szCs w:val="21"/>
                <w:highlight w:val="none"/>
                <w:lang w:val="en-US" w:eastAsia="zh-CN"/>
              </w:rPr>
              <w:t>.00元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color w:val="auto"/>
                <w:highlight w:val="none"/>
                <w:lang w:val="en-US" w:eastAsia="zh-CN"/>
              </w:rPr>
              <w:t>30000.00元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1"/>
                <w:szCs w:val="21"/>
                <w:highlight w:val="none"/>
              </w:rPr>
            </w:pPr>
            <w:r>
              <w:rPr>
                <w:rFonts w:hint="eastAsia" w:ascii="宋体" w:hAnsi="宋体"/>
                <w:b/>
                <w:bCs/>
                <w:color w:val="auto"/>
                <w:kern w:val="0"/>
                <w:sz w:val="21"/>
                <w:szCs w:val="21"/>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1"/>
                <w:szCs w:val="21"/>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1"/>
                <w:szCs w:val="21"/>
                <w:highlight w:val="none"/>
                <w:lang w:eastAsia="zh-CN"/>
              </w:rPr>
              <w:t>、</w:t>
            </w:r>
            <w:r>
              <w:rPr>
                <w:rFonts w:hint="eastAsia" w:ascii="宋体" w:hAnsi="宋体"/>
                <w:b/>
                <w:bCs/>
                <w:color w:val="auto"/>
                <w:kern w:val="0"/>
                <w:sz w:val="21"/>
                <w:szCs w:val="21"/>
                <w:highlight w:val="none"/>
                <w:lang w:val="en-US" w:eastAsia="zh-CN"/>
              </w:rPr>
              <w:t>标项号</w:t>
            </w:r>
            <w:r>
              <w:rPr>
                <w:rFonts w:hint="eastAsia" w:ascii="宋体" w:hAnsi="宋体"/>
                <w:b/>
                <w:bCs/>
                <w:color w:val="auto"/>
                <w:kern w:val="0"/>
                <w:sz w:val="21"/>
                <w:szCs w:val="21"/>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推荐的中标候选人数量</w:t>
            </w:r>
          </w:p>
        </w:tc>
        <w:tc>
          <w:tcPr>
            <w:tcW w:w="4864" w:type="dxa"/>
            <w:vAlign w:val="center"/>
          </w:tcPr>
          <w:p w14:paraId="282F201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3</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w:t>
            </w:r>
            <w:r>
              <w:rPr>
                <w:rFonts w:hint="eastAsia" w:ascii="宋体" w:hAnsi="宋体"/>
                <w:color w:val="auto"/>
                <w:szCs w:val="21"/>
                <w:highlight w:val="none"/>
                <w:lang w:val="en-US" w:eastAsia="zh-CN"/>
              </w:rPr>
              <w:t>100万以下：下浮20%；100万-500万：下浮45%；500万-1000万：下浮55%</w:t>
            </w:r>
            <w:r>
              <w:rPr>
                <w:rFonts w:hint="eastAsia" w:ascii="宋体" w:hAnsi="宋体"/>
                <w:color w:val="auto"/>
                <w:szCs w:val="21"/>
                <w:highlight w:val="none"/>
              </w:rPr>
              <w:t>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3"/>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3"/>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4"/>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4"/>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3"/>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4"/>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3"/>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32175034"/>
      <w:bookmarkStart w:id="23" w:name="_Toc427862404"/>
      <w:bookmarkStart w:id="24" w:name="_Toc432242402"/>
      <w:bookmarkStart w:id="25" w:name="_Toc432242303"/>
      <w:bookmarkStart w:id="26" w:name="_Toc432175154"/>
      <w:bookmarkStart w:id="27" w:name="_Toc420948011"/>
      <w:bookmarkStart w:id="28" w:name="_Toc432175092"/>
      <w:bookmarkStart w:id="29" w:name="_Toc428285922"/>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4"/>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4"/>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4"/>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响应文件应按磋商文件要求签章处盖单位电子章和由法定代表人或其委托代理人签字；否则，将导致响应文件无效。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在磋商过程中，投标人按磋商文件规定和磋商小组要求提交的最后报价(或者重新提交的响应文件和最后报价)，投标人须登录政采云平台https://www.zcygov.cn/在线进行最终报价。否则，将导致最终报价无效。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3"/>
        <w:rPr>
          <w:rFonts w:ascii="宋体" w:hAnsi="宋体"/>
          <w:color w:val="auto"/>
          <w:sz w:val="21"/>
          <w:szCs w:val="21"/>
          <w:highlight w:val="none"/>
        </w:rPr>
      </w:pPr>
      <w:bookmarkStart w:id="30" w:name="_Toc161933890"/>
      <w:bookmarkStart w:id="31" w:name="_Toc420948013"/>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23.1开标程序：初步审查（资格性审查、符合性审查），澄清、磋商、综合评分、推荐候选投标人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rPr>
        <w:t>磋商单位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490"/>
        <w:gridCol w:w="4352"/>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2046"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检查因素</w:t>
            </w:r>
          </w:p>
        </w:tc>
        <w:tc>
          <w:tcPr>
            <w:tcW w:w="2551"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w:t>
            </w:r>
          </w:p>
        </w:tc>
        <w:tc>
          <w:tcPr>
            <w:tcW w:w="2046"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tc>
        <w:tc>
          <w:tcPr>
            <w:tcW w:w="2551"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（二）提供2023年</w:t>
            </w:r>
            <w:r>
              <w:rPr>
                <w:rFonts w:hint="eastAsia" w:ascii="宋体" w:hAnsi="宋体" w:eastAsia="宋体" w:cs="Times New Roman"/>
                <w:color w:val="auto"/>
                <w:sz w:val="21"/>
                <w:szCs w:val="21"/>
                <w:highlight w:val="none"/>
                <w:lang w:val="en-US" w:eastAsia="zh-CN"/>
              </w:rPr>
              <w:t>或2024年</w:t>
            </w:r>
            <w:r>
              <w:rPr>
                <w:rFonts w:hint="eastAsia" w:ascii="宋体" w:hAnsi="宋体" w:eastAsia="宋体" w:cs="Times New Roman"/>
                <w:color w:val="auto"/>
                <w:sz w:val="21"/>
                <w:szCs w:val="21"/>
                <w:highlight w:val="none"/>
              </w:rPr>
              <w:t>经第三方财务审计的审计报告，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审计报告须包括现金流量表、</w:t>
            </w:r>
            <w:r>
              <w:rPr>
                <w:rFonts w:hint="eastAsia" w:ascii="宋体" w:hAnsi="宋体" w:eastAsia="宋体" w:cs="Times New Roman"/>
                <w:color w:val="auto"/>
                <w:sz w:val="21"/>
                <w:szCs w:val="21"/>
                <w:highlight w:val="none"/>
                <w:lang w:val="en-US" w:eastAsia="zh-CN"/>
              </w:rPr>
              <w:t>资</w:t>
            </w:r>
            <w:r>
              <w:rPr>
                <w:rFonts w:hint="eastAsia" w:ascii="宋体" w:hAnsi="宋体" w:eastAsia="宋体" w:cs="Times New Roman"/>
                <w:color w:val="auto"/>
                <w:sz w:val="21"/>
                <w:szCs w:val="21"/>
                <w:highlight w:val="none"/>
              </w:rPr>
              <w:t>产负债表、利润及利润分配表</w:t>
            </w:r>
            <w:r>
              <w:rPr>
                <w:rFonts w:hint="eastAsia" w:ascii="宋体" w:hAnsi="宋体" w:eastAsia="宋体" w:cs="Times New Roman"/>
                <w:color w:val="auto"/>
                <w:sz w:val="21"/>
                <w:szCs w:val="21"/>
                <w:highlight w:val="none"/>
                <w:lang w:val="en-US" w:eastAsia="zh-CN"/>
              </w:rPr>
              <w:t>及财务报告附注</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或近一年</w:t>
            </w:r>
            <w:r>
              <w:rPr>
                <w:rFonts w:hint="eastAsia" w:ascii="宋体" w:hAnsi="宋体" w:eastAsia="宋体" w:cs="Times New Roman"/>
                <w:color w:val="auto"/>
                <w:sz w:val="21"/>
                <w:szCs w:val="21"/>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202</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（1）提供</w:t>
            </w:r>
            <w:r>
              <w:rPr>
                <w:rFonts w:hint="eastAsia" w:ascii="宋体" w:hAnsi="宋体" w:eastAsia="宋体" w:cs="Times New Roman"/>
                <w:color w:val="auto"/>
                <w:sz w:val="21"/>
                <w:szCs w:val="21"/>
                <w:highlight w:val="none"/>
                <w:lang w:eastAsia="zh-CN"/>
              </w:rPr>
              <w:t>开标日</w:t>
            </w:r>
            <w:r>
              <w:rPr>
                <w:rFonts w:hint="eastAsia" w:ascii="宋体" w:hAnsi="宋体" w:eastAsia="宋体" w:cs="Times New Roman"/>
                <w:color w:val="auto"/>
                <w:sz w:val="21"/>
                <w:szCs w:val="21"/>
                <w:highlight w:val="none"/>
              </w:rPr>
              <w:t>近六个月</w:t>
            </w:r>
            <w:r>
              <w:rPr>
                <w:rFonts w:hint="eastAsia" w:ascii="宋体" w:hAnsi="宋体" w:eastAsia="宋体" w:cs="Times New Roman"/>
                <w:color w:val="auto"/>
                <w:sz w:val="21"/>
                <w:szCs w:val="21"/>
                <w:highlight w:val="none"/>
                <w:lang w:eastAsia="zh-CN"/>
              </w:rPr>
              <w:t>任意一个月</w:t>
            </w:r>
            <w:r>
              <w:rPr>
                <w:rFonts w:hint="eastAsia" w:ascii="宋体" w:hAnsi="宋体" w:eastAsia="宋体" w:cs="Times New Roman"/>
                <w:color w:val="auto"/>
                <w:sz w:val="21"/>
                <w:szCs w:val="21"/>
                <w:highlight w:val="none"/>
              </w:rPr>
              <w:t>单位社保缴纳</w:t>
            </w:r>
            <w:r>
              <w:rPr>
                <w:rFonts w:hint="eastAsia" w:ascii="宋体" w:hAnsi="宋体" w:eastAsia="宋体" w:cs="Times New Roman"/>
                <w:color w:val="auto"/>
                <w:sz w:val="21"/>
                <w:szCs w:val="21"/>
                <w:highlight w:val="none"/>
                <w:lang w:val="en-US" w:eastAsia="zh-CN"/>
              </w:rPr>
              <w:t>证明</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如依法免税或不需要缴纳社会保障资金的,应提供相应文件证明。</w:t>
            </w:r>
            <w:r>
              <w:rPr>
                <w:rFonts w:hint="eastAsia" w:ascii="宋体" w:hAnsi="宋体" w:eastAsia="宋体" w:cs="Times New Roman"/>
                <w:color w:val="auto"/>
                <w:sz w:val="21"/>
                <w:szCs w:val="21"/>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缴纳税收：</w:t>
            </w:r>
          </w:p>
          <w:p w14:paraId="5827E81A">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提供</w:t>
            </w:r>
            <w:r>
              <w:rPr>
                <w:rFonts w:hint="eastAsia" w:ascii="宋体" w:hAnsi="宋体" w:eastAsia="宋体" w:cs="Times New Roman"/>
                <w:color w:val="auto"/>
                <w:sz w:val="21"/>
                <w:szCs w:val="21"/>
                <w:highlight w:val="none"/>
                <w:lang w:eastAsia="zh-CN"/>
              </w:rPr>
              <w:t>开标日近</w:t>
            </w:r>
            <w:r>
              <w:rPr>
                <w:rFonts w:hint="eastAsia" w:ascii="宋体" w:hAnsi="宋体" w:eastAsia="宋体" w:cs="Times New Roman"/>
                <w:color w:val="auto"/>
                <w:sz w:val="21"/>
                <w:szCs w:val="21"/>
                <w:highlight w:val="none"/>
                <w:lang w:val="en-US" w:eastAsia="zh-CN"/>
              </w:rPr>
              <w:t>六个月内任意一个月投标人税务缴纳有效票据凭证或其他有效证明材料；依法免税的，应提供依法免税的相关证明文件。成立不足六个月的公司按实际时间提供。</w:t>
            </w:r>
          </w:p>
          <w:p w14:paraId="1EF39A8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（五）参加政府采购活动前三年内，在经营活动中没有重大违法记录（提供承诺函）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w:t>
            </w:r>
          </w:p>
        </w:tc>
        <w:tc>
          <w:tcPr>
            <w:tcW w:w="2046"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信誉情况</w:t>
            </w:r>
          </w:p>
        </w:tc>
        <w:tc>
          <w:tcPr>
            <w:tcW w:w="2551"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“中国政府采购网（www.ccgp.gov.cn）”上未被列入</w:t>
            </w:r>
            <w:r>
              <w:rPr>
                <w:rFonts w:hint="eastAsia" w:ascii="宋体" w:hAnsi="宋体" w:eastAsia="宋体" w:cs="Times New Roman"/>
                <w:color w:val="auto"/>
                <w:sz w:val="21"/>
                <w:szCs w:val="21"/>
                <w:highlight w:val="none"/>
              </w:rPr>
              <w:fldChar w:fldCharType="begin"/>
            </w:r>
            <w:r>
              <w:rPr>
                <w:rFonts w:hint="eastAsia" w:ascii="宋体" w:hAnsi="宋体" w:eastAsia="宋体" w:cs="Times New Roman"/>
                <w:color w:val="auto"/>
                <w:sz w:val="21"/>
                <w:szCs w:val="21"/>
                <w:highlight w:val="none"/>
              </w:rPr>
              <w:instrText xml:space="preserve"> HYPERLINK "http://www.ccgp.gov.cn/search/cr/" \o "政府采购严重违法失信行为记录名单" </w:instrText>
            </w:r>
            <w:r>
              <w:rPr>
                <w:rFonts w:hint="eastAsia" w:ascii="宋体" w:hAnsi="宋体" w:eastAsia="宋体" w:cs="Times New Roman"/>
                <w:color w:val="auto"/>
                <w:sz w:val="21"/>
                <w:szCs w:val="21"/>
                <w:highlight w:val="none"/>
              </w:rPr>
              <w:fldChar w:fldCharType="separate"/>
            </w:r>
            <w:r>
              <w:rPr>
                <w:rFonts w:hint="eastAsia" w:ascii="宋体" w:hAnsi="宋体" w:eastAsia="宋体" w:cs="Times New Roman"/>
                <w:color w:val="auto"/>
                <w:sz w:val="21"/>
                <w:szCs w:val="21"/>
                <w:highlight w:val="none"/>
              </w:rPr>
              <w:t>政府采购严重违法失信行为记录名单</w:t>
            </w:r>
            <w:r>
              <w:rPr>
                <w:rFonts w:hint="eastAsia" w:ascii="宋体" w:hAnsi="宋体" w:eastAsia="宋体" w:cs="Times New Roman"/>
                <w:color w:val="auto"/>
                <w:sz w:val="21"/>
                <w:szCs w:val="21"/>
                <w:highlight w:val="none"/>
              </w:rPr>
              <w:fldChar w:fldCharType="end"/>
            </w:r>
            <w:r>
              <w:rPr>
                <w:rFonts w:hint="eastAsia" w:ascii="宋体" w:hAnsi="宋体" w:eastAsia="宋体" w:cs="Times New Roman"/>
                <w:color w:val="auto"/>
                <w:sz w:val="21"/>
                <w:szCs w:val="21"/>
                <w:highlight w:val="none"/>
              </w:rPr>
              <w:t>的网页查询截图</w:t>
            </w:r>
            <w:r>
              <w:rPr>
                <w:rFonts w:hint="eastAsia" w:ascii="宋体" w:hAnsi="宋体" w:eastAsia="宋体" w:cs="Times New Roman"/>
                <w:color w:val="auto"/>
                <w:sz w:val="21"/>
                <w:szCs w:val="21"/>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注：供应商可不提供，以代理机构、采购人现场查询为准。</w:t>
            </w:r>
          </w:p>
        </w:tc>
      </w:tr>
    </w:tbl>
    <w:p w14:paraId="6C2392C0">
      <w:pPr>
        <w:pStyle w:val="18"/>
        <w:rPr>
          <w:color w:val="auto"/>
          <w:highlight w:val="none"/>
        </w:rPr>
      </w:pPr>
    </w:p>
    <w:p w14:paraId="77516796">
      <w:pPr>
        <w:pStyle w:val="24"/>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4"/>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7581"/>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4"/>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实施方案</w:t>
            </w:r>
          </w:p>
        </w:tc>
        <w:tc>
          <w:tcPr>
            <w:tcW w:w="6918" w:type="dxa"/>
            <w:tcBorders>
              <w:top w:val="single" w:color="auto" w:sz="4" w:space="0"/>
              <w:left w:val="single" w:color="auto" w:sz="4" w:space="0"/>
              <w:bottom w:val="single" w:color="auto" w:sz="4" w:space="0"/>
              <w:right w:val="single" w:color="auto" w:sz="4" w:space="0"/>
            </w:tcBorders>
            <w:vAlign w:val="center"/>
          </w:tcPr>
          <w:p w14:paraId="64B4B9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提供详细</w:t>
            </w:r>
            <w:r>
              <w:rPr>
                <w:rFonts w:hint="eastAsia" w:ascii="宋体" w:hAnsi="宋体" w:eastAsia="宋体" w:cs="宋体"/>
                <w:sz w:val="21"/>
                <w:szCs w:val="21"/>
                <w:highlight w:val="none"/>
                <w:lang w:eastAsia="zh-CN"/>
              </w:rPr>
              <w:t>可行</w:t>
            </w:r>
            <w:r>
              <w:rPr>
                <w:rFonts w:hint="eastAsia" w:ascii="宋体" w:hAnsi="宋体" w:eastAsia="宋体" w:cs="宋体"/>
                <w:sz w:val="21"/>
                <w:szCs w:val="21"/>
                <w:highlight w:val="none"/>
              </w:rPr>
              <w:t>的项目实施方案</w:t>
            </w:r>
            <w:r>
              <w:rPr>
                <w:rFonts w:hint="eastAsia" w:ascii="宋体" w:hAnsi="宋体" w:eastAsia="宋体" w:cs="宋体"/>
                <w:sz w:val="21"/>
                <w:szCs w:val="21"/>
                <w:highlight w:val="none"/>
                <w:lang w:eastAsia="zh-CN"/>
              </w:rPr>
              <w:t>，内容</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eastAsia="zh-CN"/>
              </w:rPr>
              <w:t>但不限于</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项目前期资料收集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②资料分析研究；③项目重点难点分析及解决方案；④数据采集方法及要求;⑤数据处理与解释方法及要求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⑥组织架构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⑦</w:t>
            </w:r>
            <w:r>
              <w:rPr>
                <w:rFonts w:hint="eastAsia" w:ascii="宋体" w:hAnsi="宋体" w:eastAsia="宋体" w:cs="宋体"/>
                <w:sz w:val="21"/>
                <w:szCs w:val="21"/>
                <w:highlight w:val="none"/>
                <w:lang w:eastAsia="zh-CN"/>
              </w:rPr>
              <w:t>安全管理措施；</w:t>
            </w:r>
            <w:r>
              <w:rPr>
                <w:rFonts w:hint="eastAsia" w:ascii="宋体" w:hAnsi="宋体" w:eastAsia="宋体" w:cs="宋体"/>
                <w:sz w:val="21"/>
                <w:szCs w:val="21"/>
                <w:highlight w:val="none"/>
                <w:lang w:val="en-US" w:eastAsia="zh-CN"/>
              </w:rPr>
              <w:t>⑧预期成果</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 xml:space="preserve">提供相关方案的得 </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lang w:eastAsia="zh-CN"/>
              </w:rPr>
              <w:t xml:space="preserve"> 分，以此为基础，</w:t>
            </w:r>
            <w:r>
              <w:rPr>
                <w:rFonts w:hint="eastAsia" w:ascii="宋体" w:hAnsi="宋体" w:eastAsia="宋体" w:cs="宋体"/>
                <w:sz w:val="21"/>
                <w:szCs w:val="21"/>
                <w:highlight w:val="none"/>
                <w:lang w:val="en-US" w:eastAsia="zh-CN"/>
              </w:rPr>
              <w:t>所提供的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每有一项</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lang w:eastAsia="zh-CN"/>
              </w:rPr>
              <w:t>进行了深化、量化、拓展</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lang w:eastAsia="zh-CN"/>
              </w:rPr>
              <w:t>提出经评审专家认可的合理化建议的加 1 分，加至</w:t>
            </w:r>
            <w:r>
              <w:rPr>
                <w:rFonts w:hint="eastAsia" w:ascii="宋体" w:hAnsi="宋体" w:eastAsia="宋体" w:cs="宋体"/>
                <w:sz w:val="21"/>
                <w:szCs w:val="21"/>
                <w:highlight w:val="none"/>
                <w:lang w:val="en-US" w:eastAsia="zh-CN"/>
              </w:rPr>
              <w:t>32分</w:t>
            </w:r>
            <w:r>
              <w:rPr>
                <w:rFonts w:hint="eastAsia" w:ascii="宋体" w:hAnsi="宋体" w:eastAsia="宋体" w:cs="宋体"/>
                <w:sz w:val="21"/>
                <w:szCs w:val="21"/>
                <w:highlight w:val="none"/>
                <w:lang w:eastAsia="zh-CN"/>
              </w:rPr>
              <w:t>为止；每缺失一条扣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分；每有一处描述不清或逻辑混乱有欠缺的扣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32</w:t>
            </w:r>
          </w:p>
        </w:tc>
      </w:tr>
      <w:tr w14:paraId="4DF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CCA0AD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进度计划保障措施</w:t>
            </w:r>
          </w:p>
        </w:tc>
        <w:tc>
          <w:tcPr>
            <w:tcW w:w="6918" w:type="dxa"/>
            <w:tcBorders>
              <w:top w:val="single" w:color="auto" w:sz="4" w:space="0"/>
              <w:left w:val="single" w:color="auto" w:sz="4" w:space="0"/>
              <w:bottom w:val="single" w:color="auto" w:sz="4" w:space="0"/>
              <w:right w:val="single" w:color="auto" w:sz="4" w:space="0"/>
            </w:tcBorders>
            <w:vAlign w:val="center"/>
          </w:tcPr>
          <w:p w14:paraId="2918393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highlight w:val="none"/>
              </w:rPr>
              <w:t>提供详细进度计划保障措施包括:①项目实施的</w:t>
            </w:r>
            <w:r>
              <w:rPr>
                <w:rFonts w:hint="eastAsia" w:ascii="宋体" w:hAnsi="宋体" w:eastAsia="宋体" w:cs="宋体"/>
                <w:sz w:val="21"/>
                <w:szCs w:val="21"/>
                <w:highlight w:val="none"/>
                <w:lang w:val="zh-CN"/>
              </w:rPr>
              <w:t>任务划分；</w:t>
            </w: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zh-CN"/>
              </w:rPr>
              <w:t>关键时间节点把握；</w:t>
            </w:r>
            <w:r>
              <w:rPr>
                <w:rFonts w:hint="eastAsia" w:ascii="宋体" w:hAnsi="宋体" w:eastAsia="宋体" w:cs="宋体"/>
                <w:sz w:val="21"/>
                <w:szCs w:val="21"/>
                <w:highlight w:val="none"/>
              </w:rPr>
              <w:t>③提供进度计划保障措施。</w:t>
            </w:r>
            <w:r>
              <w:rPr>
                <w:rFonts w:hint="eastAsia" w:ascii="宋体" w:hAnsi="宋体" w:eastAsia="宋体" w:cs="宋体"/>
                <w:sz w:val="21"/>
                <w:szCs w:val="21"/>
                <w:highlight w:val="none"/>
                <w:lang w:eastAsia="zh-CN"/>
              </w:rPr>
              <w:t>提供相关方案的得  分，以此为基础，</w:t>
            </w:r>
            <w:r>
              <w:rPr>
                <w:rFonts w:hint="eastAsia" w:ascii="宋体" w:hAnsi="宋体" w:eastAsia="宋体" w:cs="宋体"/>
                <w:sz w:val="21"/>
                <w:szCs w:val="21"/>
                <w:highlight w:val="none"/>
                <w:lang w:val="en-US" w:eastAsia="zh-CN"/>
              </w:rPr>
              <w:t>所提供的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每有一项</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lang w:eastAsia="zh-CN"/>
              </w:rPr>
              <w:t>进行了深化、量化、拓展</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lang w:eastAsia="zh-CN"/>
              </w:rPr>
              <w:t>提出经评审专家认可的合理化建议的加 1 分，加至</w:t>
            </w:r>
            <w:r>
              <w:rPr>
                <w:rFonts w:hint="eastAsia" w:ascii="宋体" w:hAnsi="宋体" w:eastAsia="宋体" w:cs="宋体"/>
                <w:sz w:val="21"/>
                <w:szCs w:val="21"/>
                <w:highlight w:val="none"/>
                <w:lang w:val="en-US" w:eastAsia="zh-CN"/>
              </w:rPr>
              <w:t>6分</w:t>
            </w:r>
            <w:r>
              <w:rPr>
                <w:rFonts w:hint="eastAsia" w:ascii="宋体" w:hAnsi="宋体" w:eastAsia="宋体" w:cs="宋体"/>
                <w:sz w:val="21"/>
                <w:szCs w:val="21"/>
                <w:highlight w:val="none"/>
                <w:lang w:eastAsia="zh-CN"/>
              </w:rPr>
              <w:t>为止；每缺失一条扣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分；每有一处描述不清或逻辑混乱有欠缺的扣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12D6485">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r>
      <w:tr w14:paraId="64DB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1B25D8F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服务质量控制措施</w:t>
            </w:r>
          </w:p>
        </w:tc>
        <w:tc>
          <w:tcPr>
            <w:tcW w:w="6918" w:type="dxa"/>
            <w:tcBorders>
              <w:top w:val="single" w:color="auto" w:sz="4" w:space="0"/>
              <w:left w:val="single" w:color="auto" w:sz="4" w:space="0"/>
              <w:bottom w:val="single" w:color="auto" w:sz="4" w:space="0"/>
              <w:right w:val="single" w:color="auto" w:sz="4" w:space="0"/>
            </w:tcBorders>
            <w:vAlign w:val="center"/>
          </w:tcPr>
          <w:p w14:paraId="21DDBF2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服务质量控制措施包括但不限于：①质量管理组织机构；②团队人员职责分工；③成果质量保证措施；④实验仪器设备校准及环境控制情况；</w:t>
            </w:r>
            <w:r>
              <w:rPr>
                <w:rFonts w:hint="eastAsia" w:ascii="宋体" w:hAnsi="宋体" w:eastAsia="宋体" w:cs="宋体"/>
                <w:sz w:val="21"/>
                <w:szCs w:val="21"/>
                <w:highlight w:val="none"/>
                <w:lang w:eastAsia="zh-CN"/>
              </w:rPr>
              <w:t xml:space="preserve">提供相关方案的得 </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 xml:space="preserve"> 分，以此为基础，</w:t>
            </w:r>
            <w:r>
              <w:rPr>
                <w:rFonts w:hint="eastAsia" w:ascii="宋体" w:hAnsi="宋体" w:eastAsia="宋体" w:cs="宋体"/>
                <w:sz w:val="21"/>
                <w:szCs w:val="21"/>
                <w:highlight w:val="none"/>
                <w:lang w:val="en-US" w:eastAsia="zh-CN"/>
              </w:rPr>
              <w:t>所提供的</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lang w:eastAsia="zh-CN"/>
              </w:rPr>
              <w:t>每有一项</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lang w:eastAsia="zh-CN"/>
              </w:rPr>
              <w:t>进行了深化、量化、拓展</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lang w:eastAsia="zh-CN"/>
              </w:rPr>
              <w:t>提出经评审专家认可的合理化建议的加 1 分，加至</w:t>
            </w:r>
            <w:r>
              <w:rPr>
                <w:rFonts w:hint="eastAsia" w:ascii="宋体" w:hAnsi="宋体" w:eastAsia="宋体" w:cs="宋体"/>
                <w:sz w:val="21"/>
                <w:szCs w:val="21"/>
                <w:highlight w:val="none"/>
                <w:lang w:val="en-US" w:eastAsia="zh-CN"/>
              </w:rPr>
              <w:t>16分</w:t>
            </w:r>
            <w:r>
              <w:rPr>
                <w:rFonts w:hint="eastAsia" w:ascii="宋体" w:hAnsi="宋体" w:eastAsia="宋体" w:cs="宋体"/>
                <w:sz w:val="21"/>
                <w:szCs w:val="21"/>
                <w:highlight w:val="none"/>
                <w:lang w:eastAsia="zh-CN"/>
              </w:rPr>
              <w:t>为止；每缺失一条扣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分；每有一处描述不清或逻辑混乱有欠缺的扣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78B76ED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r>
      <w:tr w14:paraId="378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6EBD510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highlight w:val="none"/>
              </w:rPr>
              <w:t>内控制度措施</w:t>
            </w:r>
          </w:p>
        </w:tc>
        <w:tc>
          <w:tcPr>
            <w:tcW w:w="6918" w:type="dxa"/>
            <w:tcBorders>
              <w:top w:val="single" w:color="auto" w:sz="4" w:space="0"/>
              <w:left w:val="single" w:color="auto" w:sz="4" w:space="0"/>
              <w:bottom w:val="single" w:color="auto" w:sz="4" w:space="0"/>
              <w:right w:val="single" w:color="auto" w:sz="4" w:space="0"/>
            </w:tcBorders>
            <w:vAlign w:val="center"/>
          </w:tcPr>
          <w:p w14:paraId="37DE200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内控制度措施包括但不限于：①工作纪律及考核制度；②应急措施；③信息保密制度；④档案管理制度。</w:t>
            </w:r>
          </w:p>
          <w:p w14:paraId="16FF3A0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lang w:eastAsia="zh-CN"/>
              </w:rPr>
              <w:t xml:space="preserve">提供相关方案的得 </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eastAsia="zh-CN"/>
              </w:rPr>
              <w:t xml:space="preserve"> 分，以此为基础，方案每有一项进行了深化量化或拓展或提出经评审专家认可的合理化建议的加 1 分，加至</w:t>
            </w:r>
            <w:r>
              <w:rPr>
                <w:rFonts w:hint="eastAsia" w:ascii="宋体" w:hAnsi="宋体" w:eastAsia="宋体" w:cs="宋体"/>
                <w:sz w:val="21"/>
                <w:szCs w:val="21"/>
                <w:highlight w:val="none"/>
                <w:lang w:val="en-US" w:eastAsia="zh-CN"/>
              </w:rPr>
              <w:t>16分</w:t>
            </w:r>
            <w:r>
              <w:rPr>
                <w:rFonts w:hint="eastAsia" w:ascii="宋体" w:hAnsi="宋体" w:eastAsia="宋体" w:cs="宋体"/>
                <w:sz w:val="21"/>
                <w:szCs w:val="21"/>
                <w:highlight w:val="none"/>
                <w:lang w:eastAsia="zh-CN"/>
              </w:rPr>
              <w:t>为止；每缺失一条扣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分；每有一处描述不清或逻辑混乱有欠缺的扣</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4C460B2C">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0分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工作业绩</w:t>
            </w:r>
          </w:p>
        </w:tc>
        <w:tc>
          <w:tcPr>
            <w:tcW w:w="6918" w:type="dxa"/>
            <w:tcBorders>
              <w:top w:val="single" w:color="auto" w:sz="4" w:space="0"/>
              <w:left w:val="single" w:color="auto" w:sz="4" w:space="0"/>
              <w:bottom w:val="single" w:color="auto" w:sz="4" w:space="0"/>
              <w:right w:val="single" w:color="auto" w:sz="4" w:space="0"/>
            </w:tcBorders>
            <w:vAlign w:val="center"/>
          </w:tcPr>
          <w:p w14:paraId="1B9F1863">
            <w:pPr>
              <w:pStyle w:val="29"/>
              <w:keepNext w:val="0"/>
              <w:keepLines w:val="0"/>
              <w:pageBreakBefore w:val="0"/>
              <w:kinsoku/>
              <w:wordWrap/>
              <w:overflowPunct/>
              <w:topLinePunct w:val="0"/>
              <w:autoSpaceDE/>
              <w:autoSpaceDN/>
              <w:bidi w:val="0"/>
              <w:adjustRightInd/>
              <w:spacing w:line="360" w:lineRule="auto"/>
              <w:ind w:right="-31" w:rightChars="-1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提供2022年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月以来独立承担类似项目经验情况，拥有类似的相关业绩（需提供</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（成交）通知书或合同），每个业绩计</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22314FF2">
            <w:pPr>
              <w:pStyle w:val="29"/>
              <w:keepNext w:val="0"/>
              <w:keepLines w:val="0"/>
              <w:pageBreakBefore w:val="0"/>
              <w:kinsoku/>
              <w:wordWrap/>
              <w:overflowPunct/>
              <w:topLinePunct w:val="0"/>
              <w:autoSpaceDE/>
              <w:autoSpaceDN/>
              <w:bidi w:val="0"/>
              <w:adjustRightInd/>
              <w:spacing w:line="360" w:lineRule="auto"/>
              <w:ind w:right="-31" w:rightChars="-1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注：业绩证明材料为：合同或</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（成交）通知书等相关证明。合同需包含合同首页、标的内容及金额所在页、合同签字盖章页等关键页即可，需加盖公章。</w:t>
            </w:r>
          </w:p>
          <w:p w14:paraId="4EF1BE9C">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未提供业绩证明材料(或证明材料不齐全的或内容模糊不清的)，其业绩不予认定。</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03" w:type="dxa"/>
            <w:tcBorders>
              <w:top w:val="single" w:color="auto" w:sz="4" w:space="0"/>
              <w:left w:val="single" w:color="auto" w:sz="4" w:space="0"/>
              <w:right w:val="single" w:color="auto" w:sz="4" w:space="0"/>
            </w:tcBorders>
            <w:vAlign w:val="center"/>
          </w:tcPr>
          <w:p w14:paraId="4C6EA27C">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人员团队</w:t>
            </w:r>
          </w:p>
        </w:tc>
        <w:tc>
          <w:tcPr>
            <w:tcW w:w="6918" w:type="dxa"/>
            <w:tcBorders>
              <w:top w:val="single" w:color="auto" w:sz="4" w:space="0"/>
              <w:left w:val="single" w:color="auto" w:sz="4" w:space="0"/>
              <w:bottom w:val="single" w:color="auto" w:sz="4" w:space="0"/>
              <w:right w:val="single" w:color="auto" w:sz="4" w:space="0"/>
            </w:tcBorders>
            <w:vAlign w:val="center"/>
          </w:tcPr>
          <w:p w14:paraId="51B60093">
            <w:pPr>
              <w:pStyle w:val="29"/>
              <w:keepNext w:val="0"/>
              <w:keepLines w:val="0"/>
              <w:pageBreakBefore w:val="0"/>
              <w:kinsoku/>
              <w:wordWrap/>
              <w:overflowPunct/>
              <w:topLinePunct w:val="0"/>
              <w:autoSpaceDE/>
              <w:autoSpaceDN/>
              <w:bidi w:val="0"/>
              <w:adjustRightInd/>
              <w:spacing w:line="360" w:lineRule="auto"/>
              <w:ind w:right="-31" w:rightChars="-1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w:t>
            </w:r>
            <w:r>
              <w:rPr>
                <w:rFonts w:hint="eastAsia" w:ascii="宋体" w:hAnsi="宋体" w:eastAsia="宋体" w:cs="宋体"/>
                <w:sz w:val="21"/>
                <w:szCs w:val="21"/>
                <w:highlight w:val="none"/>
                <w:lang w:val="en-US" w:eastAsia="zh-CN"/>
              </w:rPr>
              <w:t>技术团队</w:t>
            </w:r>
            <w:r>
              <w:rPr>
                <w:rFonts w:hint="eastAsia" w:ascii="宋体" w:hAnsi="宋体" w:eastAsia="宋体" w:cs="宋体"/>
                <w:sz w:val="21"/>
                <w:szCs w:val="21"/>
                <w:highlight w:val="none"/>
              </w:rPr>
              <w:t>中每有1人具有</w:t>
            </w:r>
            <w:r>
              <w:rPr>
                <w:rFonts w:hint="eastAsia" w:ascii="宋体" w:hAnsi="宋体" w:eastAsia="宋体" w:cs="宋体"/>
                <w:sz w:val="21"/>
                <w:szCs w:val="21"/>
                <w:highlight w:val="none"/>
                <w:lang w:val="en-US" w:eastAsia="zh-CN"/>
              </w:rPr>
              <w:t>高级工程师职称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地球物理或地质矿产专业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每有1人具有中级工程师</w:t>
            </w:r>
            <w:r>
              <w:rPr>
                <w:rFonts w:hint="eastAsia" w:ascii="宋体" w:hAnsi="宋体" w:eastAsia="宋体" w:cs="宋体"/>
                <w:sz w:val="21"/>
                <w:szCs w:val="21"/>
                <w:highlight w:val="none"/>
                <w:lang w:val="en-US" w:eastAsia="zh-CN"/>
              </w:rPr>
              <w:t>职称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地球物理或地质矿产专业</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分，最多</w:t>
            </w:r>
            <w:r>
              <w:rPr>
                <w:rFonts w:hint="eastAsia" w:ascii="宋体" w:hAnsi="宋体" w:eastAsia="宋体" w:cs="宋体"/>
                <w:sz w:val="21"/>
                <w:szCs w:val="21"/>
                <w:highlight w:val="none"/>
                <w:lang w:val="en-US" w:eastAsia="zh-CN"/>
              </w:rPr>
              <w:t>计5人</w:t>
            </w:r>
            <w:r>
              <w:rPr>
                <w:rFonts w:hint="eastAsia" w:ascii="宋体" w:hAnsi="宋体" w:eastAsia="宋体" w:cs="宋体"/>
                <w:sz w:val="21"/>
                <w:szCs w:val="21"/>
                <w:highlight w:val="none"/>
              </w:rPr>
              <w:t>。</w:t>
            </w:r>
          </w:p>
          <w:p w14:paraId="300C3064">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注：专职技术人员须提供</w:t>
            </w:r>
            <w:r>
              <w:rPr>
                <w:rFonts w:hint="eastAsia" w:ascii="宋体" w:hAnsi="宋体" w:eastAsia="宋体" w:cs="宋体"/>
                <w:sz w:val="21"/>
                <w:szCs w:val="21"/>
                <w:highlight w:val="none"/>
                <w:lang w:val="en-US" w:eastAsia="zh-CN"/>
              </w:rPr>
              <w:t>职称</w:t>
            </w:r>
            <w:r>
              <w:rPr>
                <w:rFonts w:hint="eastAsia" w:ascii="宋体" w:hAnsi="宋体" w:eastAsia="宋体" w:cs="宋体"/>
                <w:sz w:val="21"/>
                <w:szCs w:val="21"/>
                <w:highlight w:val="none"/>
              </w:rPr>
              <w:t>证书复印件及</w:t>
            </w:r>
            <w:r>
              <w:rPr>
                <w:rFonts w:hint="eastAsia" w:ascii="宋体" w:hAnsi="宋体" w:eastAsia="宋体" w:cs="宋体"/>
                <w:sz w:val="21"/>
                <w:szCs w:val="21"/>
                <w:highlight w:val="none"/>
                <w:lang w:val="en-US" w:eastAsia="zh-CN"/>
              </w:rPr>
              <w:t>近半年任一个月</w:t>
            </w:r>
            <w:r>
              <w:rPr>
                <w:rFonts w:hint="eastAsia" w:ascii="宋体" w:hAnsi="宋体" w:eastAsia="宋体" w:cs="宋体"/>
                <w:sz w:val="21"/>
                <w:szCs w:val="21"/>
                <w:highlight w:val="none"/>
              </w:rPr>
              <w:t>社保证明</w:t>
            </w:r>
            <w:r>
              <w:rPr>
                <w:rFonts w:hint="eastAsia" w:ascii="宋体" w:hAnsi="宋体" w:eastAsia="宋体" w:cs="宋体"/>
                <w:sz w:val="21"/>
                <w:szCs w:val="21"/>
                <w:highlight w:val="none"/>
                <w:lang w:eastAsia="zh-CN"/>
              </w:rPr>
              <w:t>。</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设备配置</w:t>
            </w:r>
          </w:p>
        </w:tc>
        <w:tc>
          <w:tcPr>
            <w:tcW w:w="6918" w:type="dxa"/>
            <w:tcBorders>
              <w:top w:val="single" w:color="auto" w:sz="4" w:space="0"/>
              <w:left w:val="single" w:color="auto" w:sz="4" w:space="0"/>
              <w:bottom w:val="single" w:color="auto" w:sz="4" w:space="0"/>
              <w:right w:val="single" w:color="auto" w:sz="4" w:space="0"/>
            </w:tcBorders>
            <w:vAlign w:val="center"/>
          </w:tcPr>
          <w:p w14:paraId="41CA8541">
            <w:pPr>
              <w:pStyle w:val="29"/>
              <w:keepNext w:val="0"/>
              <w:keepLines w:val="0"/>
              <w:pageBreakBefore w:val="0"/>
              <w:kinsoku/>
              <w:wordWrap/>
              <w:overflowPunct/>
              <w:topLinePunct w:val="0"/>
              <w:autoSpaceDE/>
              <w:autoSpaceDN/>
              <w:bidi w:val="0"/>
              <w:adjustRightInd/>
              <w:spacing w:line="360" w:lineRule="auto"/>
              <w:ind w:right="-31" w:rightChars="-15"/>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满足本</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各项要求</w:t>
            </w:r>
            <w:r>
              <w:rPr>
                <w:rFonts w:hint="eastAsia" w:ascii="宋体" w:hAnsi="宋体" w:eastAsia="宋体" w:cs="宋体"/>
                <w:sz w:val="21"/>
                <w:szCs w:val="21"/>
                <w:highlight w:val="none"/>
                <w:lang w:val="en-US" w:eastAsia="zh-CN"/>
              </w:rPr>
              <w:t>的时频电磁测量仪器设备，每提供一种与本项目服务有关的时频电磁测量仪器设备得1分，最高得5分。</w:t>
            </w:r>
          </w:p>
          <w:p w14:paraId="509A4190">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rPr>
              <w:t>注：须提供</w:t>
            </w:r>
            <w:r>
              <w:rPr>
                <w:rFonts w:hint="eastAsia" w:ascii="宋体" w:hAnsi="宋体" w:eastAsia="宋体" w:cs="宋体"/>
                <w:sz w:val="21"/>
                <w:szCs w:val="21"/>
                <w:highlight w:val="none"/>
                <w:lang w:val="en-US" w:eastAsia="zh-CN"/>
              </w:rPr>
              <w:t>购买凭证（如购置发票或合同等）或租赁合同、设备照片、设备清单</w:t>
            </w:r>
            <w:r>
              <w:rPr>
                <w:rFonts w:hint="eastAsia" w:ascii="宋体" w:hAnsi="宋体" w:eastAsia="宋体" w:cs="宋体"/>
                <w:sz w:val="21"/>
                <w:szCs w:val="21"/>
                <w:highlight w:val="none"/>
                <w:lang w:eastAsia="zh-CN"/>
              </w:rPr>
              <w:t>。</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4"/>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1FAE8DDF">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0666D149">
      <w:pPr>
        <w:pStyle w:val="24"/>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2"/>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3"/>
        <w:rPr>
          <w:rFonts w:ascii="宋体" w:hAnsi="宋体"/>
          <w:color w:val="auto"/>
          <w:sz w:val="21"/>
          <w:szCs w:val="21"/>
          <w:highlight w:val="none"/>
        </w:rPr>
      </w:pPr>
      <w:bookmarkStart w:id="32" w:name="_Toc161933891"/>
      <w:r>
        <w:rPr>
          <w:rFonts w:hint="eastAsia" w:ascii="宋体" w:hAnsi="宋体"/>
          <w:color w:val="auto"/>
          <w:sz w:val="21"/>
          <w:szCs w:val="21"/>
          <w:highlight w:val="none"/>
        </w:rPr>
        <w:t>六、中标结果信息公布与授予合同</w:t>
      </w:r>
      <w:bookmarkEnd w:id="32"/>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4"/>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02BE6CDA">
      <w:pPr>
        <w:pStyle w:val="24"/>
        <w:adjustRightInd w:val="0"/>
        <w:snapToGrid w:val="0"/>
        <w:spacing w:line="360" w:lineRule="auto"/>
        <w:ind w:firstLine="422" w:firstLineChars="200"/>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ascii="宋体" w:hAnsi="宋体" w:cs="宋体"/>
          <w:b/>
          <w:bCs/>
          <w:color w:val="auto"/>
          <w:kern w:val="0"/>
          <w:sz w:val="21"/>
          <w:szCs w:val="21"/>
          <w:highlight w:val="none"/>
        </w:rPr>
        <w:t>7.5</w:t>
      </w:r>
      <w:r>
        <w:rPr>
          <w:rFonts w:hint="eastAsia" w:ascii="宋体" w:hAnsi="宋体" w:cs="宋体"/>
          <w:b/>
          <w:bCs/>
          <w:color w:val="auto"/>
          <w:kern w:val="0"/>
          <w:sz w:val="21"/>
          <w:szCs w:val="21"/>
          <w:highlight w:val="none"/>
        </w:rPr>
        <w:t>验收时候须邀请评标专家之一共同跟甲方参与验收，产生的专家费由中标方承担。</w:t>
      </w:r>
    </w:p>
    <w:p w14:paraId="1404905F">
      <w:pPr>
        <w:pStyle w:val="3"/>
        <w:rPr>
          <w:rFonts w:ascii="宋体" w:hAnsi="宋体"/>
          <w:color w:val="auto"/>
          <w:sz w:val="21"/>
          <w:szCs w:val="21"/>
          <w:highlight w:val="none"/>
        </w:rPr>
      </w:pPr>
      <w:bookmarkStart w:id="33" w:name="_Toc161933892"/>
      <w:bookmarkStart w:id="34" w:name="_Toc425613608"/>
      <w:r>
        <w:rPr>
          <w:rFonts w:hint="eastAsia" w:ascii="宋体" w:hAnsi="宋体"/>
          <w:color w:val="auto"/>
          <w:sz w:val="21"/>
          <w:szCs w:val="21"/>
          <w:highlight w:val="none"/>
        </w:rPr>
        <w:t>七、其他规定</w:t>
      </w:r>
      <w:bookmarkEnd w:id="33"/>
      <w:bookmarkEnd w:id="34"/>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38.采购代理服务费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39. 其他规定</w:t>
      </w:r>
    </w:p>
    <w:p w14:paraId="4976EF67">
      <w:pPr>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39.1采购文件的其他规定见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62027BC7">
      <w:pPr>
        <w:widowControl/>
        <w:jc w:val="left"/>
        <w:rPr>
          <w:b/>
          <w:bCs/>
          <w:color w:val="auto"/>
          <w:sz w:val="28"/>
          <w:szCs w:val="20"/>
          <w:highlight w:val="none"/>
        </w:rPr>
      </w:pPr>
      <w:bookmarkStart w:id="35" w:name="_Toc433113176"/>
      <w:bookmarkStart w:id="36" w:name="_Toc420948016"/>
      <w:r>
        <w:rPr>
          <w:color w:val="auto"/>
          <w:highlight w:val="none"/>
        </w:rPr>
        <w:br w:type="page"/>
      </w:r>
    </w:p>
    <w:p w14:paraId="58C7D913">
      <w:pPr>
        <w:pStyle w:val="2"/>
        <w:rPr>
          <w:color w:val="auto"/>
          <w:highlight w:val="none"/>
        </w:rPr>
      </w:pPr>
      <w:bookmarkStart w:id="37" w:name="_Toc161933893"/>
      <w:r>
        <w:rPr>
          <w:rFonts w:hint="eastAsia"/>
          <w:color w:val="auto"/>
          <w:highlight w:val="none"/>
        </w:rPr>
        <w:t xml:space="preserve">第三章  </w:t>
      </w:r>
      <w:bookmarkEnd w:id="35"/>
      <w:bookmarkEnd w:id="36"/>
      <w:r>
        <w:rPr>
          <w:rFonts w:hint="eastAsia"/>
          <w:color w:val="auto"/>
          <w:highlight w:val="none"/>
        </w:rPr>
        <w:t>合同协议书</w:t>
      </w:r>
      <w:bookmarkEnd w:id="37"/>
      <w:bookmarkStart w:id="38" w:name="_Toc420948017"/>
      <w:bookmarkStart w:id="39" w:name="_Toc433187361"/>
    </w:p>
    <w:p w14:paraId="119BEEDB">
      <w:pPr>
        <w:spacing w:line="440" w:lineRule="exact"/>
        <w:ind w:firstLine="442" w:firstLineChars="200"/>
        <w:jc w:val="center"/>
        <w:rPr>
          <w:b/>
          <w:color w:val="auto"/>
          <w:sz w:val="22"/>
          <w:szCs w:val="22"/>
          <w:highlight w:val="none"/>
        </w:rPr>
      </w:pPr>
      <w:bookmarkStart w:id="40" w:name="_Toc446500166"/>
      <w:bookmarkStart w:id="41" w:name="_Toc420948020"/>
      <w:r>
        <w:rPr>
          <w:rFonts w:hint="eastAsia"/>
          <w:b/>
          <w:color w:val="auto"/>
          <w:sz w:val="22"/>
          <w:szCs w:val="22"/>
          <w:highlight w:val="none"/>
        </w:rPr>
        <w:t>（本合同仅供参考，具体以实际签订的为准）</w:t>
      </w:r>
    </w:p>
    <w:bookmarkEnd w:id="40"/>
    <w:bookmarkEnd w:id="41"/>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38"/>
    <w:bookmarkEnd w:id="39"/>
    <w:p w14:paraId="3EA3A567">
      <w:pPr>
        <w:rPr>
          <w:rFonts w:hint="eastAsia"/>
          <w:color w:val="auto"/>
          <w:highlight w:val="none"/>
        </w:rPr>
      </w:pPr>
      <w:bookmarkStart w:id="42" w:name="_Toc12906820"/>
      <w:bookmarkStart w:id="43" w:name="_Toc161933894"/>
      <w:bookmarkStart w:id="44" w:name="_Toc420948022"/>
      <w:bookmarkStart w:id="45" w:name="_Toc433113178"/>
      <w:r>
        <w:rPr>
          <w:rFonts w:hint="eastAsia"/>
          <w:color w:val="auto"/>
          <w:highlight w:val="none"/>
        </w:rPr>
        <w:br w:type="page"/>
      </w:r>
    </w:p>
    <w:p w14:paraId="33295090">
      <w:pPr>
        <w:pStyle w:val="2"/>
        <w:rPr>
          <w:color w:val="auto"/>
          <w:highlight w:val="none"/>
        </w:rPr>
      </w:pPr>
      <w:r>
        <w:rPr>
          <w:rFonts w:hint="eastAsia"/>
          <w:color w:val="auto"/>
          <w:highlight w:val="none"/>
        </w:rPr>
        <w:t>第四章  采购需求</w:t>
      </w:r>
      <w:bookmarkEnd w:id="42"/>
      <w:bookmarkEnd w:id="43"/>
    </w:p>
    <w:p w14:paraId="5484DC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1.新疆乌鲁木齐市永丰南油气资源潜力评价时频电磁测量技术服务</w:t>
      </w:r>
    </w:p>
    <w:p w14:paraId="0AA66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（1）工作量:时频电磁测线8条，总长110千米，点距200米，共计550个物理点。</w:t>
      </w:r>
    </w:p>
    <w:p w14:paraId="09FA8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（2）技术要求:工作方法和要求应符合石油时频电磁相关技术规范。</w:t>
      </w:r>
    </w:p>
    <w:p w14:paraId="5C9444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（3）目标任务:通过本次时频电磁采集和处理解释工作，了解深部地层、构造及油气成藏等地质条件，评价工区含油气性；初步圈定油气有利成藏区，评价油气资源潜力。为二维地震和调查井部署提供依据。</w:t>
      </w:r>
    </w:p>
    <w:p w14:paraId="01D63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具体工程任务:完成时频电磁施工设计；根据甲方要求开展数据采集处理及解释；提交时频电磁采集工作原始资料、处理解释成果及相关图件；提交成果报告及附图、附表、附件等；初步圈定油气有利成藏区，评价油气资源潜力，提供预选井位建议。</w:t>
      </w:r>
    </w:p>
    <w:p w14:paraId="66E01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工期:2025年7月完成数据采集、处理解释和报告。工作区位于新疆乌鲁木齐市南郊，行政区划隶属乌鲁木齐市乌鲁木齐县管辖，距离乌鲁木齐市约45千米，距离永丰镇约10千米，交通便利。工作区范围（CGCS2000）：①87.3120，43.3456；②87.5248，43.3450；③87.5233，43.3222；④87.4935，43.3150；⑤87.4944，43.2903；⑥87.5310，43.2748；⑦87.5318，43.2513；⑧87.5020，43.2515；⑨87.5024，43.2611；⑩87.4739，43.2616；⑪87.4741，43.2722；⑫87.3647，43.2745；⑬87.3644，43.2654；⑭87.1147，43.2713；⑮87.1228，43.3055；⑯87.3118，43.3049；⑰87.3120，43.3456。面积573.39平方千米。</w:t>
      </w:r>
    </w:p>
    <w:p w14:paraId="3FD96C2C">
      <w:pPr>
        <w:rPr>
          <w:rFonts w:hint="eastAsia" w:ascii="宋体" w:hAnsi="宋体" w:eastAsia="宋体" w:cs="宋体"/>
          <w:sz w:val="21"/>
          <w:szCs w:val="21"/>
          <w:highlight w:val="none"/>
        </w:rPr>
      </w:pPr>
      <w:r>
        <w:rPr>
          <w:rFonts w:hint="eastAsia" w:ascii="宋体" w:hAnsi="宋体" w:eastAsia="宋体" w:cs="宋体"/>
          <w:sz w:val="21"/>
          <w:szCs w:val="21"/>
          <w:highlight w:val="none"/>
        </w:rPr>
        <w:drawing>
          <wp:inline distT="0" distB="0" distL="114300" distR="114300">
            <wp:extent cx="5579745" cy="3782060"/>
            <wp:effectExtent l="0" t="0" r="1905" b="8890"/>
            <wp:docPr id="1" name="图片 1" descr="1区域地质图(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区域地质图(CJ)"/>
                    <pic:cNvPicPr>
                      <a:picLocks noChangeAspect="1"/>
                    </pic:cNvPicPr>
                  </pic:nvPicPr>
                  <pic:blipFill>
                    <a:blip r:embed="rId11"/>
                    <a:srcRect t="11398" r="22932" b="1503"/>
                    <a:stretch>
                      <a:fillRect/>
                    </a:stretch>
                  </pic:blipFill>
                  <pic:spPr>
                    <a:xfrm>
                      <a:off x="0" y="0"/>
                      <a:ext cx="5579745" cy="3782060"/>
                    </a:xfrm>
                    <a:prstGeom prst="rect">
                      <a:avLst/>
                    </a:prstGeom>
                    <a:noFill/>
                    <a:ln>
                      <a:noFill/>
                    </a:ln>
                  </pic:spPr>
                </pic:pic>
              </a:graphicData>
            </a:graphic>
          </wp:inline>
        </w:drawing>
      </w:r>
    </w:p>
    <w:p w14:paraId="1E8F5A7C">
      <w:pPr>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图1 时频电磁工程部署图</w:t>
      </w:r>
    </w:p>
    <w:p w14:paraId="6CE1F8D3">
      <w:pPr>
        <w:rPr>
          <w:rFonts w:hint="eastAsia" w:ascii="宋体" w:hAnsi="宋体" w:eastAsia="宋体" w:cs="宋体"/>
          <w:color w:val="auto"/>
          <w:sz w:val="21"/>
          <w:szCs w:val="21"/>
          <w:highlight w:val="none"/>
        </w:rPr>
      </w:pPr>
    </w:p>
    <w:p w14:paraId="2051C4D9">
      <w:pPr>
        <w:rPr>
          <w:rFonts w:hint="eastAsia" w:ascii="宋体" w:hAnsi="宋体" w:eastAsia="宋体" w:cs="宋体"/>
          <w:color w:val="auto"/>
          <w:sz w:val="21"/>
          <w:szCs w:val="21"/>
          <w:highlight w:val="none"/>
          <w:lang w:eastAsia="zh-CN"/>
        </w:rPr>
      </w:pPr>
    </w:p>
    <w:p w14:paraId="749243E9">
      <w:pPr>
        <w:pStyle w:val="2"/>
        <w:rPr>
          <w:rFonts w:ascii="宋体" w:hAnsi="宋体"/>
          <w:color w:val="auto"/>
          <w:highlight w:val="none"/>
        </w:rPr>
      </w:pPr>
      <w:bookmarkStart w:id="46" w:name="_Toc161933895"/>
      <w:r>
        <w:rPr>
          <w:rFonts w:hint="eastAsia" w:ascii="宋体" w:hAnsi="宋体"/>
          <w:color w:val="auto"/>
          <w:highlight w:val="none"/>
        </w:rPr>
        <w:t xml:space="preserve">第五章  </w:t>
      </w:r>
      <w:bookmarkEnd w:id="44"/>
      <w:bookmarkEnd w:id="45"/>
      <w:r>
        <w:rPr>
          <w:rFonts w:hint="eastAsia" w:ascii="宋体" w:hAnsi="宋体"/>
          <w:color w:val="auto"/>
          <w:highlight w:val="none"/>
        </w:rPr>
        <w:t>投标文件格式</w:t>
      </w:r>
      <w:bookmarkEnd w:id="46"/>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6"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2"/>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7" w:name="_Toc430714682"/>
      <w:bookmarkStart w:id="48" w:name="_Toc437365964"/>
      <w:bookmarkStart w:id="49" w:name="_Toc437365891"/>
      <w:bookmarkStart w:id="50" w:name="_Toc437359752"/>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7"/>
      <w:bookmarkEnd w:id="48"/>
      <w:bookmarkEnd w:id="49"/>
      <w:bookmarkEnd w:id="50"/>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4"/>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1" w:name="_Toc161933896"/>
      <w:bookmarkStart w:id="52" w:name="_Toc433187366"/>
      <w:r>
        <w:rPr>
          <w:rFonts w:hint="eastAsia" w:ascii="宋体" w:hAnsi="宋体" w:cs="宋体"/>
          <w:b/>
          <w:color w:val="auto"/>
          <w:sz w:val="24"/>
          <w:highlight w:val="none"/>
        </w:rPr>
        <w:t>一、资格性自查表</w:t>
      </w:r>
      <w:bookmarkEnd w:id="51"/>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18"/>
        <w:rPr>
          <w:color w:val="auto"/>
          <w:highlight w:val="none"/>
        </w:rPr>
      </w:pPr>
      <w:r>
        <w:rPr>
          <w:rFonts w:hint="eastAsia"/>
          <w:color w:val="auto"/>
          <w:highlight w:val="none"/>
        </w:rPr>
        <w:t>注：根据资格性审查表自行调整</w:t>
      </w:r>
    </w:p>
    <w:p w14:paraId="5552FC6F">
      <w:pPr>
        <w:pStyle w:val="3"/>
        <w:jc w:val="center"/>
        <w:rPr>
          <w:rFonts w:ascii="宋体" w:hAnsi="宋体"/>
          <w:color w:val="auto"/>
          <w:highlight w:val="none"/>
        </w:rPr>
      </w:pPr>
      <w:r>
        <w:rPr>
          <w:rFonts w:ascii="宋体" w:hAnsi="宋体"/>
          <w:color w:val="auto"/>
          <w:highlight w:val="none"/>
        </w:rPr>
        <w:br w:type="page"/>
      </w:r>
      <w:bookmarkStart w:id="53" w:name="_Toc161933897"/>
      <w:r>
        <w:rPr>
          <w:rFonts w:hint="eastAsia" w:ascii="宋体" w:hAnsi="宋体"/>
          <w:color w:val="auto"/>
          <w:highlight w:val="none"/>
        </w:rPr>
        <w:t>二、投标函</w:t>
      </w:r>
      <w:bookmarkEnd w:id="52"/>
      <w:bookmarkEnd w:id="53"/>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4"/>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4"/>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4"/>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4"/>
        <w:adjustRightInd w:val="0"/>
        <w:snapToGrid w:val="0"/>
        <w:spacing w:line="360" w:lineRule="auto"/>
        <w:rPr>
          <w:rFonts w:ascii="宋体" w:hAnsi="宋体"/>
          <w:color w:val="auto"/>
          <w:sz w:val="21"/>
          <w:szCs w:val="21"/>
          <w:highlight w:val="none"/>
        </w:rPr>
      </w:pPr>
    </w:p>
    <w:p w14:paraId="0B5BF98B">
      <w:pPr>
        <w:pStyle w:val="24"/>
        <w:adjustRightInd w:val="0"/>
        <w:snapToGrid w:val="0"/>
        <w:spacing w:line="360" w:lineRule="auto"/>
        <w:rPr>
          <w:rFonts w:ascii="宋体" w:hAnsi="宋体"/>
          <w:color w:val="auto"/>
          <w:sz w:val="21"/>
          <w:szCs w:val="21"/>
          <w:highlight w:val="none"/>
        </w:rPr>
      </w:pPr>
    </w:p>
    <w:p w14:paraId="5DACAA6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3"/>
        <w:jc w:val="center"/>
        <w:rPr>
          <w:rFonts w:ascii="宋体" w:hAnsi="宋体"/>
          <w:color w:val="auto"/>
          <w:sz w:val="28"/>
          <w:szCs w:val="28"/>
          <w:highlight w:val="none"/>
        </w:rPr>
      </w:pPr>
      <w:bookmarkStart w:id="54" w:name="_Toc433187367"/>
      <w:bookmarkStart w:id="55" w:name="_Toc161933898"/>
      <w:r>
        <w:rPr>
          <w:rFonts w:hint="eastAsia" w:ascii="宋体" w:hAnsi="宋体"/>
          <w:color w:val="auto"/>
          <w:sz w:val="28"/>
          <w:szCs w:val="28"/>
          <w:highlight w:val="none"/>
        </w:rPr>
        <w:t>三、</w:t>
      </w:r>
      <w:bookmarkEnd w:id="54"/>
      <w:r>
        <w:rPr>
          <w:rFonts w:hint="eastAsia" w:ascii="宋体" w:hAnsi="宋体"/>
          <w:color w:val="auto"/>
          <w:sz w:val="28"/>
          <w:szCs w:val="28"/>
          <w:highlight w:val="none"/>
        </w:rPr>
        <w:t>投标保证金</w:t>
      </w:r>
      <w:bookmarkEnd w:id="55"/>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3"/>
        <w:jc w:val="center"/>
        <w:rPr>
          <w:rFonts w:ascii="宋体" w:hAnsi="宋体"/>
          <w:color w:val="auto"/>
          <w:sz w:val="28"/>
          <w:szCs w:val="28"/>
          <w:highlight w:val="none"/>
        </w:rPr>
      </w:pPr>
      <w:r>
        <w:rPr>
          <w:rFonts w:ascii="宋体" w:hAnsi="宋体"/>
          <w:color w:val="auto"/>
          <w:highlight w:val="none"/>
        </w:rPr>
        <w:br w:type="page"/>
      </w:r>
      <w:bookmarkStart w:id="56" w:name="_Toc161933899"/>
      <w:bookmarkStart w:id="57" w:name="_Toc433187368"/>
      <w:r>
        <w:rPr>
          <w:rFonts w:hint="eastAsia" w:ascii="宋体" w:hAnsi="宋体"/>
          <w:color w:val="auto"/>
          <w:sz w:val="28"/>
          <w:szCs w:val="28"/>
          <w:highlight w:val="none"/>
        </w:rPr>
        <w:t>四、报价一览表及报价明细表</w:t>
      </w:r>
      <w:bookmarkEnd w:id="56"/>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533A611E">
      <w:pPr>
        <w:spacing w:line="360" w:lineRule="exact"/>
        <w:jc w:val="left"/>
        <w:rPr>
          <w:rFonts w:ascii="宋体" w:hAnsi="宋体"/>
          <w:color w:val="auto"/>
          <w:sz w:val="24"/>
          <w:highlight w:val="none"/>
        </w:rPr>
      </w:pPr>
      <w:r>
        <w:rPr>
          <w:rFonts w:hint="eastAsia" w:ascii="宋体" w:hAnsi="宋体"/>
          <w:b/>
          <w:color w:val="auto"/>
          <w:highlight w:val="none"/>
        </w:rPr>
        <w:t xml:space="preserve">项目名称：                                                                                  项目编号：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47AB877D">
      <w:pPr>
        <w:spacing w:line="360" w:lineRule="exact"/>
        <w:jc w:val="left"/>
        <w:rPr>
          <w:rFonts w:ascii="宋体" w:hAnsi="宋体"/>
          <w:b/>
          <w:color w:val="auto"/>
          <w:highlight w:val="none"/>
        </w:rPr>
      </w:pPr>
      <w:r>
        <w:rPr>
          <w:rFonts w:hint="eastAsia" w:ascii="宋体" w:hAnsi="宋体"/>
          <w:b/>
          <w:color w:val="auto"/>
          <w:highlight w:val="none"/>
        </w:rPr>
        <w:t>项目编号：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58"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58"/>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59" w:name="OLE_LINK14"/>
      <w:bookmarkStart w:id="60"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1" w:name="_Hlk73465908"/>
      <w:r>
        <w:rPr>
          <w:rFonts w:hint="eastAsia" w:ascii="宋体" w:hAnsi="宋体" w:cs="宋体"/>
          <w:b/>
          <w:bCs/>
          <w:color w:val="auto"/>
          <w:spacing w:val="6"/>
          <w:kern w:val="0"/>
          <w:sz w:val="24"/>
          <w:highlight w:val="none"/>
        </w:rPr>
        <w:t>残疾人福利性单位声明函</w:t>
      </w:r>
    </w:p>
    <w:bookmarkEnd w:id="59"/>
    <w:bookmarkEnd w:id="60"/>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1"/>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2"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18"/>
        <w:rPr>
          <w:color w:val="auto"/>
          <w:highlight w:val="none"/>
        </w:rPr>
      </w:pPr>
    </w:p>
    <w:p w14:paraId="76B147DF">
      <w:pPr>
        <w:pStyle w:val="18"/>
        <w:rPr>
          <w:color w:val="auto"/>
          <w:highlight w:val="none"/>
        </w:rPr>
      </w:pPr>
    </w:p>
    <w:p w14:paraId="02A4D8D3">
      <w:pPr>
        <w:pStyle w:val="18"/>
        <w:rPr>
          <w:color w:val="auto"/>
          <w:highlight w:val="none"/>
        </w:rPr>
      </w:pPr>
    </w:p>
    <w:p w14:paraId="45D41E0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7"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2"/>
    <w:p w14:paraId="7928F7BD">
      <w:pPr>
        <w:pStyle w:val="3"/>
        <w:jc w:val="center"/>
        <w:rPr>
          <w:rFonts w:ascii="宋体" w:hAnsi="宋体"/>
          <w:color w:val="auto"/>
          <w:sz w:val="28"/>
          <w:szCs w:val="28"/>
          <w:highlight w:val="none"/>
        </w:rPr>
      </w:pPr>
      <w:bookmarkStart w:id="63" w:name="_Toc161933900"/>
      <w:r>
        <w:rPr>
          <w:rFonts w:hint="eastAsia" w:ascii="宋体" w:hAnsi="宋体"/>
          <w:color w:val="auto"/>
          <w:sz w:val="28"/>
          <w:szCs w:val="28"/>
          <w:highlight w:val="none"/>
        </w:rPr>
        <w:t>五、投标人的资格证明材料</w:t>
      </w:r>
      <w:bookmarkEnd w:id="57"/>
      <w:bookmarkEnd w:id="63"/>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8" w:type="even"/>
          <w:pgSz w:w="11906" w:h="16838"/>
          <w:pgMar w:top="1440" w:right="1800" w:bottom="1440" w:left="1800" w:header="851" w:footer="992" w:gutter="0"/>
          <w:pgNumType w:fmt="decimal"/>
          <w:cols w:space="720" w:num="1"/>
          <w:docGrid w:type="lines" w:linePitch="312" w:charSpace="0"/>
        </w:sectPr>
      </w:pPr>
    </w:p>
    <w:p w14:paraId="49893C44">
      <w:pPr>
        <w:pStyle w:val="3"/>
        <w:jc w:val="center"/>
        <w:rPr>
          <w:rFonts w:ascii="宋体" w:hAnsi="宋体"/>
          <w:color w:val="auto"/>
          <w:sz w:val="28"/>
          <w:szCs w:val="28"/>
          <w:highlight w:val="none"/>
        </w:rPr>
      </w:pPr>
      <w:bookmarkStart w:id="64" w:name="_Toc161933901"/>
      <w:bookmarkStart w:id="65" w:name="_Toc433187369"/>
      <w:r>
        <w:rPr>
          <w:rFonts w:hint="eastAsia" w:ascii="宋体" w:hAnsi="宋体"/>
          <w:color w:val="auto"/>
          <w:sz w:val="28"/>
          <w:szCs w:val="28"/>
          <w:highlight w:val="none"/>
        </w:rPr>
        <w:t>六、项目方案</w:t>
      </w:r>
      <w:bookmarkEnd w:id="64"/>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6" w:name="_Toc531624162"/>
      <w:bookmarkStart w:id="67" w:name="_Toc533178576"/>
      <w:bookmarkStart w:id="68" w:name="_Toc3979604"/>
      <w:r>
        <w:rPr>
          <w:rFonts w:hint="eastAsia" w:ascii="宋体" w:hAnsi="宋体"/>
          <w:bCs/>
          <w:color w:val="auto"/>
          <w:sz w:val="24"/>
          <w:highlight w:val="none"/>
        </w:rPr>
        <w:t>附件</w:t>
      </w:r>
      <w:bookmarkEnd w:id="66"/>
      <w:r>
        <w:rPr>
          <w:rFonts w:hint="eastAsia" w:ascii="宋体" w:hAnsi="宋体"/>
          <w:bCs/>
          <w:color w:val="auto"/>
          <w:sz w:val="24"/>
          <w:highlight w:val="none"/>
        </w:rPr>
        <w:t>1</w:t>
      </w:r>
      <w:bookmarkEnd w:id="67"/>
      <w:bookmarkEnd w:id="68"/>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4"/>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3"/>
        <w:jc w:val="center"/>
        <w:rPr>
          <w:rFonts w:ascii="宋体" w:hAnsi="宋体"/>
          <w:color w:val="auto"/>
          <w:highlight w:val="none"/>
        </w:rPr>
      </w:pPr>
      <w:r>
        <w:rPr>
          <w:rFonts w:ascii="宋体" w:hAnsi="宋体"/>
          <w:color w:val="auto"/>
          <w:szCs w:val="21"/>
          <w:highlight w:val="none"/>
        </w:rPr>
        <w:br w:type="page"/>
      </w:r>
      <w:bookmarkEnd w:id="65"/>
      <w:bookmarkStart w:id="69" w:name="_Toc161933902"/>
      <w:bookmarkStart w:id="70" w:name="_Toc439149570"/>
      <w:r>
        <w:rPr>
          <w:rFonts w:hint="eastAsia" w:ascii="宋体" w:hAnsi="宋体"/>
          <w:color w:val="auto"/>
          <w:highlight w:val="none"/>
        </w:rPr>
        <w:t>七、响应/偏离表</w:t>
      </w:r>
      <w:bookmarkEnd w:id="69"/>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6"/>
        <w:adjustRightInd w:val="0"/>
        <w:snapToGrid w:val="0"/>
        <w:spacing w:line="360" w:lineRule="auto"/>
        <w:rPr>
          <w:rFonts w:ascii="宋体" w:hAnsi="宋体"/>
          <w:color w:val="auto"/>
          <w:sz w:val="21"/>
          <w:szCs w:val="21"/>
          <w:highlight w:val="none"/>
        </w:rPr>
      </w:pPr>
    </w:p>
    <w:p w14:paraId="444C2696">
      <w:pPr>
        <w:pStyle w:val="24"/>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6"/>
        <w:adjustRightInd w:val="0"/>
        <w:snapToGrid w:val="0"/>
        <w:spacing w:line="360" w:lineRule="auto"/>
        <w:rPr>
          <w:rFonts w:ascii="宋体" w:hAnsi="宋体"/>
          <w:color w:val="auto"/>
          <w:sz w:val="21"/>
          <w:szCs w:val="21"/>
          <w:highlight w:val="none"/>
          <w:u w:val="single"/>
        </w:rPr>
      </w:pPr>
    </w:p>
    <w:p w14:paraId="039D5F88">
      <w:pPr>
        <w:pStyle w:val="26"/>
        <w:adjustRightInd w:val="0"/>
        <w:snapToGrid w:val="0"/>
        <w:spacing w:line="360" w:lineRule="auto"/>
        <w:rPr>
          <w:rFonts w:ascii="宋体" w:hAnsi="宋体"/>
          <w:color w:val="auto"/>
          <w:sz w:val="21"/>
          <w:szCs w:val="21"/>
          <w:highlight w:val="none"/>
          <w:u w:val="single"/>
        </w:rPr>
      </w:pPr>
    </w:p>
    <w:p w14:paraId="3542D50F">
      <w:pPr>
        <w:pStyle w:val="26"/>
        <w:adjustRightInd w:val="0"/>
        <w:snapToGrid w:val="0"/>
        <w:spacing w:line="360" w:lineRule="auto"/>
        <w:rPr>
          <w:rFonts w:ascii="宋体" w:hAnsi="宋体"/>
          <w:color w:val="auto"/>
          <w:sz w:val="21"/>
          <w:szCs w:val="21"/>
          <w:highlight w:val="none"/>
          <w:u w:val="single"/>
        </w:rPr>
      </w:pPr>
      <w:bookmarkStart w:id="71" w:name="_Toc12906832"/>
    </w:p>
    <w:p w14:paraId="1A7E9356">
      <w:pPr>
        <w:pStyle w:val="26"/>
        <w:adjustRightInd w:val="0"/>
        <w:snapToGrid w:val="0"/>
        <w:spacing w:line="360" w:lineRule="auto"/>
        <w:rPr>
          <w:rFonts w:ascii="宋体" w:hAnsi="宋体"/>
          <w:color w:val="auto"/>
          <w:sz w:val="21"/>
          <w:szCs w:val="21"/>
          <w:highlight w:val="none"/>
          <w:u w:val="single"/>
        </w:rPr>
      </w:pPr>
    </w:p>
    <w:p w14:paraId="4FEF53A6">
      <w:pPr>
        <w:pStyle w:val="26"/>
        <w:adjustRightInd w:val="0"/>
        <w:snapToGrid w:val="0"/>
        <w:spacing w:line="360" w:lineRule="auto"/>
        <w:rPr>
          <w:rFonts w:ascii="宋体" w:hAnsi="宋体"/>
          <w:color w:val="auto"/>
          <w:sz w:val="21"/>
          <w:szCs w:val="21"/>
          <w:highlight w:val="none"/>
          <w:u w:val="single"/>
        </w:rPr>
      </w:pPr>
    </w:p>
    <w:bookmarkEnd w:id="71"/>
    <w:p w14:paraId="51198F3D">
      <w:pPr>
        <w:adjustRightInd w:val="0"/>
        <w:snapToGrid w:val="0"/>
        <w:spacing w:line="360" w:lineRule="auto"/>
        <w:outlineLvl w:val="1"/>
        <w:rPr>
          <w:rFonts w:ascii="宋体" w:hAnsi="宋体"/>
          <w:color w:val="auto"/>
          <w:szCs w:val="21"/>
          <w:highlight w:val="none"/>
          <w:u w:val="single"/>
        </w:rPr>
        <w:sectPr>
          <w:footerReference r:id="rId9" w:type="even"/>
          <w:pgSz w:w="11906" w:h="16838"/>
          <w:pgMar w:top="1440" w:right="1797" w:bottom="1440" w:left="1797" w:header="851" w:footer="992" w:gutter="0"/>
          <w:pgNumType w:fmt="decimal"/>
          <w:cols w:space="720" w:num="1"/>
          <w:docGrid w:linePitch="312" w:charSpace="0"/>
        </w:sectPr>
      </w:pPr>
    </w:p>
    <w:p w14:paraId="50A4F32D">
      <w:pPr>
        <w:pStyle w:val="3"/>
        <w:jc w:val="center"/>
        <w:rPr>
          <w:rFonts w:ascii="宋体" w:hAnsi="宋体"/>
          <w:color w:val="auto"/>
          <w:sz w:val="28"/>
          <w:szCs w:val="28"/>
          <w:highlight w:val="none"/>
        </w:rPr>
      </w:pPr>
      <w:bookmarkStart w:id="72" w:name="_Toc161933903"/>
      <w:r>
        <w:rPr>
          <w:rFonts w:hint="eastAsia" w:ascii="宋体" w:hAnsi="宋体"/>
          <w:color w:val="auto"/>
          <w:sz w:val="28"/>
          <w:szCs w:val="28"/>
          <w:highlight w:val="none"/>
        </w:rPr>
        <w:t>八、投标人认为需要提供的其它资料</w:t>
      </w:r>
      <w:bookmarkEnd w:id="70"/>
      <w:bookmarkEnd w:id="72"/>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0"/>
      <w:pBdr>
        <w:bottom w:val="none" w:color="auto" w:sz="0" w:space="0"/>
      </w:pBdr>
      <w:jc w:val="right"/>
    </w:pPr>
    <w:r>
      <w:rPr>
        <w:rFonts w:hint="eastAsia"/>
      </w:rPr>
      <w:t xml:space="preserve"> </w:t>
    </w:r>
    <w:r>
      <w:t xml:space="preserve">   </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74E0B265"/>
    <w:multiLevelType w:val="singleLevel"/>
    <w:tmpl w:val="74E0B26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8A58CB"/>
    <w:rsid w:val="02BE3A7E"/>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46B6E96"/>
    <w:rsid w:val="1597143B"/>
    <w:rsid w:val="15F01D49"/>
    <w:rsid w:val="17876149"/>
    <w:rsid w:val="17CA65CA"/>
    <w:rsid w:val="1942722A"/>
    <w:rsid w:val="19A8735C"/>
    <w:rsid w:val="1AA44EB0"/>
    <w:rsid w:val="1B7E6D29"/>
    <w:rsid w:val="1C4807FE"/>
    <w:rsid w:val="202C00F5"/>
    <w:rsid w:val="205B22B2"/>
    <w:rsid w:val="222D01DC"/>
    <w:rsid w:val="227402E9"/>
    <w:rsid w:val="22AD4B1E"/>
    <w:rsid w:val="25C738C2"/>
    <w:rsid w:val="25E736F3"/>
    <w:rsid w:val="25F25669"/>
    <w:rsid w:val="27862B69"/>
    <w:rsid w:val="2858580E"/>
    <w:rsid w:val="28DF55E9"/>
    <w:rsid w:val="2AA9206F"/>
    <w:rsid w:val="2DC02177"/>
    <w:rsid w:val="2F21159B"/>
    <w:rsid w:val="2F6242E5"/>
    <w:rsid w:val="2F8C006E"/>
    <w:rsid w:val="2FDD18E2"/>
    <w:rsid w:val="312A43D2"/>
    <w:rsid w:val="32110C25"/>
    <w:rsid w:val="32481BE1"/>
    <w:rsid w:val="33AC3D18"/>
    <w:rsid w:val="35571045"/>
    <w:rsid w:val="35A80B15"/>
    <w:rsid w:val="36013076"/>
    <w:rsid w:val="3A8414FA"/>
    <w:rsid w:val="3B412E66"/>
    <w:rsid w:val="3BF4487B"/>
    <w:rsid w:val="3C853D0C"/>
    <w:rsid w:val="3CF35A33"/>
    <w:rsid w:val="3D107C99"/>
    <w:rsid w:val="3D8D40E0"/>
    <w:rsid w:val="3E0C23F2"/>
    <w:rsid w:val="3EB46D47"/>
    <w:rsid w:val="3F450160"/>
    <w:rsid w:val="3FEF145E"/>
    <w:rsid w:val="45764C38"/>
    <w:rsid w:val="45B778DE"/>
    <w:rsid w:val="479D35E9"/>
    <w:rsid w:val="47DA5636"/>
    <w:rsid w:val="483F3FB3"/>
    <w:rsid w:val="4E7B76FB"/>
    <w:rsid w:val="4FBB0836"/>
    <w:rsid w:val="51BD7ED9"/>
    <w:rsid w:val="51E27E6A"/>
    <w:rsid w:val="542B4A38"/>
    <w:rsid w:val="57DF519E"/>
    <w:rsid w:val="58263061"/>
    <w:rsid w:val="59C459ED"/>
    <w:rsid w:val="59F32D2E"/>
    <w:rsid w:val="5A644857"/>
    <w:rsid w:val="5B117C88"/>
    <w:rsid w:val="5B69000D"/>
    <w:rsid w:val="5D5757D7"/>
    <w:rsid w:val="5F3C390C"/>
    <w:rsid w:val="5F4973A1"/>
    <w:rsid w:val="61250CEA"/>
    <w:rsid w:val="63371354"/>
    <w:rsid w:val="665B1146"/>
    <w:rsid w:val="67B348FD"/>
    <w:rsid w:val="68064D12"/>
    <w:rsid w:val="6902505D"/>
    <w:rsid w:val="69327182"/>
    <w:rsid w:val="69825989"/>
    <w:rsid w:val="69E34873"/>
    <w:rsid w:val="6ACD7CE2"/>
    <w:rsid w:val="6C0A1E4A"/>
    <w:rsid w:val="6E2C7516"/>
    <w:rsid w:val="72A3472B"/>
    <w:rsid w:val="73F024A5"/>
    <w:rsid w:val="77CA4EC1"/>
    <w:rsid w:val="78032CCB"/>
    <w:rsid w:val="788928EB"/>
    <w:rsid w:val="79341F69"/>
    <w:rsid w:val="799803B4"/>
    <w:rsid w:val="7B0F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spacing w:line="360" w:lineRule="auto"/>
      <w:jc w:val="center"/>
      <w:outlineLvl w:val="0"/>
    </w:pPr>
    <w:rPr>
      <w:b/>
      <w:bCs/>
      <w:sz w:val="28"/>
      <w:szCs w:val="20"/>
    </w:rPr>
  </w:style>
  <w:style w:type="paragraph" w:styleId="3">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72"/>
    <w:autoRedefine/>
    <w:semiHidden/>
    <w:qFormat/>
    <w:uiPriority w:val="0"/>
    <w:pPr>
      <w:shd w:val="clear" w:color="auto" w:fill="000080"/>
    </w:pPr>
  </w:style>
  <w:style w:type="paragraph" w:styleId="14">
    <w:name w:val="toa heading"/>
    <w:basedOn w:val="1"/>
    <w:next w:val="1"/>
    <w:autoRedefine/>
    <w:qFormat/>
    <w:uiPriority w:val="99"/>
    <w:pPr>
      <w:spacing w:before="120"/>
    </w:pPr>
    <w:rPr>
      <w:rFonts w:ascii="Cambria" w:hAnsi="Cambria"/>
      <w:sz w:val="24"/>
    </w:rPr>
  </w:style>
  <w:style w:type="paragraph" w:styleId="15">
    <w:name w:val="annotation text"/>
    <w:basedOn w:val="1"/>
    <w:link w:val="73"/>
    <w:autoRedefine/>
    <w:semiHidden/>
    <w:qFormat/>
    <w:uiPriority w:val="0"/>
    <w:pPr>
      <w:jc w:val="left"/>
    </w:pPr>
  </w:style>
  <w:style w:type="paragraph" w:styleId="16">
    <w:name w:val="Salutation"/>
    <w:basedOn w:val="1"/>
    <w:next w:val="1"/>
    <w:link w:val="74"/>
    <w:autoRedefine/>
    <w:qFormat/>
    <w:uiPriority w:val="0"/>
    <w:rPr>
      <w:rFonts w:ascii="仿宋_GB2312" w:eastAsia="仿宋_GB2312"/>
      <w:sz w:val="24"/>
    </w:rPr>
  </w:style>
  <w:style w:type="paragraph" w:styleId="17">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8">
    <w:name w:val="Body Text"/>
    <w:basedOn w:val="1"/>
    <w:next w:val="1"/>
    <w:link w:val="62"/>
    <w:autoRedefine/>
    <w:qFormat/>
    <w:uiPriority w:val="99"/>
    <w:pPr>
      <w:spacing w:after="120"/>
      <w:jc w:val="center"/>
    </w:pPr>
    <w:rPr>
      <w:b/>
    </w:rPr>
  </w:style>
  <w:style w:type="paragraph" w:styleId="19">
    <w:name w:val="Body Text Indent"/>
    <w:basedOn w:val="1"/>
    <w:next w:val="12"/>
    <w:link w:val="76"/>
    <w:autoRedefine/>
    <w:qFormat/>
    <w:uiPriority w:val="0"/>
    <w:pPr>
      <w:spacing w:after="120"/>
      <w:ind w:left="420" w:leftChars="200"/>
    </w:pPr>
  </w:style>
  <w:style w:type="paragraph" w:styleId="20">
    <w:name w:val="Block Text"/>
    <w:basedOn w:val="1"/>
    <w:autoRedefine/>
    <w:qFormat/>
    <w:uiPriority w:val="0"/>
    <w:pPr>
      <w:ind w:left="1171" w:right="91" w:hanging="1080"/>
    </w:pPr>
    <w:rPr>
      <w:rFonts w:eastAsia="楷体_GB2312"/>
      <w:szCs w:val="20"/>
    </w:rPr>
  </w:style>
  <w:style w:type="paragraph" w:styleId="21">
    <w:name w:val="index 4"/>
    <w:basedOn w:val="1"/>
    <w:next w:val="1"/>
    <w:autoRedefine/>
    <w:unhideWhenUsed/>
    <w:qFormat/>
    <w:uiPriority w:val="99"/>
    <w:pPr>
      <w:ind w:left="600" w:leftChars="600"/>
    </w:pPr>
    <w:rPr>
      <w:rFonts w:ascii="Calibri" w:hAnsi="Calibri"/>
    </w:rPr>
  </w:style>
  <w:style w:type="paragraph" w:styleId="22">
    <w:name w:val="toc 5"/>
    <w:basedOn w:val="1"/>
    <w:next w:val="1"/>
    <w:autoRedefine/>
    <w:qFormat/>
    <w:uiPriority w:val="0"/>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link w:val="77"/>
    <w:autoRedefine/>
    <w:qFormat/>
    <w:uiPriority w:val="99"/>
    <w:rPr>
      <w:sz w:val="24"/>
      <w:szCs w:val="20"/>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8"/>
    <w:autoRedefine/>
    <w:qFormat/>
    <w:uiPriority w:val="0"/>
    <w:rPr>
      <w:sz w:val="24"/>
      <w:szCs w:val="20"/>
    </w:rPr>
  </w:style>
  <w:style w:type="paragraph" w:styleId="27">
    <w:name w:val="Body Text Indent 2"/>
    <w:basedOn w:val="1"/>
    <w:link w:val="79"/>
    <w:autoRedefine/>
    <w:qFormat/>
    <w:uiPriority w:val="0"/>
    <w:pPr>
      <w:spacing w:after="120" w:line="480" w:lineRule="auto"/>
      <w:ind w:left="420" w:leftChars="200"/>
    </w:pPr>
  </w:style>
  <w:style w:type="paragraph" w:styleId="28">
    <w:name w:val="Balloon Text"/>
    <w:basedOn w:val="1"/>
    <w:link w:val="80"/>
    <w:autoRedefine/>
    <w:qFormat/>
    <w:uiPriority w:val="0"/>
    <w:rPr>
      <w:rFonts w:ascii="Calibri" w:hAnsi="Calibri"/>
      <w:sz w:val="18"/>
      <w:szCs w:val="18"/>
    </w:rPr>
  </w:style>
  <w:style w:type="paragraph" w:styleId="29">
    <w:name w:val="footer"/>
    <w:basedOn w:val="1"/>
    <w:link w:val="81"/>
    <w:autoRedefine/>
    <w:qFormat/>
    <w:uiPriority w:val="99"/>
    <w:pPr>
      <w:tabs>
        <w:tab w:val="center" w:pos="4153"/>
        <w:tab w:val="right" w:pos="8306"/>
      </w:tabs>
      <w:snapToGrid w:val="0"/>
      <w:jc w:val="left"/>
    </w:pPr>
    <w:rPr>
      <w:sz w:val="18"/>
      <w:szCs w:val="18"/>
    </w:rPr>
  </w:style>
  <w:style w:type="paragraph" w:styleId="30">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500" w:lineRule="exact"/>
    </w:pPr>
    <w:rPr>
      <w:rFonts w:ascii="黑体"/>
      <w:b/>
      <w:sz w:val="24"/>
    </w:rPr>
  </w:style>
  <w:style w:type="paragraph" w:styleId="32">
    <w:name w:val="toc 4"/>
    <w:basedOn w:val="1"/>
    <w:next w:val="1"/>
    <w:autoRedefine/>
    <w:qFormat/>
    <w:uiPriority w:val="0"/>
    <w:pPr>
      <w:ind w:left="1260" w:leftChars="600"/>
    </w:pPr>
  </w:style>
  <w:style w:type="paragraph" w:styleId="33">
    <w:name w:val="index heading"/>
    <w:basedOn w:val="1"/>
    <w:next w:val="34"/>
    <w:autoRedefine/>
    <w:semiHidden/>
    <w:qFormat/>
    <w:uiPriority w:val="0"/>
  </w:style>
  <w:style w:type="paragraph" w:styleId="34">
    <w:name w:val="index 1"/>
    <w:basedOn w:val="1"/>
    <w:next w:val="1"/>
    <w:autoRedefine/>
    <w:unhideWhenUsed/>
    <w:qFormat/>
    <w:uiPriority w:val="0"/>
  </w:style>
  <w:style w:type="paragraph" w:styleId="35">
    <w:name w:val="List"/>
    <w:basedOn w:val="1"/>
    <w:autoRedefine/>
    <w:qFormat/>
    <w:uiPriority w:val="0"/>
    <w:pPr>
      <w:ind w:left="200" w:hanging="200" w:hangingChars="200"/>
    </w:pPr>
    <w:rPr>
      <w:sz w:val="28"/>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3"/>
    <w:autoRedefine/>
    <w:qFormat/>
    <w:uiPriority w:val="0"/>
    <w:pPr>
      <w:spacing w:after="120"/>
      <w:ind w:left="420" w:leftChars="200"/>
    </w:pPr>
    <w:rPr>
      <w:sz w:val="16"/>
      <w:szCs w:val="16"/>
    </w:rPr>
  </w:style>
  <w:style w:type="paragraph" w:styleId="38">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39">
    <w:name w:val="toc 9"/>
    <w:basedOn w:val="1"/>
    <w:next w:val="1"/>
    <w:autoRedefine/>
    <w:qFormat/>
    <w:uiPriority w:val="0"/>
    <w:pPr>
      <w:ind w:left="3360" w:leftChars="1600"/>
    </w:pPr>
    <w:rPr>
      <w:rFonts w:ascii="Calibri" w:hAnsi="Calibri"/>
      <w:szCs w:val="22"/>
    </w:rPr>
  </w:style>
  <w:style w:type="paragraph" w:styleId="40">
    <w:name w:val="Body Text 2"/>
    <w:basedOn w:val="1"/>
    <w:link w:val="84"/>
    <w:autoRedefine/>
    <w:qFormat/>
    <w:uiPriority w:val="0"/>
    <w:pPr>
      <w:spacing w:after="120" w:line="480" w:lineRule="auto"/>
    </w:p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3">
    <w:name w:val="Title"/>
    <w:basedOn w:val="1"/>
    <w:next w:val="1"/>
    <w:link w:val="86"/>
    <w:autoRedefine/>
    <w:qFormat/>
    <w:uiPriority w:val="0"/>
    <w:pPr>
      <w:spacing w:before="240" w:after="60"/>
      <w:jc w:val="center"/>
      <w:outlineLvl w:val="0"/>
    </w:pPr>
    <w:rPr>
      <w:rFonts w:ascii="Cambria" w:hAnsi="Cambria"/>
      <w:b/>
      <w:sz w:val="32"/>
    </w:rPr>
  </w:style>
  <w:style w:type="paragraph" w:styleId="44">
    <w:name w:val="annotation subject"/>
    <w:basedOn w:val="15"/>
    <w:next w:val="15"/>
    <w:link w:val="87"/>
    <w:autoRedefine/>
    <w:qFormat/>
    <w:uiPriority w:val="0"/>
    <w:rPr>
      <w:b/>
      <w:bCs/>
    </w:rPr>
  </w:style>
  <w:style w:type="paragraph" w:styleId="45">
    <w:name w:val="Body Text First Indent"/>
    <w:basedOn w:val="18"/>
    <w:link w:val="88"/>
    <w:autoRedefine/>
    <w:qFormat/>
    <w:uiPriority w:val="0"/>
    <w:pPr>
      <w:ind w:firstLine="420" w:firstLineChars="100"/>
    </w:pPr>
  </w:style>
  <w:style w:type="paragraph" w:styleId="46">
    <w:name w:val="Body Text First Indent 2"/>
    <w:basedOn w:val="19"/>
    <w:next w:val="1"/>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18"/>
    <w:autoRedefine/>
    <w:qFormat/>
    <w:uiPriority w:val="99"/>
    <w:rPr>
      <w:b/>
      <w:kern w:val="2"/>
      <w:sz w:val="21"/>
      <w:szCs w:val="24"/>
    </w:rPr>
  </w:style>
  <w:style w:type="character" w:customStyle="1" w:styleId="63">
    <w:name w:val="标题 1 字符"/>
    <w:basedOn w:val="49"/>
    <w:link w:val="2"/>
    <w:autoRedefine/>
    <w:qFormat/>
    <w:uiPriority w:val="0"/>
    <w:rPr>
      <w:rFonts w:ascii="Times New Roman" w:hAnsi="Times New Roman" w:eastAsia="宋体" w:cs="Times New Roman"/>
      <w:b/>
      <w:bCs/>
      <w:sz w:val="28"/>
      <w:szCs w:val="20"/>
    </w:rPr>
  </w:style>
  <w:style w:type="character" w:customStyle="1" w:styleId="64">
    <w:name w:val="标题 2 字符"/>
    <w:basedOn w:val="49"/>
    <w:link w:val="3"/>
    <w:autoRedefine/>
    <w:qFormat/>
    <w:uiPriority w:val="0"/>
    <w:rPr>
      <w:rFonts w:ascii="Arial" w:hAnsi="Arial" w:eastAsia="宋体" w:cs="Times New Roman"/>
      <w:b/>
      <w:bCs/>
      <w:sz w:val="24"/>
      <w:szCs w:val="32"/>
    </w:rPr>
  </w:style>
  <w:style w:type="character" w:customStyle="1" w:styleId="65">
    <w:name w:val="标题 3 字符"/>
    <w:basedOn w:val="49"/>
    <w:link w:val="4"/>
    <w:autoRedefine/>
    <w:qFormat/>
    <w:uiPriority w:val="0"/>
    <w:rPr>
      <w:rFonts w:ascii="Times New Roman" w:hAnsi="Times New Roman" w:eastAsia="宋体" w:cs="Times New Roman"/>
      <w:b/>
      <w:bCs/>
      <w:sz w:val="32"/>
      <w:szCs w:val="32"/>
    </w:rPr>
  </w:style>
  <w:style w:type="character" w:customStyle="1" w:styleId="66">
    <w:name w:val="标题 4 字符"/>
    <w:basedOn w:val="49"/>
    <w:link w:val="5"/>
    <w:autoRedefine/>
    <w:qFormat/>
    <w:uiPriority w:val="0"/>
    <w:rPr>
      <w:rFonts w:ascii="Arial" w:hAnsi="Arial" w:eastAsia="黑体" w:cs="Times New Roman"/>
      <w:b/>
      <w:bCs/>
      <w:sz w:val="28"/>
      <w:szCs w:val="28"/>
    </w:rPr>
  </w:style>
  <w:style w:type="character" w:customStyle="1" w:styleId="67">
    <w:name w:val="标题 5 字符"/>
    <w:basedOn w:val="49"/>
    <w:link w:val="6"/>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7"/>
    <w:autoRedefine/>
    <w:qFormat/>
    <w:uiPriority w:val="0"/>
    <w:rPr>
      <w:rFonts w:ascii="Arial" w:hAnsi="Arial" w:eastAsia="黑体" w:cs="Times New Roman"/>
      <w:b/>
      <w:bCs/>
      <w:kern w:val="0"/>
      <w:sz w:val="24"/>
      <w:szCs w:val="24"/>
    </w:rPr>
  </w:style>
  <w:style w:type="character" w:customStyle="1" w:styleId="69">
    <w:name w:val="标题 7 字符"/>
    <w:basedOn w:val="49"/>
    <w:link w:val="8"/>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9"/>
    <w:autoRedefine/>
    <w:qFormat/>
    <w:uiPriority w:val="0"/>
    <w:rPr>
      <w:rFonts w:ascii="Arial" w:hAnsi="Arial" w:eastAsia="黑体" w:cs="Times New Roman"/>
      <w:kern w:val="0"/>
      <w:sz w:val="24"/>
      <w:szCs w:val="24"/>
    </w:rPr>
  </w:style>
  <w:style w:type="character" w:customStyle="1" w:styleId="71">
    <w:name w:val="标题 9 字符"/>
    <w:basedOn w:val="49"/>
    <w:link w:val="10"/>
    <w:autoRedefine/>
    <w:qFormat/>
    <w:uiPriority w:val="0"/>
    <w:rPr>
      <w:rFonts w:ascii="Arial" w:hAnsi="Arial" w:eastAsia="黑体" w:cs="Times New Roman"/>
      <w:kern w:val="0"/>
      <w:szCs w:val="21"/>
    </w:rPr>
  </w:style>
  <w:style w:type="character" w:customStyle="1" w:styleId="72">
    <w:name w:val="文档结构图 字符"/>
    <w:basedOn w:val="49"/>
    <w:link w:val="13"/>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5"/>
    <w:autoRedefine/>
    <w:semiHidden/>
    <w:qFormat/>
    <w:uiPriority w:val="0"/>
    <w:rPr>
      <w:rFonts w:ascii="Times New Roman" w:hAnsi="Times New Roman" w:eastAsia="宋体" w:cs="Times New Roman"/>
      <w:szCs w:val="24"/>
    </w:rPr>
  </w:style>
  <w:style w:type="character" w:customStyle="1" w:styleId="74">
    <w:name w:val="称呼 字符"/>
    <w:basedOn w:val="49"/>
    <w:link w:val="16"/>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7"/>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19"/>
    <w:autoRedefine/>
    <w:qFormat/>
    <w:uiPriority w:val="0"/>
    <w:rPr>
      <w:rFonts w:ascii="Times New Roman" w:hAnsi="Times New Roman" w:eastAsia="宋体" w:cs="Times New Roman"/>
      <w:szCs w:val="24"/>
    </w:rPr>
  </w:style>
  <w:style w:type="character" w:customStyle="1" w:styleId="77">
    <w:name w:val="纯文本 字符"/>
    <w:basedOn w:val="49"/>
    <w:link w:val="24"/>
    <w:autoRedefine/>
    <w:qFormat/>
    <w:uiPriority w:val="99"/>
    <w:rPr>
      <w:rFonts w:ascii="Times New Roman" w:hAnsi="Times New Roman" w:eastAsia="宋体" w:cs="Times New Roman"/>
      <w:sz w:val="24"/>
      <w:szCs w:val="20"/>
    </w:rPr>
  </w:style>
  <w:style w:type="character" w:customStyle="1" w:styleId="78">
    <w:name w:val="日期 字符"/>
    <w:basedOn w:val="49"/>
    <w:link w:val="26"/>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7"/>
    <w:autoRedefine/>
    <w:qFormat/>
    <w:uiPriority w:val="0"/>
    <w:rPr>
      <w:rFonts w:ascii="Times New Roman" w:hAnsi="Times New Roman" w:eastAsia="宋体" w:cs="Times New Roman"/>
      <w:szCs w:val="24"/>
    </w:rPr>
  </w:style>
  <w:style w:type="character" w:customStyle="1" w:styleId="80">
    <w:name w:val="批注框文本 字符"/>
    <w:basedOn w:val="49"/>
    <w:link w:val="28"/>
    <w:autoRedefine/>
    <w:qFormat/>
    <w:uiPriority w:val="0"/>
    <w:rPr>
      <w:rFonts w:ascii="Calibri" w:hAnsi="Calibri" w:eastAsia="宋体" w:cs="Times New Roman"/>
      <w:sz w:val="18"/>
      <w:szCs w:val="18"/>
    </w:rPr>
  </w:style>
  <w:style w:type="character" w:customStyle="1" w:styleId="81">
    <w:name w:val="页脚 字符"/>
    <w:basedOn w:val="49"/>
    <w:link w:val="29"/>
    <w:autoRedefine/>
    <w:qFormat/>
    <w:uiPriority w:val="99"/>
    <w:rPr>
      <w:rFonts w:ascii="Times New Roman" w:hAnsi="Times New Roman" w:eastAsia="宋体" w:cs="Times New Roman"/>
      <w:sz w:val="18"/>
      <w:szCs w:val="18"/>
    </w:rPr>
  </w:style>
  <w:style w:type="character" w:customStyle="1" w:styleId="82">
    <w:name w:val="页眉 字符"/>
    <w:basedOn w:val="49"/>
    <w:link w:val="30"/>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7"/>
    <w:autoRedefine/>
    <w:qFormat/>
    <w:uiPriority w:val="0"/>
    <w:rPr>
      <w:rFonts w:ascii="Times New Roman" w:hAnsi="Times New Roman" w:eastAsia="宋体" w:cs="Times New Roman"/>
      <w:sz w:val="16"/>
      <w:szCs w:val="16"/>
    </w:rPr>
  </w:style>
  <w:style w:type="character" w:customStyle="1" w:styleId="84">
    <w:name w:val="正文文本 2 字符"/>
    <w:basedOn w:val="49"/>
    <w:link w:val="40"/>
    <w:autoRedefine/>
    <w:qFormat/>
    <w:uiPriority w:val="0"/>
    <w:rPr>
      <w:rFonts w:ascii="Times New Roman" w:hAnsi="Times New Roman" w:eastAsia="宋体" w:cs="Times New Roman"/>
      <w:szCs w:val="24"/>
    </w:rPr>
  </w:style>
  <w:style w:type="character" w:customStyle="1" w:styleId="85">
    <w:name w:val="HTML 预设格式 字符"/>
    <w:basedOn w:val="49"/>
    <w:link w:val="41"/>
    <w:autoRedefine/>
    <w:qFormat/>
    <w:uiPriority w:val="0"/>
    <w:rPr>
      <w:rFonts w:ascii="Arial" w:hAnsi="Arial" w:eastAsia="宋体" w:cs="Arial"/>
      <w:kern w:val="0"/>
      <w:sz w:val="24"/>
      <w:szCs w:val="24"/>
    </w:rPr>
  </w:style>
  <w:style w:type="character" w:customStyle="1" w:styleId="86">
    <w:name w:val="标题 字符"/>
    <w:basedOn w:val="49"/>
    <w:link w:val="43"/>
    <w:autoRedefine/>
    <w:qFormat/>
    <w:uiPriority w:val="0"/>
    <w:rPr>
      <w:rFonts w:ascii="Cambria" w:hAnsi="Cambria" w:eastAsia="宋体" w:cs="Times New Roman"/>
      <w:b/>
      <w:sz w:val="32"/>
      <w:szCs w:val="24"/>
    </w:rPr>
  </w:style>
  <w:style w:type="character" w:customStyle="1" w:styleId="87">
    <w:name w:val="批注主题 字符"/>
    <w:basedOn w:val="73"/>
    <w:link w:val="44"/>
    <w:autoRedefine/>
    <w:qFormat/>
    <w:uiPriority w:val="0"/>
    <w:rPr>
      <w:rFonts w:ascii="Times New Roman" w:hAnsi="Times New Roman" w:eastAsia="宋体" w:cs="Times New Roman"/>
      <w:b/>
      <w:bCs/>
      <w:szCs w:val="24"/>
    </w:rPr>
  </w:style>
  <w:style w:type="character" w:customStyle="1" w:styleId="88">
    <w:name w:val="正文首行缩进 字符"/>
    <w:basedOn w:val="62"/>
    <w:link w:val="45"/>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3"/>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18"/>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3"/>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2"/>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2"/>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 w:type="paragraph" w:customStyle="1" w:styleId="3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51</Pages>
  <Words>8960</Words>
  <Characters>9873</Characters>
  <Lines>564</Lines>
  <Paragraphs>158</Paragraphs>
  <TotalTime>12</TotalTime>
  <ScaleCrop>false</ScaleCrop>
  <LinksUpToDate>false</LinksUpToDate>
  <CharactersWithSpaces>10157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2025-06-27T02:19:56Z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