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43262">
      <w:pPr>
        <w:jc w:val="center"/>
        <w:rPr>
          <w:rFonts w:hint="eastAsia" w:ascii="仿宋" w:hAnsi="仿宋" w:eastAsia="仿宋" w:cs="仿宋"/>
          <w:b/>
          <w:bCs/>
          <w:color w:val="auto"/>
          <w:sz w:val="50"/>
          <w:szCs w:val="50"/>
          <w:highlight w:val="none"/>
          <w:lang w:eastAsia="zh-CN"/>
        </w:rPr>
      </w:pPr>
      <w:r>
        <w:rPr>
          <w:rFonts w:hint="eastAsia" w:ascii="仿宋" w:hAnsi="仿宋" w:eastAsia="仿宋" w:cs="仿宋"/>
          <w:b/>
          <w:bCs/>
          <w:color w:val="auto"/>
          <w:sz w:val="50"/>
          <w:szCs w:val="50"/>
          <w:highlight w:val="none"/>
          <w:lang w:eastAsia="zh-CN"/>
        </w:rPr>
        <w:t>喀什地区麦盖提县人民医院综合能力提升设备更新项目县人民医院十四五、十五五等级医院中长期发展规划医疗设备采购第三标段</w:t>
      </w:r>
    </w:p>
    <w:p w14:paraId="2A7F2F6B">
      <w:pPr>
        <w:pStyle w:val="8"/>
        <w:spacing w:line="1261" w:lineRule="exact"/>
        <w:jc w:val="center"/>
        <w:rPr>
          <w:rFonts w:hint="eastAsia" w:ascii="仿宋" w:hAnsi="仿宋" w:eastAsia="仿宋" w:cs="仿宋"/>
          <w:color w:val="auto"/>
          <w:spacing w:val="1"/>
          <w:position w:val="67"/>
          <w:sz w:val="40"/>
          <w:szCs w:val="40"/>
          <w:highlight w:val="none"/>
          <w14:textOutline w14:w="7282" w14:cap="sq" w14:cmpd="sng">
            <w14:solidFill>
              <w14:srgbClr w14:val="000000"/>
            </w14:solidFill>
            <w14:prstDash w14:val="solid"/>
            <w14:bevel/>
          </w14:textOutline>
        </w:rPr>
      </w:pPr>
    </w:p>
    <w:p w14:paraId="4E55CFED">
      <w:pPr>
        <w:pStyle w:val="8"/>
        <w:spacing w:line="1261" w:lineRule="exact"/>
        <w:jc w:val="center"/>
        <w:outlineLvl w:val="0"/>
        <w:rPr>
          <w:rFonts w:hint="eastAsia" w:ascii="仿宋" w:hAnsi="仿宋" w:eastAsia="仿宋" w:cs="仿宋"/>
          <w:color w:val="auto"/>
          <w:sz w:val="40"/>
          <w:szCs w:val="40"/>
          <w:highlight w:val="none"/>
          <w:lang w:eastAsia="zh-CN"/>
        </w:rPr>
      </w:pPr>
      <w:bookmarkStart w:id="0" w:name="_Toc3840"/>
      <w:r>
        <w:rPr>
          <w:rFonts w:hint="eastAsia" w:ascii="仿宋" w:hAnsi="仿宋" w:eastAsia="仿宋" w:cs="仿宋"/>
          <w:color w:val="auto"/>
          <w:spacing w:val="1"/>
          <w:position w:val="67"/>
          <w:sz w:val="40"/>
          <w:szCs w:val="40"/>
          <w:highlight w:val="none"/>
          <w14:textOutline w14:w="7282" w14:cap="sq" w14:cmpd="sng">
            <w14:solidFill>
              <w14:srgbClr w14:val="000000"/>
            </w14:solidFill>
            <w14:prstDash w14:val="solid"/>
            <w14:bevel/>
          </w14:textOutline>
        </w:rPr>
        <w:t>项目编号：</w:t>
      </w:r>
      <w:bookmarkEnd w:id="0"/>
      <w:r>
        <w:rPr>
          <w:rFonts w:hint="eastAsia" w:ascii="仿宋" w:hAnsi="仿宋" w:eastAsia="仿宋" w:cs="仿宋"/>
          <w:color w:val="auto"/>
          <w:position w:val="67"/>
          <w:sz w:val="40"/>
          <w:szCs w:val="40"/>
          <w:highlight w:val="none"/>
          <w:lang w:eastAsia="zh-CN"/>
          <w14:textOutline w14:w="7282" w14:cap="sq" w14:cmpd="sng">
            <w14:solidFill>
              <w14:srgbClr w14:val="000000"/>
            </w14:solidFill>
            <w14:prstDash w14:val="solid"/>
            <w14:bevel/>
          </w14:textOutline>
        </w:rPr>
        <w:t>SJX-2025-375</w:t>
      </w:r>
    </w:p>
    <w:p w14:paraId="4C178D53">
      <w:pPr>
        <w:pStyle w:val="8"/>
        <w:spacing w:line="227" w:lineRule="auto"/>
        <w:jc w:val="center"/>
        <w:outlineLvl w:val="0"/>
        <w:rPr>
          <w:rFonts w:hint="eastAsia" w:ascii="仿宋" w:hAnsi="仿宋" w:eastAsia="仿宋" w:cs="仿宋"/>
          <w:color w:val="auto"/>
          <w:sz w:val="47"/>
          <w:szCs w:val="47"/>
          <w:highlight w:val="none"/>
        </w:rPr>
      </w:pPr>
      <w:bookmarkStart w:id="1" w:name="_Toc15162"/>
      <w:r>
        <w:rPr>
          <w:rFonts w:hint="eastAsia" w:ascii="仿宋" w:hAnsi="仿宋" w:eastAsia="仿宋" w:cs="仿宋"/>
          <w:color w:val="auto"/>
          <w:spacing w:val="2"/>
          <w:sz w:val="47"/>
          <w:szCs w:val="47"/>
          <w:highlight w:val="none"/>
          <w14:textOutline w14:w="8717" w14:cap="sq" w14:cmpd="sng">
            <w14:solidFill>
              <w14:srgbClr w14:val="000000"/>
            </w14:solidFill>
            <w14:prstDash w14:val="solid"/>
            <w14:bevel/>
          </w14:textOutline>
        </w:rPr>
        <w:t>招标文件（电子评标）</w:t>
      </w:r>
      <w:bookmarkEnd w:id="1"/>
    </w:p>
    <w:p w14:paraId="0F21D5A6">
      <w:pPr>
        <w:spacing w:line="347" w:lineRule="auto"/>
        <w:rPr>
          <w:rFonts w:hint="eastAsia" w:ascii="仿宋" w:hAnsi="仿宋" w:eastAsia="仿宋" w:cs="仿宋"/>
          <w:color w:val="auto"/>
          <w:sz w:val="21"/>
          <w:highlight w:val="none"/>
        </w:rPr>
      </w:pPr>
    </w:p>
    <w:p w14:paraId="678A59B3">
      <w:pPr>
        <w:pStyle w:val="8"/>
        <w:spacing w:before="91" w:line="225" w:lineRule="auto"/>
        <w:jc w:val="center"/>
        <w:rPr>
          <w:rFonts w:hint="eastAsia" w:ascii="仿宋" w:hAnsi="仿宋" w:eastAsia="仿宋" w:cs="仿宋"/>
          <w:color w:val="auto"/>
          <w:highlight w:val="none"/>
        </w:rPr>
      </w:pPr>
      <w:r>
        <w:rPr>
          <w:rFonts w:hint="eastAsia" w:ascii="仿宋" w:hAnsi="仿宋" w:eastAsia="仿宋" w:cs="仿宋"/>
          <w:color w:val="auto"/>
          <w:spacing w:val="-6"/>
          <w:highlight w:val="none"/>
          <w14:textOutline w14:w="5103" w14:cap="sq" w14:cmpd="sng">
            <w14:solidFill>
              <w14:srgbClr w14:val="000000"/>
            </w14:solidFill>
            <w14:prstDash w14:val="solid"/>
            <w14:bevel/>
          </w14:textOutline>
        </w:rPr>
        <w:t>（第一册）</w:t>
      </w:r>
    </w:p>
    <w:p w14:paraId="3270518F">
      <w:pPr>
        <w:spacing w:line="286" w:lineRule="auto"/>
        <w:rPr>
          <w:rFonts w:hint="eastAsia" w:ascii="仿宋" w:hAnsi="仿宋" w:eastAsia="仿宋" w:cs="仿宋"/>
          <w:color w:val="auto"/>
          <w:sz w:val="21"/>
          <w:highlight w:val="none"/>
        </w:rPr>
      </w:pPr>
    </w:p>
    <w:p w14:paraId="23124B40">
      <w:pPr>
        <w:spacing w:line="287" w:lineRule="auto"/>
        <w:rPr>
          <w:rFonts w:hint="eastAsia" w:ascii="仿宋" w:hAnsi="仿宋" w:eastAsia="仿宋" w:cs="仿宋"/>
          <w:color w:val="auto"/>
          <w:sz w:val="21"/>
          <w:highlight w:val="none"/>
        </w:rPr>
      </w:pPr>
    </w:p>
    <w:p w14:paraId="7D1D98F1">
      <w:pPr>
        <w:spacing w:line="287" w:lineRule="auto"/>
        <w:rPr>
          <w:rFonts w:hint="eastAsia" w:ascii="仿宋" w:hAnsi="仿宋" w:eastAsia="仿宋" w:cs="仿宋"/>
          <w:color w:val="auto"/>
          <w:sz w:val="21"/>
          <w:highlight w:val="none"/>
        </w:rPr>
      </w:pPr>
    </w:p>
    <w:p w14:paraId="63E03003">
      <w:pPr>
        <w:pStyle w:val="8"/>
        <w:keepNext w:val="0"/>
        <w:keepLines w:val="0"/>
        <w:pageBreakBefore w:val="0"/>
        <w:widowControl/>
        <w:kinsoku w:val="0"/>
        <w:wordWrap/>
        <w:overflowPunct/>
        <w:topLinePunct w:val="0"/>
        <w:autoSpaceDE w:val="0"/>
        <w:autoSpaceDN w:val="0"/>
        <w:bidi w:val="0"/>
        <w:adjustRightInd w:val="0"/>
        <w:snapToGrid w:val="0"/>
        <w:spacing w:before="91" w:line="260" w:lineRule="exact"/>
        <w:ind w:left="583"/>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14:textOutline w14:w="5103" w14:cap="sq" w14:cmpd="sng">
            <w14:solidFill>
              <w14:srgbClr w14:val="000000"/>
            </w14:solidFill>
            <w14:prstDash w14:val="solid"/>
            <w14:bevel/>
          </w14:textOutline>
        </w:rPr>
        <w:t>采购单位名称：</w:t>
      </w:r>
      <w:r>
        <w:rPr>
          <w:rFonts w:hint="eastAsia" w:ascii="仿宋" w:hAnsi="仿宋" w:eastAsia="仿宋" w:cs="仿宋"/>
          <w:color w:val="auto"/>
          <w:highlight w:val="none"/>
          <w:u w:val="single" w:color="000000"/>
          <w:lang w:eastAsia="zh-CN"/>
          <w14:textOutline w14:w="5103" w14:cap="sq" w14:cmpd="sng">
            <w14:solidFill>
              <w14:srgbClr w14:val="000000"/>
            </w14:solidFill>
            <w14:prstDash w14:val="solid"/>
            <w14:bevel/>
          </w14:textOutline>
        </w:rPr>
        <w:t>麦盖提县人民医院</w:t>
      </w:r>
    </w:p>
    <w:p w14:paraId="4DA7DEA5">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2727F70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15C9BD63">
      <w:pPr>
        <w:pStyle w:val="8"/>
        <w:keepNext w:val="0"/>
        <w:keepLines w:val="0"/>
        <w:pageBreakBefore w:val="0"/>
        <w:widowControl/>
        <w:kinsoku w:val="0"/>
        <w:wordWrap/>
        <w:overflowPunct/>
        <w:topLinePunct w:val="0"/>
        <w:autoSpaceDE w:val="0"/>
        <w:autoSpaceDN w:val="0"/>
        <w:bidi w:val="0"/>
        <w:adjustRightInd w:val="0"/>
        <w:snapToGrid w:val="0"/>
        <w:spacing w:before="91" w:line="260" w:lineRule="exact"/>
        <w:ind w:left="586"/>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10"/>
          <w:highlight w:val="none"/>
          <w14:textOutline w14:w="5103" w14:cap="sq" w14:cmpd="sng">
            <w14:solidFill>
              <w14:srgbClr w14:val="000000"/>
            </w14:solidFill>
            <w14:prstDash w14:val="solid"/>
            <w14:bevel/>
          </w14:textOutline>
        </w:rPr>
        <w:t>联系人：</w:t>
      </w:r>
      <w:r>
        <w:rPr>
          <w:rFonts w:hint="eastAsia" w:ascii="仿宋" w:hAnsi="仿宋" w:eastAsia="仿宋" w:cs="仿宋"/>
          <w:color w:val="auto"/>
          <w:spacing w:val="-10"/>
          <w:highlight w:val="none"/>
          <w:u w:val="single" w:color="000000"/>
          <w:lang w:eastAsia="zh-CN"/>
          <w14:textOutline w14:w="5103" w14:cap="sq" w14:cmpd="sng">
            <w14:solidFill>
              <w14:srgbClr w14:val="000000"/>
            </w14:solidFill>
            <w14:prstDash w14:val="solid"/>
            <w14:bevel/>
          </w14:textOutline>
        </w:rPr>
        <w:t>吐尔洪江</w:t>
      </w:r>
    </w:p>
    <w:p w14:paraId="372124E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0C8159F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D9B6EBC">
      <w:pPr>
        <w:pStyle w:val="8"/>
        <w:keepNext w:val="0"/>
        <w:keepLines w:val="0"/>
        <w:pageBreakBefore w:val="0"/>
        <w:widowControl/>
        <w:kinsoku w:val="0"/>
        <w:wordWrap/>
        <w:overflowPunct/>
        <w:topLinePunct w:val="0"/>
        <w:autoSpaceDE w:val="0"/>
        <w:autoSpaceDN w:val="0"/>
        <w:bidi w:val="0"/>
        <w:adjustRightInd w:val="0"/>
        <w:snapToGrid w:val="0"/>
        <w:spacing w:before="92" w:line="260" w:lineRule="exact"/>
        <w:ind w:left="586"/>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5"/>
          <w:highlight w:val="none"/>
          <w14:textOutline w14:w="5103" w14:cap="sq" w14:cmpd="sng">
            <w14:solidFill>
              <w14:srgbClr w14:val="000000"/>
            </w14:solidFill>
            <w14:prstDash w14:val="solid"/>
            <w14:bevel/>
          </w14:textOutline>
        </w:rPr>
        <w:t>联系电话：</w:t>
      </w:r>
      <w:r>
        <w:rPr>
          <w:rFonts w:hint="eastAsia" w:ascii="仿宋" w:hAnsi="仿宋" w:eastAsia="仿宋" w:cs="仿宋"/>
          <w:color w:val="auto"/>
          <w:spacing w:val="-5"/>
          <w:highlight w:val="none"/>
          <w:u w:val="single" w:color="000000"/>
          <w:lang w:eastAsia="zh-CN"/>
          <w14:textOutline w14:w="5103" w14:cap="sq" w14:cmpd="sng">
            <w14:solidFill>
              <w14:srgbClr w14:val="000000"/>
            </w14:solidFill>
            <w14:prstDash w14:val="solid"/>
            <w14:bevel/>
          </w14:textOutline>
        </w:rPr>
        <w:t>19190008850</w:t>
      </w:r>
    </w:p>
    <w:p w14:paraId="4034898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048CFD42">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634A06D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00075AC">
      <w:pPr>
        <w:pStyle w:val="8"/>
        <w:keepNext w:val="0"/>
        <w:keepLines w:val="0"/>
        <w:pageBreakBefore w:val="0"/>
        <w:widowControl/>
        <w:kinsoku w:val="0"/>
        <w:wordWrap/>
        <w:overflowPunct/>
        <w:topLinePunct w:val="0"/>
        <w:autoSpaceDE w:val="0"/>
        <w:autoSpaceDN w:val="0"/>
        <w:bidi w:val="0"/>
        <w:adjustRightInd w:val="0"/>
        <w:snapToGrid w:val="0"/>
        <w:spacing w:before="92" w:line="260" w:lineRule="exact"/>
        <w:ind w:left="592"/>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14:textOutline w14:w="5103" w14:cap="sq" w14:cmpd="sng">
            <w14:solidFill>
              <w14:srgbClr w14:val="000000"/>
            </w14:solidFill>
            <w14:prstDash w14:val="solid"/>
            <w14:bevel/>
          </w14:textOutline>
        </w:rPr>
        <w:t>代理机构名称：</w:t>
      </w:r>
      <w:r>
        <w:rPr>
          <w:rFonts w:hint="eastAsia" w:ascii="仿宋" w:hAnsi="仿宋" w:eastAsia="仿宋" w:cs="仿宋"/>
          <w:color w:val="auto"/>
          <w:highlight w:val="none"/>
          <w:u w:val="single" w:color="000000"/>
          <w:lang w:eastAsia="zh-CN"/>
          <w14:textOutline w14:w="5103" w14:cap="sq" w14:cmpd="sng">
            <w14:solidFill>
              <w14:srgbClr w14:val="000000"/>
            </w14:solidFill>
            <w14:prstDash w14:val="solid"/>
            <w14:bevel/>
          </w14:textOutline>
        </w:rPr>
        <w:t>新疆世纪星工程咨询有限公司</w:t>
      </w:r>
    </w:p>
    <w:p w14:paraId="77C0162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C8837C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76320B84">
      <w:pPr>
        <w:pStyle w:val="8"/>
        <w:keepNext w:val="0"/>
        <w:keepLines w:val="0"/>
        <w:pageBreakBefore w:val="0"/>
        <w:widowControl/>
        <w:kinsoku w:val="0"/>
        <w:wordWrap/>
        <w:overflowPunct/>
        <w:topLinePunct w:val="0"/>
        <w:autoSpaceDE w:val="0"/>
        <w:autoSpaceDN w:val="0"/>
        <w:bidi w:val="0"/>
        <w:adjustRightInd w:val="0"/>
        <w:snapToGrid w:val="0"/>
        <w:spacing w:before="91" w:line="260" w:lineRule="exact"/>
        <w:ind w:left="586"/>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10"/>
          <w:highlight w:val="none"/>
          <w14:textOutline w14:w="5103" w14:cap="sq" w14:cmpd="sng">
            <w14:solidFill>
              <w14:srgbClr w14:val="000000"/>
            </w14:solidFill>
            <w14:prstDash w14:val="solid"/>
            <w14:bevel/>
          </w14:textOutline>
        </w:rPr>
        <w:t>联系人：</w:t>
      </w:r>
      <w:r>
        <w:rPr>
          <w:rFonts w:hint="eastAsia" w:ascii="仿宋" w:hAnsi="仿宋" w:eastAsia="仿宋" w:cs="仿宋"/>
          <w:color w:val="auto"/>
          <w:spacing w:val="-10"/>
          <w:highlight w:val="none"/>
          <w:u w:val="single" w:color="000000"/>
          <w:lang w:eastAsia="zh-CN"/>
          <w14:textOutline w14:w="5103" w14:cap="sq" w14:cmpd="sng">
            <w14:solidFill>
              <w14:srgbClr w14:val="000000"/>
            </w14:solidFill>
            <w14:prstDash w14:val="solid"/>
            <w14:bevel/>
          </w14:textOutline>
        </w:rPr>
        <w:t>訾王贝、李航、范艳娥</w:t>
      </w:r>
    </w:p>
    <w:p w14:paraId="6722199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452E24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1F8EFB4">
      <w:pPr>
        <w:pStyle w:val="8"/>
        <w:keepNext w:val="0"/>
        <w:keepLines w:val="0"/>
        <w:pageBreakBefore w:val="0"/>
        <w:widowControl/>
        <w:kinsoku w:val="0"/>
        <w:wordWrap/>
        <w:overflowPunct/>
        <w:topLinePunct w:val="0"/>
        <w:autoSpaceDE w:val="0"/>
        <w:autoSpaceDN w:val="0"/>
        <w:bidi w:val="0"/>
        <w:adjustRightInd w:val="0"/>
        <w:snapToGrid w:val="0"/>
        <w:spacing w:before="92" w:line="260" w:lineRule="exact"/>
        <w:ind w:left="586"/>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5"/>
          <w:highlight w:val="none"/>
          <w14:textOutline w14:w="5103" w14:cap="sq" w14:cmpd="sng">
            <w14:solidFill>
              <w14:srgbClr w14:val="000000"/>
            </w14:solidFill>
            <w14:prstDash w14:val="solid"/>
            <w14:bevel/>
          </w14:textOutline>
        </w:rPr>
        <w:t>联系电话：</w:t>
      </w:r>
      <w:r>
        <w:rPr>
          <w:rFonts w:hint="eastAsia" w:ascii="仿宋" w:hAnsi="仿宋" w:eastAsia="仿宋" w:cs="仿宋"/>
          <w:color w:val="auto"/>
          <w:spacing w:val="-5"/>
          <w:highlight w:val="none"/>
          <w:u w:val="single" w:color="000000"/>
          <w:lang w:eastAsia="zh-CN"/>
          <w14:textOutline w14:w="5103" w14:cap="sq" w14:cmpd="sng">
            <w14:solidFill>
              <w14:srgbClr w14:val="000000"/>
            </w14:solidFill>
            <w14:prstDash w14:val="solid"/>
            <w14:bevel/>
          </w14:textOutline>
        </w:rPr>
        <w:t>0991-3678303、18690987103、18090815646</w:t>
      </w:r>
    </w:p>
    <w:p w14:paraId="249BC7B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34A36C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 w:hAnsi="仿宋" w:eastAsia="仿宋" w:cs="仿宋"/>
          <w:color w:val="auto"/>
          <w:sz w:val="21"/>
          <w:highlight w:val="none"/>
        </w:rPr>
      </w:pPr>
    </w:p>
    <w:p w14:paraId="37B04C04">
      <w:pPr>
        <w:pStyle w:val="8"/>
        <w:keepNext w:val="0"/>
        <w:keepLines w:val="0"/>
        <w:pageBreakBefore w:val="0"/>
        <w:widowControl/>
        <w:kinsoku w:val="0"/>
        <w:wordWrap/>
        <w:overflowPunct/>
        <w:topLinePunct w:val="0"/>
        <w:autoSpaceDE w:val="0"/>
        <w:autoSpaceDN w:val="0"/>
        <w:bidi w:val="0"/>
        <w:adjustRightInd w:val="0"/>
        <w:snapToGrid w:val="0"/>
        <w:spacing w:before="91" w:line="260" w:lineRule="exact"/>
        <w:ind w:left="2916"/>
        <w:textAlignment w:val="baseline"/>
        <w:rPr>
          <w:rFonts w:hint="eastAsia" w:ascii="仿宋" w:hAnsi="仿宋" w:eastAsia="仿宋" w:cs="仿宋"/>
          <w:color w:val="auto"/>
          <w:highlight w:val="none"/>
        </w:rPr>
      </w:pPr>
      <w:r>
        <w:rPr>
          <w:rFonts w:hint="eastAsia" w:ascii="仿宋" w:hAnsi="仿宋" w:eastAsia="仿宋" w:cs="仿宋"/>
          <w:color w:val="auto"/>
          <w:spacing w:val="-8"/>
          <w:highlight w:val="none"/>
          <w14:textOutline w14:w="5103" w14:cap="sq" w14:cmpd="sng">
            <w14:solidFill>
              <w14:srgbClr w14:val="000000"/>
            </w14:solidFill>
            <w14:prstDash w14:val="solid"/>
            <w14:bevel/>
          </w14:textOutline>
        </w:rPr>
        <w:t>日期：202</w:t>
      </w:r>
      <w:r>
        <w:rPr>
          <w:rFonts w:hint="eastAsia" w:ascii="仿宋" w:hAnsi="仿宋" w:eastAsia="仿宋" w:cs="仿宋"/>
          <w:color w:val="auto"/>
          <w:spacing w:val="-8"/>
          <w:highlight w:val="none"/>
          <w:lang w:val="en-US" w:eastAsia="zh-CN"/>
          <w14:textOutline w14:w="5103" w14:cap="sq" w14:cmpd="sng">
            <w14:solidFill>
              <w14:srgbClr w14:val="000000"/>
            </w14:solidFill>
            <w14:prstDash w14:val="solid"/>
            <w14:bevel/>
          </w14:textOutline>
        </w:rPr>
        <w:t>5</w:t>
      </w:r>
      <w:r>
        <w:rPr>
          <w:rFonts w:hint="eastAsia" w:ascii="仿宋" w:hAnsi="仿宋" w:eastAsia="仿宋" w:cs="仿宋"/>
          <w:color w:val="auto"/>
          <w:spacing w:val="-8"/>
          <w:highlight w:val="none"/>
          <w14:textOutline w14:w="5103" w14:cap="sq" w14:cmpd="sng">
            <w14:solidFill>
              <w14:srgbClr w14:val="000000"/>
            </w14:solidFill>
            <w14:prstDash w14:val="solid"/>
            <w14:bevel/>
          </w14:textOutline>
        </w:rPr>
        <w:t>年</w:t>
      </w:r>
      <w:r>
        <w:rPr>
          <w:rFonts w:hint="eastAsia" w:ascii="仿宋" w:hAnsi="仿宋" w:eastAsia="仿宋" w:cs="仿宋"/>
          <w:color w:val="auto"/>
          <w:spacing w:val="-8"/>
          <w:highlight w:val="none"/>
          <w:lang w:val="en-US" w:eastAsia="zh-CN"/>
          <w14:textOutline w14:w="5103" w14:cap="sq" w14:cmpd="sng">
            <w14:solidFill>
              <w14:srgbClr w14:val="000000"/>
            </w14:solidFill>
            <w14:prstDash w14:val="solid"/>
            <w14:bevel/>
          </w14:textOutline>
        </w:rPr>
        <w:t>07</w:t>
      </w:r>
      <w:r>
        <w:rPr>
          <w:rFonts w:hint="eastAsia" w:ascii="仿宋" w:hAnsi="仿宋" w:eastAsia="仿宋" w:cs="仿宋"/>
          <w:color w:val="auto"/>
          <w:spacing w:val="-8"/>
          <w:highlight w:val="none"/>
          <w14:textOutline w14:w="5103" w14:cap="sq" w14:cmpd="sng">
            <w14:solidFill>
              <w14:srgbClr w14:val="000000"/>
            </w14:solidFill>
            <w14:prstDash w14:val="solid"/>
            <w14:bevel/>
          </w14:textOutline>
        </w:rPr>
        <w:t>月</w:t>
      </w:r>
    </w:p>
    <w:p w14:paraId="6330BC5A">
      <w:pPr>
        <w:spacing w:line="225" w:lineRule="auto"/>
        <w:rPr>
          <w:rFonts w:hint="eastAsia" w:ascii="仿宋" w:hAnsi="仿宋" w:eastAsia="仿宋" w:cs="仿宋"/>
          <w:color w:val="auto"/>
          <w:highlight w:val="none"/>
        </w:rPr>
        <w:sectPr>
          <w:footerReference r:id="rId5" w:type="default"/>
          <w:pgSz w:w="11905" w:h="16838"/>
          <w:pgMar w:top="1440" w:right="1083" w:bottom="1440" w:left="1083" w:header="0" w:footer="1225" w:gutter="0"/>
          <w:pgNumType w:fmt="decimal"/>
          <w:cols w:space="0" w:num="1"/>
          <w:rtlGutter w:val="0"/>
          <w:docGrid w:linePitch="0" w:charSpace="0"/>
        </w:sectPr>
      </w:pPr>
    </w:p>
    <w:sdt>
      <w:sdtPr>
        <w:rPr>
          <w:rFonts w:hint="eastAsia" w:ascii="仿宋" w:hAnsi="仿宋" w:eastAsia="仿宋" w:cs="仿宋"/>
          <w:snapToGrid w:val="0"/>
          <w:color w:val="auto"/>
          <w:kern w:val="0"/>
          <w:sz w:val="30"/>
          <w:szCs w:val="30"/>
          <w:highlight w:val="none"/>
          <w:lang w:val="en-US" w:eastAsia="en-US" w:bidi="ar-SA"/>
        </w:rPr>
        <w:id w:val="147456722"/>
        <w15:color w:val="DBDBDB"/>
        <w:docPartObj>
          <w:docPartGallery w:val="Table of Contents"/>
          <w:docPartUnique/>
        </w:docPartObj>
      </w:sdtPr>
      <w:sdtEndPr>
        <w:rPr>
          <w:rFonts w:hint="eastAsia" w:ascii="仿宋" w:hAnsi="仿宋" w:eastAsia="仿宋" w:cs="仿宋"/>
          <w:snapToGrid w:val="0"/>
          <w:color w:val="auto"/>
          <w:kern w:val="0"/>
          <w:sz w:val="21"/>
          <w:szCs w:val="24"/>
          <w:highlight w:val="none"/>
          <w:lang w:val="en-US" w:eastAsia="en-US" w:bidi="ar-SA"/>
        </w:rPr>
      </w:sdtEndPr>
      <w:sdtContent>
        <w:p w14:paraId="1D8315EF">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目录</w:t>
          </w:r>
        </w:p>
        <w:p w14:paraId="3049002F">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p>
        <w:p w14:paraId="484A9B91">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_Toc18591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14:textOutline w14:w="6537" w14:cap="sq" w14:cmpd="sng">
                <w14:solidFill>
                  <w14:srgbClr w14:val="000000"/>
                </w14:solidFill>
                <w14:prstDash w14:val="solid"/>
                <w14:bevel/>
              </w14:textOutline>
            </w:rPr>
            <w:t>第1章投标人须知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_Toc18591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7FD77C1">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_Toc17573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3"/>
              <w:sz w:val="24"/>
              <w:szCs w:val="24"/>
              <w:highlight w:val="none"/>
              <w14:textOutline w14:w="4358" w14:cap="sq" w14:cmpd="sng">
                <w14:solidFill>
                  <w14:srgbClr w14:val="000000"/>
                </w14:solidFill>
                <w14:prstDash w14:val="solid"/>
                <w14:bevel/>
              </w14:textOutline>
            </w:rPr>
            <w:t>一总则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_Toc17573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8C6FBDB">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_Toc5285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1.采购人、采购代理机构及投标人</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_Toc5285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BE6CE1C">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_Toc30949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2.资金来源</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_Toc30949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8EA0BBE">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_Toc32323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3.投标费用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_Toc32323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6E2CF63">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_Toc29935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4.适用法律</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_Toc29935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5CDF746">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5.招标文件构成</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_Toc2197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A391AE0">
          <w:pPr>
            <w:pStyle w:val="32"/>
            <w:tabs>
              <w:tab w:val="right" w:leader="dot" w:pos="9739"/>
            </w:tabs>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_Toc29878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6.招标文件的澄清与修改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_Toc29878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100A1C9">
          <w:pPr>
            <w:pStyle w:val="32"/>
            <w:tabs>
              <w:tab w:val="right" w:leader="dot" w:pos="9739"/>
            </w:tabs>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_Toc3510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7.投标截止时间的顺延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_Toc3510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E2BF40F">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_Toc8635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9"/>
              <w:sz w:val="24"/>
              <w:szCs w:val="24"/>
              <w:highlight w:val="none"/>
              <w14:textOutline w14:w="6537" w14:cap="sq" w14:cmpd="sng">
                <w14:solidFill>
                  <w14:srgbClr w14:val="000000"/>
                </w14:solidFill>
                <w14:prstDash w14:val="solid"/>
                <w14:bevel/>
              </w14:textOutline>
            </w:rPr>
            <w:t>三投标文件的编制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_Toc8635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465DFAB">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_Toc9145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14:textOutline w14:w="6537" w14:cap="sq" w14:cmpd="sng">
                <w14:solidFill>
                  <w14:srgbClr w14:val="000000"/>
                </w14:solidFill>
                <w14:prstDash w14:val="solid"/>
                <w14:bevel/>
              </w14:textOutline>
            </w:rPr>
            <w:t>四投标文件的递交</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_Toc9145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D277719">
          <w:pPr>
            <w:pStyle w:val="32"/>
            <w:tabs>
              <w:tab w:val="right" w:leader="dot" w:pos="9739"/>
            </w:tabs>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14:textOutline w14:w="6537" w14:cap="sq" w14:cmpd="sng">
                <w14:solidFill>
                  <w14:srgbClr w14:val="000000"/>
                </w14:solidFill>
                <w14:prstDash w14:val="solid"/>
                <w14:bevel/>
              </w14:textOutline>
            </w:rPr>
            <w:t>五开标及评标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_Toc2844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9EF7F77">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_Toc30104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14:textOutline w14:w="6537" w14:cap="sq" w14:cmpd="sng">
                <w14:solidFill>
                  <w14:srgbClr w14:val="000000"/>
                </w14:solidFill>
                <w14:prstDash w14:val="solid"/>
                <w14:bevel/>
              </w14:textOutline>
            </w:rPr>
            <w:t>六确定中标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_Toc30104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DBB1721">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_Toc24118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14:textOutline w14:w="6537" w14:cap="sq" w14:cmpd="sng">
                <w14:solidFill>
                  <w14:srgbClr w14:val="000000"/>
                </w14:solidFill>
                <w14:prstDash w14:val="solid"/>
                <w14:bevel/>
              </w14:textOutline>
            </w:rPr>
            <w:t>质疑函范本</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_Toc24118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0CD7ACE">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_Toc6677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2"/>
              <w:position w:val="11"/>
              <w:sz w:val="24"/>
              <w:szCs w:val="24"/>
              <w:highlight w:val="none"/>
            </w:rPr>
            <w:t>一、质疑供应商基本信息</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_Toc6677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98F182B">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_Toc14676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2"/>
              <w:position w:val="11"/>
              <w:sz w:val="24"/>
              <w:szCs w:val="24"/>
              <w:highlight w:val="none"/>
            </w:rPr>
            <w:t>二、质疑项目基本情况</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_Toc14676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ED0948A">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_Toc29297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position w:val="11"/>
              <w:sz w:val="24"/>
              <w:szCs w:val="24"/>
              <w:highlight w:val="none"/>
            </w:rPr>
            <w:t>三、质疑事项具体内容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_Toc29297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7B57623">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_Toc5184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2"/>
              <w:position w:val="11"/>
              <w:sz w:val="24"/>
              <w:szCs w:val="24"/>
              <w:highlight w:val="none"/>
            </w:rPr>
            <w:t>四、与质疑事项相关的质疑请求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_Toc5184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95FF1EB">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_Toc21071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附件2：履约担保函格式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_Toc21071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5A21E49">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_Toc19673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一、保证责任的情形及保证金额</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_Toc19673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188B4FE">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_Toc8585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二、保证的方式及保证期间</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_Toc8585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E22E25F">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_Toc28477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三、承担保证责任的程序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_Toc28477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1EF5947">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_Toc6340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四、保证责任的终止</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_Toc6340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790F18B">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_Toc17019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五、免责条款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_Toc17019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083D5D0">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_Toc30693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六、争议的解决</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_Toc30693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A319A8E">
          <w:pPr>
            <w:pStyle w:val="32"/>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_Toc4005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8"/>
              <w:sz w:val="24"/>
              <w:szCs w:val="24"/>
              <w:highlight w:val="none"/>
            </w:rPr>
            <w:t>七、保函的生效</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_Toc4005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A642B50">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_Toc29016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14:textOutline w14:w="6537" w14:cap="sq" w14:cmpd="sng">
                <w14:solidFill>
                  <w14:srgbClr w14:val="000000"/>
                </w14:solidFill>
                <w14:prstDash w14:val="solid"/>
                <w14:bevel/>
              </w14:textOutline>
            </w:rPr>
            <w:t>第2章投标文件格式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_Toc29016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2B91BB8">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_Toc7835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第一部分开标一览表及资格证明文件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_Toc7835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76D3B1E">
          <w:pPr>
            <w:pStyle w:val="31"/>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_Toc22257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第二部分商务及技术文件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_Toc22257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B984EF5">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_Toc29202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5"/>
              <w:sz w:val="24"/>
              <w:szCs w:val="24"/>
              <w:highlight w:val="none"/>
              <w14:textOutline w14:w="6537" w14:cap="sq" w14:cmpd="sng">
                <w14:solidFill>
                  <w14:srgbClr w14:val="000000"/>
                </w14:solidFill>
                <w14:prstDash w14:val="solid"/>
                <w14:bevel/>
              </w14:textOutline>
            </w:rPr>
            <w:t>第3章投标邀请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_Toc29202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949F450">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_Toc19824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7"/>
              <w:sz w:val="24"/>
              <w:szCs w:val="24"/>
              <w:highlight w:val="none"/>
              <w14:textOutline w14:w="6537" w14:cap="sq" w14:cmpd="sng">
                <w14:solidFill>
                  <w14:srgbClr w14:val="000000"/>
                </w14:solidFill>
                <w14:prstDash w14:val="solid"/>
                <w14:bevel/>
              </w14:textOutline>
            </w:rPr>
            <w:t>第4章投标人须知资料表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_Toc19824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93B5BCC">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_Toc466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14:textOutline w14:w="6537" w14:cap="sq" w14:cmpd="sng">
                <w14:solidFill>
                  <w14:srgbClr w14:val="000000"/>
                </w14:solidFill>
                <w14:prstDash w14:val="solid"/>
                <w14:bevel/>
              </w14:textOutline>
            </w:rPr>
            <w:t>第5章</w:t>
          </w:r>
          <w:r>
            <w:rPr>
              <w:rFonts w:hint="eastAsia" w:ascii="仿宋" w:hAnsi="仿宋" w:eastAsia="仿宋" w:cs="仿宋"/>
              <w:color w:val="auto"/>
              <w:spacing w:val="6"/>
              <w:sz w:val="24"/>
              <w:szCs w:val="24"/>
              <w:highlight w:val="none"/>
              <w14:textOutline w14:w="5793" w14:cap="sq" w14:cmpd="sng">
                <w14:solidFill>
                  <w14:srgbClr w14:val="000000"/>
                </w14:solidFill>
                <w14:prstDash w14:val="solid"/>
                <w14:bevel/>
              </w14:textOutline>
            </w:rPr>
            <w:t>货物需求一览表及技术规格</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_Toc466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035457C">
          <w:pPr>
            <w:pStyle w:val="30"/>
            <w:tabs>
              <w:tab w:val="right" w:leader="dot" w:pos="9739"/>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_Toc23671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pacing w:val="6"/>
              <w:sz w:val="24"/>
              <w:szCs w:val="24"/>
              <w:highlight w:val="none"/>
              <w14:textOutline w14:w="7972" w14:cap="sq" w14:cmpd="sng">
                <w14:solidFill>
                  <w14:srgbClr w14:val="000000"/>
                </w14:solidFill>
                <w14:prstDash w14:val="solid"/>
                <w14:bevel/>
              </w14:textOutline>
            </w:rPr>
            <w:t>第6章评标方法和标准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_Toc23671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5990568">
          <w:pPr>
            <w:spacing w:line="223" w:lineRule="auto"/>
            <w:rPr>
              <w:rFonts w:hint="eastAsia" w:ascii="仿宋" w:hAnsi="仿宋" w:eastAsia="仿宋" w:cs="仿宋"/>
              <w:snapToGrid w:val="0"/>
              <w:color w:val="auto"/>
              <w:kern w:val="0"/>
              <w:sz w:val="21"/>
              <w:szCs w:val="24"/>
              <w:highlight w:val="none"/>
              <w:lang w:val="en-US" w:eastAsia="en-US" w:bidi="ar-SA"/>
            </w:rPr>
          </w:pPr>
          <w:r>
            <w:rPr>
              <w:rFonts w:hint="eastAsia" w:ascii="仿宋" w:hAnsi="仿宋" w:eastAsia="仿宋" w:cs="仿宋"/>
              <w:color w:val="auto"/>
              <w:sz w:val="24"/>
              <w:szCs w:val="24"/>
              <w:highlight w:val="none"/>
            </w:rPr>
            <w:fldChar w:fldCharType="end"/>
          </w:r>
        </w:p>
      </w:sdtContent>
    </w:sdt>
    <w:p w14:paraId="182B649B">
      <w:pP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pPr>
      <w:bookmarkStart w:id="2" w:name="bookmark1"/>
      <w:bookmarkEnd w:id="2"/>
      <w:bookmarkStart w:id="3" w:name="bookmark3"/>
      <w:bookmarkEnd w:id="3"/>
      <w:bookmarkStart w:id="4" w:name="bookmark2"/>
      <w:bookmarkEnd w:id="4"/>
      <w:bookmarkStart w:id="5" w:name="_Toc18591"/>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br w:type="page"/>
      </w:r>
    </w:p>
    <w:p w14:paraId="68F6B229">
      <w:pPr>
        <w:pStyle w:val="8"/>
        <w:spacing w:before="74" w:line="230" w:lineRule="auto"/>
        <w:jc w:val="center"/>
        <w:outlineLvl w:val="0"/>
        <w:rPr>
          <w:rFonts w:hint="eastAsia" w:ascii="仿宋" w:hAnsi="仿宋" w:eastAsia="仿宋" w:cs="仿宋"/>
          <w:color w:val="auto"/>
          <w:sz w:val="35"/>
          <w:szCs w:val="35"/>
          <w:highlight w:val="none"/>
        </w:rPr>
      </w:pPr>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第1章投标人须知</w:t>
      </w:r>
      <w:bookmarkEnd w:id="5"/>
    </w:p>
    <w:p w14:paraId="4B128E10">
      <w:pPr>
        <w:pStyle w:val="8"/>
        <w:spacing w:before="108" w:line="226" w:lineRule="auto"/>
        <w:jc w:val="center"/>
        <w:outlineLvl w:val="1"/>
        <w:rPr>
          <w:rFonts w:hint="eastAsia" w:ascii="仿宋" w:hAnsi="仿宋" w:eastAsia="仿宋" w:cs="仿宋"/>
          <w:color w:val="auto"/>
          <w:sz w:val="24"/>
          <w:szCs w:val="24"/>
          <w:highlight w:val="none"/>
        </w:rPr>
      </w:pPr>
      <w:bookmarkStart w:id="6" w:name="_Toc17573"/>
      <w:r>
        <w:rPr>
          <w:rFonts w:hint="eastAsia" w:ascii="仿宋" w:hAnsi="仿宋" w:eastAsia="仿宋" w:cs="仿宋"/>
          <w:color w:val="auto"/>
          <w:spacing w:val="-13"/>
          <w:sz w:val="24"/>
          <w:szCs w:val="24"/>
          <w:highlight w:val="none"/>
          <w14:textOutline w14:w="4358" w14:cap="sq" w14:cmpd="sng">
            <w14:solidFill>
              <w14:srgbClr w14:val="000000"/>
            </w14:solidFill>
            <w14:prstDash w14:val="solid"/>
            <w14:bevel/>
          </w14:textOutline>
        </w:rPr>
        <w:t>一总则</w:t>
      </w:r>
      <w:bookmarkEnd w:id="6"/>
    </w:p>
    <w:p w14:paraId="751EF64E">
      <w:pPr>
        <w:pStyle w:val="8"/>
        <w:spacing w:before="145" w:line="227" w:lineRule="auto"/>
        <w:ind w:left="38"/>
        <w:outlineLvl w:val="1"/>
        <w:rPr>
          <w:rFonts w:hint="eastAsia" w:ascii="仿宋" w:hAnsi="仿宋" w:eastAsia="仿宋" w:cs="仿宋"/>
          <w:color w:val="auto"/>
          <w:sz w:val="24"/>
          <w:szCs w:val="24"/>
          <w:highlight w:val="none"/>
        </w:rPr>
      </w:pPr>
      <w:bookmarkStart w:id="7" w:name="_Toc5285"/>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1.采购人、采购代理机构及投标人</w:t>
      </w:r>
      <w:bookmarkEnd w:id="7"/>
    </w:p>
    <w:p w14:paraId="24F17C1A">
      <w:pPr>
        <w:pStyle w:val="8"/>
        <w:spacing w:before="146" w:line="224" w:lineRule="auto"/>
        <w:ind w:left="40"/>
        <w:outlineLvl w:val="2"/>
        <w:rPr>
          <w:rFonts w:hint="eastAsia" w:ascii="仿宋" w:hAnsi="仿宋" w:eastAsia="仿宋" w:cs="仿宋"/>
          <w:color w:val="auto"/>
          <w:sz w:val="24"/>
          <w:szCs w:val="24"/>
          <w:highlight w:val="none"/>
        </w:rPr>
      </w:pPr>
      <w:bookmarkStart w:id="8" w:name="_Toc1627"/>
      <w:r>
        <w:rPr>
          <w:rFonts w:hint="eastAsia" w:ascii="仿宋" w:hAnsi="仿宋" w:eastAsia="仿宋" w:cs="仿宋"/>
          <w:color w:val="auto"/>
          <w:spacing w:val="3"/>
          <w:sz w:val="24"/>
          <w:szCs w:val="24"/>
          <w:highlight w:val="none"/>
        </w:rPr>
        <w:t>1.1采购人：是指依法开展政府采购活动的国家机关、事业单位、团体组</w:t>
      </w:r>
      <w:bookmarkEnd w:id="8"/>
    </w:p>
    <w:p w14:paraId="0088BD36">
      <w:pPr>
        <w:pStyle w:val="8"/>
        <w:spacing w:before="178" w:line="189" w:lineRule="auto"/>
        <w:ind w:left="940"/>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织。</w:t>
      </w:r>
    </w:p>
    <w:p w14:paraId="5B23C360">
      <w:pPr>
        <w:pStyle w:val="8"/>
        <w:spacing w:before="164" w:line="225" w:lineRule="auto"/>
        <w:ind w:left="93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本项目的采购人见</w:t>
      </w:r>
      <w:r>
        <w:rPr>
          <w:rFonts w:hint="eastAsia" w:ascii="仿宋" w:hAnsi="仿宋" w:eastAsia="仿宋" w:cs="仿宋"/>
          <w:color w:val="auto"/>
          <w:spacing w:val="-2"/>
          <w:sz w:val="24"/>
          <w:szCs w:val="24"/>
          <w:highlight w:val="none"/>
          <w:u w:val="single" w:color="auto"/>
        </w:rPr>
        <w:t>投标人须知资料表</w:t>
      </w:r>
      <w:r>
        <w:rPr>
          <w:rFonts w:hint="eastAsia" w:ascii="仿宋" w:hAnsi="仿宋" w:eastAsia="仿宋" w:cs="仿宋"/>
          <w:color w:val="auto"/>
          <w:spacing w:val="-2"/>
          <w:sz w:val="24"/>
          <w:szCs w:val="24"/>
          <w:highlight w:val="none"/>
        </w:rPr>
        <w:t>。</w:t>
      </w:r>
    </w:p>
    <w:p w14:paraId="2CAF6E3A">
      <w:pPr>
        <w:pStyle w:val="8"/>
        <w:spacing w:before="150" w:line="281" w:lineRule="auto"/>
        <w:ind w:left="923" w:right="125" w:hanging="88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1.2采购代理机构：是指在集中采购机构或从事采购代理业务的社会中介</w:t>
      </w:r>
      <w:r>
        <w:rPr>
          <w:rFonts w:hint="eastAsia" w:ascii="仿宋" w:hAnsi="仿宋" w:eastAsia="仿宋" w:cs="仿宋"/>
          <w:color w:val="auto"/>
          <w:spacing w:val="-1"/>
          <w:sz w:val="24"/>
          <w:szCs w:val="24"/>
          <w:highlight w:val="none"/>
        </w:rPr>
        <w:t>机构。本项目的采购代理机构见</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w:t>
      </w:r>
    </w:p>
    <w:p w14:paraId="2B9F0C14">
      <w:pPr>
        <w:pStyle w:val="8"/>
        <w:spacing w:before="147" w:line="282" w:lineRule="auto"/>
        <w:ind w:left="933" w:right="126" w:hanging="89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1.3投标人：是指向采购人提供货物、工程或者服务的法人、非法人组织</w:t>
      </w:r>
      <w:r>
        <w:rPr>
          <w:rFonts w:hint="eastAsia" w:ascii="仿宋" w:hAnsi="仿宋" w:eastAsia="仿宋" w:cs="仿宋"/>
          <w:color w:val="auto"/>
          <w:spacing w:val="-1"/>
          <w:sz w:val="24"/>
          <w:szCs w:val="24"/>
          <w:highlight w:val="none"/>
        </w:rPr>
        <w:t>或者自然人。本项目的投标人及其投标货物须满足以下条件：</w:t>
      </w:r>
    </w:p>
    <w:p w14:paraId="788AF3D1">
      <w:pPr>
        <w:pStyle w:val="8"/>
        <w:spacing w:before="147"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1.3.1在中华人民共和国境内注册，能够独立承担民事责任，有生产或供应能</w:t>
      </w:r>
    </w:p>
    <w:p w14:paraId="12B21C9C">
      <w:pPr>
        <w:pStyle w:val="8"/>
        <w:spacing w:before="154" w:line="224" w:lineRule="auto"/>
        <w:ind w:left="88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力的本国供应商。</w:t>
      </w:r>
    </w:p>
    <w:p w14:paraId="46896B40">
      <w:pPr>
        <w:pStyle w:val="8"/>
        <w:spacing w:before="150"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1.3.2具备《中华人民共和国政府采购法》第二十二条关于供应商条件的规定，</w:t>
      </w:r>
    </w:p>
    <w:p w14:paraId="3EA257F2">
      <w:pPr>
        <w:pStyle w:val="8"/>
        <w:spacing w:before="153" w:line="223" w:lineRule="auto"/>
        <w:ind w:left="92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遵守本项目采购人本级和上级财政部门政府采购的有关规定。</w:t>
      </w:r>
    </w:p>
    <w:p w14:paraId="7AB8F42F">
      <w:pPr>
        <w:pStyle w:val="8"/>
        <w:spacing w:before="150" w:line="224"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1.3.3以采购代理机构认可的方式获得了本项目的招标文件。</w:t>
      </w:r>
    </w:p>
    <w:p w14:paraId="708DA3FE">
      <w:pPr>
        <w:pStyle w:val="8"/>
        <w:spacing w:before="150" w:line="225"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1.3.4符合</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中规定的其他要求。</w:t>
      </w:r>
    </w:p>
    <w:p w14:paraId="2DEF1EB4">
      <w:pPr>
        <w:pStyle w:val="8"/>
        <w:spacing w:before="146"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1.3.5若</w:t>
      </w:r>
      <w:r>
        <w:rPr>
          <w:rFonts w:hint="eastAsia" w:ascii="仿宋" w:hAnsi="仿宋" w:eastAsia="仿宋" w:cs="仿宋"/>
          <w:color w:val="auto"/>
          <w:sz w:val="24"/>
          <w:szCs w:val="24"/>
          <w:highlight w:val="none"/>
          <w:u w:val="single" w:color="auto"/>
        </w:rPr>
        <w:t>投标人须知资料表</w:t>
      </w:r>
      <w:r>
        <w:rPr>
          <w:rFonts w:hint="eastAsia" w:ascii="仿宋" w:hAnsi="仿宋" w:eastAsia="仿宋" w:cs="仿宋"/>
          <w:color w:val="auto"/>
          <w:sz w:val="24"/>
          <w:szCs w:val="24"/>
          <w:highlight w:val="none"/>
        </w:rPr>
        <w:t>中写明允许采购进口产品，投标人应保证所投产</w:t>
      </w:r>
    </w:p>
    <w:p w14:paraId="381C25E6">
      <w:pPr>
        <w:pStyle w:val="8"/>
        <w:spacing w:before="154" w:line="225" w:lineRule="auto"/>
        <w:ind w:left="93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品可履行合法报通关手续进入中国关境内。</w:t>
      </w:r>
    </w:p>
    <w:p w14:paraId="688383D2">
      <w:pPr>
        <w:pStyle w:val="8"/>
        <w:spacing w:before="148" w:line="338" w:lineRule="auto"/>
        <w:ind w:left="93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若</w:t>
      </w:r>
      <w:r>
        <w:rPr>
          <w:rFonts w:hint="eastAsia" w:ascii="仿宋" w:hAnsi="仿宋" w:eastAsia="仿宋" w:cs="仿宋"/>
          <w:color w:val="auto"/>
          <w:spacing w:val="2"/>
          <w:sz w:val="24"/>
          <w:szCs w:val="24"/>
          <w:highlight w:val="none"/>
          <w:u w:val="single" w:color="auto"/>
        </w:rPr>
        <w:t>投标人须知资料表</w:t>
      </w:r>
      <w:r>
        <w:rPr>
          <w:rFonts w:hint="eastAsia" w:ascii="仿宋" w:hAnsi="仿宋" w:eastAsia="仿宋" w:cs="仿宋"/>
          <w:color w:val="auto"/>
          <w:spacing w:val="2"/>
          <w:sz w:val="24"/>
          <w:szCs w:val="24"/>
          <w:highlight w:val="none"/>
        </w:rPr>
        <w:t>中未写明允许采购进口产品，如投标人所投产品</w:t>
      </w:r>
    </w:p>
    <w:p w14:paraId="07ADBA82">
      <w:pPr>
        <w:pStyle w:val="8"/>
        <w:spacing w:line="220" w:lineRule="auto"/>
        <w:ind w:left="93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为进口产品，其投标将被认定为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05546C1E">
      <w:pPr>
        <w:pStyle w:val="8"/>
        <w:spacing w:before="154"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1.3.6若</w:t>
      </w:r>
      <w:r>
        <w:rPr>
          <w:rFonts w:hint="eastAsia" w:ascii="仿宋" w:hAnsi="仿宋" w:eastAsia="仿宋" w:cs="仿宋"/>
          <w:color w:val="auto"/>
          <w:spacing w:val="-3"/>
          <w:sz w:val="24"/>
          <w:szCs w:val="24"/>
          <w:highlight w:val="none"/>
          <w:u w:val="single" w:color="auto"/>
        </w:rPr>
        <w:t>投标人须知资料表</w:t>
      </w:r>
      <w:r>
        <w:rPr>
          <w:rFonts w:hint="eastAsia" w:ascii="仿宋" w:hAnsi="仿宋" w:eastAsia="仿宋" w:cs="仿宋"/>
          <w:color w:val="auto"/>
          <w:spacing w:val="-3"/>
          <w:sz w:val="24"/>
          <w:szCs w:val="24"/>
          <w:highlight w:val="none"/>
        </w:rPr>
        <w:t>中写明专门面向中小企业采购的，如投标人为非中</w:t>
      </w:r>
    </w:p>
    <w:p w14:paraId="73E7AF4C">
      <w:pPr>
        <w:pStyle w:val="8"/>
        <w:spacing w:before="155" w:line="220" w:lineRule="auto"/>
        <w:ind w:left="88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小企业且所投产品为非中小企业产品，其投标将被认定为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21F3CAD9">
      <w:pPr>
        <w:pStyle w:val="8"/>
        <w:spacing w:before="153" w:line="220" w:lineRule="auto"/>
        <w:ind w:left="38"/>
        <w:outlineLvl w:val="2"/>
        <w:rPr>
          <w:rFonts w:hint="eastAsia" w:ascii="仿宋" w:hAnsi="仿宋" w:eastAsia="仿宋" w:cs="仿宋"/>
          <w:color w:val="auto"/>
          <w:sz w:val="24"/>
          <w:szCs w:val="24"/>
          <w:highlight w:val="none"/>
        </w:rPr>
      </w:pPr>
      <w:bookmarkStart w:id="9" w:name="_Toc16962"/>
      <w:r>
        <w:rPr>
          <w:rFonts w:hint="eastAsia" w:ascii="仿宋" w:hAnsi="仿宋" w:eastAsia="仿宋" w:cs="仿宋"/>
          <w:color w:val="auto"/>
          <w:spacing w:val="-1"/>
          <w:sz w:val="24"/>
          <w:szCs w:val="24"/>
          <w:highlight w:val="none"/>
        </w:rPr>
        <w:t>1.4如</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中允许联合体投标，对联合体规定如下：</w:t>
      </w:r>
      <w:bookmarkEnd w:id="9"/>
    </w:p>
    <w:p w14:paraId="0E9F9D92">
      <w:pPr>
        <w:pStyle w:val="8"/>
        <w:spacing w:before="154"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1.4.1两个以上供应商可以组成一个投标联合体，以一个投标人的身份投标。</w:t>
      </w:r>
    </w:p>
    <w:p w14:paraId="197AA54C">
      <w:pPr>
        <w:pStyle w:val="8"/>
        <w:spacing w:before="156" w:line="224" w:lineRule="auto"/>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1.4.2联合体各方均应符合《中华人民共和国政府采购法》第二十二条规定</w:t>
      </w:r>
    </w:p>
    <w:p w14:paraId="19A996AA">
      <w:pPr>
        <w:pStyle w:val="8"/>
        <w:spacing w:before="148" w:line="224" w:lineRule="auto"/>
        <w:ind w:left="94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的条件。</w:t>
      </w:r>
    </w:p>
    <w:p w14:paraId="4F51BC81">
      <w:pPr>
        <w:pStyle w:val="8"/>
        <w:spacing w:before="147"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1.4.3采购人根据采购项目对投标人的特殊要求，</w:t>
      </w:r>
      <w:r>
        <w:rPr>
          <w:rFonts w:hint="eastAsia" w:ascii="仿宋" w:hAnsi="仿宋" w:eastAsia="仿宋" w:cs="仿宋"/>
          <w:color w:val="auto"/>
          <w:sz w:val="24"/>
          <w:szCs w:val="24"/>
          <w:highlight w:val="none"/>
        </w:rPr>
        <w:t>联合体中至少应当有一方</w:t>
      </w:r>
    </w:p>
    <w:p w14:paraId="5EC48AB9">
      <w:pPr>
        <w:pStyle w:val="8"/>
        <w:spacing w:before="156" w:line="227" w:lineRule="auto"/>
        <w:ind w:left="92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符合相关规定。</w:t>
      </w:r>
    </w:p>
    <w:p w14:paraId="2051C89C">
      <w:pPr>
        <w:pStyle w:val="8"/>
        <w:spacing w:before="144"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1.4.4联合体各方应签订共同投标协议，明确约定联合体各方承担的工作和</w:t>
      </w:r>
    </w:p>
    <w:p w14:paraId="70DE9DC9">
      <w:pPr>
        <w:pStyle w:val="8"/>
        <w:spacing w:before="153" w:line="442" w:lineRule="exact"/>
        <w:ind w:left="926"/>
        <w:rPr>
          <w:rFonts w:hint="eastAsia" w:ascii="仿宋" w:hAnsi="仿宋" w:eastAsia="仿宋" w:cs="仿宋"/>
          <w:color w:val="auto"/>
          <w:sz w:val="24"/>
          <w:szCs w:val="24"/>
          <w:highlight w:val="none"/>
        </w:rPr>
      </w:pPr>
      <w:r>
        <w:rPr>
          <w:rFonts w:hint="eastAsia" w:ascii="仿宋" w:hAnsi="仿宋" w:eastAsia="仿宋" w:cs="仿宋"/>
          <w:color w:val="auto"/>
          <w:spacing w:val="3"/>
          <w:position w:val="15"/>
          <w:sz w:val="24"/>
          <w:szCs w:val="24"/>
          <w:highlight w:val="none"/>
        </w:rPr>
        <w:t>相应的责任，并将共同投标协议连同作为投标</w:t>
      </w:r>
      <w:r>
        <w:rPr>
          <w:rFonts w:hint="eastAsia" w:ascii="仿宋" w:hAnsi="仿宋" w:eastAsia="仿宋" w:cs="仿宋"/>
          <w:color w:val="auto"/>
          <w:spacing w:val="2"/>
          <w:position w:val="15"/>
          <w:sz w:val="24"/>
          <w:szCs w:val="24"/>
          <w:highlight w:val="none"/>
        </w:rPr>
        <w:t>文件第一部分的内容提</w:t>
      </w:r>
    </w:p>
    <w:p w14:paraId="67683E49">
      <w:pPr>
        <w:pStyle w:val="8"/>
        <w:spacing w:before="1" w:line="235" w:lineRule="auto"/>
        <w:ind w:left="933"/>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交。</w:t>
      </w:r>
    </w:p>
    <w:p w14:paraId="2A60915F">
      <w:pPr>
        <w:spacing w:line="235" w:lineRule="auto"/>
        <w:rPr>
          <w:rFonts w:hint="eastAsia" w:ascii="仿宋" w:hAnsi="仿宋" w:eastAsia="仿宋" w:cs="仿宋"/>
          <w:color w:val="auto"/>
          <w:sz w:val="24"/>
          <w:szCs w:val="24"/>
          <w:highlight w:val="none"/>
        </w:rPr>
        <w:sectPr>
          <w:footerReference r:id="rId6" w:type="default"/>
          <w:pgSz w:w="11905" w:h="16838"/>
          <w:pgMar w:top="1440" w:right="1083" w:bottom="1440" w:left="1083" w:header="0" w:footer="1225" w:gutter="0"/>
          <w:pgNumType w:fmt="decimal"/>
          <w:cols w:space="0" w:num="1"/>
          <w:rtlGutter w:val="0"/>
          <w:docGrid w:linePitch="0" w:charSpace="0"/>
        </w:sectPr>
      </w:pPr>
    </w:p>
    <w:p w14:paraId="4DF04EE3">
      <w:pPr>
        <w:pStyle w:val="8"/>
        <w:spacing w:before="156" w:line="225" w:lineRule="auto"/>
        <w:ind w:left="38"/>
        <w:rPr>
          <w:rFonts w:hint="eastAsia" w:ascii="仿宋" w:hAnsi="仿宋" w:eastAsia="仿宋" w:cs="仿宋"/>
          <w:color w:val="auto"/>
          <w:sz w:val="24"/>
          <w:szCs w:val="24"/>
          <w:highlight w:val="none"/>
        </w:rPr>
      </w:pPr>
      <w:bookmarkStart w:id="10" w:name="bookmark6"/>
      <w:bookmarkEnd w:id="10"/>
      <w:bookmarkStart w:id="11" w:name="bookmark5"/>
      <w:bookmarkEnd w:id="11"/>
      <w:bookmarkStart w:id="12" w:name="bookmark4"/>
      <w:bookmarkEnd w:id="12"/>
      <w:r>
        <w:rPr>
          <w:rFonts w:hint="eastAsia" w:ascii="仿宋" w:hAnsi="仿宋" w:eastAsia="仿宋" w:cs="仿宋"/>
          <w:color w:val="auto"/>
          <w:sz w:val="24"/>
          <w:szCs w:val="24"/>
          <w:highlight w:val="none"/>
        </w:rPr>
        <w:t>1.4.5大中型企业、其他自然人、法人或者非法人组织与小型、微型企业组</w:t>
      </w:r>
    </w:p>
    <w:p w14:paraId="0ECD8404">
      <w:pPr>
        <w:pStyle w:val="8"/>
        <w:spacing w:before="146" w:line="439" w:lineRule="exact"/>
        <w:ind w:left="926"/>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成联合体共同参加投标，共同投标协议中应</w:t>
      </w:r>
      <w:r>
        <w:rPr>
          <w:rFonts w:hint="eastAsia" w:ascii="仿宋" w:hAnsi="仿宋" w:eastAsia="仿宋" w:cs="仿宋"/>
          <w:color w:val="auto"/>
          <w:spacing w:val="2"/>
          <w:position w:val="14"/>
          <w:sz w:val="24"/>
          <w:szCs w:val="24"/>
          <w:highlight w:val="none"/>
        </w:rPr>
        <w:t>写明小型、微型企业的协</w:t>
      </w:r>
    </w:p>
    <w:p w14:paraId="1D5F4427">
      <w:pPr>
        <w:pStyle w:val="8"/>
        <w:spacing w:before="1" w:line="222" w:lineRule="auto"/>
        <w:ind w:left="92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议合同金额占到共同投标协议投标总金额的比例。</w:t>
      </w:r>
    </w:p>
    <w:p w14:paraId="25790C5B">
      <w:pPr>
        <w:pStyle w:val="8"/>
        <w:spacing w:before="151" w:line="282" w:lineRule="auto"/>
        <w:ind w:left="922" w:right="126" w:hanging="88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1.4.6联合体中有同类资质的供应商按照联合体分工承担相同工作的，按照较</w:t>
      </w:r>
      <w:r>
        <w:rPr>
          <w:rFonts w:hint="eastAsia" w:ascii="仿宋" w:hAnsi="仿宋" w:eastAsia="仿宋" w:cs="仿宋"/>
          <w:color w:val="auto"/>
          <w:spacing w:val="-1"/>
          <w:sz w:val="24"/>
          <w:szCs w:val="24"/>
          <w:highlight w:val="none"/>
        </w:rPr>
        <w:t>低的资质等级确定联合体的资质等级。</w:t>
      </w:r>
    </w:p>
    <w:p w14:paraId="5B1ACB8A">
      <w:pPr>
        <w:pStyle w:val="8"/>
        <w:spacing w:before="145"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1.4.7以联合体形式参加政府采购活动的，联合体各方不得再单独参加或者与</w:t>
      </w:r>
    </w:p>
    <w:p w14:paraId="2F75FA76">
      <w:pPr>
        <w:pStyle w:val="8"/>
        <w:spacing w:before="156" w:line="439" w:lineRule="exact"/>
        <w:ind w:left="928"/>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其他供应商另外组成联合体参加本项目投标，否则相关投标将被认定</w:t>
      </w:r>
    </w:p>
    <w:p w14:paraId="45EBB066">
      <w:pPr>
        <w:pStyle w:val="8"/>
        <w:spacing w:line="232" w:lineRule="auto"/>
        <w:ind w:left="93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为</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3"/>
          <w:sz w:val="24"/>
          <w:szCs w:val="24"/>
          <w:highlight w:val="none"/>
        </w:rPr>
        <w:t>。</w:t>
      </w:r>
    </w:p>
    <w:p w14:paraId="021ABD06">
      <w:pPr>
        <w:pStyle w:val="8"/>
        <w:spacing w:before="138" w:line="225"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1.4.8对联合体投标的其他资格要求见</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w:t>
      </w:r>
    </w:p>
    <w:p w14:paraId="390BD2DF">
      <w:pPr>
        <w:pStyle w:val="8"/>
        <w:spacing w:before="148" w:line="284" w:lineRule="auto"/>
        <w:ind w:left="938" w:right="126" w:hanging="90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1.5单位负责人为同一人或者存在直接控股、管理关系的不同供应商，其相</w:t>
      </w:r>
      <w:r>
        <w:rPr>
          <w:rFonts w:hint="eastAsia" w:ascii="仿宋" w:hAnsi="仿宋" w:eastAsia="仿宋" w:cs="仿宋"/>
          <w:color w:val="auto"/>
          <w:spacing w:val="-2"/>
          <w:sz w:val="24"/>
          <w:szCs w:val="24"/>
          <w:highlight w:val="none"/>
        </w:rPr>
        <w:t>关投标将被认定为</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2"/>
          <w:sz w:val="24"/>
          <w:szCs w:val="24"/>
          <w:highlight w:val="none"/>
        </w:rPr>
        <w:t>。</w:t>
      </w:r>
    </w:p>
    <w:p w14:paraId="431B237B">
      <w:pPr>
        <w:pStyle w:val="8"/>
        <w:spacing w:before="142" w:line="302" w:lineRule="auto"/>
        <w:ind w:left="927" w:right="126" w:hanging="88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1.6为本项目提供过整体设计、规范编制或者项目管理、监理、检测等服务</w:t>
      </w:r>
      <w:r>
        <w:rPr>
          <w:rFonts w:hint="eastAsia" w:ascii="仿宋" w:hAnsi="仿宋" w:eastAsia="仿宋" w:cs="仿宋"/>
          <w:color w:val="auto"/>
          <w:spacing w:val="2"/>
          <w:sz w:val="24"/>
          <w:szCs w:val="24"/>
          <w:highlight w:val="none"/>
        </w:rPr>
        <w:t>的供应商，不得再参加本项目上述服务以外的其他采购活动。否则其</w:t>
      </w:r>
      <w:r>
        <w:rPr>
          <w:rFonts w:hint="eastAsia" w:ascii="仿宋" w:hAnsi="仿宋" w:eastAsia="仿宋" w:cs="仿宋"/>
          <w:color w:val="auto"/>
          <w:spacing w:val="-1"/>
          <w:sz w:val="24"/>
          <w:szCs w:val="24"/>
          <w:highlight w:val="none"/>
        </w:rPr>
        <w:t>投标将被认定为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29E1A812">
      <w:pPr>
        <w:pStyle w:val="8"/>
        <w:spacing w:before="140" w:line="280" w:lineRule="auto"/>
        <w:ind w:left="931" w:right="126" w:hanging="89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1.7投标人在投标过程中不得向采购人提供、给予任何有价值的物品，影</w:t>
      </w:r>
      <w:r>
        <w:rPr>
          <w:rFonts w:hint="eastAsia" w:ascii="仿宋" w:hAnsi="仿宋" w:eastAsia="仿宋" w:cs="仿宋"/>
          <w:color w:val="auto"/>
          <w:spacing w:val="-1"/>
          <w:sz w:val="24"/>
          <w:szCs w:val="24"/>
          <w:highlight w:val="none"/>
        </w:rPr>
        <w:t>响其正常决策行为。一经发现，其将被认定为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6EE4BF9E">
      <w:pPr>
        <w:pStyle w:val="8"/>
        <w:spacing w:before="154" w:line="224" w:lineRule="auto"/>
        <w:ind w:left="23"/>
        <w:outlineLvl w:val="1"/>
        <w:rPr>
          <w:rFonts w:hint="eastAsia" w:ascii="仿宋" w:hAnsi="仿宋" w:eastAsia="仿宋" w:cs="仿宋"/>
          <w:color w:val="auto"/>
          <w:sz w:val="24"/>
          <w:szCs w:val="24"/>
          <w:highlight w:val="none"/>
        </w:rPr>
      </w:pPr>
      <w:bookmarkStart w:id="13" w:name="_Toc30949"/>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2.资金来源</w:t>
      </w:r>
      <w:bookmarkEnd w:id="13"/>
    </w:p>
    <w:p w14:paraId="5392BB86">
      <w:pPr>
        <w:pStyle w:val="8"/>
        <w:spacing w:before="148" w:line="301" w:lineRule="auto"/>
        <w:ind w:left="935" w:right="124" w:hanging="91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2.1本项目的采购人已获得足以支付本次招标后所签订的合同项下的资金（包括财政性资金和本项目采购中无法与财政性资金分割的非财政性</w:t>
      </w:r>
      <w:r>
        <w:rPr>
          <w:rFonts w:hint="eastAsia" w:ascii="仿宋" w:hAnsi="仿宋" w:eastAsia="仿宋" w:cs="仿宋"/>
          <w:color w:val="auto"/>
          <w:spacing w:val="-5"/>
          <w:sz w:val="24"/>
          <w:szCs w:val="24"/>
          <w:highlight w:val="none"/>
        </w:rPr>
        <w:t>资金）。</w:t>
      </w:r>
    </w:p>
    <w:p w14:paraId="7F800E3C">
      <w:pPr>
        <w:pStyle w:val="8"/>
        <w:spacing w:before="145" w:line="222" w:lineRule="auto"/>
        <w:ind w:left="23"/>
        <w:outlineLvl w:val="2"/>
        <w:rPr>
          <w:rFonts w:hint="eastAsia" w:ascii="仿宋" w:hAnsi="仿宋" w:eastAsia="仿宋" w:cs="仿宋"/>
          <w:color w:val="auto"/>
          <w:sz w:val="24"/>
          <w:szCs w:val="24"/>
          <w:highlight w:val="none"/>
        </w:rPr>
      </w:pPr>
      <w:bookmarkStart w:id="14" w:name="_Toc32169"/>
      <w:r>
        <w:rPr>
          <w:rFonts w:hint="eastAsia" w:ascii="仿宋" w:hAnsi="仿宋" w:eastAsia="仿宋" w:cs="仿宋"/>
          <w:color w:val="auto"/>
          <w:sz w:val="24"/>
          <w:szCs w:val="24"/>
          <w:highlight w:val="none"/>
        </w:rPr>
        <w:t>2.2项目预算金额和分项或分包最高限价</w:t>
      </w:r>
      <w:r>
        <w:rPr>
          <w:rFonts w:hint="eastAsia" w:ascii="仿宋" w:hAnsi="仿宋" w:eastAsia="仿宋" w:cs="仿宋"/>
          <w:color w:val="auto"/>
          <w:sz w:val="24"/>
          <w:szCs w:val="24"/>
          <w:highlight w:val="none"/>
          <w:u w:val="single" w:color="auto"/>
        </w:rPr>
        <w:t>见</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w:t>
      </w:r>
      <w:bookmarkEnd w:id="14"/>
    </w:p>
    <w:p w14:paraId="7F7CD86E">
      <w:pPr>
        <w:pStyle w:val="8"/>
        <w:spacing w:before="155" w:line="281" w:lineRule="auto"/>
        <w:ind w:left="927" w:right="94" w:hanging="90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2.3投标人报价超过招标文件规定的预算金额或者分项、分包最高限价的，</w:t>
      </w:r>
      <w:r>
        <w:rPr>
          <w:rFonts w:hint="eastAsia" w:ascii="仿宋" w:hAnsi="仿宋" w:eastAsia="仿宋" w:cs="仿宋"/>
          <w:color w:val="auto"/>
          <w:spacing w:val="-1"/>
          <w:sz w:val="24"/>
          <w:szCs w:val="24"/>
          <w:highlight w:val="none"/>
        </w:rPr>
        <w:t>其投标将被认定为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2D0FB177">
      <w:pPr>
        <w:pStyle w:val="8"/>
        <w:spacing w:before="147" w:line="225" w:lineRule="auto"/>
        <w:ind w:left="25"/>
        <w:outlineLvl w:val="1"/>
        <w:rPr>
          <w:rFonts w:hint="eastAsia" w:ascii="仿宋" w:hAnsi="仿宋" w:eastAsia="仿宋" w:cs="仿宋"/>
          <w:color w:val="auto"/>
          <w:sz w:val="24"/>
          <w:szCs w:val="24"/>
          <w:highlight w:val="none"/>
        </w:rPr>
      </w:pPr>
      <w:bookmarkStart w:id="15" w:name="_Toc32323"/>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3.投标费用</w:t>
      </w:r>
      <w:bookmarkEnd w:id="15"/>
    </w:p>
    <w:p w14:paraId="01CAD3B1">
      <w:pPr>
        <w:pStyle w:val="8"/>
        <w:spacing w:before="149" w:line="439" w:lineRule="exact"/>
        <w:ind w:left="928"/>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不论投标的结果如何，投标人应承担所有与准备和参加投标有关的费</w:t>
      </w:r>
    </w:p>
    <w:p w14:paraId="5E56738D">
      <w:pPr>
        <w:pStyle w:val="8"/>
        <w:spacing w:before="1" w:line="227" w:lineRule="auto"/>
        <w:ind w:left="943"/>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用。</w:t>
      </w:r>
    </w:p>
    <w:p w14:paraId="48D1F473">
      <w:pPr>
        <w:pStyle w:val="8"/>
        <w:spacing w:before="142" w:line="224" w:lineRule="auto"/>
        <w:ind w:left="19"/>
        <w:outlineLvl w:val="1"/>
        <w:rPr>
          <w:rFonts w:hint="eastAsia" w:ascii="仿宋" w:hAnsi="仿宋" w:eastAsia="仿宋" w:cs="仿宋"/>
          <w:color w:val="auto"/>
          <w:sz w:val="24"/>
          <w:szCs w:val="24"/>
          <w:highlight w:val="none"/>
        </w:rPr>
      </w:pPr>
      <w:bookmarkStart w:id="16" w:name="_Toc29935"/>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4.适用法律</w:t>
      </w:r>
      <w:bookmarkEnd w:id="16"/>
    </w:p>
    <w:p w14:paraId="7CC7F6DD">
      <w:pPr>
        <w:pStyle w:val="8"/>
        <w:spacing w:before="153" w:line="338" w:lineRule="auto"/>
        <w:ind w:left="924" w:right="12" w:hanging="50"/>
        <w:jc w:val="both"/>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本项目采购人、采购代理机构、投标人、评标委员会的相关行为均受《中</w:t>
      </w:r>
      <w:r>
        <w:rPr>
          <w:rFonts w:hint="eastAsia" w:ascii="仿宋" w:hAnsi="仿宋" w:eastAsia="仿宋" w:cs="仿宋"/>
          <w:color w:val="auto"/>
          <w:spacing w:val="-2"/>
          <w:sz w:val="24"/>
          <w:szCs w:val="24"/>
          <w:highlight w:val="none"/>
        </w:rPr>
        <w:t>华人民共和国政府采购法》、《中华人民共和国政府采购法实施条例》</w:t>
      </w:r>
      <w:r>
        <w:rPr>
          <w:rFonts w:hint="eastAsia" w:ascii="仿宋" w:hAnsi="仿宋" w:eastAsia="仿宋" w:cs="仿宋"/>
          <w:color w:val="auto"/>
          <w:spacing w:val="3"/>
          <w:sz w:val="24"/>
          <w:szCs w:val="24"/>
          <w:highlight w:val="none"/>
        </w:rPr>
        <w:t>及本项目本级和上级财政部门政府采购有关规定</w:t>
      </w:r>
      <w:r>
        <w:rPr>
          <w:rFonts w:hint="eastAsia" w:ascii="仿宋" w:hAnsi="仿宋" w:eastAsia="仿宋" w:cs="仿宋"/>
          <w:color w:val="auto"/>
          <w:spacing w:val="2"/>
          <w:sz w:val="24"/>
          <w:szCs w:val="24"/>
          <w:highlight w:val="none"/>
        </w:rPr>
        <w:t>的约束，其权利受到</w:t>
      </w:r>
    </w:p>
    <w:p w14:paraId="245221D8">
      <w:pPr>
        <w:pStyle w:val="8"/>
        <w:spacing w:before="1" w:line="223" w:lineRule="auto"/>
        <w:ind w:left="92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上述法律法规的保护。</w:t>
      </w:r>
    </w:p>
    <w:p w14:paraId="066BA132">
      <w:pPr>
        <w:spacing w:line="223" w:lineRule="auto"/>
        <w:rPr>
          <w:rFonts w:hint="eastAsia" w:ascii="仿宋" w:hAnsi="仿宋" w:eastAsia="仿宋" w:cs="仿宋"/>
          <w:color w:val="auto"/>
          <w:sz w:val="24"/>
          <w:szCs w:val="24"/>
          <w:highlight w:val="none"/>
        </w:rPr>
        <w:sectPr>
          <w:footerReference r:id="rId7" w:type="default"/>
          <w:pgSz w:w="11905" w:h="16838"/>
          <w:pgMar w:top="1440" w:right="1083" w:bottom="1440" w:left="1083" w:header="0" w:footer="1225" w:gutter="0"/>
          <w:pgNumType w:fmt="decimal"/>
          <w:cols w:space="0" w:num="1"/>
          <w:rtlGutter w:val="0"/>
          <w:docGrid w:linePitch="0" w:charSpace="0"/>
        </w:sectPr>
      </w:pPr>
    </w:p>
    <w:p w14:paraId="001F101F">
      <w:pPr>
        <w:pStyle w:val="8"/>
        <w:spacing w:before="74" w:line="233" w:lineRule="auto"/>
        <w:jc w:val="center"/>
        <w:outlineLvl w:val="2"/>
        <w:rPr>
          <w:rFonts w:hint="eastAsia" w:ascii="仿宋" w:hAnsi="仿宋" w:eastAsia="仿宋" w:cs="仿宋"/>
          <w:color w:val="auto"/>
          <w:sz w:val="35"/>
          <w:szCs w:val="35"/>
          <w:highlight w:val="none"/>
        </w:rPr>
      </w:pPr>
      <w:bookmarkStart w:id="17" w:name="bookmark8"/>
      <w:bookmarkEnd w:id="17"/>
      <w:bookmarkStart w:id="18" w:name="bookmark9"/>
      <w:bookmarkEnd w:id="18"/>
      <w:bookmarkStart w:id="19" w:name="bookmark7"/>
      <w:bookmarkEnd w:id="19"/>
      <w:bookmarkStart w:id="20" w:name="_Toc30703"/>
      <w:r>
        <w:rPr>
          <w:rFonts w:hint="eastAsia" w:ascii="仿宋" w:hAnsi="仿宋" w:eastAsia="仿宋" w:cs="仿宋"/>
          <w:color w:val="auto"/>
          <w:spacing w:val="3"/>
          <w:sz w:val="35"/>
          <w:szCs w:val="35"/>
          <w:highlight w:val="none"/>
          <w14:textOutline w14:w="6537" w14:cap="sq" w14:cmpd="sng">
            <w14:solidFill>
              <w14:srgbClr w14:val="000000"/>
            </w14:solidFill>
            <w14:prstDash w14:val="solid"/>
            <w14:bevel/>
          </w14:textOutline>
        </w:rPr>
        <w:t>二招标文件</w:t>
      </w:r>
      <w:bookmarkEnd w:id="20"/>
    </w:p>
    <w:p w14:paraId="32331770">
      <w:pPr>
        <w:pStyle w:val="8"/>
        <w:spacing w:before="103" w:line="227" w:lineRule="auto"/>
        <w:ind w:left="20"/>
        <w:outlineLvl w:val="1"/>
        <w:rPr>
          <w:rFonts w:hint="eastAsia" w:ascii="仿宋" w:hAnsi="仿宋" w:eastAsia="仿宋" w:cs="仿宋"/>
          <w:color w:val="auto"/>
          <w:sz w:val="24"/>
          <w:szCs w:val="24"/>
          <w:highlight w:val="none"/>
        </w:rPr>
      </w:pPr>
      <w:bookmarkStart w:id="21" w:name="_Toc2197"/>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5.招标文件构成</w:t>
      </w:r>
      <w:bookmarkEnd w:id="21"/>
    </w:p>
    <w:p w14:paraId="3894DA00">
      <w:pPr>
        <w:pStyle w:val="8"/>
        <w:spacing w:before="143" w:line="442" w:lineRule="exact"/>
        <w:ind w:left="20"/>
        <w:outlineLvl w:val="2"/>
        <w:rPr>
          <w:rFonts w:hint="eastAsia" w:ascii="仿宋" w:hAnsi="仿宋" w:eastAsia="仿宋" w:cs="仿宋"/>
          <w:color w:val="auto"/>
          <w:sz w:val="24"/>
          <w:szCs w:val="24"/>
          <w:highlight w:val="none"/>
        </w:rPr>
      </w:pPr>
      <w:bookmarkStart w:id="22" w:name="_Toc23973"/>
      <w:r>
        <w:rPr>
          <w:rFonts w:hint="eastAsia" w:ascii="仿宋" w:hAnsi="仿宋" w:eastAsia="仿宋" w:cs="仿宋"/>
          <w:color w:val="auto"/>
          <w:spacing w:val="-2"/>
          <w:position w:val="15"/>
          <w:sz w:val="24"/>
          <w:szCs w:val="24"/>
          <w:highlight w:val="none"/>
        </w:rPr>
        <w:t>5.1招标文件分为三册共7章，内容如下：</w:t>
      </w:r>
      <w:bookmarkEnd w:id="22"/>
    </w:p>
    <w:p w14:paraId="1D026661">
      <w:pPr>
        <w:pStyle w:val="8"/>
        <w:spacing w:line="224" w:lineRule="auto"/>
        <w:ind w:left="939"/>
        <w:outlineLvl w:val="0"/>
        <w:rPr>
          <w:rFonts w:hint="eastAsia" w:ascii="仿宋" w:hAnsi="仿宋" w:eastAsia="仿宋" w:cs="仿宋"/>
          <w:color w:val="auto"/>
          <w:sz w:val="24"/>
          <w:szCs w:val="24"/>
          <w:highlight w:val="none"/>
        </w:rPr>
      </w:pPr>
      <w:bookmarkStart w:id="23" w:name="_Toc3483"/>
      <w:r>
        <w:rPr>
          <w:rFonts w:hint="eastAsia" w:ascii="仿宋" w:hAnsi="仿宋" w:eastAsia="仿宋" w:cs="仿宋"/>
          <w:color w:val="auto"/>
          <w:spacing w:val="-8"/>
          <w:sz w:val="24"/>
          <w:szCs w:val="24"/>
          <w:highlight w:val="none"/>
        </w:rPr>
        <w:t>第一册</w:t>
      </w:r>
      <w:bookmarkEnd w:id="23"/>
    </w:p>
    <w:p w14:paraId="30BF494B">
      <w:pPr>
        <w:pStyle w:val="8"/>
        <w:spacing w:before="148" w:line="224" w:lineRule="auto"/>
        <w:ind w:left="891"/>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第1章投标人须知</w:t>
      </w:r>
    </w:p>
    <w:p w14:paraId="4E6E30C2">
      <w:pPr>
        <w:pStyle w:val="8"/>
        <w:spacing w:before="147" w:line="442" w:lineRule="exact"/>
        <w:ind w:left="941"/>
        <w:rPr>
          <w:rFonts w:hint="eastAsia" w:ascii="仿宋" w:hAnsi="仿宋" w:eastAsia="仿宋" w:cs="仿宋"/>
          <w:color w:val="auto"/>
          <w:sz w:val="24"/>
          <w:szCs w:val="24"/>
          <w:highlight w:val="none"/>
        </w:rPr>
      </w:pPr>
      <w:r>
        <w:rPr>
          <w:rFonts w:hint="eastAsia" w:ascii="仿宋" w:hAnsi="仿宋" w:eastAsia="仿宋" w:cs="仿宋"/>
          <w:color w:val="auto"/>
          <w:spacing w:val="-6"/>
          <w:position w:val="14"/>
          <w:sz w:val="24"/>
          <w:szCs w:val="24"/>
          <w:highlight w:val="none"/>
        </w:rPr>
        <w:t>第2章投标文件格式</w:t>
      </w:r>
    </w:p>
    <w:p w14:paraId="6C15EB6C">
      <w:pPr>
        <w:pStyle w:val="8"/>
        <w:spacing w:line="224" w:lineRule="auto"/>
        <w:ind w:left="941"/>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第二册</w:t>
      </w:r>
    </w:p>
    <w:p w14:paraId="5367EEF7">
      <w:pPr>
        <w:pStyle w:val="8"/>
        <w:spacing w:before="148" w:line="224" w:lineRule="auto"/>
        <w:ind w:left="941"/>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第3章投标邀请</w:t>
      </w:r>
    </w:p>
    <w:p w14:paraId="046C8AF4">
      <w:pPr>
        <w:pStyle w:val="8"/>
        <w:spacing w:before="148" w:line="224" w:lineRule="auto"/>
        <w:ind w:left="941"/>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第4章投标人须知资料表</w:t>
      </w:r>
    </w:p>
    <w:p w14:paraId="49A80652">
      <w:pPr>
        <w:pStyle w:val="8"/>
        <w:spacing w:before="150" w:line="439" w:lineRule="exact"/>
        <w:ind w:left="941"/>
        <w:rPr>
          <w:rFonts w:hint="eastAsia" w:ascii="仿宋" w:hAnsi="仿宋" w:eastAsia="仿宋" w:cs="仿宋"/>
          <w:color w:val="auto"/>
          <w:sz w:val="24"/>
          <w:szCs w:val="24"/>
          <w:highlight w:val="none"/>
        </w:rPr>
      </w:pPr>
      <w:r>
        <w:rPr>
          <w:rFonts w:hint="eastAsia" w:ascii="仿宋" w:hAnsi="仿宋" w:eastAsia="仿宋" w:cs="仿宋"/>
          <w:color w:val="auto"/>
          <w:spacing w:val="-4"/>
          <w:position w:val="14"/>
          <w:sz w:val="24"/>
          <w:szCs w:val="24"/>
          <w:highlight w:val="none"/>
        </w:rPr>
        <w:t>第5章货物需求一览表及技术规格</w:t>
      </w:r>
    </w:p>
    <w:p w14:paraId="226957A7">
      <w:pPr>
        <w:pStyle w:val="8"/>
        <w:spacing w:before="2" w:line="222" w:lineRule="auto"/>
        <w:ind w:left="941"/>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第6章评标方法和标准</w:t>
      </w:r>
    </w:p>
    <w:p w14:paraId="7CE160E4">
      <w:pPr>
        <w:pStyle w:val="8"/>
        <w:spacing w:before="149" w:line="224" w:lineRule="auto"/>
        <w:ind w:left="941"/>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第三册</w:t>
      </w:r>
    </w:p>
    <w:p w14:paraId="591D9B6E">
      <w:pPr>
        <w:pStyle w:val="8"/>
        <w:spacing w:before="150" w:line="223" w:lineRule="auto"/>
        <w:ind w:left="996"/>
        <w:outlineLvl w:val="0"/>
        <w:rPr>
          <w:rFonts w:hint="eastAsia" w:ascii="仿宋" w:hAnsi="仿宋" w:eastAsia="仿宋" w:cs="仿宋"/>
          <w:color w:val="auto"/>
          <w:sz w:val="24"/>
          <w:szCs w:val="24"/>
          <w:highlight w:val="none"/>
        </w:rPr>
      </w:pPr>
      <w:bookmarkStart w:id="24" w:name="_Toc25526"/>
      <w:r>
        <w:rPr>
          <w:rFonts w:hint="eastAsia" w:ascii="仿宋" w:hAnsi="仿宋" w:eastAsia="仿宋" w:cs="仿宋"/>
          <w:color w:val="auto"/>
          <w:spacing w:val="-4"/>
          <w:sz w:val="24"/>
          <w:szCs w:val="24"/>
          <w:highlight w:val="none"/>
        </w:rPr>
        <w:t>第7章政府采购合同格式</w:t>
      </w:r>
      <w:bookmarkEnd w:id="24"/>
    </w:p>
    <w:p w14:paraId="59380E5D">
      <w:pPr>
        <w:pStyle w:val="8"/>
        <w:spacing w:before="150" w:line="220" w:lineRule="auto"/>
        <w:ind w:left="20"/>
        <w:outlineLvl w:val="1"/>
        <w:rPr>
          <w:rFonts w:hint="eastAsia" w:ascii="仿宋" w:hAnsi="仿宋" w:eastAsia="仿宋" w:cs="仿宋"/>
          <w:color w:val="auto"/>
          <w:sz w:val="24"/>
          <w:szCs w:val="24"/>
          <w:highlight w:val="none"/>
        </w:rPr>
      </w:pPr>
      <w:bookmarkStart w:id="25" w:name="_Toc5404"/>
      <w:r>
        <w:rPr>
          <w:rFonts w:hint="eastAsia" w:ascii="仿宋" w:hAnsi="仿宋" w:eastAsia="仿宋" w:cs="仿宋"/>
          <w:color w:val="auto"/>
          <w:spacing w:val="-1"/>
          <w:sz w:val="24"/>
          <w:szCs w:val="24"/>
          <w:highlight w:val="none"/>
        </w:rPr>
        <w:t>5.2如本文件的前后内容不一致，以最后描述为准。</w:t>
      </w:r>
      <w:bookmarkEnd w:id="25"/>
    </w:p>
    <w:p w14:paraId="4B8ABED8">
      <w:pPr>
        <w:pStyle w:val="8"/>
        <w:spacing w:before="155" w:line="313" w:lineRule="auto"/>
        <w:ind w:left="925" w:right="126" w:hanging="90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5.3投标人应认真阅读招标文件所</w:t>
      </w:r>
      <w:r>
        <w:rPr>
          <w:rFonts w:hint="eastAsia" w:ascii="仿宋" w:hAnsi="仿宋" w:eastAsia="仿宋" w:cs="仿宋"/>
          <w:color w:val="auto"/>
          <w:spacing w:val="-3"/>
          <w:sz w:val="24"/>
          <w:szCs w:val="24"/>
          <w:highlight w:val="none"/>
        </w:rPr>
        <w:t>有的事项、格式、条款和技术规范等。如</w:t>
      </w:r>
      <w:r>
        <w:rPr>
          <w:rFonts w:hint="eastAsia" w:ascii="仿宋" w:hAnsi="仿宋" w:eastAsia="仿宋" w:cs="仿宋"/>
          <w:color w:val="auto"/>
          <w:spacing w:val="3"/>
          <w:sz w:val="24"/>
          <w:szCs w:val="24"/>
          <w:highlight w:val="none"/>
        </w:rPr>
        <w:t>投标人没有按照招标文件要求提交全部资料，</w:t>
      </w:r>
      <w:r>
        <w:rPr>
          <w:rFonts w:hint="eastAsia" w:ascii="仿宋" w:hAnsi="仿宋" w:eastAsia="仿宋" w:cs="仿宋"/>
          <w:color w:val="auto"/>
          <w:spacing w:val="2"/>
          <w:sz w:val="24"/>
          <w:szCs w:val="24"/>
          <w:highlight w:val="none"/>
        </w:rPr>
        <w:t>或者投标文件没有对招</w:t>
      </w:r>
      <w:r>
        <w:rPr>
          <w:rFonts w:hint="eastAsia" w:ascii="仿宋" w:hAnsi="仿宋" w:eastAsia="仿宋" w:cs="仿宋"/>
          <w:color w:val="auto"/>
          <w:spacing w:val="3"/>
          <w:sz w:val="24"/>
          <w:szCs w:val="24"/>
          <w:highlight w:val="none"/>
        </w:rPr>
        <w:t>标文件在各方面都做出实质性响应，可能导致</w:t>
      </w:r>
      <w:r>
        <w:rPr>
          <w:rFonts w:hint="eastAsia" w:ascii="仿宋" w:hAnsi="仿宋" w:eastAsia="仿宋" w:cs="仿宋"/>
          <w:color w:val="auto"/>
          <w:spacing w:val="2"/>
          <w:sz w:val="24"/>
          <w:szCs w:val="24"/>
          <w:highlight w:val="none"/>
        </w:rPr>
        <w:t>其投标将被认定为</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投标</w:t>
      </w: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无效</w:t>
      </w:r>
      <w:r>
        <w:rPr>
          <w:rFonts w:hint="eastAsia" w:ascii="仿宋" w:hAnsi="仿宋" w:eastAsia="仿宋" w:cs="仿宋"/>
          <w:color w:val="auto"/>
          <w:spacing w:val="-4"/>
          <w:sz w:val="24"/>
          <w:szCs w:val="24"/>
          <w:highlight w:val="none"/>
        </w:rPr>
        <w:t>。</w:t>
      </w:r>
    </w:p>
    <w:p w14:paraId="411507E5">
      <w:pPr>
        <w:pStyle w:val="8"/>
        <w:spacing w:before="132" w:line="223" w:lineRule="auto"/>
        <w:ind w:left="24"/>
        <w:outlineLvl w:val="2"/>
        <w:rPr>
          <w:rFonts w:hint="eastAsia" w:ascii="仿宋" w:hAnsi="仿宋" w:eastAsia="仿宋" w:cs="仿宋"/>
          <w:color w:val="auto"/>
          <w:sz w:val="24"/>
          <w:szCs w:val="24"/>
          <w:highlight w:val="none"/>
        </w:rPr>
      </w:pPr>
      <w:bookmarkStart w:id="26" w:name="_Toc29878"/>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6.招标文件的澄清与修改</w:t>
      </w:r>
      <w:bookmarkEnd w:id="26"/>
    </w:p>
    <w:p w14:paraId="265B50CC">
      <w:pPr>
        <w:pStyle w:val="8"/>
        <w:spacing w:before="150" w:line="300" w:lineRule="auto"/>
        <w:ind w:left="864" w:right="37" w:hanging="8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6.1为了保证对招标文件的澄清和修改满足法律的时</w:t>
      </w:r>
      <w:r>
        <w:rPr>
          <w:rFonts w:hint="eastAsia" w:ascii="仿宋" w:hAnsi="仿宋" w:eastAsia="仿宋" w:cs="仿宋"/>
          <w:color w:val="auto"/>
          <w:spacing w:val="-1"/>
          <w:sz w:val="24"/>
          <w:szCs w:val="24"/>
          <w:highlight w:val="none"/>
        </w:rPr>
        <w:t>限要求，任何要求对招</w:t>
      </w:r>
      <w:r>
        <w:rPr>
          <w:rFonts w:hint="eastAsia" w:ascii="仿宋" w:hAnsi="仿宋" w:eastAsia="仿宋" w:cs="仿宋"/>
          <w:color w:val="auto"/>
          <w:sz w:val="24"/>
          <w:szCs w:val="24"/>
          <w:highlight w:val="none"/>
        </w:rPr>
        <w:t>标文件进行澄清的投标人，均应在投标截止期</w:t>
      </w:r>
      <w:r>
        <w:rPr>
          <w:rFonts w:hint="eastAsia" w:ascii="仿宋" w:hAnsi="仿宋" w:eastAsia="仿宋" w:cs="仿宋"/>
          <w:color w:val="auto"/>
          <w:spacing w:val="-1"/>
          <w:sz w:val="24"/>
          <w:szCs w:val="24"/>
          <w:highlight w:val="none"/>
        </w:rPr>
        <w:t>十五日前，以书面形式将澄清要求通知采购人或采购代理机构。</w:t>
      </w:r>
    </w:p>
    <w:p w14:paraId="75DC9216">
      <w:pPr>
        <w:pStyle w:val="8"/>
        <w:spacing w:before="150" w:line="299" w:lineRule="auto"/>
        <w:ind w:left="868" w:right="37" w:hanging="8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6.2采购人可主动地或在解答投标人提出的澄清问题</w:t>
      </w:r>
      <w:r>
        <w:rPr>
          <w:rFonts w:hint="eastAsia" w:ascii="仿宋" w:hAnsi="仿宋" w:eastAsia="仿宋" w:cs="仿宋"/>
          <w:color w:val="auto"/>
          <w:spacing w:val="-1"/>
          <w:sz w:val="24"/>
          <w:szCs w:val="24"/>
          <w:highlight w:val="none"/>
        </w:rPr>
        <w:t>时对招标文件进行澄清或修改。采购代理机构将以发布澄清（更正）公告的方式，澄清或修改招标文件，澄清或修改内容作为招标文件的组成部分。</w:t>
      </w:r>
    </w:p>
    <w:p w14:paraId="09D4506C">
      <w:pPr>
        <w:pStyle w:val="8"/>
        <w:spacing w:before="154" w:line="299" w:lineRule="auto"/>
        <w:ind w:left="860" w:right="35" w:hanging="83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6.3澄清或者修改的内容可能影响投标文件编制的，</w:t>
      </w:r>
      <w:r>
        <w:rPr>
          <w:rFonts w:hint="eastAsia" w:ascii="仿宋" w:hAnsi="仿宋" w:eastAsia="仿宋" w:cs="仿宋"/>
          <w:color w:val="auto"/>
          <w:spacing w:val="-1"/>
          <w:sz w:val="24"/>
          <w:szCs w:val="24"/>
          <w:highlight w:val="none"/>
        </w:rPr>
        <w:t>采购代理机构将以书面</w:t>
      </w:r>
      <w:r>
        <w:rPr>
          <w:rFonts w:hint="eastAsia" w:ascii="仿宋" w:hAnsi="仿宋" w:eastAsia="仿宋" w:cs="仿宋"/>
          <w:color w:val="auto"/>
          <w:sz w:val="24"/>
          <w:szCs w:val="24"/>
          <w:highlight w:val="none"/>
        </w:rPr>
        <w:t>形式通知所有购买招标文件的潜在投标人，并对其具有约束力</w:t>
      </w:r>
      <w:r>
        <w:rPr>
          <w:rFonts w:hint="eastAsia" w:ascii="仿宋" w:hAnsi="仿宋" w:eastAsia="仿宋" w:cs="仿宋"/>
          <w:color w:val="auto"/>
          <w:spacing w:val="-1"/>
          <w:sz w:val="24"/>
          <w:szCs w:val="24"/>
          <w:highlight w:val="none"/>
        </w:rPr>
        <w:t>。投标人在收到上述通知后，应及时向采购代理机构回函确认。</w:t>
      </w:r>
    </w:p>
    <w:p w14:paraId="14D8C8D2">
      <w:pPr>
        <w:pStyle w:val="8"/>
        <w:spacing w:before="153" w:line="223" w:lineRule="auto"/>
        <w:ind w:left="26"/>
        <w:outlineLvl w:val="2"/>
        <w:rPr>
          <w:rFonts w:hint="eastAsia" w:ascii="仿宋" w:hAnsi="仿宋" w:eastAsia="仿宋" w:cs="仿宋"/>
          <w:color w:val="auto"/>
          <w:sz w:val="24"/>
          <w:szCs w:val="24"/>
          <w:highlight w:val="none"/>
        </w:rPr>
      </w:pPr>
      <w:bookmarkStart w:id="27" w:name="_Toc3510"/>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7.投标截止时间的顺延</w:t>
      </w:r>
      <w:bookmarkEnd w:id="27"/>
    </w:p>
    <w:p w14:paraId="451F7206">
      <w:pPr>
        <w:pStyle w:val="8"/>
        <w:spacing w:before="149" w:line="442" w:lineRule="exact"/>
        <w:ind w:left="935"/>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为使投标人准备投标时有足够的时间对招标文件的澄清或者修改部分</w:t>
      </w:r>
    </w:p>
    <w:p w14:paraId="39EACCBF">
      <w:pPr>
        <w:pStyle w:val="8"/>
        <w:spacing w:line="220" w:lineRule="auto"/>
        <w:ind w:left="92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进行研究，采购人将依法决定是否顺延投标截止时间。</w:t>
      </w:r>
    </w:p>
    <w:p w14:paraId="1E30E24E">
      <w:pPr>
        <w:spacing w:line="220" w:lineRule="auto"/>
        <w:rPr>
          <w:rFonts w:hint="eastAsia" w:ascii="仿宋" w:hAnsi="仿宋" w:eastAsia="仿宋" w:cs="仿宋"/>
          <w:color w:val="auto"/>
          <w:sz w:val="24"/>
          <w:szCs w:val="24"/>
          <w:highlight w:val="none"/>
        </w:rPr>
        <w:sectPr>
          <w:footerReference r:id="rId8" w:type="default"/>
          <w:pgSz w:w="11905" w:h="16838"/>
          <w:pgMar w:top="1440" w:right="1083" w:bottom="1440" w:left="1083" w:header="0" w:footer="1225" w:gutter="0"/>
          <w:pgNumType w:fmt="decimal"/>
          <w:cols w:space="0" w:num="1"/>
          <w:rtlGutter w:val="0"/>
          <w:docGrid w:linePitch="0" w:charSpace="0"/>
        </w:sectPr>
      </w:pPr>
    </w:p>
    <w:p w14:paraId="50D2756C">
      <w:pPr>
        <w:pStyle w:val="8"/>
        <w:spacing w:before="74" w:line="233" w:lineRule="auto"/>
        <w:jc w:val="center"/>
        <w:outlineLvl w:val="1"/>
        <w:rPr>
          <w:rFonts w:hint="eastAsia" w:ascii="仿宋" w:hAnsi="仿宋" w:eastAsia="仿宋" w:cs="仿宋"/>
          <w:color w:val="auto"/>
          <w:sz w:val="35"/>
          <w:szCs w:val="35"/>
          <w:highlight w:val="none"/>
        </w:rPr>
      </w:pPr>
      <w:bookmarkStart w:id="28" w:name="bookmark14"/>
      <w:bookmarkEnd w:id="28"/>
      <w:bookmarkStart w:id="29" w:name="bookmark11"/>
      <w:bookmarkEnd w:id="29"/>
      <w:bookmarkStart w:id="30" w:name="bookmark10"/>
      <w:bookmarkEnd w:id="30"/>
      <w:bookmarkStart w:id="31" w:name="bookmark13"/>
      <w:bookmarkEnd w:id="31"/>
      <w:bookmarkStart w:id="32" w:name="bookmark12"/>
      <w:bookmarkEnd w:id="32"/>
      <w:bookmarkStart w:id="33" w:name="_Toc8635"/>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三投标文件的编制</w:t>
      </w:r>
      <w:bookmarkEnd w:id="33"/>
    </w:p>
    <w:p w14:paraId="39DFA7CD">
      <w:pPr>
        <w:spacing w:line="461" w:lineRule="auto"/>
        <w:rPr>
          <w:rFonts w:hint="eastAsia" w:ascii="仿宋" w:hAnsi="仿宋" w:eastAsia="仿宋" w:cs="仿宋"/>
          <w:color w:val="auto"/>
          <w:sz w:val="21"/>
          <w:highlight w:val="none"/>
        </w:rPr>
      </w:pPr>
    </w:p>
    <w:p w14:paraId="3EE5C086">
      <w:pPr>
        <w:pStyle w:val="8"/>
        <w:spacing w:before="78" w:line="225" w:lineRule="auto"/>
        <w:ind w:left="22"/>
        <w:outlineLvl w:val="2"/>
        <w:rPr>
          <w:rFonts w:hint="eastAsia" w:ascii="仿宋" w:hAnsi="仿宋" w:eastAsia="仿宋" w:cs="仿宋"/>
          <w:color w:val="auto"/>
          <w:sz w:val="24"/>
          <w:szCs w:val="24"/>
          <w:highlight w:val="none"/>
        </w:rPr>
      </w:pPr>
      <w:bookmarkStart w:id="34" w:name="_Toc30032"/>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8.投标范围及投标文件中标准和计量单位的使用</w:t>
      </w:r>
      <w:bookmarkEnd w:id="34"/>
    </w:p>
    <w:p w14:paraId="39B78092">
      <w:pPr>
        <w:pStyle w:val="8"/>
        <w:spacing w:before="148" w:line="279" w:lineRule="auto"/>
        <w:ind w:left="926" w:right="126" w:hanging="90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8.1项目有分包的，投标人可对招标文件其中某一个或几个分</w:t>
      </w:r>
      <w:r>
        <w:rPr>
          <w:rFonts w:hint="eastAsia" w:ascii="仿宋" w:hAnsi="仿宋" w:eastAsia="仿宋" w:cs="仿宋"/>
          <w:color w:val="auto"/>
          <w:spacing w:val="3"/>
          <w:sz w:val="24"/>
          <w:szCs w:val="24"/>
          <w:highlight w:val="none"/>
        </w:rPr>
        <w:t>包货物进行</w:t>
      </w:r>
      <w:r>
        <w:rPr>
          <w:rFonts w:hint="eastAsia" w:ascii="仿宋" w:hAnsi="仿宋" w:eastAsia="仿宋" w:cs="仿宋"/>
          <w:color w:val="auto"/>
          <w:spacing w:val="-1"/>
          <w:sz w:val="24"/>
          <w:szCs w:val="24"/>
          <w:highlight w:val="none"/>
        </w:rPr>
        <w:t>投标，除非在</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中另有规定。</w:t>
      </w:r>
    </w:p>
    <w:p w14:paraId="1F7568F2">
      <w:pPr>
        <w:pStyle w:val="8"/>
        <w:spacing w:before="154" w:line="305" w:lineRule="auto"/>
        <w:ind w:left="926" w:right="126" w:hanging="90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8.2投标人应当对所投分包招标文件中“服务需求”</w:t>
      </w:r>
      <w:r>
        <w:rPr>
          <w:rFonts w:hint="eastAsia" w:ascii="仿宋" w:hAnsi="仿宋" w:eastAsia="仿宋" w:cs="仿宋"/>
          <w:color w:val="auto"/>
          <w:spacing w:val="-1"/>
          <w:sz w:val="24"/>
          <w:szCs w:val="24"/>
          <w:highlight w:val="none"/>
        </w:rPr>
        <w:t>所列的所有内容进行</w:t>
      </w:r>
      <w:r>
        <w:rPr>
          <w:rFonts w:hint="eastAsia" w:ascii="仿宋" w:hAnsi="仿宋" w:eastAsia="仿宋" w:cs="仿宋"/>
          <w:color w:val="auto"/>
          <w:spacing w:val="2"/>
          <w:sz w:val="24"/>
          <w:szCs w:val="24"/>
          <w:highlight w:val="none"/>
        </w:rPr>
        <w:t>投标，如仅响应某一包中的部分内容，其该包投标将被认定为</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投标无</w:t>
      </w: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效</w:t>
      </w:r>
      <w:r>
        <w:rPr>
          <w:rFonts w:hint="eastAsia" w:ascii="仿宋" w:hAnsi="仿宋" w:eastAsia="仿宋" w:cs="仿宋"/>
          <w:color w:val="auto"/>
          <w:spacing w:val="-6"/>
          <w:sz w:val="24"/>
          <w:szCs w:val="24"/>
          <w:highlight w:val="none"/>
        </w:rPr>
        <w:t>。</w:t>
      </w:r>
    </w:p>
    <w:p w14:paraId="24399AF5">
      <w:pPr>
        <w:pStyle w:val="8"/>
        <w:spacing w:before="129" w:line="283" w:lineRule="auto"/>
        <w:ind w:left="924" w:right="124" w:hanging="90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8.3无论招标文件第5章货物需求一览表及技术规格中是否要求，投标人</w:t>
      </w:r>
      <w:r>
        <w:rPr>
          <w:rFonts w:hint="eastAsia" w:ascii="仿宋" w:hAnsi="仿宋" w:eastAsia="仿宋" w:cs="仿宋"/>
          <w:color w:val="auto"/>
          <w:spacing w:val="-1"/>
          <w:sz w:val="24"/>
          <w:szCs w:val="24"/>
          <w:highlight w:val="none"/>
        </w:rPr>
        <w:t>所投货物均应符合国家强制性标准。</w:t>
      </w:r>
    </w:p>
    <w:p w14:paraId="3EA84EC0">
      <w:pPr>
        <w:pStyle w:val="8"/>
        <w:spacing w:before="146" w:line="281" w:lineRule="auto"/>
        <w:ind w:left="952" w:right="126" w:hanging="93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8.4除招标文件中有特殊要求外，投标</w:t>
      </w:r>
      <w:r>
        <w:rPr>
          <w:rFonts w:hint="eastAsia" w:ascii="仿宋" w:hAnsi="仿宋" w:eastAsia="仿宋" w:cs="仿宋"/>
          <w:color w:val="auto"/>
          <w:sz w:val="24"/>
          <w:szCs w:val="24"/>
          <w:highlight w:val="none"/>
        </w:rPr>
        <w:t>文件中所使用的计量单位，应采用</w:t>
      </w:r>
      <w:r>
        <w:rPr>
          <w:rFonts w:hint="eastAsia" w:ascii="仿宋" w:hAnsi="仿宋" w:eastAsia="仿宋" w:cs="仿宋"/>
          <w:color w:val="auto"/>
          <w:spacing w:val="-3"/>
          <w:sz w:val="24"/>
          <w:szCs w:val="24"/>
          <w:highlight w:val="none"/>
        </w:rPr>
        <w:t>中华人民共和国法定计量单位。</w:t>
      </w:r>
    </w:p>
    <w:p w14:paraId="36520F51">
      <w:pPr>
        <w:pStyle w:val="8"/>
        <w:spacing w:before="150" w:line="227" w:lineRule="auto"/>
        <w:ind w:left="19"/>
        <w:outlineLvl w:val="2"/>
        <w:rPr>
          <w:rFonts w:hint="eastAsia" w:ascii="仿宋" w:hAnsi="仿宋" w:eastAsia="仿宋" w:cs="仿宋"/>
          <w:color w:val="auto"/>
          <w:sz w:val="24"/>
          <w:szCs w:val="24"/>
          <w:highlight w:val="none"/>
        </w:rPr>
      </w:pPr>
      <w:bookmarkStart w:id="35" w:name="_Toc1426"/>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9.投标文件构成</w:t>
      </w:r>
      <w:bookmarkEnd w:id="35"/>
    </w:p>
    <w:p w14:paraId="2FE47941">
      <w:pPr>
        <w:pStyle w:val="8"/>
        <w:spacing w:before="153" w:line="225" w:lineRule="auto"/>
        <w:ind w:left="977" w:leftChars="8" w:hanging="960" w:hangingChars="400"/>
        <w:rPr>
          <w:rFonts w:hint="eastAsia" w:ascii="仿宋" w:hAnsi="仿宋" w:eastAsia="仿宋" w:cs="仿宋"/>
          <w:color w:val="auto"/>
          <w:spacing w:val="32"/>
          <w:sz w:val="24"/>
          <w:szCs w:val="24"/>
          <w:highlight w:val="none"/>
        </w:rPr>
      </w:pPr>
      <w:r>
        <w:rPr>
          <w:rFonts w:hint="eastAsia" w:ascii="仿宋" w:hAnsi="仿宋" w:eastAsia="仿宋" w:cs="仿宋"/>
          <w:color w:val="auto"/>
          <w:sz w:val="24"/>
          <w:szCs w:val="24"/>
          <w:highlight w:val="none"/>
        </w:rPr>
        <w:t>9.1</w:t>
      </w:r>
      <w:r>
        <w:rPr>
          <w:rFonts w:hint="eastAsia" w:ascii="仿宋" w:hAnsi="仿宋" w:eastAsia="仿宋" w:cs="仿宋"/>
          <w:b/>
          <w:bCs/>
          <w:color w:val="auto"/>
          <w:spacing w:val="32"/>
          <w:sz w:val="24"/>
          <w:szCs w:val="24"/>
          <w:highlight w:val="none"/>
          <w:lang w:val="en-US" w:eastAsia="zh-CN"/>
        </w:rPr>
        <w:t>投标单位应完整地按招标文件提供的投标文件格式及要求编写投标文件，投标单位须在投标截止时间前完成在系统上递交电子投标文件。投标单位的电子投标文件是经过CA证书加密后上传提交的，任何单位或个人均无法在投标截止时间(即投标文件开启时间)之前查看或篡改，不存在泄密风险。（严格按照政采云电子投标流程制作并上传电子投标文件）</w:t>
      </w:r>
    </w:p>
    <w:p w14:paraId="0BA5D5B7">
      <w:pPr>
        <w:pStyle w:val="8"/>
        <w:spacing w:before="153" w:line="225" w:lineRule="auto"/>
        <w:ind w:left="19"/>
        <w:outlineLvl w:val="1"/>
        <w:rPr>
          <w:rFonts w:hint="eastAsia" w:ascii="仿宋" w:hAnsi="仿宋" w:eastAsia="仿宋" w:cs="仿宋"/>
          <w:color w:val="auto"/>
          <w:sz w:val="24"/>
          <w:szCs w:val="24"/>
          <w:highlight w:val="none"/>
        </w:rPr>
      </w:pPr>
      <w:bookmarkStart w:id="36" w:name="_Toc17919"/>
      <w:r>
        <w:rPr>
          <w:rFonts w:hint="eastAsia" w:ascii="仿宋" w:hAnsi="仿宋" w:eastAsia="仿宋" w:cs="仿宋"/>
          <w:color w:val="auto"/>
          <w:sz w:val="24"/>
          <w:szCs w:val="24"/>
          <w:highlight w:val="none"/>
        </w:rPr>
        <w:t>9.2上述文件应按照招标文件规定的格式填写、签署</w:t>
      </w:r>
      <w:r>
        <w:rPr>
          <w:rFonts w:hint="eastAsia" w:ascii="仿宋" w:hAnsi="仿宋" w:eastAsia="仿宋" w:cs="仿宋"/>
          <w:color w:val="auto"/>
          <w:spacing w:val="-1"/>
          <w:sz w:val="24"/>
          <w:szCs w:val="24"/>
          <w:highlight w:val="none"/>
        </w:rPr>
        <w:t>和盖章。</w:t>
      </w:r>
      <w:bookmarkEnd w:id="36"/>
    </w:p>
    <w:p w14:paraId="32ACDD71">
      <w:pPr>
        <w:pStyle w:val="8"/>
        <w:spacing w:before="147" w:line="227" w:lineRule="auto"/>
        <w:ind w:left="38"/>
        <w:outlineLvl w:val="2"/>
        <w:rPr>
          <w:rFonts w:hint="eastAsia" w:ascii="仿宋" w:hAnsi="仿宋" w:eastAsia="仿宋" w:cs="仿宋"/>
          <w:color w:val="auto"/>
          <w:sz w:val="24"/>
          <w:szCs w:val="24"/>
          <w:highlight w:val="none"/>
        </w:rPr>
      </w:pPr>
      <w:bookmarkStart w:id="37" w:name="_Toc14989"/>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10.证明投标标的的合格性和符合招标文件</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规定的技术文件</w:t>
      </w:r>
      <w:bookmarkEnd w:id="37"/>
    </w:p>
    <w:p w14:paraId="540E26AB">
      <w:pPr>
        <w:pStyle w:val="8"/>
        <w:spacing w:before="146" w:line="220" w:lineRule="auto"/>
        <w:ind w:left="38"/>
        <w:outlineLvl w:val="1"/>
        <w:rPr>
          <w:rFonts w:hint="eastAsia" w:ascii="仿宋" w:hAnsi="仿宋" w:eastAsia="仿宋" w:cs="仿宋"/>
          <w:color w:val="auto"/>
          <w:sz w:val="24"/>
          <w:szCs w:val="24"/>
          <w:highlight w:val="none"/>
        </w:rPr>
      </w:pPr>
      <w:bookmarkStart w:id="38" w:name="_Toc24341"/>
      <w:r>
        <w:rPr>
          <w:rFonts w:hint="eastAsia" w:ascii="仿宋" w:hAnsi="仿宋" w:eastAsia="仿宋" w:cs="仿宋"/>
          <w:color w:val="auto"/>
          <w:spacing w:val="3"/>
          <w:sz w:val="24"/>
          <w:szCs w:val="24"/>
          <w:highlight w:val="none"/>
        </w:rPr>
        <w:t>10.1投标人应提交证明文件，证明其投标内容符合招标文件规定。该证明</w:t>
      </w:r>
      <w:bookmarkEnd w:id="38"/>
    </w:p>
    <w:p w14:paraId="122230DB">
      <w:pPr>
        <w:pStyle w:val="8"/>
        <w:spacing w:before="154" w:line="224" w:lineRule="auto"/>
        <w:ind w:left="93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文件是投标文件的一部分。</w:t>
      </w:r>
    </w:p>
    <w:p w14:paraId="2712EDA5">
      <w:pPr>
        <w:pStyle w:val="8"/>
        <w:spacing w:before="147"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10.2上款所述的证明文件，可以是文字资料、图纸和数据，它包</w:t>
      </w:r>
      <w:r>
        <w:rPr>
          <w:rFonts w:hint="eastAsia" w:ascii="仿宋" w:hAnsi="仿宋" w:eastAsia="仿宋" w:cs="仿宋"/>
          <w:color w:val="auto"/>
          <w:spacing w:val="-2"/>
          <w:sz w:val="24"/>
          <w:szCs w:val="24"/>
          <w:highlight w:val="none"/>
        </w:rPr>
        <w:t>括：</w:t>
      </w:r>
    </w:p>
    <w:p w14:paraId="6074F48D">
      <w:pPr>
        <w:pStyle w:val="8"/>
        <w:spacing w:before="156" w:line="224" w:lineRule="auto"/>
        <w:ind w:left="38"/>
        <w:outlineLvl w:val="2"/>
        <w:rPr>
          <w:rFonts w:hint="eastAsia" w:ascii="仿宋" w:hAnsi="仿宋" w:eastAsia="仿宋" w:cs="仿宋"/>
          <w:color w:val="auto"/>
          <w:sz w:val="24"/>
          <w:szCs w:val="24"/>
          <w:highlight w:val="none"/>
        </w:rPr>
      </w:pPr>
      <w:bookmarkStart w:id="39" w:name="_Toc16347"/>
      <w:r>
        <w:rPr>
          <w:rFonts w:hint="eastAsia" w:ascii="仿宋" w:hAnsi="仿宋" w:eastAsia="仿宋" w:cs="仿宋"/>
          <w:color w:val="auto"/>
          <w:spacing w:val="-2"/>
          <w:sz w:val="24"/>
          <w:szCs w:val="24"/>
          <w:highlight w:val="none"/>
        </w:rPr>
        <w:t>10.2.1货物主要技术指标和性能的详细说明；</w:t>
      </w:r>
      <w:bookmarkEnd w:id="39"/>
    </w:p>
    <w:p w14:paraId="7D953DB2">
      <w:pPr>
        <w:pStyle w:val="8"/>
        <w:spacing w:before="148" w:line="279" w:lineRule="auto"/>
        <w:ind w:left="937" w:right="53" w:hanging="89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10.2.2货物从买方开始使用至招标文</w:t>
      </w:r>
      <w:r>
        <w:rPr>
          <w:rFonts w:hint="eastAsia" w:ascii="仿宋" w:hAnsi="仿宋" w:eastAsia="仿宋" w:cs="仿宋"/>
          <w:color w:val="auto"/>
          <w:spacing w:val="1"/>
          <w:sz w:val="24"/>
          <w:szCs w:val="24"/>
          <w:highlight w:val="none"/>
        </w:rPr>
        <w:t>件规定的保质期内正常、连续地使用所</w:t>
      </w:r>
      <w:r>
        <w:rPr>
          <w:rFonts w:hint="eastAsia" w:ascii="仿宋" w:hAnsi="仿宋" w:eastAsia="仿宋" w:cs="仿宋"/>
          <w:color w:val="auto"/>
          <w:spacing w:val="-3"/>
          <w:sz w:val="24"/>
          <w:szCs w:val="24"/>
          <w:highlight w:val="none"/>
        </w:rPr>
        <w:t>必须的备件和专用工具清单，包括备件和专用工具的货源及</w:t>
      </w:r>
      <w:r>
        <w:rPr>
          <w:rFonts w:hint="eastAsia" w:ascii="仿宋" w:hAnsi="仿宋" w:eastAsia="仿宋" w:cs="仿宋"/>
          <w:color w:val="auto"/>
          <w:spacing w:val="-4"/>
          <w:sz w:val="24"/>
          <w:szCs w:val="24"/>
          <w:highlight w:val="none"/>
        </w:rPr>
        <w:t>现行价格；</w:t>
      </w:r>
    </w:p>
    <w:p w14:paraId="7353B4D7">
      <w:pPr>
        <w:pStyle w:val="8"/>
        <w:spacing w:before="156" w:line="300" w:lineRule="auto"/>
        <w:ind w:left="923" w:right="126" w:hanging="88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10.2.3对照招标文件技术规格，逐条说明所提供</w:t>
      </w:r>
      <w:r>
        <w:rPr>
          <w:rFonts w:hint="eastAsia" w:ascii="仿宋" w:hAnsi="仿宋" w:eastAsia="仿宋" w:cs="仿宋"/>
          <w:color w:val="auto"/>
          <w:spacing w:val="1"/>
          <w:sz w:val="24"/>
          <w:szCs w:val="24"/>
          <w:highlight w:val="none"/>
        </w:rPr>
        <w:t>货物及伴随的工程和服务已</w:t>
      </w:r>
      <w:r>
        <w:rPr>
          <w:rFonts w:hint="eastAsia" w:ascii="仿宋" w:hAnsi="仿宋" w:eastAsia="仿宋" w:cs="仿宋"/>
          <w:color w:val="auto"/>
          <w:spacing w:val="3"/>
          <w:sz w:val="24"/>
          <w:szCs w:val="24"/>
          <w:highlight w:val="none"/>
        </w:rPr>
        <w:t>对招标文件的技术规格做出了实质性的响应，或申</w:t>
      </w:r>
      <w:r>
        <w:rPr>
          <w:rFonts w:hint="eastAsia" w:ascii="仿宋" w:hAnsi="仿宋" w:eastAsia="仿宋" w:cs="仿宋"/>
          <w:color w:val="auto"/>
          <w:spacing w:val="2"/>
          <w:sz w:val="24"/>
          <w:szCs w:val="24"/>
          <w:highlight w:val="none"/>
        </w:rPr>
        <w:t>明与技术规格条文</w:t>
      </w:r>
      <w:r>
        <w:rPr>
          <w:rFonts w:hint="eastAsia" w:ascii="仿宋" w:hAnsi="仿宋" w:eastAsia="仿宋" w:cs="仿宋"/>
          <w:color w:val="auto"/>
          <w:spacing w:val="-2"/>
          <w:sz w:val="24"/>
          <w:szCs w:val="24"/>
          <w:highlight w:val="none"/>
        </w:rPr>
        <w:t>的偏差和例外。</w:t>
      </w:r>
    </w:p>
    <w:p w14:paraId="363C2132">
      <w:pPr>
        <w:spacing w:line="222" w:lineRule="auto"/>
        <w:ind w:left="738" w:hanging="738" w:hangingChars="30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10.3</w:t>
      </w:r>
      <w:r>
        <w:rPr>
          <w:rFonts w:hint="eastAsia" w:ascii="仿宋" w:hAnsi="仿宋" w:eastAsia="仿宋" w:cs="仿宋"/>
          <w:snapToGrid w:val="0"/>
          <w:color w:val="auto"/>
          <w:spacing w:val="2"/>
          <w:kern w:val="0"/>
          <w:sz w:val="24"/>
          <w:szCs w:val="24"/>
          <w:highlight w:val="none"/>
          <w:lang w:val="en-US" w:eastAsia="zh-CN" w:bidi="ar-SA"/>
        </w:rPr>
        <w:t>供应商在投标中可以选用替代牌号或分类号，但这些替代要实质上相当于技术规格的要求。采购人、采购代理机构承诺不以上述参照品牌型号或分类号作为评标时判定其投标是否有效的标准。</w:t>
      </w:r>
    </w:p>
    <w:p w14:paraId="218C018D">
      <w:pPr>
        <w:spacing w:line="222" w:lineRule="auto"/>
        <w:rPr>
          <w:rFonts w:hint="eastAsia" w:ascii="仿宋" w:hAnsi="仿宋" w:eastAsia="仿宋" w:cs="仿宋"/>
          <w:color w:val="auto"/>
          <w:sz w:val="24"/>
          <w:szCs w:val="24"/>
          <w:highlight w:val="none"/>
        </w:rPr>
        <w:sectPr>
          <w:footerReference r:id="rId9" w:type="default"/>
          <w:pgSz w:w="11905" w:h="16838"/>
          <w:pgMar w:top="1440" w:right="1083" w:bottom="1440" w:left="1083" w:header="0" w:footer="1225" w:gutter="0"/>
          <w:pgNumType w:fmt="decimal"/>
          <w:cols w:space="0" w:num="1"/>
          <w:rtlGutter w:val="0"/>
          <w:docGrid w:linePitch="0" w:charSpace="0"/>
        </w:sectPr>
      </w:pPr>
    </w:p>
    <w:p w14:paraId="0C953FF6">
      <w:pPr>
        <w:pStyle w:val="8"/>
        <w:spacing w:before="149" w:line="231" w:lineRule="auto"/>
        <w:ind w:left="38"/>
        <w:outlineLvl w:val="2"/>
        <w:rPr>
          <w:rFonts w:hint="eastAsia" w:ascii="仿宋" w:hAnsi="仿宋" w:eastAsia="仿宋" w:cs="仿宋"/>
          <w:color w:val="auto"/>
          <w:sz w:val="24"/>
          <w:szCs w:val="24"/>
          <w:highlight w:val="none"/>
        </w:rPr>
      </w:pPr>
      <w:bookmarkStart w:id="40" w:name="bookmark16"/>
      <w:bookmarkEnd w:id="40"/>
      <w:bookmarkStart w:id="41" w:name="bookmark15"/>
      <w:bookmarkEnd w:id="41"/>
      <w:bookmarkStart w:id="42" w:name="_Toc29596"/>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11.投标报价</w:t>
      </w:r>
      <w:bookmarkEnd w:id="42"/>
    </w:p>
    <w:p w14:paraId="0A798B50">
      <w:pPr>
        <w:pStyle w:val="8"/>
        <w:spacing w:before="138" w:line="223"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11.1所有投标均以人民币报价。投标人的投标报价应遵守《中华人民共和</w:t>
      </w:r>
    </w:p>
    <w:p w14:paraId="392B1A95">
      <w:pPr>
        <w:pStyle w:val="8"/>
        <w:spacing w:before="151" w:line="338" w:lineRule="auto"/>
        <w:ind w:left="937" w:right="126" w:firstLine="17"/>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国价格法》。同时，根据《中华人民共和国政府</w:t>
      </w:r>
      <w:r>
        <w:rPr>
          <w:rFonts w:hint="eastAsia" w:ascii="仿宋" w:hAnsi="仿宋" w:eastAsia="仿宋" w:cs="仿宋"/>
          <w:color w:val="auto"/>
          <w:spacing w:val="1"/>
          <w:sz w:val="24"/>
          <w:szCs w:val="24"/>
          <w:highlight w:val="none"/>
        </w:rPr>
        <w:t>采购法》第二条的规</w:t>
      </w:r>
      <w:r>
        <w:rPr>
          <w:rFonts w:hint="eastAsia" w:ascii="仿宋" w:hAnsi="仿宋" w:eastAsia="仿宋" w:cs="仿宋"/>
          <w:color w:val="auto"/>
          <w:spacing w:val="2"/>
          <w:sz w:val="24"/>
          <w:szCs w:val="24"/>
          <w:highlight w:val="none"/>
        </w:rPr>
        <w:t>定，为保证公平竞争，如有货物主体部分的赠与行为，其投标将被认</w:t>
      </w:r>
      <w:r>
        <w:rPr>
          <w:rFonts w:hint="eastAsia" w:ascii="仿宋" w:hAnsi="仿宋" w:eastAsia="仿宋" w:cs="仿宋"/>
          <w:color w:val="auto"/>
          <w:spacing w:val="-3"/>
          <w:sz w:val="24"/>
          <w:szCs w:val="24"/>
          <w:highlight w:val="none"/>
        </w:rPr>
        <w:t>定为</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3"/>
          <w:sz w:val="24"/>
          <w:szCs w:val="24"/>
          <w:highlight w:val="none"/>
        </w:rPr>
        <w:t>。</w:t>
      </w:r>
    </w:p>
    <w:p w14:paraId="38270B60">
      <w:pPr>
        <w:pStyle w:val="8"/>
        <w:spacing w:before="140" w:line="225" w:lineRule="auto"/>
        <w:ind w:left="38"/>
        <w:outlineLvl w:val="1"/>
        <w:rPr>
          <w:rFonts w:hint="eastAsia" w:ascii="仿宋" w:hAnsi="仿宋" w:eastAsia="仿宋" w:cs="仿宋"/>
          <w:color w:val="auto"/>
          <w:sz w:val="24"/>
          <w:szCs w:val="24"/>
          <w:highlight w:val="none"/>
        </w:rPr>
      </w:pPr>
      <w:bookmarkStart w:id="43" w:name="_Toc21131"/>
      <w:r>
        <w:rPr>
          <w:rFonts w:hint="eastAsia" w:ascii="仿宋" w:hAnsi="仿宋" w:eastAsia="仿宋" w:cs="仿宋"/>
          <w:color w:val="auto"/>
          <w:spacing w:val="3"/>
          <w:sz w:val="24"/>
          <w:szCs w:val="24"/>
          <w:highlight w:val="none"/>
        </w:rPr>
        <w:t>11.2投标人应在投标分项报价表上标明投标货物及相关服务的单价（如适</w:t>
      </w:r>
      <w:bookmarkEnd w:id="43"/>
      <w:r>
        <w:rPr>
          <w:rFonts w:hint="eastAsia" w:ascii="仿宋" w:hAnsi="仿宋" w:eastAsia="仿宋" w:cs="仿宋"/>
          <w:color w:val="auto"/>
          <w:spacing w:val="-2"/>
          <w:sz w:val="24"/>
          <w:szCs w:val="24"/>
          <w:highlight w:val="none"/>
        </w:rPr>
        <w:t>用）和总价，并由法定代表人或其授权代表签署。</w:t>
      </w:r>
    </w:p>
    <w:p w14:paraId="73011D5F">
      <w:pPr>
        <w:pStyle w:val="8"/>
        <w:spacing w:before="153" w:line="226" w:lineRule="auto"/>
        <w:ind w:left="38"/>
        <w:outlineLvl w:val="1"/>
        <w:rPr>
          <w:rFonts w:hint="eastAsia" w:ascii="仿宋" w:hAnsi="仿宋" w:eastAsia="仿宋" w:cs="仿宋"/>
          <w:color w:val="auto"/>
          <w:sz w:val="24"/>
          <w:szCs w:val="24"/>
          <w:highlight w:val="none"/>
        </w:rPr>
      </w:pPr>
      <w:bookmarkStart w:id="44" w:name="_Toc4565"/>
      <w:r>
        <w:rPr>
          <w:rFonts w:hint="eastAsia" w:ascii="仿宋" w:hAnsi="仿宋" w:eastAsia="仿宋" w:cs="仿宋"/>
          <w:color w:val="auto"/>
          <w:spacing w:val="-2"/>
          <w:sz w:val="24"/>
          <w:szCs w:val="24"/>
          <w:highlight w:val="none"/>
        </w:rPr>
        <w:t>11.3投标分项报价表上的价格应按下列方式填写：</w:t>
      </w:r>
      <w:bookmarkEnd w:id="44"/>
    </w:p>
    <w:p w14:paraId="093E0139">
      <w:pPr>
        <w:pStyle w:val="8"/>
        <w:spacing w:before="149" w:line="300" w:lineRule="auto"/>
        <w:ind w:left="925" w:right="125" w:hanging="887"/>
        <w:rPr>
          <w:rFonts w:hint="eastAsia" w:ascii="仿宋" w:hAnsi="仿宋" w:eastAsia="仿宋" w:cs="仿宋"/>
          <w:color w:val="auto"/>
          <w:spacing w:val="2"/>
          <w:sz w:val="24"/>
          <w:szCs w:val="24"/>
          <w:highlight w:val="none"/>
        </w:rPr>
      </w:pPr>
      <w:r>
        <w:rPr>
          <w:rFonts w:hint="eastAsia" w:ascii="仿宋" w:hAnsi="仿宋" w:eastAsia="仿宋" w:cs="仿宋"/>
          <w:color w:val="auto"/>
          <w:sz w:val="24"/>
          <w:szCs w:val="24"/>
          <w:highlight w:val="none"/>
        </w:rPr>
        <w:t>11.3.1投标货物（包括备品备件、专用工具等）的出厂价（包括已在中国国</w:t>
      </w:r>
      <w:r>
        <w:rPr>
          <w:rFonts w:hint="eastAsia" w:ascii="仿宋" w:hAnsi="仿宋" w:eastAsia="仿宋" w:cs="仿宋"/>
          <w:color w:val="auto"/>
          <w:spacing w:val="2"/>
          <w:sz w:val="24"/>
          <w:szCs w:val="24"/>
          <w:highlight w:val="none"/>
        </w:rPr>
        <w:t>内的进口货物</w:t>
      </w:r>
    </w:p>
    <w:p w14:paraId="1AAE3139">
      <w:pPr>
        <w:pStyle w:val="8"/>
        <w:spacing w:before="149" w:line="300" w:lineRule="auto"/>
        <w:ind w:left="925" w:right="125" w:hanging="887"/>
        <w:rPr>
          <w:rFonts w:hint="eastAsia" w:ascii="仿宋" w:hAnsi="仿宋" w:eastAsia="仿宋" w:cs="仿宋"/>
          <w:color w:val="auto"/>
          <w:spacing w:val="-1"/>
          <w:sz w:val="24"/>
          <w:szCs w:val="24"/>
          <w:highlight w:val="none"/>
        </w:rPr>
      </w:pPr>
      <w:r>
        <w:rPr>
          <w:rFonts w:hint="eastAsia" w:ascii="仿宋" w:hAnsi="仿宋" w:eastAsia="仿宋" w:cs="仿宋"/>
          <w:color w:val="auto"/>
          <w:spacing w:val="2"/>
          <w:sz w:val="24"/>
          <w:szCs w:val="24"/>
          <w:highlight w:val="none"/>
        </w:rPr>
        <w:t>完税后的仓库交货价、展室交货价或货架交货价</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2"/>
          <w:sz w:val="24"/>
          <w:szCs w:val="24"/>
          <w:highlight w:val="none"/>
        </w:rPr>
        <w:t>投</w:t>
      </w:r>
      <w:r>
        <w:rPr>
          <w:rFonts w:hint="eastAsia" w:ascii="仿宋" w:hAnsi="仿宋" w:eastAsia="仿宋" w:cs="仿宋"/>
          <w:color w:val="auto"/>
          <w:spacing w:val="-1"/>
          <w:sz w:val="24"/>
          <w:szCs w:val="24"/>
          <w:highlight w:val="none"/>
        </w:rPr>
        <w:t>标货物安装、调试、检验、技术服</w:t>
      </w:r>
    </w:p>
    <w:p w14:paraId="12D35A5F">
      <w:pPr>
        <w:pStyle w:val="8"/>
        <w:spacing w:before="149" w:line="300" w:lineRule="auto"/>
        <w:ind w:left="925" w:right="125" w:hanging="88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务和培训等费用；</w:t>
      </w:r>
    </w:p>
    <w:p w14:paraId="0625BD6A">
      <w:pPr>
        <w:pStyle w:val="8"/>
        <w:spacing w:before="148" w:line="222" w:lineRule="auto"/>
        <w:ind w:left="38"/>
        <w:outlineLvl w:val="2"/>
        <w:rPr>
          <w:rFonts w:hint="eastAsia" w:ascii="仿宋" w:hAnsi="仿宋" w:eastAsia="仿宋" w:cs="仿宋"/>
          <w:color w:val="auto"/>
          <w:sz w:val="24"/>
          <w:szCs w:val="24"/>
          <w:highlight w:val="none"/>
        </w:rPr>
      </w:pPr>
      <w:bookmarkStart w:id="45" w:name="_Toc8099"/>
      <w:r>
        <w:rPr>
          <w:rFonts w:hint="eastAsia" w:ascii="仿宋" w:hAnsi="仿宋" w:eastAsia="仿宋" w:cs="仿宋"/>
          <w:color w:val="auto"/>
          <w:spacing w:val="-1"/>
          <w:sz w:val="24"/>
          <w:szCs w:val="24"/>
          <w:highlight w:val="none"/>
        </w:rPr>
        <w:t>11.3.2货物运至最终目的地的运输费和保险费用。</w:t>
      </w:r>
      <w:bookmarkEnd w:id="45"/>
    </w:p>
    <w:p w14:paraId="3836F9C1">
      <w:pPr>
        <w:pStyle w:val="8"/>
        <w:spacing w:before="140" w:line="225" w:lineRule="auto"/>
        <w:ind w:left="38"/>
        <w:outlineLvl w:val="1"/>
        <w:rPr>
          <w:rFonts w:hint="eastAsia" w:ascii="仿宋" w:hAnsi="仿宋" w:eastAsia="仿宋" w:cs="仿宋"/>
          <w:color w:val="auto"/>
          <w:sz w:val="24"/>
          <w:szCs w:val="24"/>
          <w:highlight w:val="none"/>
        </w:rPr>
      </w:pPr>
      <w:bookmarkStart w:id="46" w:name="_Toc13162"/>
      <w:r>
        <w:rPr>
          <w:rFonts w:hint="eastAsia" w:ascii="仿宋" w:hAnsi="仿宋" w:eastAsia="仿宋" w:cs="仿宋"/>
          <w:color w:val="auto"/>
          <w:spacing w:val="3"/>
          <w:sz w:val="24"/>
          <w:szCs w:val="24"/>
          <w:highlight w:val="none"/>
        </w:rPr>
        <w:t>11.4投标人所报的各分项投标单价在合同履行过程中是固定不变的，不得</w:t>
      </w:r>
      <w:bookmarkEnd w:id="46"/>
      <w:r>
        <w:rPr>
          <w:rFonts w:hint="eastAsia" w:ascii="仿宋" w:hAnsi="仿宋" w:eastAsia="仿宋" w:cs="仿宋"/>
          <w:color w:val="auto"/>
          <w:spacing w:val="3"/>
          <w:sz w:val="24"/>
          <w:szCs w:val="24"/>
          <w:highlight w:val="none"/>
        </w:rPr>
        <w:t>以任何理由予以变更。任何包含价格调整要求的投标，其投标将被认定为</w:t>
      </w:r>
      <w:r>
        <w:rPr>
          <w:rFonts w:hint="eastAsia" w:ascii="仿宋" w:hAnsi="仿宋" w:eastAsia="仿宋" w:cs="仿宋"/>
          <w:b/>
          <w:bCs/>
          <w:color w:val="auto"/>
          <w:spacing w:val="3"/>
          <w:sz w:val="24"/>
          <w:szCs w:val="24"/>
          <w:highlight w:val="none"/>
        </w:rPr>
        <w:t>投标无效</w:t>
      </w:r>
      <w:r>
        <w:rPr>
          <w:rFonts w:hint="eastAsia" w:ascii="仿宋" w:hAnsi="仿宋" w:eastAsia="仿宋" w:cs="仿宋"/>
          <w:color w:val="auto"/>
          <w:spacing w:val="-3"/>
          <w:sz w:val="24"/>
          <w:szCs w:val="24"/>
          <w:highlight w:val="none"/>
        </w:rPr>
        <w:t>。</w:t>
      </w:r>
    </w:p>
    <w:p w14:paraId="5C2B9345">
      <w:pPr>
        <w:pStyle w:val="8"/>
        <w:spacing w:before="138" w:line="224"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11.5每种货物只能有一个投标报价。采购人不接受具有附加条件的报价。</w:t>
      </w:r>
    </w:p>
    <w:p w14:paraId="30CC2D38">
      <w:pPr>
        <w:pStyle w:val="8"/>
        <w:spacing w:before="148" w:line="232" w:lineRule="auto"/>
        <w:ind w:left="38"/>
        <w:outlineLvl w:val="2"/>
        <w:rPr>
          <w:rFonts w:hint="eastAsia" w:ascii="仿宋" w:hAnsi="仿宋" w:eastAsia="仿宋" w:cs="仿宋"/>
          <w:color w:val="auto"/>
          <w:sz w:val="24"/>
          <w:szCs w:val="24"/>
          <w:highlight w:val="none"/>
        </w:rPr>
      </w:pPr>
      <w:bookmarkStart w:id="47" w:name="_Toc8177"/>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12.投标保证金</w:t>
      </w:r>
      <w:bookmarkEnd w:id="47"/>
    </w:p>
    <w:p w14:paraId="66B78559">
      <w:pPr>
        <w:pStyle w:val="8"/>
        <w:spacing w:before="139" w:line="220" w:lineRule="auto"/>
        <w:ind w:left="38"/>
        <w:outlineLvl w:val="1"/>
        <w:rPr>
          <w:rFonts w:hint="eastAsia" w:ascii="仿宋" w:hAnsi="仿宋" w:eastAsia="仿宋" w:cs="仿宋"/>
          <w:color w:val="auto"/>
          <w:sz w:val="24"/>
          <w:szCs w:val="24"/>
          <w:highlight w:val="none"/>
        </w:rPr>
      </w:pPr>
      <w:bookmarkStart w:id="48" w:name="_Toc1141"/>
      <w:r>
        <w:rPr>
          <w:rFonts w:hint="eastAsia" w:ascii="仿宋" w:hAnsi="仿宋" w:eastAsia="仿宋" w:cs="仿宋"/>
          <w:color w:val="auto"/>
          <w:spacing w:val="3"/>
          <w:sz w:val="24"/>
          <w:szCs w:val="24"/>
          <w:highlight w:val="none"/>
        </w:rPr>
        <w:t>12.1投标人应提交</w:t>
      </w:r>
      <w:r>
        <w:rPr>
          <w:rFonts w:hint="eastAsia" w:ascii="仿宋" w:hAnsi="仿宋" w:eastAsia="仿宋" w:cs="仿宋"/>
          <w:color w:val="auto"/>
          <w:spacing w:val="3"/>
          <w:sz w:val="24"/>
          <w:szCs w:val="24"/>
          <w:highlight w:val="none"/>
          <w:u w:val="single" w:color="auto"/>
        </w:rPr>
        <w:t>投标人须知资料表</w:t>
      </w:r>
      <w:r>
        <w:rPr>
          <w:rFonts w:hint="eastAsia" w:ascii="仿宋" w:hAnsi="仿宋" w:eastAsia="仿宋" w:cs="仿宋"/>
          <w:color w:val="auto"/>
          <w:spacing w:val="3"/>
          <w:sz w:val="24"/>
          <w:szCs w:val="24"/>
          <w:highlight w:val="none"/>
        </w:rPr>
        <w:t>中规定的投标保证金，并作为其投标</w:t>
      </w:r>
      <w:bookmarkEnd w:id="48"/>
    </w:p>
    <w:p w14:paraId="3BFE57FD">
      <w:pPr>
        <w:pStyle w:val="8"/>
        <w:spacing w:before="154" w:line="224" w:lineRule="auto"/>
        <w:ind w:left="94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的一部分。</w:t>
      </w:r>
    </w:p>
    <w:p w14:paraId="4B8B1CAD">
      <w:pPr>
        <w:pStyle w:val="8"/>
        <w:spacing w:before="147" w:line="220" w:lineRule="auto"/>
        <w:ind w:left="38"/>
        <w:outlineLvl w:val="1"/>
        <w:rPr>
          <w:rFonts w:hint="eastAsia" w:ascii="仿宋" w:hAnsi="仿宋" w:eastAsia="仿宋" w:cs="仿宋"/>
          <w:color w:val="auto"/>
          <w:sz w:val="24"/>
          <w:szCs w:val="24"/>
          <w:highlight w:val="none"/>
        </w:rPr>
      </w:pPr>
      <w:bookmarkStart w:id="49" w:name="_Toc13196"/>
      <w:r>
        <w:rPr>
          <w:rFonts w:hint="eastAsia" w:ascii="仿宋" w:hAnsi="仿宋" w:eastAsia="仿宋" w:cs="仿宋"/>
          <w:color w:val="auto"/>
          <w:spacing w:val="-2"/>
          <w:sz w:val="24"/>
          <w:szCs w:val="24"/>
          <w:highlight w:val="none"/>
        </w:rPr>
        <w:t>12.2投标人存在下列情形的，投标保证金不予退还：</w:t>
      </w:r>
      <w:bookmarkEnd w:id="49"/>
    </w:p>
    <w:p w14:paraId="7BB450F2">
      <w:pPr>
        <w:pStyle w:val="8"/>
        <w:spacing w:before="156" w:line="220" w:lineRule="auto"/>
        <w:ind w:left="82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（1）在投标有效期内，撤销投标的；</w:t>
      </w:r>
    </w:p>
    <w:p w14:paraId="2A365D04">
      <w:pPr>
        <w:pStyle w:val="8"/>
        <w:spacing w:before="153" w:line="439" w:lineRule="exact"/>
        <w:ind w:left="826"/>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（2）中标后不按本须知第30条的规定与采购人签订合同的；</w:t>
      </w:r>
    </w:p>
    <w:p w14:paraId="3842A003">
      <w:pPr>
        <w:pStyle w:val="8"/>
        <w:spacing w:before="1" w:line="224" w:lineRule="auto"/>
        <w:ind w:left="826"/>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（3）中标后不按本须知第31条的规定提交履约保证金的；</w:t>
      </w:r>
    </w:p>
    <w:p w14:paraId="27CF6248">
      <w:pPr>
        <w:pStyle w:val="8"/>
        <w:spacing w:before="1" w:line="224" w:lineRule="auto"/>
        <w:ind w:left="826"/>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（4）中标后不按本须知第32条的规定缴纳中标服务费的；</w:t>
      </w:r>
    </w:p>
    <w:p w14:paraId="16231595">
      <w:pPr>
        <w:pStyle w:val="8"/>
        <w:spacing w:line="225" w:lineRule="auto"/>
        <w:ind w:left="82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3"/>
          <w:sz w:val="24"/>
          <w:szCs w:val="24"/>
          <w:highlight w:val="none"/>
          <w:lang w:val="en-US" w:eastAsia="zh-CN"/>
        </w:rPr>
        <w:t>5</w:t>
      </w:r>
      <w:r>
        <w:rPr>
          <w:rFonts w:hint="eastAsia" w:ascii="仿宋" w:hAnsi="仿宋" w:eastAsia="仿宋" w:cs="仿宋"/>
          <w:color w:val="auto"/>
          <w:spacing w:val="-3"/>
          <w:sz w:val="24"/>
          <w:szCs w:val="24"/>
          <w:highlight w:val="none"/>
        </w:rPr>
        <w:t>）存在其他违法违规行为的。</w:t>
      </w:r>
    </w:p>
    <w:p w14:paraId="25E87B65">
      <w:pPr>
        <w:pStyle w:val="8"/>
        <w:spacing w:before="147" w:line="220" w:lineRule="auto"/>
        <w:ind w:left="38"/>
        <w:outlineLvl w:val="1"/>
        <w:rPr>
          <w:rFonts w:hint="eastAsia" w:ascii="仿宋" w:hAnsi="仿宋" w:eastAsia="仿宋" w:cs="仿宋"/>
          <w:color w:val="auto"/>
          <w:sz w:val="24"/>
          <w:szCs w:val="24"/>
          <w:highlight w:val="none"/>
        </w:rPr>
      </w:pPr>
      <w:bookmarkStart w:id="50" w:name="_Toc16274"/>
      <w:r>
        <w:rPr>
          <w:rFonts w:hint="eastAsia" w:ascii="仿宋" w:hAnsi="仿宋" w:eastAsia="仿宋" w:cs="仿宋"/>
          <w:color w:val="auto"/>
          <w:spacing w:val="3"/>
          <w:sz w:val="24"/>
          <w:szCs w:val="24"/>
          <w:highlight w:val="none"/>
        </w:rPr>
        <w:t>12.3政府采购信用担保试点范围内的项目，接受符合财政部门规定的政府</w:t>
      </w:r>
      <w:bookmarkEnd w:id="50"/>
      <w:r>
        <w:rPr>
          <w:rFonts w:hint="eastAsia" w:ascii="仿宋" w:hAnsi="仿宋" w:eastAsia="仿宋" w:cs="仿宋"/>
          <w:color w:val="auto"/>
          <w:spacing w:val="-1"/>
          <w:sz w:val="24"/>
          <w:szCs w:val="24"/>
          <w:highlight w:val="none"/>
        </w:rPr>
        <w:t>采购投标担保函原件。</w:t>
      </w:r>
    </w:p>
    <w:p w14:paraId="1082F0E8">
      <w:pPr>
        <w:pStyle w:val="8"/>
        <w:spacing w:before="144" w:line="220" w:lineRule="auto"/>
        <w:ind w:left="38"/>
        <w:outlineLvl w:val="1"/>
        <w:rPr>
          <w:rFonts w:hint="eastAsia" w:ascii="仿宋" w:hAnsi="仿宋" w:eastAsia="仿宋" w:cs="仿宋"/>
          <w:color w:val="auto"/>
          <w:sz w:val="24"/>
          <w:szCs w:val="24"/>
          <w:highlight w:val="none"/>
        </w:rPr>
      </w:pPr>
      <w:bookmarkStart w:id="51" w:name="_Toc531"/>
      <w:r>
        <w:rPr>
          <w:rFonts w:hint="eastAsia" w:ascii="仿宋" w:hAnsi="仿宋" w:eastAsia="仿宋" w:cs="仿宋"/>
          <w:color w:val="auto"/>
          <w:spacing w:val="-1"/>
          <w:sz w:val="24"/>
          <w:szCs w:val="24"/>
          <w:highlight w:val="none"/>
        </w:rPr>
        <w:t>12.4投标人未按本须知第12.1和12.3条规定提交投标保证金的，其投标</w:t>
      </w:r>
      <w:bookmarkEnd w:id="51"/>
      <w:r>
        <w:rPr>
          <w:rFonts w:hint="eastAsia" w:ascii="仿宋" w:hAnsi="仿宋" w:eastAsia="仿宋" w:cs="仿宋"/>
          <w:color w:val="auto"/>
          <w:spacing w:val="-1"/>
          <w:sz w:val="24"/>
          <w:szCs w:val="24"/>
          <w:highlight w:val="none"/>
        </w:rPr>
        <w:t>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20599C4E">
      <w:pPr>
        <w:pStyle w:val="8"/>
        <w:spacing w:before="143" w:line="220" w:lineRule="auto"/>
        <w:ind w:left="38"/>
        <w:outlineLvl w:val="2"/>
        <w:rPr>
          <w:rFonts w:hint="eastAsia" w:ascii="仿宋" w:hAnsi="仿宋" w:eastAsia="仿宋" w:cs="仿宋"/>
          <w:color w:val="auto"/>
          <w:sz w:val="24"/>
          <w:szCs w:val="24"/>
          <w:highlight w:val="none"/>
        </w:rPr>
      </w:pPr>
      <w:bookmarkStart w:id="52" w:name="_Toc12168"/>
      <w:r>
        <w:rPr>
          <w:rFonts w:hint="eastAsia" w:ascii="仿宋" w:hAnsi="仿宋" w:eastAsia="仿宋" w:cs="仿宋"/>
          <w:color w:val="auto"/>
          <w:spacing w:val="-1"/>
          <w:sz w:val="24"/>
          <w:szCs w:val="24"/>
          <w:highlight w:val="none"/>
        </w:rPr>
        <w:t>12.4.1采用电汇形式的，一般可以实时入账。</w:t>
      </w:r>
      <w:bookmarkEnd w:id="52"/>
    </w:p>
    <w:p w14:paraId="05F2F23E">
      <w:pPr>
        <w:pStyle w:val="8"/>
        <w:spacing w:before="152" w:line="322" w:lineRule="auto"/>
        <w:ind w:left="983" w:right="126" w:hanging="945"/>
        <w:rPr>
          <w:rFonts w:hint="eastAsia" w:ascii="仿宋" w:hAnsi="仿宋" w:eastAsia="仿宋" w:cs="仿宋"/>
          <w:color w:val="auto"/>
          <w:sz w:val="24"/>
          <w:szCs w:val="24"/>
          <w:highlight w:val="none"/>
        </w:rPr>
      </w:pPr>
      <w:bookmarkStart w:id="53" w:name="bookmark17"/>
      <w:bookmarkEnd w:id="53"/>
      <w:r>
        <w:rPr>
          <w:rFonts w:hint="eastAsia" w:ascii="仿宋" w:hAnsi="仿宋" w:eastAsia="仿宋" w:cs="仿宋"/>
          <w:color w:val="auto"/>
          <w:spacing w:val="-1"/>
          <w:sz w:val="24"/>
          <w:szCs w:val="24"/>
          <w:highlight w:val="none"/>
        </w:rPr>
        <w:t>12.4.2采用支票形式的，投标人则应充分考虑支票入账时间，以确保投标保</w:t>
      </w:r>
      <w:r>
        <w:rPr>
          <w:rFonts w:hint="eastAsia" w:ascii="仿宋" w:hAnsi="仿宋" w:eastAsia="仿宋" w:cs="仿宋"/>
          <w:color w:val="auto"/>
          <w:sz w:val="24"/>
          <w:szCs w:val="24"/>
          <w:highlight w:val="none"/>
        </w:rPr>
        <w:t>证金能按时进入指定账户。根据银行信息交换和付</w:t>
      </w:r>
      <w:r>
        <w:rPr>
          <w:rFonts w:hint="eastAsia" w:ascii="仿宋" w:hAnsi="仿宋" w:eastAsia="仿宋" w:cs="仿宋"/>
          <w:color w:val="auto"/>
          <w:spacing w:val="-1"/>
          <w:sz w:val="24"/>
          <w:szCs w:val="24"/>
          <w:highlight w:val="none"/>
        </w:rPr>
        <w:t>款时间，支票从递交至实际入账一般需要4-5个工作日。如投标人未及时提交支票或支票不符合银行委托收款要求（如污损、折叠、胶装等</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1"/>
          <w:sz w:val="24"/>
          <w:szCs w:val="24"/>
          <w:highlight w:val="none"/>
        </w:rPr>
        <w:t>导致投标保</w:t>
      </w:r>
      <w:r>
        <w:rPr>
          <w:rFonts w:hint="eastAsia" w:ascii="仿宋" w:hAnsi="仿宋" w:eastAsia="仿宋" w:cs="仿宋"/>
          <w:color w:val="auto"/>
          <w:spacing w:val="-4"/>
          <w:sz w:val="24"/>
          <w:szCs w:val="24"/>
          <w:highlight w:val="none"/>
        </w:rPr>
        <w:t>证金不能按时进入指定账户的，将按照招标文件的第22.2条相关规定</w:t>
      </w:r>
      <w:r>
        <w:rPr>
          <w:rFonts w:hint="eastAsia" w:ascii="仿宋" w:hAnsi="仿宋" w:eastAsia="仿宋" w:cs="仿宋"/>
          <w:color w:val="auto"/>
          <w:spacing w:val="-3"/>
          <w:sz w:val="24"/>
          <w:szCs w:val="24"/>
          <w:highlight w:val="none"/>
        </w:rPr>
        <w:t>处理。</w:t>
      </w:r>
    </w:p>
    <w:p w14:paraId="6F53C68C">
      <w:pPr>
        <w:pStyle w:val="8"/>
        <w:spacing w:before="132" w:line="220" w:lineRule="auto"/>
        <w:ind w:left="38"/>
        <w:outlineLvl w:val="1"/>
        <w:rPr>
          <w:rFonts w:hint="eastAsia" w:ascii="仿宋" w:hAnsi="仿宋" w:eastAsia="仿宋" w:cs="仿宋"/>
          <w:color w:val="auto"/>
          <w:sz w:val="24"/>
          <w:szCs w:val="24"/>
          <w:highlight w:val="none"/>
        </w:rPr>
      </w:pPr>
      <w:bookmarkStart w:id="54" w:name="_Toc3629"/>
      <w:r>
        <w:rPr>
          <w:rFonts w:hint="eastAsia" w:ascii="仿宋" w:hAnsi="仿宋" w:eastAsia="仿宋" w:cs="仿宋"/>
          <w:color w:val="auto"/>
          <w:spacing w:val="-3"/>
          <w:sz w:val="24"/>
          <w:szCs w:val="24"/>
          <w:highlight w:val="none"/>
        </w:rPr>
        <w:t>12.5联合体投标的，可以由联合体中的一方或者共同提交投标保证金。以一</w:t>
      </w:r>
      <w:bookmarkEnd w:id="54"/>
    </w:p>
    <w:p w14:paraId="2E5183C7">
      <w:pPr>
        <w:pStyle w:val="8"/>
        <w:spacing w:before="153" w:line="220" w:lineRule="auto"/>
        <w:ind w:left="93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方名义提交投标保证金的，对联合体各方均具有约束力。</w:t>
      </w:r>
    </w:p>
    <w:p w14:paraId="368B48E8">
      <w:pPr>
        <w:pStyle w:val="8"/>
        <w:spacing w:before="153" w:line="232" w:lineRule="auto"/>
        <w:ind w:left="38"/>
        <w:outlineLvl w:val="1"/>
        <w:rPr>
          <w:rFonts w:hint="eastAsia" w:ascii="仿宋" w:hAnsi="仿宋" w:eastAsia="仿宋" w:cs="仿宋"/>
          <w:color w:val="auto"/>
          <w:sz w:val="24"/>
          <w:szCs w:val="24"/>
          <w:highlight w:val="none"/>
        </w:rPr>
      </w:pPr>
      <w:bookmarkStart w:id="55" w:name="_Toc11101"/>
      <w:r>
        <w:rPr>
          <w:rFonts w:hint="eastAsia" w:ascii="仿宋" w:hAnsi="仿宋" w:eastAsia="仿宋" w:cs="仿宋"/>
          <w:color w:val="auto"/>
          <w:spacing w:val="-3"/>
          <w:sz w:val="24"/>
          <w:szCs w:val="24"/>
          <w:highlight w:val="none"/>
        </w:rPr>
        <w:t>12.6投标保证金的退还</w:t>
      </w:r>
      <w:bookmarkEnd w:id="55"/>
    </w:p>
    <w:p w14:paraId="52E359CE">
      <w:pPr>
        <w:pStyle w:val="8"/>
        <w:spacing w:before="140" w:line="281" w:lineRule="auto"/>
        <w:ind w:left="934" w:right="124" w:hanging="8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12.6.1中标人应在与采购人签订合同之日起5个工作日内，及时联系保证金</w:t>
      </w:r>
      <w:r>
        <w:rPr>
          <w:rFonts w:hint="eastAsia" w:ascii="仿宋" w:hAnsi="仿宋" w:eastAsia="仿宋" w:cs="仿宋"/>
          <w:color w:val="auto"/>
          <w:spacing w:val="-1"/>
          <w:sz w:val="24"/>
          <w:szCs w:val="24"/>
          <w:highlight w:val="none"/>
        </w:rPr>
        <w:t>收受机构办理投标保证金无息退还手续。</w:t>
      </w:r>
    </w:p>
    <w:p w14:paraId="5F390B7A">
      <w:pPr>
        <w:pStyle w:val="8"/>
        <w:spacing w:before="146" w:line="301" w:lineRule="auto"/>
        <w:ind w:left="978" w:right="126" w:hanging="9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12.6.2未中标投标人的投标保证金将在中标通知书发出之日暨中标结果公告</w:t>
      </w:r>
      <w:r>
        <w:rPr>
          <w:rFonts w:hint="eastAsia" w:ascii="仿宋" w:hAnsi="仿宋" w:eastAsia="仿宋" w:cs="仿宋"/>
          <w:color w:val="auto"/>
          <w:spacing w:val="1"/>
          <w:sz w:val="24"/>
          <w:szCs w:val="24"/>
          <w:highlight w:val="none"/>
        </w:rPr>
        <w:t>公布之日起5个工作日内无息退还。投标人</w:t>
      </w:r>
      <w:r>
        <w:rPr>
          <w:rFonts w:hint="eastAsia" w:ascii="仿宋" w:hAnsi="仿宋" w:eastAsia="仿宋" w:cs="仿宋"/>
          <w:color w:val="auto"/>
          <w:sz w:val="24"/>
          <w:szCs w:val="24"/>
          <w:highlight w:val="none"/>
        </w:rPr>
        <w:t>应及时联系保证金收受机</w:t>
      </w:r>
      <w:r>
        <w:rPr>
          <w:rFonts w:hint="eastAsia" w:ascii="仿宋" w:hAnsi="仿宋" w:eastAsia="仿宋" w:cs="仿宋"/>
          <w:color w:val="auto"/>
          <w:spacing w:val="-1"/>
          <w:sz w:val="24"/>
          <w:szCs w:val="24"/>
          <w:highlight w:val="none"/>
        </w:rPr>
        <w:t>构办理退还投标保证金手续。</w:t>
      </w:r>
    </w:p>
    <w:p w14:paraId="1910C4D9">
      <w:pPr>
        <w:pStyle w:val="8"/>
        <w:spacing w:before="146" w:line="226" w:lineRule="auto"/>
        <w:ind w:left="38"/>
        <w:outlineLvl w:val="2"/>
        <w:rPr>
          <w:rFonts w:hint="eastAsia" w:ascii="仿宋" w:hAnsi="仿宋" w:eastAsia="仿宋" w:cs="仿宋"/>
          <w:color w:val="auto"/>
          <w:sz w:val="24"/>
          <w:szCs w:val="24"/>
          <w:highlight w:val="none"/>
        </w:rPr>
      </w:pPr>
      <w:bookmarkStart w:id="56" w:name="_Toc7651"/>
      <w:r>
        <w:rPr>
          <w:rFonts w:hint="eastAsia" w:ascii="仿宋" w:hAnsi="仿宋" w:eastAsia="仿宋" w:cs="仿宋"/>
          <w:color w:val="auto"/>
          <w:spacing w:val="-1"/>
          <w:sz w:val="24"/>
          <w:szCs w:val="24"/>
          <w:highlight w:val="none"/>
        </w:rPr>
        <w:t>12.6.3政府采购投标担保函不予退回。</w:t>
      </w:r>
      <w:bookmarkEnd w:id="56"/>
    </w:p>
    <w:p w14:paraId="31A6062E">
      <w:pPr>
        <w:pStyle w:val="8"/>
        <w:spacing w:before="148" w:line="220" w:lineRule="auto"/>
        <w:ind w:left="38"/>
        <w:outlineLvl w:val="1"/>
        <w:rPr>
          <w:rFonts w:hint="eastAsia" w:ascii="仿宋" w:hAnsi="仿宋" w:eastAsia="仿宋" w:cs="仿宋"/>
          <w:color w:val="auto"/>
          <w:sz w:val="24"/>
          <w:szCs w:val="24"/>
          <w:highlight w:val="none"/>
        </w:rPr>
      </w:pPr>
      <w:bookmarkStart w:id="57" w:name="_Toc18371"/>
      <w:r>
        <w:rPr>
          <w:rFonts w:hint="eastAsia" w:ascii="仿宋" w:hAnsi="仿宋" w:eastAsia="仿宋" w:cs="仿宋"/>
          <w:color w:val="auto"/>
          <w:sz w:val="24"/>
          <w:szCs w:val="24"/>
          <w:highlight w:val="none"/>
        </w:rPr>
        <w:t>12.7因投标人自身原因导致无法及时退还的，采购人或采购代理机构将不</w:t>
      </w:r>
      <w:bookmarkEnd w:id="57"/>
    </w:p>
    <w:p w14:paraId="44887C75">
      <w:pPr>
        <w:pStyle w:val="8"/>
        <w:spacing w:before="154" w:line="224" w:lineRule="auto"/>
        <w:ind w:left="98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承担相应责任。</w:t>
      </w:r>
    </w:p>
    <w:p w14:paraId="05F7D31C">
      <w:pPr>
        <w:pStyle w:val="8"/>
        <w:spacing w:before="148" w:line="224" w:lineRule="auto"/>
        <w:ind w:left="38"/>
        <w:outlineLvl w:val="2"/>
        <w:rPr>
          <w:rFonts w:hint="eastAsia" w:ascii="仿宋" w:hAnsi="仿宋" w:eastAsia="仿宋" w:cs="仿宋"/>
          <w:color w:val="auto"/>
          <w:sz w:val="24"/>
          <w:szCs w:val="24"/>
          <w:highlight w:val="none"/>
        </w:rPr>
      </w:pPr>
      <w:bookmarkStart w:id="58" w:name="_Toc26296"/>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13.投标有效期</w:t>
      </w:r>
      <w:bookmarkEnd w:id="58"/>
    </w:p>
    <w:p w14:paraId="60CEBB03">
      <w:pPr>
        <w:pStyle w:val="8"/>
        <w:spacing w:before="151" w:line="224"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13.1投标应在</w:t>
      </w:r>
      <w:r>
        <w:rPr>
          <w:rFonts w:hint="eastAsia" w:ascii="仿宋" w:hAnsi="仿宋" w:eastAsia="仿宋" w:cs="仿宋"/>
          <w:color w:val="auto"/>
          <w:spacing w:val="3"/>
          <w:sz w:val="24"/>
          <w:szCs w:val="24"/>
          <w:highlight w:val="none"/>
          <w:u w:val="single" w:color="auto"/>
        </w:rPr>
        <w:t>投标人须知资料表</w:t>
      </w:r>
      <w:r>
        <w:rPr>
          <w:rFonts w:hint="eastAsia" w:ascii="仿宋" w:hAnsi="仿宋" w:eastAsia="仿宋" w:cs="仿宋"/>
          <w:color w:val="auto"/>
          <w:spacing w:val="3"/>
          <w:sz w:val="24"/>
          <w:szCs w:val="24"/>
          <w:highlight w:val="none"/>
        </w:rPr>
        <w:t>中规定时间内保持有效。投标有效期不满</w:t>
      </w:r>
    </w:p>
    <w:p w14:paraId="46853F43">
      <w:pPr>
        <w:pStyle w:val="8"/>
        <w:spacing w:before="147" w:line="220" w:lineRule="auto"/>
        <w:ind w:left="92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足要求的投标，其投标将被认定为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2DBACCC6">
      <w:pPr>
        <w:pStyle w:val="8"/>
        <w:spacing w:before="153"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13.2为保证有充分时间签订合同，采购人或采购代理机构可根据实际情况，</w:t>
      </w:r>
    </w:p>
    <w:p w14:paraId="64EDAFD7">
      <w:pPr>
        <w:pStyle w:val="8"/>
        <w:spacing w:before="157" w:line="338" w:lineRule="auto"/>
        <w:ind w:left="925" w:right="125" w:hanging="4"/>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在原投标有效期截止之前，要求投标人延长投标文件的有</w:t>
      </w:r>
      <w:r>
        <w:rPr>
          <w:rFonts w:hint="eastAsia" w:ascii="仿宋" w:hAnsi="仿宋" w:eastAsia="仿宋" w:cs="仿宋"/>
          <w:color w:val="auto"/>
          <w:spacing w:val="2"/>
          <w:sz w:val="24"/>
          <w:szCs w:val="24"/>
          <w:highlight w:val="none"/>
        </w:rPr>
        <w:t>效期。接受</w:t>
      </w:r>
      <w:r>
        <w:rPr>
          <w:rFonts w:hint="eastAsia" w:ascii="仿宋" w:hAnsi="仿宋" w:eastAsia="仿宋" w:cs="仿宋"/>
          <w:color w:val="auto"/>
          <w:spacing w:val="3"/>
          <w:sz w:val="24"/>
          <w:szCs w:val="24"/>
          <w:highlight w:val="none"/>
        </w:rPr>
        <w:t>该要求的投标人将不会被要求和允许修正其投标</w:t>
      </w:r>
      <w:r>
        <w:rPr>
          <w:rFonts w:hint="eastAsia" w:ascii="仿宋" w:hAnsi="仿宋" w:eastAsia="仿宋" w:cs="仿宋"/>
          <w:color w:val="auto"/>
          <w:spacing w:val="2"/>
          <w:sz w:val="24"/>
          <w:szCs w:val="24"/>
          <w:highlight w:val="none"/>
        </w:rPr>
        <w:t>，且本须知中有关投</w:t>
      </w:r>
      <w:r>
        <w:rPr>
          <w:rFonts w:hint="eastAsia" w:ascii="仿宋" w:hAnsi="仿宋" w:eastAsia="仿宋" w:cs="仿宋"/>
          <w:color w:val="auto"/>
          <w:spacing w:val="3"/>
          <w:sz w:val="24"/>
          <w:szCs w:val="24"/>
          <w:highlight w:val="none"/>
        </w:rPr>
        <w:t>标保证金的要求须在延长的有效期内继续有效</w:t>
      </w:r>
      <w:r>
        <w:rPr>
          <w:rFonts w:hint="eastAsia" w:ascii="仿宋" w:hAnsi="仿宋" w:eastAsia="仿宋" w:cs="仿宋"/>
          <w:color w:val="auto"/>
          <w:spacing w:val="2"/>
          <w:sz w:val="24"/>
          <w:szCs w:val="24"/>
          <w:highlight w:val="none"/>
        </w:rPr>
        <w:t>。投标人可以拒绝延长</w:t>
      </w:r>
      <w:r>
        <w:rPr>
          <w:rFonts w:hint="eastAsia" w:ascii="仿宋" w:hAnsi="仿宋" w:eastAsia="仿宋" w:cs="仿宋"/>
          <w:color w:val="auto"/>
          <w:spacing w:val="3"/>
          <w:sz w:val="24"/>
          <w:szCs w:val="24"/>
          <w:highlight w:val="none"/>
        </w:rPr>
        <w:t>投标有效期的要求，其投标保证金将及时无息</w:t>
      </w:r>
      <w:r>
        <w:rPr>
          <w:rFonts w:hint="eastAsia" w:ascii="仿宋" w:hAnsi="仿宋" w:eastAsia="仿宋" w:cs="仿宋"/>
          <w:color w:val="auto"/>
          <w:spacing w:val="2"/>
          <w:sz w:val="24"/>
          <w:szCs w:val="24"/>
          <w:highlight w:val="none"/>
        </w:rPr>
        <w:t>退还。上述要求和答复</w:t>
      </w:r>
    </w:p>
    <w:p w14:paraId="31B265ED">
      <w:pPr>
        <w:pStyle w:val="8"/>
        <w:spacing w:before="2" w:line="222" w:lineRule="auto"/>
        <w:ind w:left="92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都应以书面形式提交。</w:t>
      </w:r>
    </w:p>
    <w:p w14:paraId="62BD7B93">
      <w:pPr>
        <w:pStyle w:val="8"/>
        <w:spacing w:before="148" w:line="227" w:lineRule="auto"/>
        <w:ind w:left="38"/>
        <w:outlineLvl w:val="2"/>
        <w:rPr>
          <w:rFonts w:hint="eastAsia" w:ascii="仿宋" w:hAnsi="仿宋" w:eastAsia="仿宋" w:cs="仿宋"/>
          <w:color w:val="auto"/>
          <w:sz w:val="24"/>
          <w:szCs w:val="24"/>
          <w:highlight w:val="none"/>
        </w:rPr>
      </w:pPr>
      <w:bookmarkStart w:id="59" w:name="_Toc4425"/>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14.投标文件的签署及规定</w:t>
      </w:r>
      <w:bookmarkEnd w:id="59"/>
    </w:p>
    <w:p w14:paraId="11371E88">
      <w:pPr>
        <w:spacing w:line="220" w:lineRule="auto"/>
        <w:ind w:left="738" w:hanging="738" w:hangingChars="30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14.1</w:t>
      </w:r>
      <w:r>
        <w:rPr>
          <w:rFonts w:hint="eastAsia" w:ascii="仿宋" w:hAnsi="仿宋" w:eastAsia="仿宋" w:cs="仿宋"/>
          <w:snapToGrid w:val="0"/>
          <w:color w:val="auto"/>
          <w:spacing w:val="3"/>
          <w:kern w:val="0"/>
          <w:sz w:val="24"/>
          <w:szCs w:val="24"/>
          <w:highlight w:val="none"/>
          <w:lang w:val="en-US" w:eastAsia="zh-CN" w:bidi="ar-SA"/>
        </w:rPr>
        <w:t>投标人应按投标人须知资料表中的规定，准备和递交投标文件，以电子版PDF格式，提交投标文件资格证明文件、商务和技术文件正本。在开标前不得将解压密码泄露。</w:t>
      </w:r>
    </w:p>
    <w:p w14:paraId="17ED7856">
      <w:pPr>
        <w:spacing w:line="220" w:lineRule="auto"/>
        <w:ind w:left="738" w:hanging="738" w:hangingChars="300"/>
        <w:rPr>
          <w:rFonts w:hint="default" w:ascii="仿宋" w:hAnsi="仿宋" w:eastAsia="仿宋" w:cs="仿宋"/>
          <w:color w:val="auto"/>
          <w:sz w:val="24"/>
          <w:szCs w:val="24"/>
          <w:highlight w:val="none"/>
          <w:lang w:val="en-US"/>
        </w:rPr>
        <w:sectPr>
          <w:footerReference r:id="rId10" w:type="default"/>
          <w:pgSz w:w="11905" w:h="16838"/>
          <w:pgMar w:top="1440" w:right="1083" w:bottom="1440" w:left="1083" w:header="0" w:footer="1225" w:gutter="0"/>
          <w:pgNumType w:fmt="decimal"/>
          <w:cols w:space="0" w:num="1"/>
          <w:rtlGutter w:val="0"/>
          <w:docGrid w:linePitch="0" w:charSpace="0"/>
        </w:sectPr>
      </w:pPr>
      <w:r>
        <w:rPr>
          <w:rFonts w:hint="eastAsia" w:ascii="仿宋" w:hAnsi="仿宋" w:eastAsia="仿宋" w:cs="仿宋"/>
          <w:snapToGrid w:val="0"/>
          <w:color w:val="auto"/>
          <w:spacing w:val="3"/>
          <w:kern w:val="0"/>
          <w:sz w:val="24"/>
          <w:szCs w:val="24"/>
          <w:highlight w:val="none"/>
          <w:lang w:val="en-US" w:eastAsia="zh-CN" w:bidi="ar-SA"/>
        </w:rPr>
        <w:t>14.2投标文件因字迹潦草、表达不清或电子版看不清、上传的电子文档无法解密所引起的后果由投标人负责</w:t>
      </w:r>
      <w:r>
        <w:rPr>
          <w:rFonts w:hint="eastAsia" w:ascii="仿宋" w:hAnsi="仿宋" w:eastAsia="仿宋" w:cs="仿宋"/>
          <w:color w:val="auto"/>
          <w:spacing w:val="-1"/>
          <w:sz w:val="24"/>
          <w:szCs w:val="24"/>
          <w:highlight w:val="none"/>
        </w:rPr>
        <w:t>。</w:t>
      </w:r>
    </w:p>
    <w:p w14:paraId="1A7F125C">
      <w:pPr>
        <w:spacing w:line="376" w:lineRule="auto"/>
        <w:rPr>
          <w:rFonts w:hint="eastAsia" w:ascii="仿宋" w:hAnsi="仿宋" w:eastAsia="仿宋" w:cs="仿宋"/>
          <w:color w:val="auto"/>
          <w:sz w:val="21"/>
          <w:highlight w:val="none"/>
        </w:rPr>
      </w:pPr>
      <w:bookmarkStart w:id="60" w:name="bookmark21"/>
      <w:bookmarkEnd w:id="60"/>
      <w:bookmarkStart w:id="61" w:name="bookmark19"/>
      <w:bookmarkEnd w:id="61"/>
      <w:bookmarkStart w:id="62" w:name="bookmark20"/>
      <w:bookmarkEnd w:id="62"/>
      <w:bookmarkStart w:id="63" w:name="bookmark18"/>
      <w:bookmarkEnd w:id="63"/>
    </w:p>
    <w:p w14:paraId="1079CB5A">
      <w:pPr>
        <w:pStyle w:val="8"/>
        <w:spacing w:before="113" w:line="233" w:lineRule="auto"/>
        <w:jc w:val="center"/>
        <w:outlineLvl w:val="1"/>
        <w:rPr>
          <w:rFonts w:hint="eastAsia" w:ascii="仿宋" w:hAnsi="仿宋" w:eastAsia="仿宋" w:cs="仿宋"/>
          <w:color w:val="auto"/>
          <w:sz w:val="35"/>
          <w:szCs w:val="35"/>
          <w:highlight w:val="none"/>
        </w:rPr>
      </w:pPr>
      <w:bookmarkStart w:id="64" w:name="bookmark22"/>
      <w:bookmarkEnd w:id="64"/>
      <w:bookmarkStart w:id="65" w:name="bookmark23"/>
      <w:bookmarkEnd w:id="65"/>
      <w:bookmarkStart w:id="66" w:name="_Toc9145"/>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四投标文件的递交</w:t>
      </w:r>
      <w:bookmarkEnd w:id="66"/>
    </w:p>
    <w:p w14:paraId="79364A22">
      <w:pPr>
        <w:pStyle w:val="8"/>
        <w:spacing w:before="101" w:line="227" w:lineRule="auto"/>
        <w:ind w:left="38"/>
        <w:outlineLvl w:val="2"/>
        <w:rPr>
          <w:rFonts w:hint="eastAsia" w:ascii="仿宋" w:hAnsi="仿宋" w:eastAsia="仿宋" w:cs="仿宋"/>
          <w:color w:val="auto"/>
          <w:sz w:val="24"/>
          <w:szCs w:val="24"/>
          <w:highlight w:val="none"/>
        </w:rPr>
      </w:pPr>
      <w:bookmarkStart w:id="67" w:name="_Toc31921"/>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15.投标文件的密封和标记</w:t>
      </w:r>
      <w:bookmarkEnd w:id="67"/>
    </w:p>
    <w:p w14:paraId="39C995AB">
      <w:pPr>
        <w:pStyle w:val="8"/>
        <w:spacing w:before="146" w:line="220" w:lineRule="auto"/>
        <w:ind w:left="780" w:leftChars="17" w:hanging="744" w:hangingChars="300"/>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rPr>
        <w:t>15.1</w:t>
      </w:r>
      <w:r>
        <w:rPr>
          <w:rFonts w:hint="eastAsia" w:ascii="仿宋" w:hAnsi="仿宋" w:eastAsia="仿宋" w:cs="仿宋"/>
          <w:color w:val="auto"/>
          <w:spacing w:val="4"/>
          <w:sz w:val="24"/>
          <w:szCs w:val="24"/>
          <w:highlight w:val="none"/>
          <w:lang w:val="en-US" w:eastAsia="zh-CN"/>
        </w:rPr>
        <w:t>为方便评审及进行资格审查，投标单位应完整地按招标文件提供的投标文件格式及要求编写投标文件，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15D6F913">
      <w:pPr>
        <w:pStyle w:val="8"/>
        <w:spacing w:before="146" w:line="220" w:lineRule="auto"/>
        <w:ind w:left="532" w:leftChars="17" w:hanging="496" w:hangingChars="200"/>
        <w:rPr>
          <w:rFonts w:hint="eastAsia" w:ascii="仿宋" w:hAnsi="仿宋" w:eastAsia="仿宋" w:cs="仿宋"/>
          <w:color w:val="auto"/>
          <w:spacing w:val="4"/>
          <w:sz w:val="24"/>
          <w:szCs w:val="24"/>
          <w:highlight w:val="none"/>
          <w:lang w:val="en-US" w:eastAsia="en-US"/>
        </w:rPr>
      </w:pPr>
      <w:r>
        <w:rPr>
          <w:rFonts w:hint="eastAsia" w:ascii="仿宋" w:hAnsi="仿宋" w:eastAsia="仿宋" w:cs="仿宋"/>
          <w:color w:val="auto"/>
          <w:spacing w:val="4"/>
          <w:sz w:val="24"/>
          <w:szCs w:val="24"/>
          <w:highlight w:val="none"/>
          <w:lang w:val="en-US" w:eastAsia="zh-CN"/>
        </w:rPr>
        <w:t>15.2供应商因自身原因导致电子投标文件无法导入电子评标系统的，该响应文件视为无效文件。</w:t>
      </w:r>
    </w:p>
    <w:p w14:paraId="578AD2B1">
      <w:pPr>
        <w:pStyle w:val="8"/>
        <w:spacing w:before="146" w:line="220" w:lineRule="auto"/>
        <w:ind w:left="532" w:leftChars="17" w:hanging="496" w:hangingChars="200"/>
        <w:rPr>
          <w:rFonts w:hint="eastAsia" w:ascii="仿宋" w:hAnsi="仿宋" w:eastAsia="仿宋" w:cs="仿宋"/>
          <w:color w:val="auto"/>
          <w:spacing w:val="-1"/>
          <w:sz w:val="24"/>
          <w:szCs w:val="24"/>
          <w:highlight w:val="none"/>
        </w:rPr>
      </w:pPr>
      <w:r>
        <w:rPr>
          <w:rFonts w:hint="eastAsia" w:ascii="仿宋" w:hAnsi="仿宋" w:eastAsia="仿宋" w:cs="仿宋"/>
          <w:color w:val="auto"/>
          <w:spacing w:val="4"/>
          <w:sz w:val="24"/>
          <w:szCs w:val="24"/>
          <w:highlight w:val="none"/>
        </w:rPr>
        <w:t>15.3</w:t>
      </w:r>
      <w:r>
        <w:rPr>
          <w:rFonts w:hint="eastAsia" w:ascii="仿宋" w:hAnsi="仿宋" w:eastAsia="仿宋" w:cs="仿宋"/>
          <w:color w:val="auto"/>
          <w:spacing w:val="4"/>
          <w:sz w:val="24"/>
          <w:szCs w:val="24"/>
          <w:highlight w:val="none"/>
          <w:lang w:val="en-US" w:eastAsia="zh-CN"/>
        </w:rPr>
        <w:t>电子投标文件具有法律效力,与其他形式的响应文件在内容和格式上等同，若投标文件与招标文件要求不一致，其内容影响成交结果时，责任由供应商自行承担。</w:t>
      </w:r>
    </w:p>
    <w:p w14:paraId="5B2852B5">
      <w:pPr>
        <w:pStyle w:val="8"/>
        <w:spacing w:before="153" w:line="223" w:lineRule="auto"/>
        <w:ind w:left="38"/>
        <w:outlineLvl w:val="2"/>
        <w:rPr>
          <w:rFonts w:hint="eastAsia" w:ascii="仿宋" w:hAnsi="仿宋" w:eastAsia="仿宋" w:cs="仿宋"/>
          <w:color w:val="auto"/>
          <w:sz w:val="24"/>
          <w:szCs w:val="24"/>
          <w:highlight w:val="none"/>
        </w:rPr>
      </w:pPr>
      <w:bookmarkStart w:id="68" w:name="_Toc11482"/>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16.投标截止</w:t>
      </w:r>
      <w:bookmarkEnd w:id="68"/>
    </w:p>
    <w:p w14:paraId="4A378C9A">
      <w:pPr>
        <w:pStyle w:val="8"/>
        <w:spacing w:before="152"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16.1投标人应在</w:t>
      </w:r>
      <w:r>
        <w:rPr>
          <w:rFonts w:hint="eastAsia" w:ascii="仿宋" w:hAnsi="仿宋" w:eastAsia="仿宋" w:cs="仿宋"/>
          <w:color w:val="auto"/>
          <w:spacing w:val="3"/>
          <w:sz w:val="24"/>
          <w:szCs w:val="24"/>
          <w:highlight w:val="none"/>
          <w:u w:val="single" w:color="auto"/>
        </w:rPr>
        <w:t>投标人须知资料表中</w:t>
      </w:r>
      <w:r>
        <w:rPr>
          <w:rFonts w:hint="eastAsia" w:ascii="仿宋" w:hAnsi="仿宋" w:eastAsia="仿宋" w:cs="仿宋"/>
          <w:color w:val="auto"/>
          <w:spacing w:val="3"/>
          <w:sz w:val="24"/>
          <w:szCs w:val="24"/>
          <w:highlight w:val="none"/>
        </w:rPr>
        <w:t>规定的截止时间前，将投标文件递交</w:t>
      </w:r>
    </w:p>
    <w:p w14:paraId="46A06569">
      <w:pPr>
        <w:pStyle w:val="8"/>
        <w:spacing w:before="153" w:line="225" w:lineRule="auto"/>
        <w:ind w:left="938"/>
        <w:rPr>
          <w:rFonts w:hint="eastAsia" w:ascii="仿宋" w:hAnsi="仿宋" w:eastAsia="仿宋" w:cs="仿宋"/>
          <w:b/>
          <w:bCs/>
          <w:color w:val="auto"/>
          <w:sz w:val="24"/>
          <w:szCs w:val="24"/>
          <w:highlight w:val="none"/>
        </w:rPr>
      </w:pPr>
      <w:r>
        <w:rPr>
          <w:rFonts w:hint="eastAsia" w:ascii="仿宋" w:hAnsi="仿宋" w:eastAsia="仿宋" w:cs="仿宋"/>
          <w:color w:val="auto"/>
          <w:spacing w:val="-2"/>
          <w:sz w:val="24"/>
          <w:szCs w:val="24"/>
          <w:highlight w:val="none"/>
        </w:rPr>
        <w:t>到招标公告中规定的地点。</w:t>
      </w:r>
      <w:r>
        <w:rPr>
          <w:rFonts w:hint="eastAsia" w:ascii="仿宋" w:hAnsi="仿宋" w:eastAsia="仿宋" w:cs="仿宋"/>
          <w:b/>
          <w:bCs/>
          <w:color w:val="auto"/>
          <w:spacing w:val="-2"/>
          <w:sz w:val="24"/>
          <w:szCs w:val="24"/>
          <w:highlight w:val="none"/>
          <w:lang w:val="en-US" w:eastAsia="zh-CN"/>
        </w:rPr>
        <w:t>解密时间30分钟，逾期未解密的视为投标无效。</w:t>
      </w:r>
    </w:p>
    <w:p w14:paraId="74E86530">
      <w:pPr>
        <w:pStyle w:val="8"/>
        <w:spacing w:before="146" w:line="220" w:lineRule="auto"/>
        <w:ind w:left="38"/>
        <w:outlineLvl w:val="1"/>
        <w:rPr>
          <w:rFonts w:hint="eastAsia" w:ascii="仿宋" w:hAnsi="仿宋" w:eastAsia="仿宋" w:cs="仿宋"/>
          <w:color w:val="auto"/>
          <w:sz w:val="24"/>
          <w:szCs w:val="24"/>
          <w:highlight w:val="none"/>
        </w:rPr>
      </w:pPr>
      <w:bookmarkStart w:id="69" w:name="_Toc26460"/>
      <w:r>
        <w:rPr>
          <w:rFonts w:hint="eastAsia" w:ascii="仿宋" w:hAnsi="仿宋" w:eastAsia="仿宋" w:cs="仿宋"/>
          <w:color w:val="auto"/>
          <w:spacing w:val="4"/>
          <w:sz w:val="24"/>
          <w:szCs w:val="24"/>
          <w:highlight w:val="none"/>
        </w:rPr>
        <w:t>16.2采购人和采购代理机构有权按本须</w:t>
      </w:r>
      <w:r>
        <w:rPr>
          <w:rFonts w:hint="eastAsia" w:ascii="仿宋" w:hAnsi="仿宋" w:eastAsia="仿宋" w:cs="仿宋"/>
          <w:color w:val="auto"/>
          <w:spacing w:val="3"/>
          <w:sz w:val="24"/>
          <w:szCs w:val="24"/>
          <w:highlight w:val="none"/>
        </w:rPr>
        <w:t>知的规定，延迟投标截止时间。在</w:t>
      </w:r>
      <w:bookmarkEnd w:id="69"/>
    </w:p>
    <w:p w14:paraId="0A684147">
      <w:pPr>
        <w:pStyle w:val="8"/>
        <w:spacing w:before="156" w:line="439" w:lineRule="exact"/>
        <w:ind w:left="930"/>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此情况下，采购人、采购代理机构和投标人受投标截止时间制约的所</w:t>
      </w:r>
    </w:p>
    <w:p w14:paraId="101190FD">
      <w:pPr>
        <w:pStyle w:val="8"/>
        <w:spacing w:before="1" w:line="222" w:lineRule="auto"/>
        <w:ind w:left="92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有权利和义务均应延长至新的截止时间。</w:t>
      </w:r>
    </w:p>
    <w:p w14:paraId="7A4CE9BC">
      <w:pPr>
        <w:pStyle w:val="8"/>
        <w:spacing w:before="156" w:line="227" w:lineRule="auto"/>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16.3采购人和采购代理机构将拒绝接收在投标截止时间后送达的投标文</w:t>
      </w:r>
      <w:r>
        <w:rPr>
          <w:rFonts w:hint="eastAsia" w:ascii="仿宋" w:hAnsi="仿宋" w:eastAsia="仿宋" w:cs="仿宋"/>
          <w:color w:val="auto"/>
          <w:spacing w:val="-5"/>
          <w:sz w:val="24"/>
          <w:szCs w:val="24"/>
          <w:highlight w:val="none"/>
        </w:rPr>
        <w:t>件。</w:t>
      </w:r>
    </w:p>
    <w:p w14:paraId="790DBFF3">
      <w:pPr>
        <w:pStyle w:val="8"/>
        <w:spacing w:before="144" w:line="227" w:lineRule="auto"/>
        <w:ind w:left="38"/>
        <w:outlineLvl w:val="2"/>
        <w:rPr>
          <w:rFonts w:hint="eastAsia" w:ascii="仿宋" w:hAnsi="仿宋" w:eastAsia="仿宋" w:cs="仿宋"/>
          <w:color w:val="auto"/>
          <w:sz w:val="24"/>
          <w:szCs w:val="24"/>
          <w:highlight w:val="none"/>
        </w:rPr>
      </w:pPr>
      <w:bookmarkStart w:id="70" w:name="_Toc8788"/>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17.投标文件的接收、修改与撤回</w:t>
      </w:r>
      <w:bookmarkEnd w:id="70"/>
    </w:p>
    <w:p w14:paraId="4D652B3A">
      <w:pPr>
        <w:pStyle w:val="8"/>
        <w:spacing w:before="143"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17.1在投标截止时间后送达的投标文件的，采购人和采购代理机构将拒绝</w:t>
      </w:r>
    </w:p>
    <w:p w14:paraId="4A0C1D5E">
      <w:pPr>
        <w:pStyle w:val="8"/>
        <w:spacing w:before="155" w:line="233" w:lineRule="auto"/>
        <w:ind w:left="91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接收。</w:t>
      </w:r>
    </w:p>
    <w:p w14:paraId="2C4A1E7B">
      <w:pPr>
        <w:pStyle w:val="8"/>
        <w:spacing w:before="136" w:line="220" w:lineRule="auto"/>
        <w:ind w:left="38"/>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17.2采购人或者采购代理机构收到投标文件后，应当如实记载投标文件的</w:t>
      </w:r>
    </w:p>
    <w:p w14:paraId="2ECFAAE4">
      <w:pPr>
        <w:pStyle w:val="8"/>
        <w:spacing w:before="153" w:line="227" w:lineRule="auto"/>
        <w:ind w:left="92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送达时间和密封情况。</w:t>
      </w:r>
    </w:p>
    <w:p w14:paraId="1B34602D">
      <w:pPr>
        <w:pStyle w:val="8"/>
        <w:spacing w:before="147" w:line="220" w:lineRule="auto"/>
        <w:ind w:left="38"/>
        <w:outlineLvl w:val="1"/>
        <w:rPr>
          <w:rFonts w:hint="eastAsia" w:ascii="仿宋" w:hAnsi="仿宋" w:eastAsia="仿宋" w:cs="仿宋"/>
          <w:color w:val="auto"/>
          <w:sz w:val="24"/>
          <w:szCs w:val="24"/>
          <w:highlight w:val="none"/>
        </w:rPr>
      </w:pPr>
      <w:bookmarkStart w:id="71" w:name="_Toc4008"/>
      <w:r>
        <w:rPr>
          <w:rFonts w:hint="eastAsia" w:ascii="仿宋" w:hAnsi="仿宋" w:eastAsia="仿宋" w:cs="仿宋"/>
          <w:color w:val="auto"/>
          <w:spacing w:val="-3"/>
          <w:sz w:val="24"/>
          <w:szCs w:val="24"/>
          <w:highlight w:val="none"/>
        </w:rPr>
        <w:t>17.3递交投标文件以后，如果投标人要进行修改或撤回投标，须提出书面申</w:t>
      </w:r>
      <w:bookmarkEnd w:id="71"/>
    </w:p>
    <w:p w14:paraId="06076427">
      <w:pPr>
        <w:pStyle w:val="8"/>
        <w:spacing w:before="153" w:line="439" w:lineRule="exact"/>
        <w:ind w:left="867"/>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请并在投标截止时间前送达开标地点，投标人对投</w:t>
      </w:r>
      <w:r>
        <w:rPr>
          <w:rFonts w:hint="eastAsia" w:ascii="仿宋" w:hAnsi="仿宋" w:eastAsia="仿宋" w:cs="仿宋"/>
          <w:color w:val="auto"/>
          <w:spacing w:val="-4"/>
          <w:position w:val="14"/>
          <w:sz w:val="24"/>
          <w:szCs w:val="24"/>
          <w:highlight w:val="none"/>
        </w:rPr>
        <w:t>标文件的修改或撤回</w:t>
      </w:r>
    </w:p>
    <w:p w14:paraId="33CE06F6">
      <w:pPr>
        <w:pStyle w:val="8"/>
        <w:spacing w:line="225" w:lineRule="auto"/>
        <w:ind w:left="86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通知应按本须知规定编制、密封、标记。</w:t>
      </w:r>
    </w:p>
    <w:p w14:paraId="64698115">
      <w:pPr>
        <w:pStyle w:val="8"/>
        <w:spacing w:before="149" w:line="220" w:lineRule="auto"/>
        <w:ind w:left="8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采购人和采购代理机构将予以接收，并视为投标文件</w:t>
      </w:r>
      <w:r>
        <w:rPr>
          <w:rFonts w:hint="eastAsia" w:ascii="仿宋" w:hAnsi="仿宋" w:eastAsia="仿宋" w:cs="仿宋"/>
          <w:color w:val="auto"/>
          <w:spacing w:val="-1"/>
          <w:sz w:val="24"/>
          <w:szCs w:val="24"/>
          <w:highlight w:val="none"/>
        </w:rPr>
        <w:t>的组成部分。</w:t>
      </w:r>
    </w:p>
    <w:p w14:paraId="4C02A964">
      <w:pPr>
        <w:pStyle w:val="8"/>
        <w:spacing w:before="153" w:line="220" w:lineRule="auto"/>
        <w:ind w:left="38"/>
        <w:outlineLvl w:val="1"/>
        <w:rPr>
          <w:rFonts w:hint="eastAsia" w:ascii="仿宋" w:hAnsi="仿宋" w:eastAsia="仿宋" w:cs="仿宋"/>
          <w:color w:val="auto"/>
          <w:sz w:val="24"/>
          <w:szCs w:val="24"/>
          <w:highlight w:val="none"/>
        </w:rPr>
      </w:pPr>
      <w:bookmarkStart w:id="72" w:name="_Toc5091"/>
      <w:r>
        <w:rPr>
          <w:rFonts w:hint="eastAsia" w:ascii="仿宋" w:hAnsi="仿宋" w:eastAsia="仿宋" w:cs="仿宋"/>
          <w:color w:val="auto"/>
          <w:spacing w:val="3"/>
          <w:sz w:val="24"/>
          <w:szCs w:val="24"/>
          <w:highlight w:val="none"/>
        </w:rPr>
        <w:t>17.4在投标截止期之后，采购人和采购代理机构不接受投标人主动对其投</w:t>
      </w:r>
      <w:bookmarkEnd w:id="72"/>
    </w:p>
    <w:p w14:paraId="0314C808">
      <w:pPr>
        <w:pStyle w:val="8"/>
        <w:spacing w:before="154" w:line="227" w:lineRule="auto"/>
        <w:ind w:left="92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标文件做任何修改。</w:t>
      </w:r>
    </w:p>
    <w:p w14:paraId="64E09BEA">
      <w:pPr>
        <w:pStyle w:val="8"/>
        <w:spacing w:before="146" w:line="227" w:lineRule="auto"/>
        <w:ind w:left="38"/>
        <w:outlineLvl w:val="1"/>
        <w:rPr>
          <w:rFonts w:hint="eastAsia" w:ascii="仿宋" w:hAnsi="仿宋" w:eastAsia="仿宋" w:cs="仿宋"/>
          <w:color w:val="auto"/>
          <w:sz w:val="24"/>
          <w:szCs w:val="24"/>
          <w:highlight w:val="none"/>
        </w:rPr>
        <w:sectPr>
          <w:footerReference r:id="rId11" w:type="default"/>
          <w:pgSz w:w="11905" w:h="16838"/>
          <w:pgMar w:top="1440" w:right="1083" w:bottom="1440" w:left="1083" w:header="0" w:footer="1225" w:gutter="0"/>
          <w:pgNumType w:fmt="decimal"/>
          <w:cols w:space="0" w:num="1"/>
          <w:rtlGutter w:val="0"/>
          <w:docGrid w:linePitch="0" w:charSpace="0"/>
        </w:sectPr>
      </w:pPr>
      <w:bookmarkStart w:id="73" w:name="_Toc28088"/>
      <w:r>
        <w:rPr>
          <w:rFonts w:hint="eastAsia" w:ascii="仿宋" w:hAnsi="仿宋" w:eastAsia="仿宋" w:cs="仿宋"/>
          <w:color w:val="auto"/>
          <w:spacing w:val="-1"/>
          <w:sz w:val="24"/>
          <w:szCs w:val="24"/>
          <w:highlight w:val="none"/>
        </w:rPr>
        <w:t>17.5采购人和采购代理机构对所接收投标文件概不退回。</w:t>
      </w:r>
      <w:bookmarkEnd w:id="73"/>
    </w:p>
    <w:p w14:paraId="25284ED4">
      <w:pPr>
        <w:pStyle w:val="8"/>
        <w:spacing w:before="75" w:line="228" w:lineRule="auto"/>
        <w:jc w:val="center"/>
        <w:outlineLvl w:val="2"/>
        <w:rPr>
          <w:rFonts w:hint="eastAsia" w:ascii="仿宋" w:hAnsi="仿宋" w:eastAsia="仿宋" w:cs="仿宋"/>
          <w:color w:val="auto"/>
          <w:sz w:val="35"/>
          <w:szCs w:val="35"/>
          <w:highlight w:val="none"/>
        </w:rPr>
      </w:pPr>
      <w:bookmarkStart w:id="74" w:name="bookmark26"/>
      <w:bookmarkEnd w:id="74"/>
      <w:bookmarkStart w:id="75" w:name="_Toc2844"/>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五开标及评标</w:t>
      </w:r>
      <w:bookmarkEnd w:id="75"/>
    </w:p>
    <w:p w14:paraId="64DF6823">
      <w:pPr>
        <w:spacing w:line="390" w:lineRule="auto"/>
        <w:rPr>
          <w:rFonts w:hint="eastAsia" w:ascii="仿宋" w:hAnsi="仿宋" w:eastAsia="仿宋" w:cs="仿宋"/>
          <w:color w:val="auto"/>
          <w:sz w:val="21"/>
          <w:highlight w:val="none"/>
        </w:rPr>
      </w:pPr>
    </w:p>
    <w:p w14:paraId="10796DBC">
      <w:pPr>
        <w:pStyle w:val="8"/>
        <w:spacing w:before="78" w:line="232" w:lineRule="auto"/>
        <w:ind w:left="38"/>
        <w:outlineLvl w:val="2"/>
        <w:rPr>
          <w:rFonts w:hint="eastAsia" w:ascii="仿宋" w:hAnsi="仿宋" w:eastAsia="仿宋" w:cs="仿宋"/>
          <w:color w:val="auto"/>
          <w:sz w:val="24"/>
          <w:szCs w:val="24"/>
          <w:highlight w:val="none"/>
        </w:rPr>
      </w:pPr>
      <w:bookmarkStart w:id="76" w:name="_Toc22268"/>
      <w:r>
        <w:rPr>
          <w:rFonts w:hint="eastAsia" w:ascii="仿宋" w:hAnsi="仿宋" w:eastAsia="仿宋" w:cs="仿宋"/>
          <w:color w:val="auto"/>
          <w:spacing w:val="-7"/>
          <w:sz w:val="24"/>
          <w:szCs w:val="24"/>
          <w:highlight w:val="none"/>
          <w14:textOutline w14:w="4358" w14:cap="sq" w14:cmpd="sng">
            <w14:solidFill>
              <w14:srgbClr w14:val="000000"/>
            </w14:solidFill>
            <w14:prstDash w14:val="solid"/>
            <w14:bevel/>
          </w14:textOutline>
        </w:rPr>
        <w:t>18.开标</w:t>
      </w:r>
      <w:bookmarkEnd w:id="76"/>
    </w:p>
    <w:p w14:paraId="273ED734">
      <w:pPr>
        <w:pStyle w:val="8"/>
        <w:spacing w:before="258" w:line="225" w:lineRule="auto"/>
        <w:ind w:left="38"/>
        <w:outlineLvl w:val="1"/>
        <w:rPr>
          <w:rFonts w:hint="eastAsia" w:ascii="仿宋" w:hAnsi="仿宋" w:eastAsia="仿宋" w:cs="仿宋"/>
          <w:color w:val="auto"/>
          <w:sz w:val="24"/>
          <w:szCs w:val="24"/>
          <w:highlight w:val="none"/>
          <w:lang w:val="en-US" w:eastAsia="zh-CN"/>
        </w:rPr>
      </w:pPr>
      <w:bookmarkStart w:id="77" w:name="_Toc22823"/>
      <w:r>
        <w:rPr>
          <w:rFonts w:hint="eastAsia" w:ascii="仿宋" w:hAnsi="仿宋" w:eastAsia="仿宋" w:cs="仿宋"/>
          <w:color w:val="auto"/>
          <w:spacing w:val="4"/>
          <w:sz w:val="24"/>
          <w:szCs w:val="24"/>
          <w:highlight w:val="none"/>
        </w:rPr>
        <w:t>18.1</w:t>
      </w:r>
      <w:r>
        <w:rPr>
          <w:rFonts w:hint="eastAsia" w:ascii="仿宋" w:hAnsi="仿宋" w:eastAsia="仿宋" w:cs="仿宋"/>
          <w:color w:val="auto"/>
          <w:sz w:val="24"/>
          <w:szCs w:val="24"/>
          <w:highlight w:val="none"/>
          <w:lang w:val="en-US" w:eastAsia="zh-CN"/>
        </w:rPr>
        <w:t>采购人和采购代理机构将按</w:t>
      </w:r>
      <w:r>
        <w:rPr>
          <w:rFonts w:hint="eastAsia" w:ascii="仿宋" w:hAnsi="仿宋" w:eastAsia="仿宋" w:cs="仿宋"/>
          <w:color w:val="auto"/>
          <w:sz w:val="24"/>
          <w:szCs w:val="24"/>
          <w:highlight w:val="none"/>
          <w:u w:val="single"/>
          <w:lang w:val="en-US" w:eastAsia="zh-CN"/>
        </w:rPr>
        <w:t>投标人须知资料表</w:t>
      </w:r>
      <w:r>
        <w:rPr>
          <w:rFonts w:hint="eastAsia" w:ascii="仿宋" w:hAnsi="仿宋" w:eastAsia="仿宋" w:cs="仿宋"/>
          <w:color w:val="auto"/>
          <w:sz w:val="24"/>
          <w:szCs w:val="24"/>
          <w:highlight w:val="none"/>
          <w:lang w:val="en-US" w:eastAsia="zh-CN"/>
        </w:rPr>
        <w:t>中规定的开标时间和地</w:t>
      </w:r>
      <w:bookmarkEnd w:id="77"/>
      <w:r>
        <w:rPr>
          <w:rFonts w:hint="eastAsia" w:ascii="仿宋" w:hAnsi="仿宋" w:eastAsia="仿宋" w:cs="仿宋"/>
          <w:color w:val="auto"/>
          <w:sz w:val="24"/>
          <w:szCs w:val="24"/>
          <w:highlight w:val="none"/>
          <w:lang w:val="en-US" w:eastAsia="zh-CN"/>
        </w:rPr>
        <w:t>点组织公开开标并邀请所有投标人代表参加。投标人不足3家的，不得开标。</w:t>
      </w:r>
    </w:p>
    <w:p w14:paraId="792DF64A">
      <w:pPr>
        <w:pStyle w:val="8"/>
        <w:spacing w:before="150" w:line="220" w:lineRule="auto"/>
        <w:ind w:left="738" w:leftChars="17" w:hanging="702" w:hangingChars="300"/>
        <w:rPr>
          <w:rFonts w:hint="eastAsia" w:ascii="仿宋" w:hAnsi="仿宋" w:eastAsia="仿宋" w:cs="仿宋"/>
          <w:color w:val="auto"/>
          <w:sz w:val="24"/>
          <w:szCs w:val="24"/>
          <w:highlight w:val="none"/>
          <w:lang w:val="zh-CN"/>
        </w:rPr>
      </w:pPr>
      <w:r>
        <w:rPr>
          <w:rFonts w:hint="eastAsia" w:ascii="仿宋" w:hAnsi="仿宋" w:eastAsia="仿宋" w:cs="仿宋"/>
          <w:color w:val="auto"/>
          <w:spacing w:val="-3"/>
          <w:sz w:val="24"/>
          <w:szCs w:val="24"/>
          <w:highlight w:val="none"/>
        </w:rPr>
        <w:t>18.2</w:t>
      </w:r>
      <w:r>
        <w:rPr>
          <w:rFonts w:hint="eastAsia" w:ascii="仿宋" w:hAnsi="仿宋" w:eastAsia="仿宋" w:cs="仿宋"/>
          <w:color w:val="auto"/>
          <w:sz w:val="24"/>
          <w:szCs w:val="24"/>
          <w:highlight w:val="none"/>
          <w:lang w:val="en-US" w:eastAsia="zh-CN"/>
        </w:rPr>
        <w:t>到投标截止时间，对供应商上传的投标文件进行解密，解密时长为30分钟。供应商须在规定时间内使用CA锁在政采云平台解密，解密失败或未在规定时间内解密，将无法参加下一阶段的投标，将被认定为无效投标。请供应商提前调试好CA锁，确定在操作时能正常使用。</w:t>
      </w:r>
    </w:p>
    <w:p w14:paraId="0E5CEDF1">
      <w:pPr>
        <w:pStyle w:val="8"/>
        <w:spacing w:before="150" w:line="220" w:lineRule="auto"/>
        <w:ind w:left="756" w:leftChars="17" w:hanging="720" w:hanging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18.3</w:t>
      </w:r>
      <w:r>
        <w:rPr>
          <w:rFonts w:hint="eastAsia" w:ascii="仿宋" w:hAnsi="仿宋" w:eastAsia="仿宋" w:cs="仿宋"/>
          <w:color w:val="auto"/>
          <w:sz w:val="24"/>
          <w:szCs w:val="24"/>
          <w:highlight w:val="none"/>
          <w:lang w:val="en-US" w:eastAsia="zh-CN"/>
        </w:rPr>
        <w:t>在开标记录时，代理机构开启签字时段，须供应商使用CA锁在政采云平台进行签字确认报价。</w:t>
      </w:r>
    </w:p>
    <w:p w14:paraId="32456076">
      <w:pPr>
        <w:pStyle w:val="8"/>
        <w:spacing w:before="150" w:line="220" w:lineRule="auto"/>
        <w:ind w:left="38"/>
        <w:outlineLvl w:val="1"/>
        <w:rPr>
          <w:rFonts w:hint="eastAsia" w:ascii="仿宋" w:hAnsi="仿宋" w:eastAsia="仿宋" w:cs="仿宋"/>
          <w:color w:val="auto"/>
          <w:sz w:val="24"/>
          <w:szCs w:val="24"/>
          <w:highlight w:val="none"/>
          <w:lang w:val="en-US" w:eastAsia="en-US"/>
        </w:rPr>
      </w:pPr>
      <w:bookmarkStart w:id="78" w:name="_Toc27504"/>
      <w:r>
        <w:rPr>
          <w:rFonts w:hint="eastAsia" w:ascii="仿宋" w:hAnsi="仿宋" w:eastAsia="仿宋" w:cs="仿宋"/>
          <w:color w:val="auto"/>
          <w:sz w:val="24"/>
          <w:szCs w:val="24"/>
          <w:highlight w:val="none"/>
          <w:lang w:val="en-US" w:eastAsia="zh-CN"/>
        </w:rPr>
        <w:t>18.4采购人登录政采云平台对供应商的资格证明材料进行审查。</w:t>
      </w:r>
      <w:bookmarkEnd w:id="78"/>
    </w:p>
    <w:p w14:paraId="0471ADA7">
      <w:pPr>
        <w:pStyle w:val="8"/>
        <w:spacing w:before="143" w:line="223" w:lineRule="auto"/>
        <w:ind w:left="38"/>
        <w:outlineLvl w:val="2"/>
        <w:rPr>
          <w:rFonts w:hint="eastAsia" w:ascii="仿宋" w:hAnsi="仿宋" w:eastAsia="仿宋" w:cs="仿宋"/>
          <w:color w:val="auto"/>
          <w:sz w:val="24"/>
          <w:szCs w:val="24"/>
          <w:highlight w:val="none"/>
        </w:rPr>
      </w:pPr>
      <w:bookmarkStart w:id="79" w:name="_Toc19369"/>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19.资格审查及组建评标委员会</w:t>
      </w:r>
      <w:bookmarkEnd w:id="79"/>
    </w:p>
    <w:p w14:paraId="384DBD46">
      <w:pPr>
        <w:pStyle w:val="8"/>
        <w:spacing w:before="150" w:line="220" w:lineRule="auto"/>
        <w:ind w:left="38"/>
        <w:outlineLvl w:val="1"/>
        <w:rPr>
          <w:rFonts w:hint="eastAsia" w:ascii="仿宋" w:hAnsi="仿宋" w:eastAsia="仿宋" w:cs="仿宋"/>
          <w:color w:val="auto"/>
          <w:sz w:val="24"/>
          <w:szCs w:val="24"/>
          <w:highlight w:val="none"/>
        </w:rPr>
      </w:pPr>
      <w:bookmarkStart w:id="80" w:name="_Toc370"/>
      <w:r>
        <w:rPr>
          <w:rFonts w:hint="eastAsia" w:ascii="仿宋" w:hAnsi="仿宋" w:eastAsia="仿宋" w:cs="仿宋"/>
          <w:color w:val="auto"/>
          <w:sz w:val="24"/>
          <w:szCs w:val="24"/>
          <w:highlight w:val="none"/>
        </w:rPr>
        <w:t>19.1采购人或采购代理机构依据法律法规和招标文件中规定的内容，由资</w:t>
      </w:r>
      <w:bookmarkEnd w:id="80"/>
    </w:p>
    <w:p w14:paraId="72D54703">
      <w:pPr>
        <w:pStyle w:val="8"/>
        <w:spacing w:before="155" w:line="439" w:lineRule="exact"/>
        <w:ind w:left="979"/>
        <w:rPr>
          <w:rFonts w:hint="eastAsia" w:ascii="仿宋" w:hAnsi="仿宋" w:eastAsia="仿宋" w:cs="仿宋"/>
          <w:color w:val="auto"/>
          <w:sz w:val="24"/>
          <w:szCs w:val="24"/>
          <w:highlight w:val="none"/>
        </w:rPr>
      </w:pPr>
      <w:r>
        <w:rPr>
          <w:rFonts w:hint="eastAsia" w:ascii="仿宋" w:hAnsi="仿宋" w:eastAsia="仿宋" w:cs="仿宋"/>
          <w:color w:val="auto"/>
          <w:spacing w:val="1"/>
          <w:position w:val="15"/>
          <w:sz w:val="24"/>
          <w:szCs w:val="24"/>
          <w:highlight w:val="none"/>
        </w:rPr>
        <w:t>格审查小组对投标人及其货物的资格进行审查，未通过资格审查</w:t>
      </w:r>
      <w:r>
        <w:rPr>
          <w:rFonts w:hint="eastAsia" w:ascii="仿宋" w:hAnsi="仿宋" w:eastAsia="仿宋" w:cs="仿宋"/>
          <w:color w:val="auto"/>
          <w:position w:val="15"/>
          <w:sz w:val="24"/>
          <w:szCs w:val="24"/>
          <w:highlight w:val="none"/>
        </w:rPr>
        <w:t>的投</w:t>
      </w:r>
    </w:p>
    <w:p w14:paraId="45AF08AE">
      <w:pPr>
        <w:pStyle w:val="8"/>
        <w:spacing w:before="2" w:line="222" w:lineRule="auto"/>
        <w:ind w:left="98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标人不进入评标；</w:t>
      </w:r>
      <w:r>
        <w:rPr>
          <w:rFonts w:hint="eastAsia" w:ascii="仿宋" w:hAnsi="仿宋" w:eastAsia="仿宋" w:cs="仿宋"/>
          <w:color w:val="auto"/>
          <w:spacing w:val="-1"/>
          <w:sz w:val="24"/>
          <w:szCs w:val="24"/>
          <w:highlight w:val="none"/>
        </w:rPr>
        <w:t>通过资格审查的投标人少于不足三家的，不得评标。</w:t>
      </w:r>
    </w:p>
    <w:p w14:paraId="7C0E421D">
      <w:pPr>
        <w:pStyle w:val="8"/>
        <w:spacing w:before="152" w:line="339" w:lineRule="auto"/>
        <w:ind w:left="907" w:right="126" w:hanging="86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19.2采购人或采购代理机构将在开标前1个工作日至投标截止后1小时的期</w:t>
      </w:r>
      <w:r>
        <w:rPr>
          <w:rFonts w:hint="eastAsia" w:ascii="仿宋" w:hAnsi="仿宋" w:eastAsia="仿宋" w:cs="仿宋"/>
          <w:color w:val="auto"/>
          <w:spacing w:val="-5"/>
          <w:sz w:val="24"/>
          <w:szCs w:val="24"/>
          <w:highlight w:val="none"/>
        </w:rPr>
        <w:t>间内查询投标人的信用记录。投标人存在不良信用记录的，其投标将被</w:t>
      </w:r>
    </w:p>
    <w:p w14:paraId="4B32512C">
      <w:pPr>
        <w:pStyle w:val="8"/>
        <w:spacing w:line="232" w:lineRule="auto"/>
        <w:ind w:left="87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54338239">
      <w:pPr>
        <w:pStyle w:val="8"/>
        <w:spacing w:before="136" w:line="319" w:lineRule="auto"/>
        <w:ind w:left="877" w:right="126" w:hanging="8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19.2.1不良信用记录指：投标人在中国政府采购网（www.ccgp.gov.cn）被列</w:t>
      </w:r>
      <w:r>
        <w:rPr>
          <w:rFonts w:hint="eastAsia" w:ascii="仿宋" w:hAnsi="仿宋" w:eastAsia="仿宋" w:cs="仿宋"/>
          <w:color w:val="auto"/>
          <w:spacing w:val="17"/>
          <w:sz w:val="24"/>
          <w:szCs w:val="24"/>
          <w:highlight w:val="none"/>
        </w:rPr>
        <w:t>入政府采购严重违法失信行为记录名单，或在“信用中国”网站</w:t>
      </w:r>
      <w:r>
        <w:rPr>
          <w:rFonts w:hint="eastAsia" w:ascii="仿宋" w:hAnsi="仿宋" w:eastAsia="仿宋" w:cs="仿宋"/>
          <w:color w:val="auto"/>
          <w:spacing w:val="-3"/>
          <w:sz w:val="24"/>
          <w:szCs w:val="24"/>
          <w:highlight w:val="none"/>
        </w:rPr>
        <w:t>（www.creditchina.gov.cn）被列入失信被执行人、重大税收违法案件</w:t>
      </w:r>
      <w:r>
        <w:rPr>
          <w:rFonts w:hint="eastAsia" w:ascii="仿宋" w:hAnsi="仿宋" w:eastAsia="仿宋" w:cs="仿宋"/>
          <w:color w:val="auto"/>
          <w:spacing w:val="-4"/>
          <w:sz w:val="24"/>
          <w:szCs w:val="24"/>
          <w:highlight w:val="none"/>
        </w:rPr>
        <w:t>当事人名单，以及存在《中华人民共和国政府采购法实施条例》第十九条规定的行政处罚记录。以联合体形式参加投标的，联合体任何成员存</w:t>
      </w:r>
      <w:r>
        <w:rPr>
          <w:rFonts w:hint="eastAsia" w:ascii="仿宋" w:hAnsi="仿宋" w:eastAsia="仿宋" w:cs="仿宋"/>
          <w:color w:val="auto"/>
          <w:sz w:val="24"/>
          <w:szCs w:val="24"/>
          <w:highlight w:val="none"/>
        </w:rPr>
        <w:t>在以上不良信用记录的，联合体投标将被认定为</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投</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标无效</w:t>
      </w:r>
      <w:r>
        <w:rPr>
          <w:rFonts w:hint="eastAsia" w:ascii="仿宋" w:hAnsi="仿宋" w:eastAsia="仿宋" w:cs="仿宋"/>
          <w:color w:val="auto"/>
          <w:spacing w:val="-1"/>
          <w:sz w:val="24"/>
          <w:szCs w:val="24"/>
          <w:highlight w:val="none"/>
        </w:rPr>
        <w:t>。</w:t>
      </w:r>
    </w:p>
    <w:p w14:paraId="5C52D1D1">
      <w:pPr>
        <w:pStyle w:val="8"/>
        <w:spacing w:before="155" w:line="301" w:lineRule="auto"/>
        <w:ind w:left="881" w:right="18" w:hanging="84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19.2.2查询及记录方式：采购人或采购代理机构经办人将查询网页打</w:t>
      </w:r>
      <w:r>
        <w:rPr>
          <w:rFonts w:hint="eastAsia" w:ascii="仿宋" w:hAnsi="仿宋" w:eastAsia="仿宋" w:cs="仿宋"/>
          <w:color w:val="auto"/>
          <w:spacing w:val="-1"/>
          <w:sz w:val="24"/>
          <w:szCs w:val="24"/>
          <w:highlight w:val="none"/>
        </w:rPr>
        <w:t>印、签字</w:t>
      </w:r>
      <w:r>
        <w:rPr>
          <w:rFonts w:hint="eastAsia" w:ascii="仿宋" w:hAnsi="仿宋" w:eastAsia="仿宋" w:cs="仿宋"/>
          <w:color w:val="auto"/>
          <w:sz w:val="24"/>
          <w:szCs w:val="24"/>
          <w:highlight w:val="none"/>
        </w:rPr>
        <w:t>并存档备查。投标人不良信用记录以采购人或采购代理</w:t>
      </w:r>
      <w:r>
        <w:rPr>
          <w:rFonts w:hint="eastAsia" w:ascii="仿宋" w:hAnsi="仿宋" w:eastAsia="仿宋" w:cs="仿宋"/>
          <w:color w:val="auto"/>
          <w:spacing w:val="-1"/>
          <w:sz w:val="24"/>
          <w:szCs w:val="24"/>
          <w:highlight w:val="none"/>
        </w:rPr>
        <w:t>机构查询结果为</w:t>
      </w:r>
      <w:r>
        <w:rPr>
          <w:rFonts w:hint="eastAsia" w:ascii="仿宋" w:hAnsi="仿宋" w:eastAsia="仿宋" w:cs="仿宋"/>
          <w:color w:val="auto"/>
          <w:sz w:val="24"/>
          <w:szCs w:val="24"/>
          <w:highlight w:val="none"/>
        </w:rPr>
        <w:t>准。在本招标文件规定的查询时间之后，网站信息发生的任何变更均不再作为评标依据。投标人自行提供的与网站信息不一致的其他证明材料亦不作为资格审查依据。</w:t>
      </w:r>
    </w:p>
    <w:p w14:paraId="66B4D7B0">
      <w:pPr>
        <w:pStyle w:val="8"/>
        <w:spacing w:before="155" w:line="301" w:lineRule="auto"/>
        <w:ind w:left="881" w:right="18" w:hanging="84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19.3按照《中华人民共和国政府采购法》、《中华人民共和国政府采购法实施条例》及本项目本级和上级财政部门的有关规定依法组建的评标委员</w:t>
      </w:r>
      <w:r>
        <w:rPr>
          <w:rFonts w:hint="eastAsia" w:ascii="仿宋" w:hAnsi="仿宋" w:eastAsia="仿宋" w:cs="仿宋"/>
          <w:color w:val="auto"/>
          <w:spacing w:val="-1"/>
          <w:sz w:val="24"/>
          <w:szCs w:val="24"/>
          <w:highlight w:val="none"/>
        </w:rPr>
        <w:t>会，负责评标工作。</w:t>
      </w:r>
    </w:p>
    <w:p w14:paraId="3C5D3959">
      <w:pPr>
        <w:pStyle w:val="8"/>
        <w:keepNext w:val="0"/>
        <w:keepLines w:val="0"/>
        <w:pageBreakBefore w:val="0"/>
        <w:widowControl/>
        <w:kinsoku w:val="0"/>
        <w:wordWrap/>
        <w:overflowPunct/>
        <w:topLinePunct w:val="0"/>
        <w:autoSpaceDE w:val="0"/>
        <w:autoSpaceDN w:val="0"/>
        <w:bidi w:val="0"/>
        <w:adjustRightInd w:val="0"/>
        <w:snapToGrid w:val="0"/>
        <w:spacing w:before="138" w:line="224" w:lineRule="auto"/>
        <w:ind w:left="38"/>
        <w:textAlignment w:val="baseline"/>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19.4</w:t>
      </w:r>
      <w:r>
        <w:rPr>
          <w:rFonts w:hint="eastAsia" w:ascii="仿宋" w:hAnsi="仿宋" w:eastAsia="仿宋" w:cs="仿宋"/>
          <w:b/>
          <w:bCs/>
          <w:color w:val="auto"/>
          <w:spacing w:val="-3"/>
          <w:sz w:val="24"/>
          <w:szCs w:val="24"/>
          <w:highlight w:val="none"/>
        </w:rPr>
        <w:t>本项目评标委员会由</w:t>
      </w:r>
      <w:r>
        <w:rPr>
          <w:rFonts w:hint="eastAsia" w:ascii="仿宋" w:hAnsi="仿宋" w:eastAsia="仿宋" w:cs="仿宋"/>
          <w:b/>
          <w:bCs/>
          <w:color w:val="auto"/>
          <w:spacing w:val="-3"/>
          <w:sz w:val="24"/>
          <w:szCs w:val="24"/>
          <w:highlight w:val="none"/>
          <w:lang w:val="en-US" w:eastAsia="zh-CN"/>
        </w:rPr>
        <w:t>7</w:t>
      </w:r>
      <w:r>
        <w:rPr>
          <w:rFonts w:hint="eastAsia" w:ascii="仿宋" w:hAnsi="仿宋" w:eastAsia="仿宋" w:cs="仿宋"/>
          <w:b/>
          <w:bCs/>
          <w:color w:val="auto"/>
          <w:spacing w:val="-3"/>
          <w:sz w:val="24"/>
          <w:szCs w:val="24"/>
          <w:highlight w:val="none"/>
        </w:rPr>
        <w:t>人组成。（</w:t>
      </w:r>
      <w:r>
        <w:rPr>
          <w:rFonts w:hint="eastAsia" w:ascii="仿宋" w:hAnsi="仿宋" w:eastAsia="仿宋" w:cs="仿宋"/>
          <w:b/>
          <w:bCs/>
          <w:color w:val="auto"/>
          <w:spacing w:val="-3"/>
          <w:sz w:val="24"/>
          <w:szCs w:val="24"/>
          <w:highlight w:val="none"/>
          <w:lang w:val="en-US" w:eastAsia="zh-CN"/>
        </w:rPr>
        <w:t>7</w:t>
      </w:r>
      <w:r>
        <w:rPr>
          <w:rFonts w:hint="eastAsia" w:ascii="仿宋" w:hAnsi="仿宋" w:eastAsia="仿宋" w:cs="仿宋"/>
          <w:b/>
          <w:bCs/>
          <w:color w:val="auto"/>
          <w:spacing w:val="-3"/>
          <w:sz w:val="24"/>
          <w:szCs w:val="24"/>
          <w:highlight w:val="none"/>
        </w:rPr>
        <w:t>人从</w:t>
      </w:r>
      <w:r>
        <w:rPr>
          <w:rFonts w:hint="eastAsia" w:ascii="仿宋" w:hAnsi="仿宋" w:eastAsia="仿宋" w:cs="仿宋"/>
          <w:b/>
          <w:bCs/>
          <w:color w:val="auto"/>
          <w:spacing w:val="-3"/>
          <w:sz w:val="24"/>
          <w:szCs w:val="24"/>
          <w:highlight w:val="none"/>
          <w:lang w:val="en-US" w:eastAsia="zh-CN"/>
        </w:rPr>
        <w:t>由新疆政府采购网政采云平台专家库（项目相关专业）随机抽取。</w:t>
      </w:r>
      <w:r>
        <w:rPr>
          <w:rFonts w:hint="eastAsia" w:ascii="仿宋" w:hAnsi="仿宋" w:eastAsia="仿宋" w:cs="仿宋"/>
          <w:b/>
          <w:bCs/>
          <w:color w:val="auto"/>
          <w:spacing w:val="-3"/>
          <w:sz w:val="24"/>
          <w:szCs w:val="24"/>
          <w:highlight w:val="none"/>
        </w:rPr>
        <w:t>）</w:t>
      </w:r>
    </w:p>
    <w:p w14:paraId="6F901640">
      <w:pPr>
        <w:pStyle w:val="8"/>
        <w:keepNext w:val="0"/>
        <w:keepLines w:val="0"/>
        <w:pageBreakBefore w:val="0"/>
        <w:widowControl/>
        <w:kinsoku w:val="0"/>
        <w:wordWrap/>
        <w:overflowPunct/>
        <w:topLinePunct w:val="0"/>
        <w:autoSpaceDE w:val="0"/>
        <w:autoSpaceDN w:val="0"/>
        <w:bidi w:val="0"/>
        <w:adjustRightInd w:val="0"/>
        <w:snapToGrid w:val="0"/>
        <w:spacing w:before="135" w:line="223" w:lineRule="auto"/>
        <w:ind w:left="23"/>
        <w:textAlignment w:val="baseline"/>
        <w:outlineLvl w:val="2"/>
        <w:rPr>
          <w:rFonts w:hint="eastAsia" w:ascii="仿宋" w:hAnsi="仿宋" w:eastAsia="仿宋" w:cs="仿宋"/>
          <w:color w:val="auto"/>
          <w:sz w:val="24"/>
          <w:szCs w:val="24"/>
          <w:highlight w:val="none"/>
        </w:rPr>
      </w:pPr>
      <w:bookmarkStart w:id="81" w:name="_Toc18852"/>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20.投标文件符合性审查与澄清</w:t>
      </w:r>
      <w:bookmarkEnd w:id="81"/>
    </w:p>
    <w:p w14:paraId="7C75EB50">
      <w:pPr>
        <w:pStyle w:val="8"/>
        <w:keepNext w:val="0"/>
        <w:keepLines w:val="0"/>
        <w:pageBreakBefore w:val="0"/>
        <w:widowControl/>
        <w:kinsoku w:val="0"/>
        <w:wordWrap/>
        <w:overflowPunct/>
        <w:topLinePunct w:val="0"/>
        <w:autoSpaceDE w:val="0"/>
        <w:autoSpaceDN w:val="0"/>
        <w:bidi w:val="0"/>
        <w:adjustRightInd w:val="0"/>
        <w:snapToGrid w:val="0"/>
        <w:spacing w:before="149" w:line="220" w:lineRule="auto"/>
        <w:ind w:left="957" w:leftChars="10" w:hanging="936" w:hangingChars="400"/>
        <w:textAlignment w:val="baseline"/>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20.1符合性审查是指依据招标文件的规定，从投标文件的有效性和完整性对招标文件的响应程度进行审查，以确定是否对招标文件的实质性要求做出响应。</w:t>
      </w:r>
      <w:bookmarkStart w:id="82" w:name="bookmark29"/>
      <w:bookmarkEnd w:id="82"/>
      <w:bookmarkStart w:id="83" w:name="bookmark28"/>
      <w:bookmarkEnd w:id="83"/>
    </w:p>
    <w:p w14:paraId="2C149BA6">
      <w:pPr>
        <w:pStyle w:val="8"/>
        <w:keepNext w:val="0"/>
        <w:keepLines w:val="0"/>
        <w:pageBreakBefore w:val="0"/>
        <w:widowControl w:val="0"/>
        <w:kinsoku w:val="0"/>
        <w:wordWrap/>
        <w:overflowPunct/>
        <w:topLinePunct w:val="0"/>
        <w:autoSpaceDE w:val="0"/>
        <w:autoSpaceDN w:val="0"/>
        <w:bidi w:val="0"/>
        <w:adjustRightInd w:val="0"/>
        <w:snapToGrid w:val="0"/>
        <w:spacing w:before="1" w:line="228" w:lineRule="auto"/>
        <w:textAlignment w:val="baseline"/>
        <w:outlineLvl w:val="1"/>
        <w:rPr>
          <w:rFonts w:hint="eastAsia" w:ascii="仿宋" w:hAnsi="仿宋" w:eastAsia="仿宋" w:cs="仿宋"/>
          <w:color w:val="auto"/>
          <w:spacing w:val="1"/>
          <w:sz w:val="24"/>
          <w:szCs w:val="24"/>
          <w:highlight w:val="none"/>
        </w:rPr>
      </w:pPr>
      <w:bookmarkStart w:id="84" w:name="_Toc11674"/>
      <w:r>
        <w:rPr>
          <w:rFonts w:hint="eastAsia" w:ascii="仿宋" w:hAnsi="仿宋" w:eastAsia="仿宋" w:cs="仿宋"/>
          <w:color w:val="auto"/>
          <w:spacing w:val="-2"/>
          <w:sz w:val="24"/>
          <w:szCs w:val="24"/>
          <w:highlight w:val="none"/>
        </w:rPr>
        <w:t>20.2投标文件的澄清</w:t>
      </w:r>
      <w:bookmarkEnd w:id="84"/>
    </w:p>
    <w:p w14:paraId="3B483FB0">
      <w:pPr>
        <w:pStyle w:val="8"/>
        <w:keepNext w:val="0"/>
        <w:keepLines w:val="0"/>
        <w:pageBreakBefore w:val="0"/>
        <w:widowControl w:val="0"/>
        <w:kinsoku w:val="0"/>
        <w:wordWrap/>
        <w:overflowPunct/>
        <w:topLinePunct w:val="0"/>
        <w:autoSpaceDE w:val="0"/>
        <w:autoSpaceDN w:val="0"/>
        <w:bidi w:val="0"/>
        <w:adjustRightInd w:val="0"/>
        <w:snapToGrid w:val="0"/>
        <w:spacing w:before="155" w:line="319" w:lineRule="auto"/>
        <w:ind w:left="919" w:right="63" w:hanging="896"/>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20.2.1在评标期间，评标委员会将以书</w:t>
      </w:r>
      <w:r>
        <w:rPr>
          <w:rFonts w:hint="eastAsia" w:ascii="仿宋" w:hAnsi="仿宋" w:eastAsia="仿宋" w:cs="仿宋"/>
          <w:color w:val="auto"/>
          <w:sz w:val="24"/>
          <w:szCs w:val="24"/>
          <w:highlight w:val="none"/>
        </w:rPr>
        <w:t>面方式要求投标人对其投标文件中含</w:t>
      </w:r>
      <w:r>
        <w:rPr>
          <w:rFonts w:hint="eastAsia" w:ascii="仿宋" w:hAnsi="仿宋" w:eastAsia="仿宋" w:cs="仿宋"/>
          <w:color w:val="auto"/>
          <w:spacing w:val="-3"/>
          <w:sz w:val="24"/>
          <w:szCs w:val="24"/>
          <w:highlight w:val="none"/>
        </w:rPr>
        <w:t>义不明确、对同类问题表述不一致或者有明显文字和计算错误的内容，</w:t>
      </w:r>
      <w:r>
        <w:rPr>
          <w:rFonts w:hint="eastAsia" w:ascii="仿宋" w:hAnsi="仿宋" w:eastAsia="仿宋" w:cs="仿宋"/>
          <w:color w:val="auto"/>
          <w:spacing w:val="3"/>
          <w:sz w:val="24"/>
          <w:szCs w:val="24"/>
          <w:highlight w:val="none"/>
        </w:rPr>
        <w:t>以及评标委员会认为投标人的报价明显低于其他通过符合性</w:t>
      </w:r>
      <w:r>
        <w:rPr>
          <w:rFonts w:hint="eastAsia" w:ascii="仿宋" w:hAnsi="仿宋" w:eastAsia="仿宋" w:cs="仿宋"/>
          <w:color w:val="auto"/>
          <w:spacing w:val="2"/>
          <w:sz w:val="24"/>
          <w:szCs w:val="24"/>
          <w:highlight w:val="none"/>
        </w:rPr>
        <w:t>检查投标</w:t>
      </w:r>
      <w:r>
        <w:rPr>
          <w:rFonts w:hint="eastAsia" w:ascii="仿宋" w:hAnsi="仿宋" w:eastAsia="仿宋" w:cs="仿宋"/>
          <w:color w:val="auto"/>
          <w:spacing w:val="3"/>
          <w:sz w:val="24"/>
          <w:szCs w:val="24"/>
          <w:highlight w:val="none"/>
        </w:rPr>
        <w:t>人的报价，有可能影响履约的情况作必要的澄清、说明或补</w:t>
      </w:r>
      <w:r>
        <w:rPr>
          <w:rFonts w:hint="eastAsia" w:ascii="仿宋" w:hAnsi="仿宋" w:eastAsia="仿宋" w:cs="仿宋"/>
          <w:color w:val="auto"/>
          <w:spacing w:val="2"/>
          <w:sz w:val="24"/>
          <w:szCs w:val="24"/>
          <w:highlight w:val="none"/>
        </w:rPr>
        <w:t>正。投标</w:t>
      </w:r>
      <w:r>
        <w:rPr>
          <w:rFonts w:hint="eastAsia" w:ascii="仿宋" w:hAnsi="仿宋" w:eastAsia="仿宋" w:cs="仿宋"/>
          <w:color w:val="auto"/>
          <w:spacing w:val="-3"/>
          <w:sz w:val="24"/>
          <w:szCs w:val="24"/>
          <w:highlight w:val="none"/>
        </w:rPr>
        <w:t>人的澄清、说明或补正应在评标委员会规定的时间内以书面方式进行，</w:t>
      </w:r>
      <w:r>
        <w:rPr>
          <w:rFonts w:hint="eastAsia" w:ascii="仿宋" w:hAnsi="仿宋" w:eastAsia="仿宋" w:cs="仿宋"/>
          <w:color w:val="auto"/>
          <w:sz w:val="24"/>
          <w:szCs w:val="24"/>
          <w:highlight w:val="none"/>
        </w:rPr>
        <w:t>并不得超出投标文件范围或者改变投标文件的实</w:t>
      </w:r>
      <w:r>
        <w:rPr>
          <w:rFonts w:hint="eastAsia" w:ascii="仿宋" w:hAnsi="仿宋" w:eastAsia="仿宋" w:cs="仿宋"/>
          <w:color w:val="auto"/>
          <w:spacing w:val="-1"/>
          <w:sz w:val="24"/>
          <w:szCs w:val="24"/>
          <w:highlight w:val="none"/>
        </w:rPr>
        <w:t>质性内容。</w:t>
      </w:r>
    </w:p>
    <w:p w14:paraId="439EB316">
      <w:pPr>
        <w:pStyle w:val="8"/>
        <w:spacing w:before="152" w:line="223" w:lineRule="auto"/>
        <w:ind w:left="23"/>
        <w:outlineLvl w:val="2"/>
        <w:rPr>
          <w:rFonts w:hint="eastAsia" w:ascii="仿宋" w:hAnsi="仿宋" w:eastAsia="仿宋" w:cs="仿宋"/>
          <w:color w:val="auto"/>
          <w:sz w:val="24"/>
          <w:szCs w:val="24"/>
          <w:highlight w:val="none"/>
        </w:rPr>
      </w:pPr>
      <w:bookmarkStart w:id="85" w:name="_Toc8329"/>
      <w:r>
        <w:rPr>
          <w:rFonts w:hint="eastAsia" w:ascii="仿宋" w:hAnsi="仿宋" w:eastAsia="仿宋" w:cs="仿宋"/>
          <w:color w:val="auto"/>
          <w:sz w:val="24"/>
          <w:szCs w:val="24"/>
          <w:highlight w:val="none"/>
        </w:rPr>
        <w:t>20.2.2投标人的澄清、说明或补正将作为</w:t>
      </w:r>
      <w:r>
        <w:rPr>
          <w:rFonts w:hint="eastAsia" w:ascii="仿宋" w:hAnsi="仿宋" w:eastAsia="仿宋" w:cs="仿宋"/>
          <w:color w:val="auto"/>
          <w:spacing w:val="-1"/>
          <w:sz w:val="24"/>
          <w:szCs w:val="24"/>
          <w:highlight w:val="none"/>
        </w:rPr>
        <w:t>投标文件的一部分。</w:t>
      </w:r>
      <w:bookmarkEnd w:id="85"/>
    </w:p>
    <w:p w14:paraId="3B0157BA">
      <w:pPr>
        <w:pStyle w:val="8"/>
        <w:spacing w:before="149" w:line="220" w:lineRule="auto"/>
        <w:ind w:left="23"/>
        <w:outlineLvl w:val="1"/>
        <w:rPr>
          <w:rFonts w:hint="eastAsia" w:ascii="仿宋" w:hAnsi="仿宋" w:eastAsia="仿宋" w:cs="仿宋"/>
          <w:color w:val="auto"/>
          <w:sz w:val="24"/>
          <w:szCs w:val="24"/>
          <w:highlight w:val="none"/>
        </w:rPr>
      </w:pPr>
      <w:bookmarkStart w:id="86" w:name="_Toc11768"/>
      <w:r>
        <w:rPr>
          <w:rFonts w:hint="eastAsia" w:ascii="仿宋" w:hAnsi="仿宋" w:eastAsia="仿宋" w:cs="仿宋"/>
          <w:color w:val="auto"/>
          <w:sz w:val="24"/>
          <w:szCs w:val="24"/>
          <w:highlight w:val="none"/>
        </w:rPr>
        <w:t>20.3投标文件报价出现前后不一致的，</w:t>
      </w:r>
      <w:r>
        <w:rPr>
          <w:rFonts w:hint="eastAsia" w:ascii="仿宋" w:hAnsi="仿宋" w:eastAsia="仿宋" w:cs="仿宋"/>
          <w:color w:val="auto"/>
          <w:spacing w:val="-1"/>
          <w:sz w:val="24"/>
          <w:szCs w:val="24"/>
          <w:highlight w:val="none"/>
        </w:rPr>
        <w:t>按照下列规定修正：</w:t>
      </w:r>
      <w:bookmarkEnd w:id="86"/>
    </w:p>
    <w:p w14:paraId="6FAE5137">
      <w:pPr>
        <w:pStyle w:val="8"/>
        <w:spacing w:before="153" w:line="441" w:lineRule="exact"/>
        <w:ind w:left="865"/>
        <w:rPr>
          <w:rFonts w:hint="eastAsia" w:ascii="仿宋" w:hAnsi="仿宋" w:eastAsia="仿宋" w:cs="仿宋"/>
          <w:color w:val="auto"/>
          <w:spacing w:val="-3"/>
          <w:position w:val="14"/>
          <w:sz w:val="24"/>
          <w:szCs w:val="24"/>
          <w:highlight w:val="none"/>
        </w:rPr>
      </w:pPr>
      <w:r>
        <w:rPr>
          <w:rFonts w:hint="eastAsia" w:ascii="仿宋" w:hAnsi="仿宋" w:eastAsia="仿宋" w:cs="仿宋"/>
          <w:color w:val="auto"/>
          <w:spacing w:val="-3"/>
          <w:position w:val="14"/>
          <w:sz w:val="24"/>
          <w:szCs w:val="24"/>
          <w:highlight w:val="none"/>
        </w:rPr>
        <w:t>（一）投标文件中开标一览表（报价表）内容与投标文件</w:t>
      </w:r>
      <w:r>
        <w:rPr>
          <w:rFonts w:hint="eastAsia" w:ascii="仿宋" w:hAnsi="仿宋" w:eastAsia="仿宋" w:cs="仿宋"/>
          <w:color w:val="auto"/>
          <w:spacing w:val="-4"/>
          <w:position w:val="14"/>
          <w:sz w:val="24"/>
          <w:szCs w:val="24"/>
          <w:highlight w:val="none"/>
        </w:rPr>
        <w:t>中相应内容不</w:t>
      </w:r>
      <w:r>
        <w:rPr>
          <w:rFonts w:hint="eastAsia" w:ascii="仿宋" w:hAnsi="仿宋" w:eastAsia="仿宋" w:cs="仿宋"/>
          <w:color w:val="auto"/>
          <w:spacing w:val="-3"/>
          <w:position w:val="14"/>
          <w:sz w:val="24"/>
          <w:szCs w:val="24"/>
          <w:highlight w:val="none"/>
        </w:rPr>
        <w:t>一致的，以开标一览表（报价表）为准；</w:t>
      </w:r>
    </w:p>
    <w:p w14:paraId="0F143A3F">
      <w:pPr>
        <w:pStyle w:val="8"/>
        <w:spacing w:before="153" w:line="441" w:lineRule="exact"/>
        <w:ind w:left="865"/>
        <w:outlineLvl w:val="2"/>
        <w:rPr>
          <w:rFonts w:hint="eastAsia" w:ascii="仿宋" w:hAnsi="仿宋" w:eastAsia="仿宋" w:cs="仿宋"/>
          <w:color w:val="auto"/>
          <w:spacing w:val="-3"/>
          <w:position w:val="14"/>
          <w:sz w:val="24"/>
          <w:szCs w:val="24"/>
          <w:highlight w:val="none"/>
        </w:rPr>
      </w:pPr>
      <w:bookmarkStart w:id="87" w:name="_Toc19173"/>
      <w:r>
        <w:rPr>
          <w:rFonts w:hint="eastAsia" w:ascii="仿宋" w:hAnsi="仿宋" w:eastAsia="仿宋" w:cs="仿宋"/>
          <w:color w:val="auto"/>
          <w:spacing w:val="-3"/>
          <w:position w:val="14"/>
          <w:sz w:val="24"/>
          <w:szCs w:val="24"/>
          <w:highlight w:val="none"/>
        </w:rPr>
        <w:t>（二）大写金额和小写金额不一致的，以大写金额为准；</w:t>
      </w:r>
      <w:bookmarkEnd w:id="87"/>
    </w:p>
    <w:p w14:paraId="6AD261DE">
      <w:pPr>
        <w:pStyle w:val="8"/>
        <w:spacing w:before="153" w:line="441" w:lineRule="exact"/>
        <w:ind w:left="865"/>
        <w:rPr>
          <w:rFonts w:hint="eastAsia" w:ascii="仿宋" w:hAnsi="仿宋" w:eastAsia="仿宋" w:cs="仿宋"/>
          <w:color w:val="auto"/>
          <w:spacing w:val="-3"/>
          <w:position w:val="14"/>
          <w:sz w:val="24"/>
          <w:szCs w:val="24"/>
          <w:highlight w:val="none"/>
        </w:rPr>
      </w:pPr>
      <w:r>
        <w:rPr>
          <w:rFonts w:hint="eastAsia" w:ascii="仿宋" w:hAnsi="仿宋" w:eastAsia="仿宋" w:cs="仿宋"/>
          <w:color w:val="auto"/>
          <w:spacing w:val="-3"/>
          <w:position w:val="14"/>
          <w:sz w:val="24"/>
          <w:szCs w:val="24"/>
          <w:highlight w:val="none"/>
        </w:rPr>
        <w:t>（三）单价金额小数点或者百分比有明显错位的，以开标一览表的总价为准，并修改单价；</w:t>
      </w:r>
    </w:p>
    <w:p w14:paraId="368331B6">
      <w:pPr>
        <w:pStyle w:val="8"/>
        <w:spacing w:before="155" w:line="338" w:lineRule="auto"/>
        <w:ind w:left="920" w:right="42" w:hanging="101"/>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7"/>
          <w:sz w:val="24"/>
          <w:szCs w:val="24"/>
          <w:highlight w:val="none"/>
        </w:rPr>
        <w:t>（四）总价金额与按单价汇总金额不一致的，以单价金额计算结果为准。</w:t>
      </w:r>
      <w:r>
        <w:rPr>
          <w:rFonts w:hint="eastAsia" w:ascii="仿宋" w:hAnsi="仿宋" w:eastAsia="仿宋" w:cs="仿宋"/>
          <w:color w:val="auto"/>
          <w:spacing w:val="2"/>
          <w:sz w:val="24"/>
          <w:szCs w:val="24"/>
          <w:highlight w:val="none"/>
        </w:rPr>
        <w:t>同时出现两种以上不一致的，按照前款规定的顺序修正。修正后的报</w:t>
      </w:r>
      <w:r>
        <w:rPr>
          <w:rFonts w:hint="eastAsia" w:ascii="仿宋" w:hAnsi="仿宋" w:eastAsia="仿宋" w:cs="仿宋"/>
          <w:color w:val="auto"/>
          <w:spacing w:val="-6"/>
          <w:sz w:val="24"/>
          <w:szCs w:val="24"/>
          <w:highlight w:val="none"/>
        </w:rPr>
        <w:t>价按照第20.2条的规定经投标人确认后产生约束力，投标人不确认的，</w:t>
      </w:r>
      <w:r>
        <w:rPr>
          <w:rFonts w:hint="eastAsia" w:ascii="仿宋" w:hAnsi="仿宋" w:eastAsia="仿宋" w:cs="仿宋"/>
          <w:color w:val="auto"/>
          <w:spacing w:val="2"/>
          <w:sz w:val="24"/>
          <w:szCs w:val="24"/>
          <w:highlight w:val="none"/>
        </w:rPr>
        <w:t>其投标将被认定为投标无效。对不同文字文本投标文件的解释发生异议的，以中文文本为准。</w:t>
      </w:r>
    </w:p>
    <w:p w14:paraId="09ADCCF6">
      <w:pPr>
        <w:pStyle w:val="8"/>
        <w:spacing w:before="155" w:line="338" w:lineRule="auto"/>
        <w:ind w:left="920" w:right="42" w:hanging="101"/>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20.4如一个分包内只有一种产品，不同投标人所投产品为同一品牌的，按如下方式处理：</w:t>
      </w:r>
    </w:p>
    <w:p w14:paraId="6C10BDF0">
      <w:pPr>
        <w:pStyle w:val="8"/>
        <w:spacing w:before="155" w:line="338" w:lineRule="auto"/>
        <w:ind w:left="920" w:right="42" w:hanging="101"/>
        <w:jc w:val="both"/>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20.4.1如本项目使</w:t>
      </w:r>
      <w:r>
        <w:rPr>
          <w:rFonts w:hint="eastAsia" w:ascii="仿宋" w:hAnsi="仿宋" w:eastAsia="仿宋" w:cs="仿宋"/>
          <w:color w:val="auto"/>
          <w:spacing w:val="1"/>
          <w:sz w:val="24"/>
          <w:szCs w:val="24"/>
          <w:highlight w:val="none"/>
        </w:rPr>
        <w:t>用最低评标价法，提</w:t>
      </w:r>
      <w:r>
        <w:rPr>
          <w:rFonts w:hint="eastAsia" w:ascii="仿宋" w:hAnsi="仿宋" w:eastAsia="仿宋" w:cs="仿宋"/>
          <w:color w:val="auto"/>
          <w:sz w:val="24"/>
          <w:szCs w:val="24"/>
          <w:highlight w:val="none"/>
        </w:rPr>
        <w:t>供相同品牌产品的不同投标人以其中</w:t>
      </w:r>
      <w:r>
        <w:rPr>
          <w:rFonts w:hint="eastAsia" w:ascii="仿宋" w:hAnsi="仿宋" w:eastAsia="仿宋" w:cs="仿宋"/>
          <w:color w:val="auto"/>
          <w:spacing w:val="3"/>
          <w:sz w:val="24"/>
          <w:szCs w:val="24"/>
          <w:highlight w:val="none"/>
        </w:rPr>
        <w:t>通过资格审查、符合性审查且报价最低的参加评标；报价</w:t>
      </w:r>
      <w:r>
        <w:rPr>
          <w:rFonts w:hint="eastAsia" w:ascii="仿宋" w:hAnsi="仿宋" w:eastAsia="仿宋" w:cs="仿宋"/>
          <w:color w:val="auto"/>
          <w:spacing w:val="2"/>
          <w:sz w:val="24"/>
          <w:szCs w:val="24"/>
          <w:highlight w:val="none"/>
        </w:rPr>
        <w:t>相同的</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由</w:t>
      </w:r>
      <w:r>
        <w:rPr>
          <w:rFonts w:hint="eastAsia" w:ascii="仿宋" w:hAnsi="仿宋" w:eastAsia="仿宋" w:cs="仿宋"/>
          <w:color w:val="auto"/>
          <w:spacing w:val="3"/>
          <w:sz w:val="24"/>
          <w:szCs w:val="24"/>
          <w:highlight w:val="none"/>
        </w:rPr>
        <w:t>采购人或者采购人委托评标委员会按照招标文件中评标办</w:t>
      </w:r>
      <w:r>
        <w:rPr>
          <w:rFonts w:hint="eastAsia" w:ascii="仿宋" w:hAnsi="仿宋" w:eastAsia="仿宋" w:cs="仿宋"/>
          <w:color w:val="auto"/>
          <w:spacing w:val="2"/>
          <w:sz w:val="24"/>
          <w:szCs w:val="24"/>
          <w:highlight w:val="none"/>
        </w:rPr>
        <w:t>法规定的方</w:t>
      </w:r>
      <w:r>
        <w:rPr>
          <w:rFonts w:hint="eastAsia" w:ascii="仿宋" w:hAnsi="仿宋" w:eastAsia="仿宋" w:cs="仿宋"/>
          <w:color w:val="auto"/>
          <w:spacing w:val="3"/>
          <w:sz w:val="24"/>
          <w:szCs w:val="24"/>
          <w:highlight w:val="none"/>
        </w:rPr>
        <w:t>式确定一个参加评标的投标人；未规定的采取随机抽取方</w:t>
      </w:r>
      <w:r>
        <w:rPr>
          <w:rFonts w:hint="eastAsia" w:ascii="仿宋" w:hAnsi="仿宋" w:eastAsia="仿宋" w:cs="仿宋"/>
          <w:color w:val="auto"/>
          <w:spacing w:val="2"/>
          <w:sz w:val="24"/>
          <w:szCs w:val="24"/>
          <w:highlight w:val="none"/>
        </w:rPr>
        <w:t>式确定，其</w:t>
      </w:r>
      <w:r>
        <w:rPr>
          <w:rFonts w:hint="eastAsia" w:ascii="仿宋" w:hAnsi="仿宋" w:eastAsia="仿宋" w:cs="仿宋"/>
          <w:color w:val="auto"/>
          <w:spacing w:val="-1"/>
          <w:sz w:val="24"/>
          <w:szCs w:val="24"/>
          <w:highlight w:val="none"/>
        </w:rPr>
        <w:t>他投标将被认定为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w:t>
      </w:r>
    </w:p>
    <w:p w14:paraId="529F9B11">
      <w:pPr>
        <w:pStyle w:val="8"/>
        <w:spacing w:before="156" w:line="360" w:lineRule="auto"/>
        <w:ind w:left="1014" w:leftChars="22" w:hanging="968" w:hangingChars="400"/>
        <w:rPr>
          <w:rFonts w:hint="eastAsia" w:ascii="仿宋" w:hAnsi="仿宋" w:eastAsia="仿宋" w:cs="仿宋"/>
          <w:color w:val="auto"/>
          <w:spacing w:val="4"/>
          <w:sz w:val="24"/>
          <w:szCs w:val="24"/>
          <w:highlight w:val="none"/>
        </w:rPr>
      </w:pPr>
      <w:r>
        <w:rPr>
          <w:rFonts w:hint="eastAsia" w:ascii="仿宋" w:hAnsi="仿宋" w:eastAsia="仿宋" w:cs="仿宋"/>
          <w:color w:val="auto"/>
          <w:spacing w:val="1"/>
          <w:sz w:val="24"/>
          <w:szCs w:val="24"/>
          <w:highlight w:val="none"/>
        </w:rPr>
        <w:t>20.4.2</w:t>
      </w:r>
      <w:r>
        <w:rPr>
          <w:rFonts w:hint="eastAsia" w:ascii="仿宋" w:hAnsi="仿宋" w:eastAsia="仿宋" w:cs="仿宋"/>
          <w:color w:val="auto"/>
          <w:spacing w:val="4"/>
          <w:sz w:val="24"/>
          <w:szCs w:val="24"/>
          <w:highlight w:val="none"/>
        </w:rPr>
        <w:t>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bookmarkStart w:id="88" w:name="bookmark32"/>
      <w:bookmarkEnd w:id="88"/>
      <w:bookmarkStart w:id="89" w:name="bookmark31"/>
      <w:bookmarkEnd w:id="89"/>
      <w:bookmarkStart w:id="90" w:name="bookmark30"/>
      <w:bookmarkEnd w:id="90"/>
      <w:bookmarkStart w:id="91" w:name="bookmark33"/>
      <w:bookmarkEnd w:id="91"/>
    </w:p>
    <w:p w14:paraId="4ED30AB3">
      <w:pPr>
        <w:pStyle w:val="8"/>
        <w:spacing w:before="156" w:line="360" w:lineRule="auto"/>
        <w:ind w:left="1038" w:leftChars="22" w:hanging="992" w:hangingChars="400"/>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20.5如一个分包内包含多种产品的，采购人或采购代理机构将在投标人须知</w:t>
      </w:r>
      <w:r>
        <w:rPr>
          <w:rFonts w:hint="eastAsia" w:ascii="仿宋" w:hAnsi="仿宋" w:eastAsia="仿宋" w:cs="仿宋"/>
          <w:color w:val="auto"/>
          <w:spacing w:val="2"/>
          <w:sz w:val="24"/>
          <w:szCs w:val="24"/>
          <w:highlight w:val="none"/>
          <w:u w:val="single" w:color="auto"/>
        </w:rPr>
        <w:t>资料表</w:t>
      </w:r>
      <w:r>
        <w:rPr>
          <w:rFonts w:hint="eastAsia" w:ascii="仿宋" w:hAnsi="仿宋" w:eastAsia="仿宋" w:cs="仿宋"/>
          <w:color w:val="auto"/>
          <w:spacing w:val="2"/>
          <w:sz w:val="24"/>
          <w:szCs w:val="24"/>
          <w:highlight w:val="none"/>
        </w:rPr>
        <w:t>中载明核心产品，多家投标人提供的核心产品品牌相同的，按</w:t>
      </w:r>
      <w:r>
        <w:rPr>
          <w:rFonts w:hint="eastAsia" w:ascii="仿宋" w:hAnsi="仿宋" w:eastAsia="仿宋" w:cs="仿宋"/>
          <w:color w:val="auto"/>
          <w:spacing w:val="-5"/>
          <w:sz w:val="24"/>
          <w:szCs w:val="24"/>
          <w:highlight w:val="none"/>
        </w:rPr>
        <w:t>第20.4条规定处理。</w:t>
      </w:r>
    </w:p>
    <w:p w14:paraId="2D03E065">
      <w:pPr>
        <w:pStyle w:val="8"/>
        <w:spacing w:before="149" w:line="223" w:lineRule="auto"/>
        <w:ind w:left="1038" w:leftChars="22" w:hanging="992" w:hangingChars="4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20.6投标人所投产品如被列入财政部与国家主管部门颁发的节能产品目录或环境标志产品目录或无线局域网产品目录，应提供相关证明，在评标时予以优先采购，具体优先采购办法见第六章评标方法和标准。如采购人所采购产品为政府强制采购的节能产品，投标人所投产品的品牌及型号必须为清单中有效期内产品并提供证明文件，否则其投标将被认定为投标无效。</w:t>
      </w:r>
    </w:p>
    <w:p w14:paraId="25D92C33">
      <w:pPr>
        <w:pStyle w:val="8"/>
        <w:spacing w:before="142" w:line="227" w:lineRule="auto"/>
        <w:ind w:left="48"/>
        <w:outlineLvl w:val="2"/>
        <w:rPr>
          <w:rFonts w:hint="eastAsia" w:ascii="仿宋" w:hAnsi="仿宋" w:eastAsia="仿宋" w:cs="仿宋"/>
          <w:color w:val="auto"/>
          <w:sz w:val="24"/>
          <w:szCs w:val="24"/>
          <w:highlight w:val="none"/>
        </w:rPr>
      </w:pPr>
      <w:bookmarkStart w:id="92" w:name="_Toc31909"/>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21.投标偏离</w:t>
      </w:r>
      <w:bookmarkEnd w:id="92"/>
    </w:p>
    <w:p w14:paraId="7385B4A2">
      <w:pPr>
        <w:pStyle w:val="8"/>
        <w:spacing w:before="145" w:line="223" w:lineRule="auto"/>
        <w:ind w:left="86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评标委员会可以接受投标文件中不构成实质性偏离的不正规或不一致。</w:t>
      </w:r>
    </w:p>
    <w:p w14:paraId="093D8218">
      <w:pPr>
        <w:pStyle w:val="8"/>
        <w:spacing w:before="150" w:line="232" w:lineRule="auto"/>
        <w:ind w:left="48"/>
        <w:outlineLvl w:val="2"/>
        <w:rPr>
          <w:rFonts w:hint="eastAsia" w:ascii="仿宋" w:hAnsi="仿宋" w:eastAsia="仿宋" w:cs="仿宋"/>
          <w:color w:val="auto"/>
          <w:sz w:val="24"/>
          <w:szCs w:val="24"/>
          <w:highlight w:val="none"/>
        </w:rPr>
      </w:pPr>
      <w:bookmarkStart w:id="93" w:name="_Toc1342"/>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22.投标无效</w:t>
      </w:r>
      <w:bookmarkEnd w:id="93"/>
    </w:p>
    <w:p w14:paraId="57D6F60C">
      <w:pPr>
        <w:pStyle w:val="8"/>
        <w:spacing w:before="139" w:line="220" w:lineRule="auto"/>
        <w:ind w:left="714" w:hanging="714" w:hangingChars="30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22.1在比较与评价之前，根据本须知的规定，评</w:t>
      </w:r>
      <w:r>
        <w:rPr>
          <w:rFonts w:hint="eastAsia" w:ascii="仿宋" w:hAnsi="仿宋" w:eastAsia="仿宋" w:cs="仿宋"/>
          <w:color w:val="auto"/>
          <w:spacing w:val="-2"/>
          <w:sz w:val="24"/>
          <w:szCs w:val="24"/>
          <w:highlight w:val="none"/>
        </w:rPr>
        <w:t>标委员会要审查每份投标文</w:t>
      </w:r>
      <w:r>
        <w:rPr>
          <w:rFonts w:hint="eastAsia" w:ascii="仿宋" w:hAnsi="仿宋" w:eastAsia="仿宋" w:cs="仿宋"/>
          <w:color w:val="auto"/>
          <w:spacing w:val="-1"/>
          <w:sz w:val="24"/>
          <w:szCs w:val="24"/>
          <w:highlight w:val="none"/>
        </w:rPr>
        <w:t>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评标委员会决定投标的响应性只根据招标文件要求、投标文件内容及财政主管部门指定相关信息发布媒体。</w:t>
      </w:r>
    </w:p>
    <w:p w14:paraId="67A2ADBB">
      <w:pPr>
        <w:pStyle w:val="8"/>
        <w:spacing w:before="153" w:line="442" w:lineRule="exact"/>
        <w:ind w:left="750" w:hanging="750" w:hangingChars="300"/>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5"/>
          <w:position w:val="14"/>
          <w:sz w:val="24"/>
          <w:szCs w:val="24"/>
          <w:highlight w:val="none"/>
        </w:rPr>
        <w:t>22.2</w:t>
      </w:r>
      <w:r>
        <w:rPr>
          <w:rFonts w:hint="eastAsia" w:ascii="仿宋" w:hAnsi="仿宋" w:eastAsia="仿宋" w:cs="仿宋"/>
          <w:color w:val="auto"/>
          <w:spacing w:val="-2"/>
          <w:position w:val="14"/>
          <w:sz w:val="24"/>
          <w:szCs w:val="24"/>
          <w:highlight w:val="none"/>
        </w:rPr>
        <w:t>如发现下列情况之一的，其投标将被认定为投标无效：（以下情形应当在招标文件中规定，并以醒目的方式标明）</w:t>
      </w:r>
    </w:p>
    <w:p w14:paraId="3684CC57">
      <w:pPr>
        <w:pStyle w:val="8"/>
        <w:spacing w:before="156" w:line="439" w:lineRule="exact"/>
        <w:ind w:left="963"/>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（1）未按招标文件规定的形式和金额提交投标保证金的；</w:t>
      </w:r>
    </w:p>
    <w:p w14:paraId="046EE98E">
      <w:pPr>
        <w:pStyle w:val="8"/>
        <w:spacing w:line="225" w:lineRule="auto"/>
        <w:ind w:left="96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（2）未按照招标文件规定要求签署、盖章的；</w:t>
      </w:r>
    </w:p>
    <w:p w14:paraId="70B5113D">
      <w:pPr>
        <w:pStyle w:val="8"/>
        <w:spacing w:before="147" w:line="224" w:lineRule="auto"/>
        <w:ind w:left="96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（3）未满足招标文件中技术条款的实质性要求；</w:t>
      </w:r>
    </w:p>
    <w:p w14:paraId="70F8DAB8">
      <w:pPr>
        <w:pStyle w:val="8"/>
        <w:spacing w:before="150" w:line="439" w:lineRule="exact"/>
        <w:ind w:left="963"/>
        <w:rPr>
          <w:rFonts w:hint="eastAsia" w:ascii="仿宋" w:hAnsi="仿宋" w:eastAsia="仿宋" w:cs="仿宋"/>
          <w:color w:val="auto"/>
          <w:sz w:val="24"/>
          <w:szCs w:val="24"/>
          <w:highlight w:val="none"/>
        </w:rPr>
      </w:pPr>
      <w:r>
        <w:rPr>
          <w:rFonts w:hint="eastAsia" w:ascii="仿宋" w:hAnsi="仿宋" w:eastAsia="仿宋" w:cs="仿宋"/>
          <w:color w:val="auto"/>
          <w:spacing w:val="-2"/>
          <w:position w:val="15"/>
          <w:sz w:val="24"/>
          <w:szCs w:val="24"/>
          <w:highlight w:val="none"/>
        </w:rPr>
        <w:t>（4）与其他投标人串通投标，或者与招标人串通投标；</w:t>
      </w:r>
    </w:p>
    <w:p w14:paraId="2740B28B">
      <w:pPr>
        <w:pStyle w:val="8"/>
        <w:spacing w:line="225" w:lineRule="auto"/>
        <w:ind w:left="96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（5）属于招标文件规定的其他</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1"/>
          <w:sz w:val="24"/>
          <w:szCs w:val="24"/>
          <w:highlight w:val="none"/>
        </w:rPr>
        <w:t>情</w:t>
      </w:r>
      <w:r>
        <w:rPr>
          <w:rFonts w:hint="eastAsia" w:ascii="仿宋" w:hAnsi="仿宋" w:eastAsia="仿宋" w:cs="仿宋"/>
          <w:color w:val="auto"/>
          <w:spacing w:val="-2"/>
          <w:sz w:val="24"/>
          <w:szCs w:val="24"/>
          <w:highlight w:val="none"/>
        </w:rPr>
        <w:t>形；</w:t>
      </w:r>
    </w:p>
    <w:p w14:paraId="4092E896">
      <w:pPr>
        <w:pStyle w:val="8"/>
        <w:spacing w:before="146" w:line="339" w:lineRule="auto"/>
        <w:ind w:left="1131" w:right="125" w:hanging="168"/>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（6）评标委员会认为投标人的报价明显低于其他通过符合性检查投</w:t>
      </w:r>
      <w:r>
        <w:rPr>
          <w:rFonts w:hint="eastAsia" w:ascii="仿宋" w:hAnsi="仿宋" w:eastAsia="仿宋" w:cs="仿宋"/>
          <w:color w:val="auto"/>
          <w:spacing w:val="-3"/>
          <w:sz w:val="24"/>
          <w:szCs w:val="24"/>
          <w:highlight w:val="none"/>
        </w:rPr>
        <w:t>标人的报价，有可能影响履约的，且投标人</w:t>
      </w:r>
      <w:r>
        <w:rPr>
          <w:rFonts w:hint="eastAsia" w:ascii="仿宋" w:hAnsi="仿宋" w:eastAsia="仿宋" w:cs="仿宋"/>
          <w:color w:val="auto"/>
          <w:spacing w:val="-4"/>
          <w:sz w:val="24"/>
          <w:szCs w:val="24"/>
          <w:highlight w:val="none"/>
        </w:rPr>
        <w:t>未按照规定证明其报价合</w:t>
      </w:r>
      <w:r>
        <w:rPr>
          <w:rFonts w:hint="eastAsia" w:ascii="仿宋" w:hAnsi="仿宋" w:eastAsia="仿宋" w:cs="仿宋"/>
          <w:color w:val="auto"/>
          <w:spacing w:val="-3"/>
          <w:sz w:val="24"/>
          <w:szCs w:val="24"/>
          <w:highlight w:val="none"/>
        </w:rPr>
        <w:t>理性的；</w:t>
      </w:r>
    </w:p>
    <w:p w14:paraId="2296037B">
      <w:pPr>
        <w:pStyle w:val="8"/>
        <w:spacing w:before="156" w:line="439" w:lineRule="exact"/>
        <w:ind w:left="963"/>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（7）投标文件含有采购人不能接受的附加条件的；</w:t>
      </w:r>
    </w:p>
    <w:p w14:paraId="7F3112B6">
      <w:pPr>
        <w:pStyle w:val="8"/>
        <w:spacing w:before="156" w:line="439" w:lineRule="exact"/>
        <w:ind w:left="963"/>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（8）不符合法规和招标文件中规定的其他实质性要求的。</w:t>
      </w:r>
    </w:p>
    <w:p w14:paraId="6177D1EC">
      <w:pPr>
        <w:pStyle w:val="8"/>
        <w:spacing w:before="156" w:line="439" w:lineRule="exact"/>
        <w:ind w:left="963"/>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（9）供应商提供《中小企业声明函》内容不实的,依照《中华人民共和国政府采购法》第三十六条规定,其投标将被认定为投标无效。</w:t>
      </w:r>
    </w:p>
    <w:p w14:paraId="09015B25">
      <w:pPr>
        <w:pStyle w:val="8"/>
        <w:spacing w:before="136" w:line="223" w:lineRule="auto"/>
        <w:ind w:left="23"/>
        <w:outlineLvl w:val="2"/>
        <w:rPr>
          <w:rFonts w:hint="eastAsia" w:ascii="仿宋" w:hAnsi="仿宋" w:eastAsia="仿宋" w:cs="仿宋"/>
          <w:color w:val="auto"/>
          <w:sz w:val="24"/>
          <w:szCs w:val="24"/>
          <w:highlight w:val="none"/>
        </w:rPr>
      </w:pPr>
      <w:bookmarkStart w:id="94" w:name="bookmark37"/>
      <w:bookmarkEnd w:id="94"/>
      <w:bookmarkStart w:id="95" w:name="bookmark36"/>
      <w:bookmarkEnd w:id="95"/>
      <w:bookmarkStart w:id="96" w:name="bookmark34"/>
      <w:bookmarkEnd w:id="96"/>
      <w:bookmarkStart w:id="97" w:name="bookmark38"/>
      <w:bookmarkEnd w:id="97"/>
      <w:bookmarkStart w:id="98" w:name="bookmark35"/>
      <w:bookmarkEnd w:id="98"/>
      <w:bookmarkStart w:id="99" w:name="_Toc11155"/>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23.比较与评价</w:t>
      </w:r>
      <w:bookmarkEnd w:id="99"/>
    </w:p>
    <w:p w14:paraId="0B893A52">
      <w:pPr>
        <w:pStyle w:val="8"/>
        <w:spacing w:before="149" w:line="220" w:lineRule="auto"/>
        <w:ind w:left="997" w:leftChars="10" w:hanging="976" w:hangingChars="40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23.1经符合性审查合格的投标文件，评标委员会将根据招标文件确定的评标方法和标准，对其技术部分和商务部分作进一步的比较和评价。</w:t>
      </w:r>
    </w:p>
    <w:p w14:paraId="7B240EEA">
      <w:pPr>
        <w:pStyle w:val="8"/>
        <w:spacing w:before="149" w:line="220" w:lineRule="auto"/>
        <w:ind w:left="2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23.2评标严格按照招标文件的要求和条件进行。根据实际情况，在投标人须知资料表中规定采用下列一种评标方法，详细评标标准见招标文件</w:t>
      </w:r>
    </w:p>
    <w:p w14:paraId="12A682B5">
      <w:pPr>
        <w:pStyle w:val="8"/>
        <w:spacing w:before="149" w:line="220" w:lineRule="auto"/>
        <w:ind w:left="2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（1）最低评标价法</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是指投标文件满足招标文件全部实质性要求，且投标报价最低的投标人为中标候选人的评标方法。</w:t>
      </w:r>
    </w:p>
    <w:p w14:paraId="5DDACCFC">
      <w:pPr>
        <w:pStyle w:val="8"/>
        <w:spacing w:before="149" w:line="220" w:lineRule="auto"/>
        <w:ind w:left="23"/>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lang w:val="en-US" w:eastAsia="zh-CN"/>
        </w:rPr>
        <w:t>2）</w:t>
      </w:r>
      <w:r>
        <w:rPr>
          <w:rFonts w:hint="eastAsia" w:ascii="仿宋" w:hAnsi="仿宋" w:eastAsia="仿宋" w:cs="仿宋"/>
          <w:color w:val="auto"/>
          <w:spacing w:val="2"/>
          <w:sz w:val="24"/>
          <w:szCs w:val="24"/>
          <w:highlight w:val="none"/>
        </w:rPr>
        <w:t>综合评分法，是指投标文件满足招标文件全部实质性要求，且按照评审因素的量化指标评审得分最高的投标人为中标候选人的评标方法</w:t>
      </w:r>
      <w:r>
        <w:rPr>
          <w:rFonts w:hint="eastAsia" w:ascii="仿宋" w:hAnsi="仿宋" w:eastAsia="仿宋" w:cs="仿宋"/>
          <w:color w:val="auto"/>
          <w:spacing w:val="-1"/>
          <w:sz w:val="24"/>
          <w:szCs w:val="24"/>
          <w:highlight w:val="none"/>
        </w:rPr>
        <w:t>。</w:t>
      </w:r>
      <w:r>
        <w:rPr>
          <w:rFonts w:hint="eastAsia" w:ascii="仿宋" w:hAnsi="仿宋" w:eastAsia="仿宋" w:cs="仿宋"/>
          <w:b/>
          <w:bCs/>
          <w:color w:val="auto"/>
          <w:spacing w:val="-1"/>
          <w:sz w:val="24"/>
          <w:szCs w:val="24"/>
          <w:highlight w:val="none"/>
          <w:lang w:val="en-US" w:eastAsia="zh-CN"/>
        </w:rPr>
        <w:t>本项目采用招标方式：公开招标，评分方法：综合评分法。本项目采用政采云线上电子招投标及评标。</w:t>
      </w:r>
    </w:p>
    <w:p w14:paraId="35C5C656">
      <w:pPr>
        <w:pStyle w:val="8"/>
        <w:spacing w:before="153" w:line="339" w:lineRule="auto"/>
        <w:ind w:right="126"/>
        <w:jc w:val="both"/>
        <w:rPr>
          <w:rFonts w:hint="eastAsia" w:ascii="仿宋" w:hAnsi="仿宋" w:eastAsia="仿宋" w:cs="仿宋"/>
          <w:color w:val="auto"/>
          <w:spacing w:val="-1"/>
          <w:sz w:val="24"/>
          <w:szCs w:val="24"/>
          <w:highlight w:val="none"/>
        </w:rPr>
      </w:pPr>
      <w:r>
        <w:rPr>
          <w:rFonts w:hint="eastAsia" w:ascii="仿宋" w:hAnsi="仿宋" w:eastAsia="仿宋" w:cs="仿宋"/>
          <w:snapToGrid w:val="0"/>
          <w:color w:val="auto"/>
          <w:spacing w:val="4"/>
          <w:kern w:val="0"/>
          <w:sz w:val="24"/>
          <w:szCs w:val="24"/>
          <w:highlight w:val="none"/>
          <w:lang w:val="en-US" w:eastAsia="zh-CN" w:bidi="ar-SA"/>
        </w:rPr>
        <w:t>23.3</w:t>
      </w:r>
      <w:r>
        <w:rPr>
          <w:rFonts w:hint="eastAsia" w:ascii="仿宋" w:hAnsi="仿宋" w:eastAsia="仿宋" w:cs="仿宋"/>
          <w:color w:val="auto"/>
          <w:spacing w:val="-1"/>
          <w:sz w:val="24"/>
          <w:szCs w:val="24"/>
          <w:highlight w:val="none"/>
          <w:lang w:val="en-US" w:eastAsia="zh-CN"/>
        </w:rPr>
        <w:t>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13函》或省级以上监狱管理局、戒毒管理局（含新疆生产建设兵团）出具的属于监狱企业的证明文件的投标人，其投标报价扣除10%后参与评审。具体办法详见招标文件第6章。</w:t>
      </w:r>
    </w:p>
    <w:p w14:paraId="556CDE6F">
      <w:pPr>
        <w:pStyle w:val="8"/>
        <w:spacing w:before="149" w:line="231" w:lineRule="auto"/>
        <w:ind w:left="23"/>
        <w:outlineLvl w:val="2"/>
        <w:rPr>
          <w:rFonts w:hint="eastAsia" w:ascii="仿宋" w:hAnsi="仿宋" w:eastAsia="仿宋" w:cs="仿宋"/>
          <w:color w:val="auto"/>
          <w:sz w:val="24"/>
          <w:szCs w:val="24"/>
          <w:highlight w:val="none"/>
        </w:rPr>
      </w:pPr>
      <w:bookmarkStart w:id="100" w:name="_Toc27430"/>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24.废标</w:t>
      </w:r>
      <w:bookmarkEnd w:id="100"/>
    </w:p>
    <w:p w14:paraId="7F9FBE21">
      <w:pPr>
        <w:pStyle w:val="8"/>
        <w:spacing w:before="156" w:line="439" w:lineRule="exact"/>
        <w:ind w:left="946"/>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供应商或者对招标文件做实质性响应的供应商不足三家出现下列情形之一，将导致项目废标：</w:t>
      </w:r>
    </w:p>
    <w:p w14:paraId="2F85879D">
      <w:pPr>
        <w:pStyle w:val="8"/>
        <w:spacing w:before="156" w:line="439" w:lineRule="exact"/>
        <w:ind w:left="946"/>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（1）符合专业条件的；</w:t>
      </w:r>
    </w:p>
    <w:p w14:paraId="489F7B7D">
      <w:pPr>
        <w:pStyle w:val="8"/>
        <w:spacing w:before="156" w:line="439" w:lineRule="exact"/>
        <w:ind w:left="946"/>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（2）出现影响采购公正的违法、违规行为的；</w:t>
      </w:r>
    </w:p>
    <w:p w14:paraId="3152B729">
      <w:pPr>
        <w:pStyle w:val="8"/>
        <w:spacing w:before="156" w:line="439" w:lineRule="exact"/>
        <w:ind w:left="946"/>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（3）投标人的报价均超过了采购预算，采购人不能支付的；</w:t>
      </w:r>
    </w:p>
    <w:p w14:paraId="57E82723">
      <w:pPr>
        <w:pStyle w:val="8"/>
        <w:spacing w:before="156" w:line="439" w:lineRule="exact"/>
        <w:ind w:left="946"/>
        <w:rPr>
          <w:rFonts w:hint="eastAsia" w:ascii="仿宋" w:hAnsi="仿宋" w:eastAsia="仿宋" w:cs="仿宋"/>
          <w:color w:val="auto"/>
          <w:spacing w:val="-2"/>
          <w:position w:val="14"/>
          <w:sz w:val="24"/>
          <w:szCs w:val="24"/>
          <w:highlight w:val="none"/>
        </w:rPr>
      </w:pPr>
      <w:r>
        <w:rPr>
          <w:rFonts w:hint="eastAsia" w:ascii="仿宋" w:hAnsi="仿宋" w:eastAsia="仿宋" w:cs="仿宋"/>
          <w:color w:val="auto"/>
          <w:spacing w:val="-2"/>
          <w:position w:val="14"/>
          <w:sz w:val="24"/>
          <w:szCs w:val="24"/>
          <w:highlight w:val="none"/>
        </w:rPr>
        <w:t>（4）因重大变故，采购任务取消的。</w:t>
      </w:r>
      <w:bookmarkStart w:id="101" w:name="bookmark41"/>
      <w:bookmarkEnd w:id="101"/>
      <w:bookmarkStart w:id="102" w:name="bookmark43"/>
      <w:bookmarkEnd w:id="102"/>
      <w:bookmarkStart w:id="103" w:name="bookmark42"/>
      <w:bookmarkEnd w:id="103"/>
      <w:bookmarkStart w:id="104" w:name="bookmark39"/>
      <w:bookmarkEnd w:id="104"/>
      <w:bookmarkStart w:id="105" w:name="bookmark40"/>
      <w:bookmarkEnd w:id="105"/>
    </w:p>
    <w:p w14:paraId="78D94A4E">
      <w:pPr>
        <w:pStyle w:val="8"/>
        <w:spacing w:before="156" w:line="226" w:lineRule="auto"/>
        <w:ind w:left="23"/>
        <w:outlineLvl w:val="2"/>
        <w:rPr>
          <w:rFonts w:hint="eastAsia" w:ascii="仿宋" w:hAnsi="仿宋" w:eastAsia="仿宋" w:cs="仿宋"/>
          <w:color w:val="auto"/>
          <w:sz w:val="24"/>
          <w:szCs w:val="24"/>
          <w:highlight w:val="none"/>
        </w:rPr>
      </w:pPr>
      <w:bookmarkStart w:id="106" w:name="_Toc31725"/>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25.保密原则</w:t>
      </w:r>
      <w:bookmarkEnd w:id="106"/>
    </w:p>
    <w:p w14:paraId="4D2492E8">
      <w:pPr>
        <w:pStyle w:val="8"/>
        <w:spacing w:before="145" w:line="223" w:lineRule="auto"/>
        <w:ind w:left="23"/>
        <w:outlineLvl w:val="1"/>
        <w:rPr>
          <w:rFonts w:hint="eastAsia" w:ascii="仿宋" w:hAnsi="仿宋" w:eastAsia="仿宋" w:cs="仿宋"/>
          <w:color w:val="auto"/>
          <w:sz w:val="24"/>
          <w:szCs w:val="24"/>
          <w:highlight w:val="none"/>
        </w:rPr>
      </w:pPr>
      <w:bookmarkStart w:id="107" w:name="_Toc25991"/>
      <w:r>
        <w:rPr>
          <w:rFonts w:hint="eastAsia" w:ascii="仿宋" w:hAnsi="仿宋" w:eastAsia="仿宋" w:cs="仿宋"/>
          <w:color w:val="auto"/>
          <w:spacing w:val="-1"/>
          <w:sz w:val="24"/>
          <w:szCs w:val="24"/>
          <w:highlight w:val="none"/>
        </w:rPr>
        <w:t>25.1评标将在严格保密的情况下进行。</w:t>
      </w:r>
      <w:bookmarkEnd w:id="107"/>
    </w:p>
    <w:p w14:paraId="6B9D29A1">
      <w:pPr>
        <w:pStyle w:val="8"/>
        <w:spacing w:before="149" w:line="220" w:lineRule="auto"/>
        <w:ind w:left="1013" w:leftChars="10" w:hanging="992" w:hangingChars="4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25.2政府采购评审专家应当遵守评审工作纪律，不得泄露评审文件、评审情况和评审中获</w:t>
      </w:r>
    </w:p>
    <w:p w14:paraId="689D7C31">
      <w:pPr>
        <w:pStyle w:val="8"/>
        <w:spacing w:before="149" w:line="220" w:lineRule="auto"/>
        <w:ind w:left="1013" w:leftChars="10" w:hanging="992" w:hangingChars="4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悉的商业秘密。</w:t>
      </w:r>
    </w:p>
    <w:p w14:paraId="3CF31595">
      <w:pPr>
        <w:pStyle w:val="8"/>
        <w:spacing w:before="149" w:line="220" w:lineRule="auto"/>
        <w:ind w:left="23"/>
        <w:rPr>
          <w:rFonts w:hint="eastAsia" w:ascii="仿宋" w:hAnsi="仿宋" w:eastAsia="仿宋" w:cs="仿宋"/>
          <w:color w:val="auto"/>
          <w:spacing w:val="4"/>
          <w:sz w:val="24"/>
          <w:szCs w:val="24"/>
          <w:highlight w:val="none"/>
        </w:rPr>
        <w:sectPr>
          <w:footerReference r:id="rId12" w:type="default"/>
          <w:pgSz w:w="11905" w:h="16838"/>
          <w:pgMar w:top="1440" w:right="1083" w:bottom="1440" w:left="1083" w:header="0" w:footer="1225" w:gutter="0"/>
          <w:pgNumType w:fmt="decimal"/>
          <w:cols w:space="0" w:num="1"/>
          <w:rtlGutter w:val="0"/>
          <w:docGrid w:linePitch="0" w:charSpace="0"/>
        </w:sectPr>
      </w:pPr>
    </w:p>
    <w:p w14:paraId="2B60F5F0">
      <w:pPr>
        <w:pStyle w:val="8"/>
        <w:spacing w:before="74" w:line="231" w:lineRule="auto"/>
        <w:jc w:val="center"/>
        <w:outlineLvl w:val="2"/>
        <w:rPr>
          <w:rFonts w:hint="eastAsia" w:ascii="仿宋" w:hAnsi="仿宋" w:eastAsia="仿宋" w:cs="仿宋"/>
          <w:color w:val="auto"/>
          <w:sz w:val="35"/>
          <w:szCs w:val="35"/>
          <w:highlight w:val="none"/>
        </w:rPr>
      </w:pPr>
      <w:bookmarkStart w:id="108" w:name="_Toc30104"/>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六确定中标</w:t>
      </w:r>
      <w:bookmarkEnd w:id="108"/>
    </w:p>
    <w:p w14:paraId="7E2A3FE8">
      <w:pPr>
        <w:pStyle w:val="8"/>
        <w:spacing w:before="107" w:line="225" w:lineRule="auto"/>
        <w:ind w:left="23"/>
        <w:outlineLvl w:val="2"/>
        <w:rPr>
          <w:rFonts w:hint="eastAsia" w:ascii="仿宋" w:hAnsi="仿宋" w:eastAsia="仿宋" w:cs="仿宋"/>
          <w:color w:val="auto"/>
          <w:sz w:val="24"/>
          <w:szCs w:val="24"/>
          <w:highlight w:val="none"/>
        </w:rPr>
      </w:pPr>
      <w:bookmarkStart w:id="109" w:name="_Toc15544"/>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26.中标候选人的确定原则及标准</w:t>
      </w:r>
      <w:bookmarkEnd w:id="109"/>
    </w:p>
    <w:p w14:paraId="2153252C">
      <w:pPr>
        <w:pStyle w:val="8"/>
        <w:spacing w:before="146" w:line="442" w:lineRule="exact"/>
        <w:ind w:left="931"/>
        <w:rPr>
          <w:rFonts w:hint="eastAsia" w:ascii="仿宋" w:hAnsi="仿宋" w:eastAsia="仿宋" w:cs="仿宋"/>
          <w:color w:val="auto"/>
          <w:spacing w:val="-2"/>
          <w:position w:val="15"/>
          <w:sz w:val="24"/>
          <w:szCs w:val="24"/>
          <w:highlight w:val="none"/>
        </w:rPr>
      </w:pPr>
      <w:r>
        <w:rPr>
          <w:rFonts w:hint="eastAsia" w:ascii="仿宋" w:hAnsi="仿宋" w:eastAsia="仿宋" w:cs="仿宋"/>
          <w:color w:val="auto"/>
          <w:spacing w:val="-2"/>
          <w:position w:val="15"/>
          <w:sz w:val="24"/>
          <w:szCs w:val="24"/>
          <w:highlight w:val="none"/>
        </w:rPr>
        <w:t>除第28条规定外，对实质上响应招标文件的投标人按下列方法进行排序，确定投标候选人：</w:t>
      </w:r>
    </w:p>
    <w:p w14:paraId="19D042F2">
      <w:pPr>
        <w:pStyle w:val="8"/>
        <w:spacing w:before="154" w:line="338" w:lineRule="auto"/>
        <w:ind w:left="929" w:right="126" w:firstLine="1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（1）采用最低评标价法的，除了算术修正和落实政府采购政策需进行</w:t>
      </w:r>
      <w:r>
        <w:rPr>
          <w:rFonts w:hint="eastAsia" w:ascii="仿宋" w:hAnsi="仿宋" w:eastAsia="仿宋" w:cs="仿宋"/>
          <w:color w:val="auto"/>
          <w:spacing w:val="2"/>
          <w:sz w:val="24"/>
          <w:szCs w:val="24"/>
          <w:highlight w:val="none"/>
        </w:rPr>
        <w:t>的价格扣除外，不对投标人的投标价格进行任何调整。评标结果按修正和扣除后的投标报价由低到高顺序排列。报价相同的处理方式详见</w:t>
      </w:r>
      <w:r>
        <w:rPr>
          <w:rFonts w:hint="eastAsia" w:ascii="仿宋" w:hAnsi="仿宋" w:eastAsia="仿宋" w:cs="仿宋"/>
          <w:color w:val="auto"/>
          <w:spacing w:val="-4"/>
          <w:sz w:val="24"/>
          <w:szCs w:val="24"/>
          <w:highlight w:val="none"/>
        </w:rPr>
        <w:t>招标文件第6章。</w:t>
      </w:r>
    </w:p>
    <w:p w14:paraId="62833A34">
      <w:pPr>
        <w:pStyle w:val="8"/>
        <w:spacing w:before="147" w:line="339" w:lineRule="auto"/>
        <w:ind w:left="927" w:right="126" w:firstLine="2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（2）采用综合评分法的，评标结果按评审后得分由高到低顺序排列。</w:t>
      </w:r>
      <w:r>
        <w:rPr>
          <w:rFonts w:hint="eastAsia" w:ascii="仿宋" w:hAnsi="仿宋" w:eastAsia="仿宋" w:cs="仿宋"/>
          <w:color w:val="auto"/>
          <w:spacing w:val="3"/>
          <w:sz w:val="24"/>
          <w:szCs w:val="24"/>
          <w:highlight w:val="none"/>
        </w:rPr>
        <w:t>得分相同的，按修正和扣除后的投标报价由</w:t>
      </w:r>
      <w:r>
        <w:rPr>
          <w:rFonts w:hint="eastAsia" w:ascii="仿宋" w:hAnsi="仿宋" w:eastAsia="仿宋" w:cs="仿宋"/>
          <w:color w:val="auto"/>
          <w:spacing w:val="2"/>
          <w:sz w:val="24"/>
          <w:szCs w:val="24"/>
          <w:highlight w:val="none"/>
        </w:rPr>
        <w:t>低到高顺序排列。得分与</w:t>
      </w:r>
      <w:r>
        <w:rPr>
          <w:rFonts w:hint="eastAsia" w:ascii="仿宋" w:hAnsi="仿宋" w:eastAsia="仿宋" w:cs="仿宋"/>
          <w:color w:val="auto"/>
          <w:spacing w:val="-2"/>
          <w:sz w:val="24"/>
          <w:szCs w:val="24"/>
          <w:highlight w:val="none"/>
        </w:rPr>
        <w:t>投标报价均相同的处理方式详见招标文件第6章。</w:t>
      </w:r>
    </w:p>
    <w:p w14:paraId="06E07AB2">
      <w:pPr>
        <w:pStyle w:val="8"/>
        <w:spacing w:before="150" w:line="225" w:lineRule="auto"/>
        <w:ind w:left="23"/>
        <w:outlineLvl w:val="2"/>
        <w:rPr>
          <w:rFonts w:hint="eastAsia" w:ascii="仿宋" w:hAnsi="仿宋" w:eastAsia="仿宋" w:cs="仿宋"/>
          <w:color w:val="auto"/>
          <w:sz w:val="24"/>
          <w:szCs w:val="24"/>
          <w:highlight w:val="none"/>
        </w:rPr>
      </w:pPr>
      <w:bookmarkStart w:id="110" w:name="_Toc10125"/>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27.确定中标候选人和中标人</w:t>
      </w:r>
      <w:bookmarkEnd w:id="110"/>
    </w:p>
    <w:p w14:paraId="4B2D8281">
      <w:pPr>
        <w:pStyle w:val="8"/>
        <w:spacing w:before="148" w:line="338" w:lineRule="auto"/>
        <w:ind w:left="927"/>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评标委员会将根据评标标准，按投标人须知资料表中规定数量推荐中标候选人；或根据采购人的委托，直接确定中标人。</w:t>
      </w:r>
    </w:p>
    <w:p w14:paraId="357A9339">
      <w:pPr>
        <w:pStyle w:val="8"/>
        <w:spacing w:before="153" w:line="225" w:lineRule="auto"/>
        <w:ind w:left="23"/>
        <w:outlineLvl w:val="2"/>
        <w:rPr>
          <w:rFonts w:hint="eastAsia" w:ascii="仿宋" w:hAnsi="仿宋" w:eastAsia="仿宋" w:cs="仿宋"/>
          <w:color w:val="auto"/>
          <w:sz w:val="24"/>
          <w:szCs w:val="24"/>
          <w:highlight w:val="none"/>
        </w:rPr>
      </w:pPr>
      <w:bookmarkStart w:id="111" w:name="_Toc29665"/>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28.采购任务取消</w:t>
      </w:r>
      <w:bookmarkEnd w:id="111"/>
    </w:p>
    <w:p w14:paraId="5D258E49">
      <w:pPr>
        <w:pStyle w:val="8"/>
        <w:spacing w:before="149" w:line="439" w:lineRule="exact"/>
        <w:rPr>
          <w:rFonts w:hint="eastAsia" w:ascii="仿宋" w:hAnsi="仿宋" w:eastAsia="仿宋" w:cs="仿宋"/>
          <w:color w:val="auto"/>
          <w:spacing w:val="2"/>
          <w:position w:val="15"/>
          <w:sz w:val="24"/>
          <w:szCs w:val="24"/>
          <w:highlight w:val="none"/>
        </w:rPr>
      </w:pPr>
      <w:r>
        <w:rPr>
          <w:rFonts w:hint="eastAsia" w:ascii="仿宋" w:hAnsi="仿宋" w:eastAsia="仿宋" w:cs="仿宋"/>
          <w:color w:val="auto"/>
          <w:spacing w:val="2"/>
          <w:position w:val="15"/>
          <w:sz w:val="24"/>
          <w:szCs w:val="24"/>
          <w:highlight w:val="none"/>
        </w:rPr>
        <w:t>因重大变故采购任务取消时，采购人有权拒绝任何投标人中标，且对受影响的投标人不承担任何责任。</w:t>
      </w:r>
    </w:p>
    <w:p w14:paraId="68FF9470">
      <w:pPr>
        <w:pStyle w:val="8"/>
        <w:spacing w:before="150" w:line="224" w:lineRule="auto"/>
        <w:ind w:left="23"/>
        <w:outlineLvl w:val="2"/>
        <w:rPr>
          <w:rFonts w:hint="eastAsia" w:ascii="仿宋" w:hAnsi="仿宋" w:eastAsia="仿宋" w:cs="仿宋"/>
          <w:color w:val="auto"/>
          <w:sz w:val="24"/>
          <w:szCs w:val="24"/>
          <w:highlight w:val="none"/>
        </w:rPr>
      </w:pPr>
      <w:bookmarkStart w:id="112" w:name="_Toc16415"/>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29.中标通知书和招标结果通知书</w:t>
      </w:r>
      <w:bookmarkEnd w:id="112"/>
    </w:p>
    <w:p w14:paraId="0529F7EC">
      <w:pPr>
        <w:pStyle w:val="8"/>
        <w:spacing w:before="150" w:line="220" w:lineRule="auto"/>
        <w:ind w:left="765" w:leftChars="10" w:hanging="744" w:hangingChars="3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29.1在投标有效期内，中标人确定后，采购人或者采购代理机构发布中标公告，同时以书</w:t>
      </w:r>
    </w:p>
    <w:p w14:paraId="0C52E99C">
      <w:pPr>
        <w:pStyle w:val="8"/>
        <w:spacing w:before="150" w:line="220" w:lineRule="auto"/>
        <w:ind w:left="765" w:leftChars="10" w:hanging="744" w:hangingChars="3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面形式向中标人发出中标通知书。</w:t>
      </w:r>
    </w:p>
    <w:p w14:paraId="4CFD3C30">
      <w:pPr>
        <w:pStyle w:val="8"/>
        <w:spacing w:before="150" w:line="220" w:lineRule="auto"/>
        <w:ind w:left="23"/>
        <w:outlineLvl w:val="1"/>
        <w:rPr>
          <w:rFonts w:hint="eastAsia" w:ascii="仿宋" w:hAnsi="仿宋" w:eastAsia="仿宋" w:cs="仿宋"/>
          <w:color w:val="auto"/>
          <w:spacing w:val="4"/>
          <w:sz w:val="24"/>
          <w:szCs w:val="24"/>
          <w:highlight w:val="none"/>
        </w:rPr>
      </w:pPr>
      <w:bookmarkStart w:id="113" w:name="_Toc167"/>
      <w:r>
        <w:rPr>
          <w:rFonts w:hint="eastAsia" w:ascii="仿宋" w:hAnsi="仿宋" w:eastAsia="仿宋" w:cs="仿宋"/>
          <w:color w:val="auto"/>
          <w:spacing w:val="4"/>
          <w:sz w:val="24"/>
          <w:szCs w:val="24"/>
          <w:highlight w:val="none"/>
        </w:rPr>
        <w:t>29.2中标通知书是合同的组成部分。</w:t>
      </w:r>
      <w:bookmarkEnd w:id="113"/>
    </w:p>
    <w:p w14:paraId="0198EFE1">
      <w:pPr>
        <w:pStyle w:val="8"/>
        <w:spacing w:before="150" w:line="220" w:lineRule="auto"/>
        <w:ind w:left="765" w:leftChars="10" w:hanging="744" w:hangingChars="3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29.3招标结果通知书和中标通知书同时发出。招标结果通知书中将告知未通过资格审查的</w:t>
      </w:r>
    </w:p>
    <w:p w14:paraId="13ACC0DA">
      <w:pPr>
        <w:pStyle w:val="8"/>
        <w:spacing w:before="150" w:line="220" w:lineRule="auto"/>
        <w:ind w:left="765" w:leftChars="10" w:hanging="744" w:hangingChars="3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投标人未通过的原因；采用综合评分法评审的，还将告知未中标人本人的评审得分和排序</w:t>
      </w:r>
    </w:p>
    <w:p w14:paraId="4D79FF65">
      <w:pPr>
        <w:pStyle w:val="8"/>
        <w:spacing w:before="150" w:line="220" w:lineRule="auto"/>
        <w:ind w:left="765" w:leftChars="10" w:hanging="744" w:hangingChars="3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w:t>
      </w:r>
    </w:p>
    <w:p w14:paraId="2EE4665D">
      <w:pPr>
        <w:pStyle w:val="8"/>
        <w:spacing w:before="150" w:line="220" w:lineRule="auto"/>
        <w:ind w:left="23"/>
        <w:outlineLvl w:val="2"/>
        <w:rPr>
          <w:rFonts w:hint="eastAsia" w:ascii="仿宋" w:hAnsi="仿宋" w:eastAsia="仿宋" w:cs="仿宋"/>
          <w:color w:val="auto"/>
          <w:spacing w:val="4"/>
          <w:sz w:val="24"/>
          <w:szCs w:val="24"/>
          <w:highlight w:val="none"/>
        </w:rPr>
      </w:pPr>
      <w:bookmarkStart w:id="114" w:name="_Toc25716"/>
      <w:r>
        <w:rPr>
          <w:rFonts w:hint="eastAsia" w:ascii="仿宋" w:hAnsi="仿宋" w:eastAsia="仿宋" w:cs="仿宋"/>
          <w:color w:val="auto"/>
          <w:spacing w:val="4"/>
          <w:sz w:val="24"/>
          <w:szCs w:val="24"/>
          <w:highlight w:val="none"/>
        </w:rPr>
        <w:t>30.签订合同</w:t>
      </w:r>
      <w:bookmarkEnd w:id="114"/>
    </w:p>
    <w:p w14:paraId="4ECBEF35">
      <w:pPr>
        <w:pStyle w:val="8"/>
        <w:spacing w:before="150" w:line="220"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30.1中标人应当自发出中标通知书之日起30日</w:t>
      </w:r>
      <w:r>
        <w:rPr>
          <w:rFonts w:hint="eastAsia" w:ascii="仿宋" w:hAnsi="仿宋" w:eastAsia="仿宋" w:cs="仿宋"/>
          <w:color w:val="auto"/>
          <w:spacing w:val="-4"/>
          <w:sz w:val="24"/>
          <w:szCs w:val="24"/>
          <w:highlight w:val="none"/>
        </w:rPr>
        <w:t>内，与采购人签订合同。</w:t>
      </w:r>
    </w:p>
    <w:p w14:paraId="57BA318B">
      <w:pPr>
        <w:pStyle w:val="8"/>
        <w:spacing w:before="153" w:line="220"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30.2招标文件、中标人的投标文件及其澄清文件等，均为签订合同的依据。</w:t>
      </w:r>
    </w:p>
    <w:p w14:paraId="11848A92">
      <w:pPr>
        <w:pStyle w:val="8"/>
        <w:spacing w:before="156" w:line="220" w:lineRule="auto"/>
        <w:ind w:left="959" w:leftChars="11" w:hanging="936" w:hangingChars="40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30.3中标人拒绝与采购人签订合同的，采购人可以按照评审报告推荐的中标候选人名单排序，</w:t>
      </w:r>
    </w:p>
    <w:p w14:paraId="0AFA290A">
      <w:pPr>
        <w:pStyle w:val="8"/>
        <w:spacing w:before="156" w:line="220" w:lineRule="auto"/>
        <w:ind w:left="959" w:leftChars="11" w:hanging="936" w:hangingChars="40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确定下一中标候选人为中标人，也可以重新开展政府采购活动。</w:t>
      </w:r>
    </w:p>
    <w:p w14:paraId="4E685F79">
      <w:pPr>
        <w:pStyle w:val="8"/>
        <w:spacing w:before="147" w:line="220" w:lineRule="auto"/>
        <w:ind w:left="25"/>
        <w:rPr>
          <w:rFonts w:hint="eastAsia" w:ascii="仿宋" w:hAnsi="仿宋" w:eastAsia="仿宋" w:cs="仿宋"/>
          <w:color w:val="auto"/>
          <w:spacing w:val="-3"/>
          <w:sz w:val="24"/>
          <w:szCs w:val="24"/>
          <w:highlight w:val="none"/>
        </w:rPr>
        <w:sectPr>
          <w:footerReference r:id="rId13" w:type="default"/>
          <w:pgSz w:w="11905" w:h="16838"/>
          <w:pgMar w:top="1440" w:right="1083" w:bottom="1440" w:left="1083" w:header="0" w:footer="1225" w:gutter="0"/>
          <w:pgNumType w:fmt="decimal"/>
          <w:cols w:space="0" w:num="1"/>
          <w:rtlGutter w:val="0"/>
          <w:docGrid w:linePitch="0" w:charSpace="0"/>
        </w:sectPr>
      </w:pPr>
      <w:r>
        <w:rPr>
          <w:rFonts w:hint="eastAsia" w:ascii="仿宋" w:hAnsi="仿宋" w:eastAsia="仿宋" w:cs="仿宋"/>
          <w:color w:val="auto"/>
          <w:spacing w:val="-3"/>
          <w:sz w:val="24"/>
          <w:szCs w:val="24"/>
          <w:highlight w:val="none"/>
        </w:rPr>
        <w:t>30.4当出现法规规定的</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中标无效或中标结果无效</w:t>
      </w:r>
      <w:r>
        <w:rPr>
          <w:rFonts w:hint="eastAsia" w:ascii="仿宋" w:hAnsi="仿宋" w:eastAsia="仿宋" w:cs="仿宋"/>
          <w:color w:val="auto"/>
          <w:spacing w:val="-3"/>
          <w:sz w:val="24"/>
          <w:szCs w:val="24"/>
          <w:highlight w:val="none"/>
        </w:rPr>
        <w:t>情形时，采购人可与排名下</w:t>
      </w:r>
    </w:p>
    <w:p w14:paraId="649AA905">
      <w:pPr>
        <w:pStyle w:val="8"/>
        <w:spacing w:before="147" w:line="220" w:lineRule="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一位的中标候选人另行签订合同，或依法重新开展采购活动</w:t>
      </w:r>
      <w:r>
        <w:rPr>
          <w:rFonts w:hint="eastAsia" w:ascii="仿宋" w:hAnsi="仿宋" w:eastAsia="仿宋" w:cs="仿宋"/>
          <w:color w:val="auto"/>
          <w:spacing w:val="-1"/>
          <w:sz w:val="24"/>
          <w:szCs w:val="24"/>
          <w:highlight w:val="none"/>
        </w:rPr>
        <w:t>。</w:t>
      </w:r>
    </w:p>
    <w:p w14:paraId="2B8E1C57">
      <w:pPr>
        <w:pStyle w:val="8"/>
        <w:spacing w:before="152" w:line="227" w:lineRule="auto"/>
        <w:ind w:left="25"/>
        <w:outlineLvl w:val="2"/>
        <w:rPr>
          <w:rFonts w:hint="eastAsia" w:ascii="仿宋" w:hAnsi="仿宋" w:eastAsia="仿宋" w:cs="仿宋"/>
          <w:color w:val="auto"/>
          <w:sz w:val="24"/>
          <w:szCs w:val="24"/>
          <w:highlight w:val="none"/>
        </w:rPr>
      </w:pPr>
      <w:bookmarkStart w:id="115" w:name="_Toc18764"/>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31.履约保证金</w:t>
      </w:r>
      <w:bookmarkEnd w:id="115"/>
    </w:p>
    <w:p w14:paraId="2B10EDFA">
      <w:pPr>
        <w:pStyle w:val="8"/>
        <w:spacing w:before="144" w:line="225" w:lineRule="auto"/>
        <w:ind w:left="25"/>
        <w:outlineLvl w:val="1"/>
        <w:rPr>
          <w:rFonts w:hint="eastAsia" w:ascii="仿宋" w:hAnsi="仿宋" w:eastAsia="仿宋" w:cs="仿宋"/>
          <w:color w:val="auto"/>
          <w:sz w:val="24"/>
          <w:szCs w:val="24"/>
          <w:highlight w:val="none"/>
        </w:rPr>
      </w:pPr>
      <w:bookmarkStart w:id="116" w:name="_Toc10421"/>
      <w:r>
        <w:rPr>
          <w:rFonts w:hint="eastAsia" w:ascii="仿宋" w:hAnsi="仿宋" w:eastAsia="仿宋" w:cs="仿宋"/>
          <w:color w:val="auto"/>
          <w:spacing w:val="1"/>
          <w:sz w:val="24"/>
          <w:szCs w:val="24"/>
          <w:highlight w:val="none"/>
        </w:rPr>
        <w:t>31.1中标人应按照</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规定向采购人缴纳履约保证金（如采</w:t>
      </w:r>
      <w:bookmarkEnd w:id="116"/>
    </w:p>
    <w:p w14:paraId="19CBDD15">
      <w:pPr>
        <w:pStyle w:val="8"/>
        <w:spacing w:before="149" w:line="220" w:lineRule="auto"/>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用保函形式，格式见本章附件1）。</w:t>
      </w:r>
    </w:p>
    <w:p w14:paraId="3EF2BF2A">
      <w:pPr>
        <w:pStyle w:val="8"/>
        <w:spacing w:before="153" w:line="220" w:lineRule="auto"/>
        <w:ind w:left="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31.2政府采购利用担保试点范围内的项目，除31.1规定的情形外，中标人</w:t>
      </w:r>
    </w:p>
    <w:p w14:paraId="5ACDFD75">
      <w:pPr>
        <w:pStyle w:val="8"/>
        <w:spacing w:before="153" w:line="220" w:lineRule="auto"/>
        <w:ind w:left="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也可以按照财政部门的规定，向采购人提供合格的履约担保函（格式见本章附件2）。</w:t>
      </w:r>
    </w:p>
    <w:p w14:paraId="27A901E7">
      <w:pPr>
        <w:pStyle w:val="8"/>
        <w:spacing w:before="153" w:line="220" w:lineRule="auto"/>
        <w:ind w:left="25"/>
        <w:rPr>
          <w:rFonts w:hint="eastAsia" w:ascii="仿宋" w:hAnsi="仿宋" w:eastAsia="仿宋" w:cs="仿宋"/>
          <w:color w:val="auto"/>
          <w:spacing w:val="-2"/>
          <w:sz w:val="24"/>
          <w:szCs w:val="24"/>
          <w:highlight w:val="none"/>
        </w:rPr>
      </w:pPr>
      <w:bookmarkStart w:id="117" w:name="_Toc25755"/>
      <w:r>
        <w:rPr>
          <w:rFonts w:hint="eastAsia" w:ascii="仿宋" w:hAnsi="仿宋" w:eastAsia="仿宋" w:cs="仿宋"/>
          <w:color w:val="auto"/>
          <w:spacing w:val="-2"/>
          <w:sz w:val="24"/>
          <w:szCs w:val="24"/>
          <w:highlight w:val="none"/>
        </w:rPr>
        <w:t>31.3如果中标人没有按照上述履约保证金的规定执行，将视为放弃中标资</w:t>
      </w:r>
      <w:bookmarkEnd w:id="117"/>
      <w:r>
        <w:rPr>
          <w:rFonts w:hint="eastAsia" w:ascii="仿宋" w:hAnsi="仿宋" w:eastAsia="仿宋" w:cs="仿宋"/>
          <w:color w:val="auto"/>
          <w:spacing w:val="-2"/>
          <w:sz w:val="24"/>
          <w:szCs w:val="24"/>
          <w:highlight w:val="none"/>
        </w:rPr>
        <w:t>格，中标人的投标保证金将不予退还。在此情况下，采购人可确定下一候选人为中标人，也可以重新开展采购活动。</w:t>
      </w:r>
    </w:p>
    <w:p w14:paraId="33CA34BC">
      <w:pPr>
        <w:pStyle w:val="8"/>
        <w:spacing w:before="153" w:line="225" w:lineRule="auto"/>
        <w:ind w:left="25"/>
        <w:outlineLvl w:val="2"/>
        <w:rPr>
          <w:rFonts w:hint="eastAsia" w:ascii="仿宋" w:hAnsi="仿宋" w:eastAsia="仿宋" w:cs="仿宋"/>
          <w:color w:val="auto"/>
          <w:sz w:val="24"/>
          <w:szCs w:val="24"/>
          <w:highlight w:val="none"/>
        </w:rPr>
      </w:pPr>
      <w:bookmarkStart w:id="118" w:name="_Toc22204"/>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32.中标服务费</w:t>
      </w:r>
      <w:bookmarkEnd w:id="118"/>
    </w:p>
    <w:p w14:paraId="0CAF4C73">
      <w:pPr>
        <w:pStyle w:val="8"/>
        <w:spacing w:before="147" w:line="220" w:lineRule="auto"/>
        <w:ind w:left="83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中标人须按照</w:t>
      </w:r>
      <w:r>
        <w:rPr>
          <w:rFonts w:hint="eastAsia" w:ascii="仿宋" w:hAnsi="仿宋" w:eastAsia="仿宋" w:cs="仿宋"/>
          <w:color w:val="auto"/>
          <w:spacing w:val="-1"/>
          <w:sz w:val="24"/>
          <w:szCs w:val="24"/>
          <w:highlight w:val="none"/>
          <w:u w:val="single" w:color="auto"/>
        </w:rPr>
        <w:t>投标须知资料表</w:t>
      </w:r>
      <w:r>
        <w:rPr>
          <w:rFonts w:hint="eastAsia" w:ascii="仿宋" w:hAnsi="仿宋" w:eastAsia="仿宋" w:cs="仿宋"/>
          <w:color w:val="auto"/>
          <w:spacing w:val="-1"/>
          <w:sz w:val="24"/>
          <w:szCs w:val="24"/>
          <w:highlight w:val="none"/>
        </w:rPr>
        <w:t>规定，向采购代理机构</w:t>
      </w:r>
      <w:r>
        <w:rPr>
          <w:rFonts w:hint="eastAsia" w:ascii="仿宋" w:hAnsi="仿宋" w:eastAsia="仿宋" w:cs="仿宋"/>
          <w:color w:val="auto"/>
          <w:spacing w:val="-2"/>
          <w:sz w:val="24"/>
          <w:szCs w:val="24"/>
          <w:highlight w:val="none"/>
        </w:rPr>
        <w:t>支付中标服务费。</w:t>
      </w:r>
    </w:p>
    <w:p w14:paraId="6D9CF930">
      <w:pPr>
        <w:pStyle w:val="8"/>
        <w:spacing w:before="156" w:line="227" w:lineRule="auto"/>
        <w:ind w:left="25"/>
        <w:outlineLvl w:val="2"/>
        <w:rPr>
          <w:rFonts w:hint="eastAsia" w:ascii="仿宋" w:hAnsi="仿宋" w:eastAsia="仿宋" w:cs="仿宋"/>
          <w:color w:val="auto"/>
          <w:sz w:val="24"/>
          <w:szCs w:val="24"/>
          <w:highlight w:val="none"/>
        </w:rPr>
      </w:pPr>
      <w:bookmarkStart w:id="119" w:name="_Toc12882"/>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33.政府采购信用担保</w:t>
      </w:r>
      <w:bookmarkEnd w:id="119"/>
    </w:p>
    <w:p w14:paraId="794A422F">
      <w:pPr>
        <w:pStyle w:val="8"/>
        <w:spacing w:before="144" w:line="225" w:lineRule="auto"/>
        <w:ind w:left="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33.1本项目是否属于信用担保试点范</w:t>
      </w:r>
      <w:r>
        <w:rPr>
          <w:rFonts w:hint="eastAsia" w:ascii="仿宋" w:hAnsi="仿宋" w:eastAsia="仿宋" w:cs="仿宋"/>
          <w:color w:val="auto"/>
          <w:spacing w:val="-1"/>
          <w:sz w:val="24"/>
          <w:szCs w:val="24"/>
          <w:highlight w:val="none"/>
        </w:rPr>
        <w:t>围见</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w:t>
      </w:r>
    </w:p>
    <w:p w14:paraId="51EDDBCC">
      <w:pPr>
        <w:pStyle w:val="8"/>
        <w:spacing w:before="146" w:line="220"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33.2如属于政府采购信用担保试点范围内，中小型企业投标人可以自由按照</w:t>
      </w:r>
      <w:r>
        <w:rPr>
          <w:rFonts w:hint="eastAsia" w:ascii="仿宋" w:hAnsi="仿宋" w:eastAsia="仿宋" w:cs="仿宋"/>
          <w:color w:val="auto"/>
          <w:spacing w:val="-1"/>
          <w:sz w:val="24"/>
          <w:szCs w:val="24"/>
          <w:highlight w:val="none"/>
        </w:rPr>
        <w:t>财政部门的规定，采用投标担保、履约担保和融资担保。</w:t>
      </w:r>
    </w:p>
    <w:p w14:paraId="6F6FB5A8">
      <w:pPr>
        <w:pStyle w:val="8"/>
        <w:spacing w:before="153" w:line="225" w:lineRule="auto"/>
        <w:ind w:left="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33.2.1投标人递交的投标担保函和履约担保函应</w:t>
      </w:r>
      <w:r>
        <w:rPr>
          <w:rFonts w:hint="eastAsia" w:ascii="仿宋" w:hAnsi="仿宋" w:eastAsia="仿宋" w:cs="仿宋"/>
          <w:color w:val="auto"/>
          <w:spacing w:val="-1"/>
          <w:sz w:val="24"/>
          <w:szCs w:val="24"/>
          <w:highlight w:val="none"/>
        </w:rPr>
        <w:t>符合本招标文件的规定。</w:t>
      </w:r>
    </w:p>
    <w:p w14:paraId="5E2CF3C4">
      <w:pPr>
        <w:pStyle w:val="8"/>
        <w:spacing w:before="147" w:line="225"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33.2.2中标人可以采取融资担保的形式</w:t>
      </w:r>
      <w:r>
        <w:rPr>
          <w:rFonts w:hint="eastAsia" w:ascii="仿宋" w:hAnsi="仿宋" w:eastAsia="仿宋" w:cs="仿宋"/>
          <w:color w:val="auto"/>
          <w:spacing w:val="-2"/>
          <w:sz w:val="24"/>
          <w:szCs w:val="24"/>
          <w:highlight w:val="none"/>
        </w:rPr>
        <w:t>为政府采购项目履约进行融资。</w:t>
      </w:r>
    </w:p>
    <w:p w14:paraId="53575A41">
      <w:pPr>
        <w:pStyle w:val="8"/>
        <w:spacing w:before="149" w:line="225" w:lineRule="auto"/>
        <w:ind w:left="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33.2.3合格的政府采购专业信用担保机构名</w:t>
      </w:r>
      <w:r>
        <w:rPr>
          <w:rFonts w:hint="eastAsia" w:ascii="仿宋" w:hAnsi="仿宋" w:eastAsia="仿宋" w:cs="仿宋"/>
          <w:color w:val="auto"/>
          <w:spacing w:val="-1"/>
          <w:sz w:val="24"/>
          <w:szCs w:val="24"/>
          <w:highlight w:val="none"/>
        </w:rPr>
        <w:t>单见</w:t>
      </w:r>
      <w:r>
        <w:rPr>
          <w:rFonts w:hint="eastAsia" w:ascii="仿宋" w:hAnsi="仿宋" w:eastAsia="仿宋" w:cs="仿宋"/>
          <w:color w:val="auto"/>
          <w:spacing w:val="-1"/>
          <w:sz w:val="24"/>
          <w:szCs w:val="24"/>
          <w:highlight w:val="none"/>
          <w:u w:val="single" w:color="auto"/>
        </w:rPr>
        <w:t>投标人须知资料表</w:t>
      </w:r>
      <w:r>
        <w:rPr>
          <w:rFonts w:hint="eastAsia" w:ascii="仿宋" w:hAnsi="仿宋" w:eastAsia="仿宋" w:cs="仿宋"/>
          <w:color w:val="auto"/>
          <w:spacing w:val="-1"/>
          <w:sz w:val="24"/>
          <w:szCs w:val="24"/>
          <w:highlight w:val="none"/>
        </w:rPr>
        <w:t>。</w:t>
      </w:r>
    </w:p>
    <w:p w14:paraId="6FE97C79">
      <w:pPr>
        <w:pStyle w:val="8"/>
        <w:spacing w:before="146" w:line="224" w:lineRule="auto"/>
        <w:ind w:left="25"/>
        <w:outlineLvl w:val="2"/>
        <w:rPr>
          <w:rFonts w:hint="eastAsia" w:ascii="仿宋" w:hAnsi="仿宋" w:eastAsia="仿宋" w:cs="仿宋"/>
          <w:color w:val="auto"/>
          <w:sz w:val="24"/>
          <w:szCs w:val="24"/>
          <w:highlight w:val="none"/>
        </w:rPr>
      </w:pPr>
      <w:bookmarkStart w:id="120" w:name="_Toc24401"/>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34.廉洁自律规定</w:t>
      </w:r>
      <w:bookmarkEnd w:id="120"/>
    </w:p>
    <w:p w14:paraId="23744A2F">
      <w:pPr>
        <w:pStyle w:val="8"/>
        <w:spacing w:before="148" w:line="220" w:lineRule="auto"/>
        <w:ind w:left="25"/>
        <w:outlineLvl w:val="1"/>
        <w:rPr>
          <w:rFonts w:hint="eastAsia" w:ascii="仿宋" w:hAnsi="仿宋" w:eastAsia="仿宋" w:cs="仿宋"/>
          <w:color w:val="auto"/>
          <w:sz w:val="24"/>
          <w:szCs w:val="24"/>
          <w:highlight w:val="none"/>
        </w:rPr>
      </w:pPr>
      <w:bookmarkStart w:id="121" w:name="_Toc22524"/>
      <w:r>
        <w:rPr>
          <w:rFonts w:hint="eastAsia" w:ascii="仿宋" w:hAnsi="仿宋" w:eastAsia="仿宋" w:cs="仿宋"/>
          <w:color w:val="auto"/>
          <w:spacing w:val="-3"/>
          <w:sz w:val="24"/>
          <w:szCs w:val="24"/>
          <w:highlight w:val="none"/>
        </w:rPr>
        <w:t>34.1采购代理机构工作人员不得以不正当手段获取政府采购代理业务，不得</w:t>
      </w:r>
      <w:bookmarkEnd w:id="121"/>
      <w:r>
        <w:rPr>
          <w:rFonts w:hint="eastAsia" w:ascii="仿宋" w:hAnsi="仿宋" w:eastAsia="仿宋" w:cs="仿宋"/>
          <w:color w:val="auto"/>
          <w:spacing w:val="-1"/>
          <w:sz w:val="24"/>
          <w:szCs w:val="24"/>
          <w:highlight w:val="none"/>
        </w:rPr>
        <w:t>与采购人、供应商恶意串通操纵政府采购活</w:t>
      </w:r>
      <w:r>
        <w:rPr>
          <w:rFonts w:hint="eastAsia" w:ascii="仿宋" w:hAnsi="仿宋" w:eastAsia="仿宋" w:cs="仿宋"/>
          <w:color w:val="auto"/>
          <w:spacing w:val="-2"/>
          <w:sz w:val="24"/>
          <w:szCs w:val="24"/>
          <w:highlight w:val="none"/>
        </w:rPr>
        <w:t>动。</w:t>
      </w:r>
    </w:p>
    <w:p w14:paraId="7CEDEC93">
      <w:pPr>
        <w:pStyle w:val="8"/>
        <w:spacing w:before="153" w:line="220" w:lineRule="auto"/>
        <w:ind w:left="25"/>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34.2采购代理机构工作人员不得接受采购人或者供应商组织的宴请、旅游、娱乐，不得收受礼品、现金、有价证券等，不得向采购人或者供应商报销应当由个人承担的费用。</w:t>
      </w:r>
    </w:p>
    <w:p w14:paraId="5FA21949">
      <w:pPr>
        <w:pStyle w:val="8"/>
        <w:spacing w:before="148" w:line="220"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34.3为强化采购代理机构内部监督机制，供应商可按</w:t>
      </w:r>
      <w:r>
        <w:rPr>
          <w:rFonts w:hint="eastAsia" w:ascii="仿宋" w:hAnsi="仿宋" w:eastAsia="仿宋" w:cs="仿宋"/>
          <w:color w:val="auto"/>
          <w:spacing w:val="-3"/>
          <w:sz w:val="24"/>
          <w:szCs w:val="24"/>
          <w:highlight w:val="none"/>
          <w:u w:val="single" w:color="auto"/>
        </w:rPr>
        <w:t>投标人须知资料表中的</w:t>
      </w:r>
    </w:p>
    <w:p w14:paraId="037ACCD4">
      <w:pPr>
        <w:pStyle w:val="8"/>
        <w:spacing w:before="153" w:line="220" w:lineRule="auto"/>
        <w:ind w:left="92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监督电话和邮箱，反映采购代理机构的廉洁自律等问题。</w:t>
      </w:r>
    </w:p>
    <w:p w14:paraId="12AE8175">
      <w:pPr>
        <w:pStyle w:val="8"/>
        <w:spacing w:before="155" w:line="227" w:lineRule="auto"/>
        <w:ind w:left="25"/>
        <w:outlineLvl w:val="2"/>
        <w:rPr>
          <w:rFonts w:hint="eastAsia" w:ascii="仿宋" w:hAnsi="仿宋" w:eastAsia="仿宋" w:cs="仿宋"/>
          <w:color w:val="auto"/>
          <w:sz w:val="24"/>
          <w:szCs w:val="24"/>
          <w:highlight w:val="none"/>
        </w:rPr>
      </w:pPr>
      <w:bookmarkStart w:id="122" w:name="_Toc29239"/>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35.人员回避</w:t>
      </w:r>
      <w:bookmarkEnd w:id="122"/>
    </w:p>
    <w:p w14:paraId="7A6F7814">
      <w:pPr>
        <w:pStyle w:val="8"/>
        <w:spacing w:before="144" w:line="339" w:lineRule="auto"/>
        <w:ind w:left="946" w:right="126" w:hanging="79"/>
        <w:jc w:val="both"/>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投标人认为采购人员及其相关人员有法律法规所列与其他供应商有利</w:t>
      </w:r>
      <w:r>
        <w:rPr>
          <w:rFonts w:hint="eastAsia" w:ascii="仿宋" w:hAnsi="仿宋" w:eastAsia="仿宋" w:cs="仿宋"/>
          <w:color w:val="auto"/>
          <w:spacing w:val="2"/>
          <w:sz w:val="24"/>
          <w:szCs w:val="24"/>
          <w:highlight w:val="none"/>
        </w:rPr>
        <w:t>害关系的，可以向采购人或采购代理机构书面提出回避申请，并说明</w:t>
      </w:r>
    </w:p>
    <w:p w14:paraId="480F8705">
      <w:pPr>
        <w:pStyle w:val="8"/>
        <w:spacing w:line="235" w:lineRule="auto"/>
        <w:ind w:left="92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理由。</w:t>
      </w:r>
    </w:p>
    <w:p w14:paraId="383D3525">
      <w:pPr>
        <w:spacing w:line="235" w:lineRule="auto"/>
        <w:rPr>
          <w:rFonts w:hint="eastAsia" w:ascii="仿宋" w:hAnsi="仿宋" w:eastAsia="仿宋" w:cs="仿宋"/>
          <w:color w:val="auto"/>
          <w:sz w:val="24"/>
          <w:szCs w:val="24"/>
          <w:highlight w:val="none"/>
        </w:rPr>
        <w:sectPr>
          <w:footerReference r:id="rId14" w:type="default"/>
          <w:pgSz w:w="11905" w:h="16838"/>
          <w:pgMar w:top="1440" w:right="1083" w:bottom="1440" w:left="1083" w:header="0" w:footer="1225" w:gutter="0"/>
          <w:pgNumType w:fmt="decimal"/>
          <w:cols w:space="0" w:num="1"/>
          <w:rtlGutter w:val="0"/>
          <w:docGrid w:linePitch="0" w:charSpace="0"/>
        </w:sectPr>
      </w:pPr>
    </w:p>
    <w:p w14:paraId="2AA24FF9">
      <w:pPr>
        <w:pStyle w:val="8"/>
        <w:spacing w:before="156" w:line="227" w:lineRule="auto"/>
        <w:ind w:left="25"/>
        <w:outlineLvl w:val="2"/>
        <w:rPr>
          <w:rFonts w:hint="eastAsia" w:ascii="仿宋" w:hAnsi="仿宋" w:eastAsia="仿宋" w:cs="仿宋"/>
          <w:color w:val="auto"/>
          <w:sz w:val="24"/>
          <w:szCs w:val="24"/>
          <w:highlight w:val="none"/>
        </w:rPr>
      </w:pPr>
      <w:bookmarkStart w:id="123" w:name="_Toc19782"/>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36.质疑与接收</w:t>
      </w:r>
      <w:bookmarkEnd w:id="123"/>
    </w:p>
    <w:p w14:paraId="73B22888">
      <w:pPr>
        <w:pStyle w:val="8"/>
        <w:spacing w:before="144" w:line="310" w:lineRule="auto"/>
        <w:ind w:left="871" w:right="70" w:hanging="70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36.1投标人认为招标文件、招标过程和中标结果使自己的权益受到损害的，</w:t>
      </w:r>
      <w:r>
        <w:rPr>
          <w:rFonts w:hint="eastAsia" w:ascii="仿宋" w:hAnsi="仿宋" w:eastAsia="仿宋" w:cs="仿宋"/>
          <w:color w:val="auto"/>
          <w:spacing w:val="-4"/>
          <w:sz w:val="24"/>
          <w:szCs w:val="24"/>
          <w:highlight w:val="none"/>
        </w:rPr>
        <w:t>可以根据《中华人民共和国政府采购法》、《中华人民共和国政府采购法实施条例》和《政府采购质疑和投诉办法》的有关规定，依法向采购</w:t>
      </w:r>
      <w:r>
        <w:rPr>
          <w:rFonts w:hint="eastAsia" w:ascii="仿宋" w:hAnsi="仿宋" w:eastAsia="仿宋" w:cs="仿宋"/>
          <w:color w:val="auto"/>
          <w:spacing w:val="-1"/>
          <w:sz w:val="24"/>
          <w:szCs w:val="24"/>
          <w:highlight w:val="none"/>
        </w:rPr>
        <w:t>人或其委托的采购代理机构提出质疑。</w:t>
      </w:r>
    </w:p>
    <w:p w14:paraId="71B30085">
      <w:pPr>
        <w:pStyle w:val="8"/>
        <w:spacing w:before="144" w:line="314" w:lineRule="auto"/>
        <w:ind w:left="874" w:right="125" w:hanging="705"/>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36.2质疑供应商和应按照财政部制定的《政府采购质疑函范本》格式（可从财政部官方网站下载）和《政府采购质疑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E1680A7">
      <w:pPr>
        <w:pStyle w:val="8"/>
        <w:spacing w:before="144" w:line="314" w:lineRule="auto"/>
        <w:ind w:left="874" w:right="125" w:hanging="705"/>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36.3采购代理机构质疑函接收部门、联系电话和通讯地址,见投标人须知资料表。</w:t>
      </w:r>
    </w:p>
    <w:p w14:paraId="63208BFB">
      <w:pPr>
        <w:pStyle w:val="8"/>
        <w:spacing w:before="144" w:line="224" w:lineRule="auto"/>
        <w:ind w:left="25"/>
        <w:outlineLvl w:val="1"/>
        <w:rPr>
          <w:rFonts w:hint="eastAsia" w:ascii="仿宋" w:hAnsi="仿宋" w:eastAsia="仿宋" w:cs="仿宋"/>
          <w:color w:val="auto"/>
          <w:sz w:val="24"/>
          <w:szCs w:val="24"/>
          <w:highlight w:val="none"/>
        </w:rPr>
      </w:pPr>
      <w:bookmarkStart w:id="124" w:name="_Toc23434"/>
      <w:r>
        <w:rPr>
          <w:rFonts w:hint="eastAsia" w:ascii="仿宋" w:hAnsi="仿宋" w:eastAsia="仿宋" w:cs="仿宋"/>
          <w:color w:val="auto"/>
          <w:spacing w:val="-1"/>
          <w:sz w:val="24"/>
          <w:szCs w:val="24"/>
          <w:highlight w:val="none"/>
        </w:rPr>
        <w:t>36.4、质疑的提出：书面形式一次提出全部质疑</w:t>
      </w:r>
      <w:bookmarkEnd w:id="124"/>
    </w:p>
    <w:p w14:paraId="302EE48F">
      <w:pPr>
        <w:pStyle w:val="8"/>
        <w:spacing w:before="146" w:line="302" w:lineRule="auto"/>
        <w:ind w:left="930" w:right="126" w:hanging="90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36.5本采购文件中所称质疑及答复，是指参加本次采购活动的供应商对政府采</w:t>
      </w:r>
      <w:r>
        <w:rPr>
          <w:rFonts w:hint="eastAsia" w:ascii="仿宋" w:hAnsi="仿宋" w:eastAsia="仿宋" w:cs="仿宋"/>
          <w:color w:val="auto"/>
          <w:spacing w:val="2"/>
          <w:sz w:val="24"/>
          <w:szCs w:val="24"/>
          <w:highlight w:val="none"/>
        </w:rPr>
        <w:t>购活动中的采购文件、采购过程和成交结果向采购方提出质疑，采购</w:t>
      </w:r>
      <w:r>
        <w:rPr>
          <w:rFonts w:hint="eastAsia" w:ascii="仿宋" w:hAnsi="仿宋" w:eastAsia="仿宋" w:cs="仿宋"/>
          <w:color w:val="auto"/>
          <w:spacing w:val="-2"/>
          <w:sz w:val="24"/>
          <w:szCs w:val="24"/>
          <w:highlight w:val="none"/>
        </w:rPr>
        <w:t>方答复质疑的行为。</w:t>
      </w:r>
    </w:p>
    <w:p w14:paraId="0B9353EB">
      <w:pPr>
        <w:pStyle w:val="8"/>
        <w:spacing w:before="144" w:line="299" w:lineRule="auto"/>
        <w:ind w:left="944" w:right="126" w:hanging="91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36.6供应商认为采购文件、采购过程和成交结果使自己的权益受到损害的</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可</w:t>
      </w:r>
      <w:r>
        <w:rPr>
          <w:rFonts w:hint="eastAsia" w:ascii="仿宋" w:hAnsi="仿宋" w:eastAsia="仿宋" w:cs="仿宋"/>
          <w:color w:val="auto"/>
          <w:spacing w:val="1"/>
          <w:sz w:val="24"/>
          <w:szCs w:val="24"/>
          <w:highlight w:val="none"/>
        </w:rPr>
        <w:t>以在知道或者应知其权益受到损害之日起7个工作日内，以书面形式</w:t>
      </w:r>
      <w:r>
        <w:rPr>
          <w:rFonts w:hint="eastAsia" w:ascii="仿宋" w:hAnsi="仿宋" w:eastAsia="仿宋" w:cs="仿宋"/>
          <w:color w:val="auto"/>
          <w:spacing w:val="-1"/>
          <w:sz w:val="24"/>
          <w:szCs w:val="24"/>
          <w:highlight w:val="none"/>
        </w:rPr>
        <w:t>向采购方提出质疑。供应商应知其权益受到损害之日</w:t>
      </w:r>
      <w:r>
        <w:rPr>
          <w:rFonts w:hint="eastAsia" w:ascii="仿宋" w:hAnsi="仿宋" w:eastAsia="仿宋" w:cs="仿宋"/>
          <w:color w:val="auto"/>
          <w:spacing w:val="-2"/>
          <w:sz w:val="24"/>
          <w:szCs w:val="24"/>
          <w:highlight w:val="none"/>
        </w:rPr>
        <w:t>，是指：</w:t>
      </w:r>
    </w:p>
    <w:p w14:paraId="2DBD8422">
      <w:pPr>
        <w:pStyle w:val="8"/>
        <w:spacing w:before="153" w:line="442" w:lineRule="exact"/>
        <w:ind w:left="1482" w:leftChars="363" w:hanging="720" w:hangingChars="300"/>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（一）对可以质疑的采购文件提出质疑的，为收到采购文件之日或者采购文件公告期限届满之日；</w:t>
      </w:r>
    </w:p>
    <w:p w14:paraId="6B99A0E6">
      <w:pPr>
        <w:pStyle w:val="8"/>
        <w:spacing w:before="148" w:line="220"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（二）对采购过程提出质疑的，为各采购程序环节</w:t>
      </w:r>
      <w:r>
        <w:rPr>
          <w:rFonts w:hint="eastAsia" w:ascii="仿宋" w:hAnsi="仿宋" w:eastAsia="仿宋" w:cs="仿宋"/>
          <w:color w:val="auto"/>
          <w:spacing w:val="-2"/>
          <w:sz w:val="24"/>
          <w:szCs w:val="24"/>
          <w:highlight w:val="none"/>
        </w:rPr>
        <w:t>结束之日；</w:t>
      </w:r>
    </w:p>
    <w:p w14:paraId="636BDA48">
      <w:pPr>
        <w:pStyle w:val="8"/>
        <w:spacing w:before="153" w:line="220"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（三）对成交结果提出质疑的，为成交结果公告期限届</w:t>
      </w:r>
      <w:r>
        <w:rPr>
          <w:rFonts w:hint="eastAsia" w:ascii="仿宋" w:hAnsi="仿宋" w:eastAsia="仿宋" w:cs="仿宋"/>
          <w:color w:val="auto"/>
          <w:spacing w:val="-2"/>
          <w:sz w:val="24"/>
          <w:szCs w:val="24"/>
          <w:highlight w:val="none"/>
        </w:rPr>
        <w:t>满之日。</w:t>
      </w:r>
    </w:p>
    <w:p w14:paraId="4AD1F98C">
      <w:pPr>
        <w:pStyle w:val="8"/>
        <w:spacing w:before="154" w:line="300" w:lineRule="auto"/>
        <w:ind w:left="921" w:right="126" w:hanging="89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36.7对可以质疑的采购文件提出质疑的，质疑人为参</w:t>
      </w:r>
      <w:r>
        <w:rPr>
          <w:rFonts w:hint="eastAsia" w:ascii="仿宋" w:hAnsi="仿宋" w:eastAsia="仿宋" w:cs="仿宋"/>
          <w:color w:val="auto"/>
          <w:spacing w:val="-2"/>
          <w:sz w:val="24"/>
          <w:szCs w:val="24"/>
          <w:highlight w:val="none"/>
        </w:rPr>
        <w:t>与本项目的报价方或潜在</w:t>
      </w:r>
      <w:r>
        <w:rPr>
          <w:rFonts w:hint="eastAsia" w:ascii="仿宋" w:hAnsi="仿宋" w:eastAsia="仿宋" w:cs="仿宋"/>
          <w:color w:val="auto"/>
          <w:spacing w:val="3"/>
          <w:sz w:val="24"/>
          <w:szCs w:val="24"/>
          <w:highlight w:val="none"/>
        </w:rPr>
        <w:t>报价方。可质疑的文件为采购公告以及采购文件（包括</w:t>
      </w:r>
      <w:r>
        <w:rPr>
          <w:rFonts w:hint="eastAsia" w:ascii="仿宋" w:hAnsi="仿宋" w:eastAsia="仿宋" w:cs="仿宋"/>
          <w:color w:val="auto"/>
          <w:spacing w:val="2"/>
          <w:sz w:val="24"/>
          <w:szCs w:val="24"/>
          <w:highlight w:val="none"/>
        </w:rPr>
        <w:t>属于其组成部</w:t>
      </w:r>
      <w:r>
        <w:rPr>
          <w:rFonts w:hint="eastAsia" w:ascii="仿宋" w:hAnsi="仿宋" w:eastAsia="仿宋" w:cs="仿宋"/>
          <w:color w:val="auto"/>
          <w:spacing w:val="-1"/>
          <w:sz w:val="24"/>
          <w:szCs w:val="24"/>
          <w:highlight w:val="none"/>
        </w:rPr>
        <w:t>分的澄清、修改、补充文件和评审标准、合同文本等）。</w:t>
      </w:r>
    </w:p>
    <w:p w14:paraId="76CA2035">
      <w:pPr>
        <w:pStyle w:val="8"/>
        <w:spacing w:before="156" w:line="224" w:lineRule="auto"/>
        <w:ind w:left="25"/>
        <w:outlineLvl w:val="1"/>
        <w:rPr>
          <w:rFonts w:hint="eastAsia" w:ascii="仿宋" w:hAnsi="仿宋" w:eastAsia="仿宋" w:cs="仿宋"/>
          <w:color w:val="auto"/>
          <w:spacing w:val="-3"/>
          <w:sz w:val="24"/>
          <w:szCs w:val="24"/>
          <w:highlight w:val="none"/>
        </w:rPr>
      </w:pPr>
      <w:r>
        <w:rPr>
          <w:rFonts w:hint="eastAsia" w:ascii="仿宋" w:hAnsi="仿宋" w:eastAsia="仿宋" w:cs="仿宋"/>
          <w:color w:val="auto"/>
          <w:spacing w:val="-1"/>
          <w:sz w:val="24"/>
          <w:szCs w:val="24"/>
          <w:highlight w:val="none"/>
        </w:rPr>
        <w:t>36.8对采购过程和成交结果提出质疑的，质疑人为直</w:t>
      </w:r>
      <w:r>
        <w:rPr>
          <w:rFonts w:hint="eastAsia" w:ascii="仿宋" w:hAnsi="仿宋" w:eastAsia="仿宋" w:cs="仿宋"/>
          <w:color w:val="auto"/>
          <w:spacing w:val="-2"/>
          <w:sz w:val="24"/>
          <w:szCs w:val="24"/>
          <w:highlight w:val="none"/>
        </w:rPr>
        <w:t>接参与本项目的报价方。</w:t>
      </w:r>
      <w:r>
        <w:rPr>
          <w:rFonts w:hint="eastAsia" w:ascii="仿宋" w:hAnsi="仿宋" w:eastAsia="仿宋" w:cs="仿宋"/>
          <w:color w:val="auto"/>
          <w:spacing w:val="-1"/>
          <w:sz w:val="24"/>
          <w:szCs w:val="24"/>
          <w:highlight w:val="none"/>
        </w:rPr>
        <w:t>采购过程,即从采购项目信息公告发布起到成交结果公告止，</w:t>
      </w:r>
      <w:r>
        <w:rPr>
          <w:rFonts w:hint="eastAsia" w:ascii="仿宋" w:hAnsi="仿宋" w:eastAsia="仿宋" w:cs="仿宋"/>
          <w:color w:val="auto"/>
          <w:spacing w:val="-2"/>
          <w:sz w:val="24"/>
          <w:szCs w:val="24"/>
          <w:highlight w:val="none"/>
        </w:rPr>
        <w:t>包括采购</w:t>
      </w:r>
      <w:r>
        <w:rPr>
          <w:rFonts w:hint="eastAsia" w:ascii="仿宋" w:hAnsi="仿宋" w:eastAsia="仿宋" w:cs="仿宋"/>
          <w:color w:val="auto"/>
          <w:spacing w:val="3"/>
          <w:sz w:val="24"/>
          <w:szCs w:val="24"/>
          <w:highlight w:val="none"/>
        </w:rPr>
        <w:t>文件的发出、提交响应文件、响应文件开启、评审等各个</w:t>
      </w:r>
      <w:r>
        <w:rPr>
          <w:rFonts w:hint="eastAsia" w:ascii="仿宋" w:hAnsi="仿宋" w:eastAsia="仿宋" w:cs="仿宋"/>
          <w:color w:val="auto"/>
          <w:spacing w:val="2"/>
          <w:sz w:val="24"/>
          <w:szCs w:val="24"/>
          <w:highlight w:val="none"/>
        </w:rPr>
        <w:t>采购程序环</w:t>
      </w:r>
      <w:r>
        <w:rPr>
          <w:rFonts w:hint="eastAsia" w:ascii="仿宋" w:hAnsi="仿宋" w:eastAsia="仿宋" w:cs="仿宋"/>
          <w:color w:val="auto"/>
          <w:spacing w:val="-3"/>
          <w:sz w:val="24"/>
          <w:szCs w:val="24"/>
          <w:highlight w:val="none"/>
        </w:rPr>
        <w:t>节。</w:t>
      </w:r>
      <w:bookmarkStart w:id="125" w:name="_Toc15449"/>
    </w:p>
    <w:p w14:paraId="523C237D">
      <w:pPr>
        <w:pStyle w:val="8"/>
        <w:spacing w:before="156" w:line="224" w:lineRule="auto"/>
        <w:ind w:left="25"/>
        <w:outlineLvl w:val="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36.9提出质疑应当符合下列条件：</w:t>
      </w:r>
      <w:bookmarkEnd w:id="125"/>
    </w:p>
    <w:p w14:paraId="48D19884">
      <w:pPr>
        <w:pStyle w:val="8"/>
        <w:spacing w:before="147" w:line="439" w:lineRule="exact"/>
        <w:ind w:left="764"/>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（一）质疑主体应当符合有关规定；</w:t>
      </w:r>
    </w:p>
    <w:p w14:paraId="3929B7B0">
      <w:pPr>
        <w:pStyle w:val="8"/>
        <w:spacing w:line="224"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（二）在质疑法定期限内提出；</w:t>
      </w:r>
    </w:p>
    <w:p w14:paraId="321DE1E4">
      <w:pPr>
        <w:pStyle w:val="8"/>
        <w:spacing w:before="150" w:line="439" w:lineRule="exact"/>
        <w:ind w:left="764"/>
        <w:rPr>
          <w:rFonts w:hint="eastAsia" w:ascii="仿宋" w:hAnsi="仿宋" w:eastAsia="仿宋" w:cs="仿宋"/>
          <w:color w:val="auto"/>
          <w:position w:val="14"/>
          <w:sz w:val="24"/>
          <w:szCs w:val="24"/>
          <w:highlight w:val="none"/>
        </w:rPr>
      </w:pPr>
      <w:r>
        <w:rPr>
          <w:rFonts w:hint="eastAsia" w:ascii="仿宋" w:hAnsi="仿宋" w:eastAsia="仿宋" w:cs="仿宋"/>
          <w:color w:val="auto"/>
          <w:position w:val="14"/>
          <w:sz w:val="24"/>
          <w:szCs w:val="24"/>
          <w:highlight w:val="none"/>
        </w:rPr>
        <w:t>（三）属于可以提出质疑的政府采购事项受理范围和本项目采购人的管辖权范围；</w:t>
      </w:r>
    </w:p>
    <w:p w14:paraId="2C7EBECD">
      <w:pPr>
        <w:pStyle w:val="8"/>
        <w:spacing w:before="142" w:line="224" w:lineRule="auto"/>
        <w:ind w:firstLine="708" w:firstLineChars="300"/>
        <w:outlineLvl w:val="2"/>
        <w:rPr>
          <w:rFonts w:hint="eastAsia" w:ascii="仿宋" w:hAnsi="仿宋" w:eastAsia="仿宋" w:cs="仿宋"/>
          <w:color w:val="auto"/>
          <w:sz w:val="24"/>
          <w:szCs w:val="24"/>
          <w:highlight w:val="none"/>
        </w:rPr>
      </w:pPr>
      <w:bookmarkStart w:id="126" w:name="_Toc31050"/>
      <w:r>
        <w:rPr>
          <w:rFonts w:hint="eastAsia" w:ascii="仿宋" w:hAnsi="仿宋" w:eastAsia="仿宋" w:cs="仿宋"/>
          <w:color w:val="auto"/>
          <w:spacing w:val="-2"/>
          <w:sz w:val="24"/>
          <w:szCs w:val="24"/>
          <w:highlight w:val="none"/>
        </w:rPr>
        <w:t>（四）政府采购法律、法规、规章规定的其他条件。</w:t>
      </w:r>
      <w:bookmarkEnd w:id="126"/>
    </w:p>
    <w:p w14:paraId="43B177BD">
      <w:pPr>
        <w:pStyle w:val="8"/>
        <w:spacing w:before="153" w:line="338" w:lineRule="auto"/>
        <w:ind w:left="922" w:right="126" w:hanging="897"/>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37.提出质疑应当具有明确的请求和提供必要的证明材料。明确的请求,即质</w:t>
      </w:r>
      <w:r>
        <w:rPr>
          <w:rFonts w:hint="eastAsia" w:ascii="仿宋" w:hAnsi="仿宋" w:eastAsia="仿宋" w:cs="仿宋"/>
          <w:color w:val="auto"/>
          <w:spacing w:val="3"/>
          <w:sz w:val="24"/>
          <w:szCs w:val="24"/>
          <w:highlight w:val="none"/>
        </w:rPr>
        <w:t>疑人在质疑函中提出的，要求采购方对其予以支持的</w:t>
      </w:r>
      <w:r>
        <w:rPr>
          <w:rFonts w:hint="eastAsia" w:ascii="仿宋" w:hAnsi="仿宋" w:eastAsia="仿宋" w:cs="仿宋"/>
          <w:color w:val="auto"/>
          <w:spacing w:val="2"/>
          <w:sz w:val="24"/>
          <w:szCs w:val="24"/>
          <w:highlight w:val="none"/>
        </w:rPr>
        <w:t>主张。必要的证</w:t>
      </w:r>
      <w:r>
        <w:rPr>
          <w:rFonts w:hint="eastAsia" w:ascii="仿宋" w:hAnsi="仿宋" w:eastAsia="仿宋" w:cs="仿宋"/>
          <w:color w:val="auto"/>
          <w:spacing w:val="7"/>
          <w:sz w:val="24"/>
          <w:szCs w:val="24"/>
          <w:highlight w:val="none"/>
        </w:rPr>
        <w:t>明材料,即能够证明质疑人的质疑请求成立的必要材料，包括相关证据、依据和其他有关材</w:t>
      </w:r>
      <w:r>
        <w:rPr>
          <w:rFonts w:hint="eastAsia" w:ascii="仿宋" w:hAnsi="仿宋" w:eastAsia="仿宋" w:cs="仿宋"/>
          <w:color w:val="auto"/>
          <w:spacing w:val="-1"/>
          <w:sz w:val="24"/>
          <w:szCs w:val="24"/>
          <w:highlight w:val="none"/>
        </w:rPr>
        <w:t>料。</w:t>
      </w:r>
    </w:p>
    <w:p w14:paraId="5A672E34">
      <w:pPr>
        <w:pStyle w:val="8"/>
        <w:spacing w:before="147" w:line="279" w:lineRule="auto"/>
        <w:ind w:right="12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37.1质疑人所提供的证明材料应当具有真实性、合法性以及与质疑事项的关联</w:t>
      </w:r>
      <w:r>
        <w:rPr>
          <w:rFonts w:hint="eastAsia" w:ascii="仿宋" w:hAnsi="仿宋" w:eastAsia="仿宋" w:cs="仿宋"/>
          <w:color w:val="auto"/>
          <w:spacing w:val="-1"/>
          <w:sz w:val="24"/>
          <w:szCs w:val="24"/>
          <w:highlight w:val="none"/>
        </w:rPr>
        <w:t>性和证明力，否则不能作为认定该质疑事项成立的依据。</w:t>
      </w:r>
    </w:p>
    <w:p w14:paraId="500A9325">
      <w:pPr>
        <w:pStyle w:val="8"/>
        <w:spacing w:before="155" w:line="225" w:lineRule="auto"/>
        <w:ind w:left="25"/>
        <w:outlineLvl w:val="1"/>
        <w:rPr>
          <w:rFonts w:hint="eastAsia" w:ascii="仿宋" w:hAnsi="仿宋" w:eastAsia="仿宋" w:cs="仿宋"/>
          <w:color w:val="auto"/>
          <w:sz w:val="24"/>
          <w:szCs w:val="24"/>
          <w:highlight w:val="none"/>
        </w:rPr>
      </w:pPr>
      <w:bookmarkStart w:id="127" w:name="_Toc24010"/>
      <w:r>
        <w:rPr>
          <w:rFonts w:hint="eastAsia" w:ascii="仿宋" w:hAnsi="仿宋" w:eastAsia="仿宋" w:cs="仿宋"/>
          <w:color w:val="auto"/>
          <w:sz w:val="24"/>
          <w:szCs w:val="24"/>
          <w:highlight w:val="none"/>
        </w:rPr>
        <w:t>37.2质疑人提出质疑时应当提交质疑函</w:t>
      </w:r>
      <w:r>
        <w:rPr>
          <w:rFonts w:hint="eastAsia" w:ascii="仿宋" w:hAnsi="仿宋" w:eastAsia="仿宋" w:cs="仿宋"/>
          <w:color w:val="auto"/>
          <w:spacing w:val="-1"/>
          <w:sz w:val="24"/>
          <w:szCs w:val="24"/>
          <w:highlight w:val="none"/>
        </w:rPr>
        <w:t>。质疑函包括下列内容：</w:t>
      </w:r>
      <w:bookmarkEnd w:id="127"/>
    </w:p>
    <w:p w14:paraId="2F563A1C">
      <w:pPr>
        <w:pStyle w:val="8"/>
        <w:spacing w:before="147" w:line="222"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（一）提出质疑的质疑人的名称、地址、邮编、联系人及联系电话等；</w:t>
      </w:r>
    </w:p>
    <w:p w14:paraId="09F19838">
      <w:pPr>
        <w:pStyle w:val="8"/>
        <w:spacing w:before="150" w:line="442" w:lineRule="exact"/>
        <w:ind w:left="764"/>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（二）质疑项目的名称、编号；</w:t>
      </w:r>
    </w:p>
    <w:p w14:paraId="49104BA8">
      <w:pPr>
        <w:pStyle w:val="8"/>
        <w:spacing w:before="1" w:line="224"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（三）质疑事项；</w:t>
      </w:r>
    </w:p>
    <w:p w14:paraId="30C559D2">
      <w:pPr>
        <w:pStyle w:val="8"/>
        <w:spacing w:before="147" w:line="439" w:lineRule="exact"/>
        <w:ind w:left="764"/>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（四）事实依据和证明材料；</w:t>
      </w:r>
    </w:p>
    <w:p w14:paraId="4AF649FD">
      <w:pPr>
        <w:pStyle w:val="8"/>
        <w:spacing w:before="1" w:line="223"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（五）法律依据；</w:t>
      </w:r>
    </w:p>
    <w:p w14:paraId="66976E22">
      <w:pPr>
        <w:pStyle w:val="8"/>
        <w:spacing w:before="151" w:line="224"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（六）提出质疑的日期。</w:t>
      </w:r>
    </w:p>
    <w:p w14:paraId="40142F94">
      <w:pPr>
        <w:pStyle w:val="8"/>
        <w:spacing w:before="147" w:line="339" w:lineRule="auto"/>
        <w:ind w:left="741" w:leftChars="353" w:right="126" w:firstLine="101" w:firstLineChars="42"/>
        <w:jc w:val="both"/>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01FB91B8">
      <w:pPr>
        <w:pStyle w:val="8"/>
        <w:spacing w:before="147" w:line="339" w:lineRule="auto"/>
        <w:ind w:left="741" w:leftChars="353" w:right="126" w:firstLine="101" w:firstLineChars="42"/>
        <w:jc w:val="both"/>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37.3质疑人可以委托代理人进行质疑。代理人应当提交授权委托书。授权委托书应当载明委托代理的具体权限、期限和相关事项。</w:t>
      </w:r>
    </w:p>
    <w:p w14:paraId="28142D46">
      <w:pPr>
        <w:pStyle w:val="8"/>
        <w:spacing w:before="147" w:line="339" w:lineRule="auto"/>
        <w:ind w:left="23" w:right="126" w:firstLine="722"/>
        <w:jc w:val="both"/>
        <w:outlineLvl w:val="1"/>
        <w:rPr>
          <w:rFonts w:hint="eastAsia" w:ascii="仿宋" w:hAnsi="仿宋" w:eastAsia="仿宋" w:cs="仿宋"/>
          <w:color w:val="auto"/>
          <w:spacing w:val="1"/>
          <w:sz w:val="24"/>
          <w:szCs w:val="24"/>
          <w:highlight w:val="none"/>
        </w:rPr>
      </w:pPr>
      <w:bookmarkStart w:id="128" w:name="_Toc29190"/>
      <w:r>
        <w:rPr>
          <w:rFonts w:hint="eastAsia" w:ascii="仿宋" w:hAnsi="仿宋" w:eastAsia="仿宋" w:cs="仿宋"/>
          <w:color w:val="auto"/>
          <w:spacing w:val="1"/>
          <w:sz w:val="24"/>
          <w:szCs w:val="24"/>
          <w:highlight w:val="none"/>
        </w:rPr>
        <w:t>37.4、质疑的审查和受理</w:t>
      </w:r>
      <w:bookmarkEnd w:id="128"/>
    </w:p>
    <w:p w14:paraId="579084AD">
      <w:pPr>
        <w:pStyle w:val="8"/>
        <w:spacing w:before="149" w:line="440" w:lineRule="exact"/>
        <w:ind w:left="1055"/>
        <w:rPr>
          <w:rFonts w:hint="eastAsia" w:ascii="仿宋" w:hAnsi="仿宋" w:eastAsia="仿宋" w:cs="仿宋"/>
          <w:color w:val="auto"/>
          <w:spacing w:val="-1"/>
          <w:position w:val="15"/>
          <w:sz w:val="24"/>
          <w:szCs w:val="24"/>
          <w:highlight w:val="none"/>
        </w:rPr>
      </w:pPr>
      <w:r>
        <w:rPr>
          <w:rFonts w:hint="eastAsia" w:ascii="仿宋" w:hAnsi="仿宋" w:eastAsia="仿宋" w:cs="仿宋"/>
          <w:color w:val="auto"/>
          <w:spacing w:val="-1"/>
          <w:position w:val="15"/>
          <w:sz w:val="24"/>
          <w:szCs w:val="24"/>
          <w:highlight w:val="none"/>
        </w:rPr>
        <w:t>1、采购方在收到质疑函后应当及时审查是否符合质疑受理条件，对符合质疑受理条件的，及时予以受理。</w:t>
      </w:r>
    </w:p>
    <w:p w14:paraId="74EC5DF9">
      <w:pPr>
        <w:pStyle w:val="8"/>
        <w:spacing w:before="149" w:line="440" w:lineRule="exact"/>
        <w:ind w:left="1055"/>
        <w:rPr>
          <w:rFonts w:hint="eastAsia" w:ascii="仿宋" w:hAnsi="仿宋" w:eastAsia="仿宋" w:cs="仿宋"/>
          <w:color w:val="auto"/>
          <w:spacing w:val="-1"/>
          <w:position w:val="15"/>
          <w:sz w:val="24"/>
          <w:szCs w:val="24"/>
          <w:highlight w:val="none"/>
        </w:rPr>
      </w:pPr>
      <w:r>
        <w:rPr>
          <w:rFonts w:hint="eastAsia" w:ascii="仿宋" w:hAnsi="仿宋" w:eastAsia="仿宋" w:cs="仿宋"/>
          <w:color w:val="auto"/>
          <w:spacing w:val="-1"/>
          <w:position w:val="15"/>
          <w:sz w:val="24"/>
          <w:szCs w:val="24"/>
          <w:highlight w:val="none"/>
        </w:rPr>
        <w:t>37.5对不符合质疑受理条件的，分别按照下列不同情形予以处理：</w:t>
      </w:r>
    </w:p>
    <w:p w14:paraId="7687A88B">
      <w:pPr>
        <w:pStyle w:val="8"/>
        <w:spacing w:before="156" w:line="220"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1"/>
          <w:position w:val="15"/>
          <w:sz w:val="24"/>
          <w:szCs w:val="24"/>
          <w:highlight w:val="none"/>
        </w:rPr>
        <w:t>（一）质疑函内容不符合规定的，告知质疑人进行修改并重新提出质疑。修改后质疑事项仍不具体、不明确或者最终递交质疑函的时间超过质疑法定期限的，不予受理；</w:t>
      </w:r>
      <w:r>
        <w:rPr>
          <w:rFonts w:hint="eastAsia" w:ascii="仿宋" w:hAnsi="仿宋" w:eastAsia="仿宋" w:cs="仿宋"/>
          <w:color w:val="auto"/>
          <w:spacing w:val="-1"/>
          <w:sz w:val="24"/>
          <w:szCs w:val="24"/>
          <w:highlight w:val="none"/>
        </w:rPr>
        <w:t>（二）质疑主体不符合有关规定的，告知质疑</w:t>
      </w:r>
      <w:r>
        <w:rPr>
          <w:rFonts w:hint="eastAsia" w:ascii="仿宋" w:hAnsi="仿宋" w:eastAsia="仿宋" w:cs="仿宋"/>
          <w:color w:val="auto"/>
          <w:spacing w:val="-2"/>
          <w:sz w:val="24"/>
          <w:szCs w:val="24"/>
          <w:highlight w:val="none"/>
        </w:rPr>
        <w:t>人不予受理；</w:t>
      </w:r>
    </w:p>
    <w:p w14:paraId="431BA793">
      <w:pPr>
        <w:pStyle w:val="8"/>
        <w:spacing w:before="153" w:line="220"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（三）超过质疑法定期限提出质疑的，告知质疑人</w:t>
      </w:r>
      <w:r>
        <w:rPr>
          <w:rFonts w:hint="eastAsia" w:ascii="仿宋" w:hAnsi="仿宋" w:eastAsia="仿宋" w:cs="仿宋"/>
          <w:color w:val="auto"/>
          <w:spacing w:val="-2"/>
          <w:sz w:val="24"/>
          <w:szCs w:val="24"/>
          <w:highlight w:val="none"/>
        </w:rPr>
        <w:t>不予受理；</w:t>
      </w:r>
    </w:p>
    <w:p w14:paraId="069769D7">
      <w:pPr>
        <w:pStyle w:val="8"/>
        <w:spacing w:before="153" w:line="441" w:lineRule="exact"/>
        <w:ind w:left="764"/>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（四）对不属于可以提出质疑的政府采购事项提出质疑的，告知质疑人不予受理；</w:t>
      </w:r>
    </w:p>
    <w:p w14:paraId="16A63DFD">
      <w:pPr>
        <w:pStyle w:val="8"/>
        <w:spacing w:before="153" w:line="441" w:lineRule="exact"/>
        <w:ind w:left="764"/>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（五）质疑不属于本项目采购方管辖的，告知质疑人向有管辖权的采购人提出质疑；</w:t>
      </w:r>
    </w:p>
    <w:p w14:paraId="08197CB4">
      <w:pPr>
        <w:pStyle w:val="8"/>
        <w:spacing w:before="153" w:line="441" w:lineRule="exact"/>
        <w:ind w:left="764"/>
        <w:outlineLvl w:val="2"/>
        <w:rPr>
          <w:rFonts w:hint="eastAsia" w:ascii="仿宋" w:hAnsi="仿宋" w:eastAsia="仿宋" w:cs="仿宋"/>
          <w:color w:val="auto"/>
          <w:sz w:val="24"/>
          <w:szCs w:val="24"/>
          <w:highlight w:val="none"/>
        </w:rPr>
      </w:pPr>
      <w:bookmarkStart w:id="129" w:name="_Toc29963"/>
      <w:r>
        <w:rPr>
          <w:rFonts w:hint="eastAsia" w:ascii="仿宋" w:hAnsi="仿宋" w:eastAsia="仿宋" w:cs="仿宋"/>
          <w:color w:val="auto"/>
          <w:position w:val="15"/>
          <w:sz w:val="24"/>
          <w:szCs w:val="24"/>
          <w:highlight w:val="none"/>
        </w:rPr>
        <w:t>（六）质疑不符合其他条件的，告知质疑人不予受理。</w:t>
      </w:r>
      <w:bookmarkEnd w:id="129"/>
    </w:p>
    <w:p w14:paraId="21ABB13E">
      <w:pPr>
        <w:pStyle w:val="8"/>
        <w:spacing w:line="227" w:lineRule="auto"/>
        <w:ind w:left="25"/>
        <w:outlineLvl w:val="1"/>
        <w:rPr>
          <w:rFonts w:hint="eastAsia" w:ascii="仿宋" w:hAnsi="仿宋" w:eastAsia="仿宋" w:cs="仿宋"/>
          <w:color w:val="auto"/>
          <w:sz w:val="24"/>
          <w:szCs w:val="24"/>
          <w:highlight w:val="none"/>
        </w:rPr>
      </w:pPr>
      <w:bookmarkStart w:id="130" w:name="_Toc24062"/>
      <w:r>
        <w:rPr>
          <w:rFonts w:hint="eastAsia" w:ascii="仿宋" w:hAnsi="仿宋" w:eastAsia="仿宋" w:cs="仿宋"/>
          <w:color w:val="auto"/>
          <w:spacing w:val="-1"/>
          <w:sz w:val="24"/>
          <w:szCs w:val="24"/>
          <w:highlight w:val="none"/>
        </w:rPr>
        <w:t>37.6、质疑的处理和答复</w:t>
      </w:r>
      <w:bookmarkEnd w:id="130"/>
    </w:p>
    <w:p w14:paraId="11CF750D">
      <w:pPr>
        <w:pStyle w:val="8"/>
        <w:spacing w:before="143" w:line="280" w:lineRule="auto"/>
        <w:ind w:left="925" w:right="126" w:hanging="90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37.7采购方受理质疑后，将及时把质疑函发送给被质疑人，并要求其在一定限</w:t>
      </w:r>
      <w:r>
        <w:rPr>
          <w:rFonts w:hint="eastAsia" w:ascii="仿宋" w:hAnsi="仿宋" w:eastAsia="仿宋" w:cs="仿宋"/>
          <w:color w:val="auto"/>
          <w:spacing w:val="-1"/>
          <w:sz w:val="24"/>
          <w:szCs w:val="24"/>
          <w:highlight w:val="none"/>
        </w:rPr>
        <w:t>期人提交书面答复，同时提供有关证据、依据和相关材料。</w:t>
      </w:r>
    </w:p>
    <w:p w14:paraId="71BD7DBD">
      <w:pPr>
        <w:pStyle w:val="8"/>
        <w:spacing w:before="152" w:line="302" w:lineRule="auto"/>
        <w:ind w:left="925" w:right="46" w:hanging="900"/>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37.8对于质疑事项中涉及的问题较多、情况比较复杂的，为了全面查清事实、</w:t>
      </w:r>
      <w:r>
        <w:rPr>
          <w:rFonts w:hint="eastAsia" w:ascii="仿宋" w:hAnsi="仿宋" w:eastAsia="仿宋" w:cs="仿宋"/>
          <w:color w:val="auto"/>
          <w:spacing w:val="3"/>
          <w:sz w:val="24"/>
          <w:szCs w:val="24"/>
          <w:highlight w:val="none"/>
        </w:rPr>
        <w:t>取得充分的证据，采购方认为有必要时，可</w:t>
      </w:r>
      <w:r>
        <w:rPr>
          <w:rFonts w:hint="eastAsia" w:ascii="仿宋" w:hAnsi="仿宋" w:eastAsia="仿宋" w:cs="仿宋"/>
          <w:color w:val="auto"/>
          <w:spacing w:val="2"/>
          <w:sz w:val="24"/>
          <w:szCs w:val="24"/>
          <w:highlight w:val="none"/>
        </w:rPr>
        <w:t>以进行调查取证或者组织</w:t>
      </w:r>
      <w:r>
        <w:rPr>
          <w:rFonts w:hint="eastAsia" w:ascii="仿宋" w:hAnsi="仿宋" w:eastAsia="仿宋" w:cs="仿宋"/>
          <w:color w:val="auto"/>
          <w:spacing w:val="-4"/>
          <w:sz w:val="24"/>
          <w:szCs w:val="24"/>
          <w:highlight w:val="none"/>
        </w:rPr>
        <w:t>质证。</w:t>
      </w:r>
    </w:p>
    <w:p w14:paraId="5A88FFA6">
      <w:pPr>
        <w:pStyle w:val="8"/>
        <w:spacing w:before="142" w:line="283" w:lineRule="auto"/>
        <w:ind w:left="919" w:right="126" w:hanging="89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37.9对评审过程、成交结果提出质疑</w:t>
      </w:r>
      <w:r>
        <w:rPr>
          <w:rFonts w:hint="eastAsia" w:ascii="仿宋" w:hAnsi="仿宋" w:eastAsia="仿宋" w:cs="仿宋"/>
          <w:color w:val="auto"/>
          <w:sz w:val="24"/>
          <w:szCs w:val="24"/>
          <w:highlight w:val="none"/>
        </w:rPr>
        <w:t>的，采购方可以组织原评审委员会协助</w:t>
      </w:r>
      <w:r>
        <w:rPr>
          <w:rFonts w:hint="eastAsia" w:ascii="仿宋" w:hAnsi="仿宋" w:eastAsia="仿宋" w:cs="仿宋"/>
          <w:color w:val="auto"/>
          <w:spacing w:val="-1"/>
          <w:sz w:val="24"/>
          <w:szCs w:val="24"/>
          <w:highlight w:val="none"/>
        </w:rPr>
        <w:t>答复质疑。</w:t>
      </w:r>
    </w:p>
    <w:p w14:paraId="026E3D32">
      <w:pPr>
        <w:pStyle w:val="8"/>
        <w:spacing w:before="147" w:line="220" w:lineRule="auto"/>
        <w:ind w:left="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38.质疑处理过程中，质疑人书面申请撤回质疑的</w:t>
      </w:r>
      <w:r>
        <w:rPr>
          <w:rFonts w:hint="eastAsia" w:ascii="仿宋" w:hAnsi="仿宋" w:eastAsia="仿宋" w:cs="仿宋"/>
          <w:color w:val="auto"/>
          <w:spacing w:val="-1"/>
          <w:sz w:val="24"/>
          <w:szCs w:val="24"/>
          <w:highlight w:val="none"/>
        </w:rPr>
        <w:t>，将终止质疑处理程序。</w:t>
      </w:r>
    </w:p>
    <w:p w14:paraId="424156FE">
      <w:pPr>
        <w:pStyle w:val="8"/>
        <w:spacing w:before="154" w:line="299" w:lineRule="auto"/>
        <w:ind w:left="925" w:right="126" w:hanging="90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38.1质疑人拒绝配合采购方依法对质疑进行调</w:t>
      </w:r>
      <w:r>
        <w:rPr>
          <w:rFonts w:hint="eastAsia" w:ascii="仿宋" w:hAnsi="仿宋" w:eastAsia="仿宋" w:cs="仿宋"/>
          <w:color w:val="auto"/>
          <w:spacing w:val="-2"/>
          <w:sz w:val="24"/>
          <w:szCs w:val="24"/>
          <w:highlight w:val="none"/>
        </w:rPr>
        <w:t>查处理的，采购方将按质疑人自</w:t>
      </w:r>
      <w:r>
        <w:rPr>
          <w:rFonts w:hint="eastAsia" w:ascii="仿宋" w:hAnsi="仿宋" w:eastAsia="仿宋" w:cs="仿宋"/>
          <w:color w:val="auto"/>
          <w:spacing w:val="3"/>
          <w:sz w:val="24"/>
          <w:szCs w:val="24"/>
          <w:highlight w:val="none"/>
        </w:rPr>
        <w:t>动撤回质疑处理；被质疑人拒绝配合采购方</w:t>
      </w:r>
      <w:r>
        <w:rPr>
          <w:rFonts w:hint="eastAsia" w:ascii="仿宋" w:hAnsi="仿宋" w:eastAsia="仿宋" w:cs="仿宋"/>
          <w:color w:val="auto"/>
          <w:spacing w:val="2"/>
          <w:sz w:val="24"/>
          <w:szCs w:val="24"/>
          <w:highlight w:val="none"/>
        </w:rPr>
        <w:t>依法对质疑进行调查处理</w:t>
      </w:r>
      <w:r>
        <w:rPr>
          <w:rFonts w:hint="eastAsia" w:ascii="仿宋" w:hAnsi="仿宋" w:eastAsia="仿宋" w:cs="仿宋"/>
          <w:color w:val="auto"/>
          <w:spacing w:val="-1"/>
          <w:sz w:val="24"/>
          <w:szCs w:val="24"/>
          <w:highlight w:val="none"/>
        </w:rPr>
        <w:t>的，采购方将视同其认可质疑事项。</w:t>
      </w:r>
    </w:p>
    <w:p w14:paraId="347E3005">
      <w:pPr>
        <w:pStyle w:val="8"/>
        <w:spacing w:before="153" w:line="299" w:lineRule="auto"/>
        <w:ind w:left="926" w:right="126" w:hanging="90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38.2采购方将在正式受理质疑后7个工作日内作出答复，但处理质疑需要进行</w:t>
      </w:r>
      <w:r>
        <w:rPr>
          <w:rFonts w:hint="eastAsia" w:ascii="仿宋" w:hAnsi="仿宋" w:eastAsia="仿宋" w:cs="仿宋"/>
          <w:color w:val="auto"/>
          <w:spacing w:val="2"/>
          <w:sz w:val="24"/>
          <w:szCs w:val="24"/>
          <w:highlight w:val="none"/>
        </w:rPr>
        <w:t>调查取证、组织专家评审、质疑人及被质疑人提交或补正材料等所需</w:t>
      </w:r>
      <w:r>
        <w:rPr>
          <w:rFonts w:hint="eastAsia" w:ascii="仿宋" w:hAnsi="仿宋" w:eastAsia="仿宋" w:cs="仿宋"/>
          <w:color w:val="auto"/>
          <w:spacing w:val="-1"/>
          <w:sz w:val="24"/>
          <w:szCs w:val="24"/>
          <w:highlight w:val="none"/>
        </w:rPr>
        <w:t>时间，不计算在质疑处理期限内。</w:t>
      </w:r>
    </w:p>
    <w:p w14:paraId="0A84AAC0">
      <w:pPr>
        <w:pStyle w:val="8"/>
        <w:spacing w:before="153" w:line="279" w:lineRule="auto"/>
        <w:ind w:left="921" w:right="84" w:hanging="89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38.3采购方经调查、论证、核实，认定质疑不能成立的，继续开展采购活动；</w:t>
      </w:r>
      <w:r>
        <w:rPr>
          <w:rFonts w:hint="eastAsia" w:ascii="仿宋" w:hAnsi="仿宋" w:eastAsia="仿宋" w:cs="仿宋"/>
          <w:color w:val="auto"/>
          <w:spacing w:val="-1"/>
          <w:sz w:val="24"/>
          <w:szCs w:val="24"/>
          <w:highlight w:val="none"/>
        </w:rPr>
        <w:t>认定质疑成立的，按照以下情况处理：</w:t>
      </w:r>
    </w:p>
    <w:p w14:paraId="00C99385">
      <w:pPr>
        <w:pStyle w:val="8"/>
        <w:spacing w:before="158" w:line="338" w:lineRule="auto"/>
        <w:ind w:left="928" w:right="126" w:hanging="164"/>
        <w:jc w:val="both"/>
        <w:rPr>
          <w:rFonts w:hint="eastAsia" w:ascii="仿宋" w:hAnsi="仿宋" w:eastAsia="仿宋" w:cs="仿宋"/>
          <w:color w:val="auto"/>
          <w:spacing w:val="2"/>
          <w:sz w:val="24"/>
          <w:szCs w:val="24"/>
          <w:highlight w:val="none"/>
        </w:rPr>
      </w:pPr>
      <w:r>
        <w:rPr>
          <w:rFonts w:hint="eastAsia" w:ascii="仿宋" w:hAnsi="仿宋" w:eastAsia="仿宋" w:cs="仿宋"/>
          <w:color w:val="auto"/>
          <w:sz w:val="24"/>
          <w:szCs w:val="24"/>
          <w:highlight w:val="none"/>
        </w:rPr>
        <w:t>（一）对采购文件提出的质疑未对成交结果构成影响的，继续开展采购</w:t>
      </w:r>
      <w:r>
        <w:rPr>
          <w:rFonts w:hint="eastAsia" w:ascii="仿宋" w:hAnsi="仿宋" w:eastAsia="仿宋" w:cs="仿宋"/>
          <w:color w:val="auto"/>
          <w:spacing w:val="2"/>
          <w:sz w:val="24"/>
          <w:szCs w:val="24"/>
          <w:highlight w:val="none"/>
        </w:rPr>
        <w:t>活动；对成交结果构成影响但依法通过澄清或者修改可以继续开展采购活动的，澄清或者修改采购文件后继续开展采购活动，否则应当修改采购文件后重新开展采购活动。</w:t>
      </w:r>
    </w:p>
    <w:p w14:paraId="220777B6">
      <w:pPr>
        <w:pStyle w:val="8"/>
        <w:spacing w:before="158" w:line="338" w:lineRule="auto"/>
        <w:ind w:left="928" w:right="126" w:hanging="164"/>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w:t>
      </w:r>
      <w:bookmarkStart w:id="131" w:name="bookmark44"/>
      <w:bookmarkEnd w:id="131"/>
      <w:r>
        <w:rPr>
          <w:rFonts w:hint="eastAsia" w:ascii="仿宋" w:hAnsi="仿宋" w:eastAsia="仿宋" w:cs="仿宋"/>
          <w:color w:val="auto"/>
          <w:spacing w:val="2"/>
          <w:sz w:val="24"/>
          <w:szCs w:val="24"/>
          <w:highlight w:val="none"/>
        </w:rPr>
        <w:t>购活动。</w:t>
      </w:r>
    </w:p>
    <w:p w14:paraId="45658923">
      <w:pPr>
        <w:pStyle w:val="8"/>
        <w:spacing w:before="136" w:line="439" w:lineRule="exact"/>
        <w:ind w:left="25"/>
        <w:outlineLvl w:val="1"/>
        <w:rPr>
          <w:rFonts w:hint="eastAsia" w:ascii="仿宋" w:hAnsi="仿宋" w:eastAsia="仿宋" w:cs="仿宋"/>
          <w:color w:val="auto"/>
          <w:sz w:val="24"/>
          <w:szCs w:val="24"/>
          <w:highlight w:val="none"/>
        </w:rPr>
      </w:pPr>
      <w:bookmarkStart w:id="132" w:name="_Toc31123"/>
      <w:r>
        <w:rPr>
          <w:rFonts w:hint="eastAsia" w:ascii="仿宋" w:hAnsi="仿宋" w:eastAsia="仿宋" w:cs="仿宋"/>
          <w:color w:val="auto"/>
          <w:spacing w:val="-1"/>
          <w:position w:val="14"/>
          <w:sz w:val="24"/>
          <w:szCs w:val="24"/>
          <w:highlight w:val="none"/>
        </w:rPr>
        <w:t>38.4采购方将书面答复质疑，质疑答复包括下列内容：</w:t>
      </w:r>
      <w:bookmarkEnd w:id="132"/>
    </w:p>
    <w:p w14:paraId="42B871D3">
      <w:pPr>
        <w:pStyle w:val="8"/>
        <w:spacing w:line="227"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（一）质疑人名称；</w:t>
      </w:r>
    </w:p>
    <w:p w14:paraId="312D234F">
      <w:pPr>
        <w:pStyle w:val="8"/>
        <w:spacing w:before="146" w:line="222"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（二）收到质疑函的日期、质疑项目名称及编号;</w:t>
      </w:r>
    </w:p>
    <w:p w14:paraId="3FF77FB2">
      <w:pPr>
        <w:pStyle w:val="8"/>
        <w:spacing w:before="150" w:line="439" w:lineRule="exact"/>
        <w:ind w:firstLine="944" w:firstLineChars="400"/>
        <w:rPr>
          <w:rFonts w:hint="eastAsia" w:ascii="仿宋" w:hAnsi="仿宋" w:eastAsia="仿宋" w:cs="仿宋"/>
          <w:color w:val="auto"/>
          <w:sz w:val="24"/>
          <w:szCs w:val="24"/>
          <w:highlight w:val="none"/>
        </w:rPr>
      </w:pPr>
      <w:r>
        <w:rPr>
          <w:rFonts w:hint="eastAsia" w:ascii="仿宋" w:hAnsi="仿宋" w:eastAsia="仿宋" w:cs="仿宋"/>
          <w:color w:val="auto"/>
          <w:spacing w:val="-2"/>
          <w:position w:val="14"/>
          <w:sz w:val="24"/>
          <w:szCs w:val="24"/>
          <w:highlight w:val="none"/>
        </w:rPr>
        <w:t>(三)质疑事项、质疑答复的具体内容、事实依据和法律依据；</w:t>
      </w:r>
    </w:p>
    <w:p w14:paraId="3FBA4E51">
      <w:pPr>
        <w:pStyle w:val="8"/>
        <w:spacing w:before="1" w:line="223" w:lineRule="auto"/>
        <w:ind w:left="526" w:firstLine="236" w:firstLineChars="10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（四）告知质疑人依法投诉的权利；</w:t>
      </w:r>
    </w:p>
    <w:p w14:paraId="6C2A3164">
      <w:pPr>
        <w:pStyle w:val="8"/>
        <w:spacing w:before="151" w:line="224"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（五）质疑答复日期。</w:t>
      </w:r>
    </w:p>
    <w:p w14:paraId="4F3A3089">
      <w:pPr>
        <w:pStyle w:val="8"/>
        <w:spacing w:before="147" w:line="440" w:lineRule="exact"/>
        <w:ind w:left="491" w:leftChars="11" w:hanging="468" w:hangingChars="200"/>
        <w:rPr>
          <w:rFonts w:hint="eastAsia" w:ascii="仿宋" w:hAnsi="仿宋" w:eastAsia="仿宋" w:cs="仿宋"/>
          <w:color w:val="auto"/>
          <w:spacing w:val="-3"/>
          <w:position w:val="14"/>
          <w:sz w:val="24"/>
          <w:szCs w:val="24"/>
          <w:highlight w:val="none"/>
        </w:rPr>
      </w:pPr>
      <w:r>
        <w:rPr>
          <w:rFonts w:hint="eastAsia" w:ascii="仿宋" w:hAnsi="仿宋" w:eastAsia="仿宋" w:cs="仿宋"/>
          <w:color w:val="auto"/>
          <w:spacing w:val="-3"/>
          <w:position w:val="14"/>
          <w:sz w:val="24"/>
          <w:szCs w:val="24"/>
          <w:highlight w:val="none"/>
        </w:rPr>
        <w:t>38.5质疑人有下列行为之一的，属于虚假、恶意质疑，将由采购方建议财政部门将其列入不良行为记录名单，禁止其1至3年内参加政府采购活动：</w:t>
      </w:r>
    </w:p>
    <w:p w14:paraId="2F4C2834">
      <w:pPr>
        <w:pStyle w:val="8"/>
        <w:spacing w:before="156" w:line="224"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（一）捏造事实；</w:t>
      </w:r>
    </w:p>
    <w:p w14:paraId="67B56546">
      <w:pPr>
        <w:pStyle w:val="8"/>
        <w:spacing w:before="148" w:line="227"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（二）提供虚假材料；</w:t>
      </w:r>
    </w:p>
    <w:p w14:paraId="10318CC6">
      <w:pPr>
        <w:pStyle w:val="8"/>
        <w:spacing w:before="143" w:line="442" w:lineRule="exact"/>
        <w:ind w:left="764"/>
        <w:rPr>
          <w:rFonts w:hint="eastAsia" w:ascii="仿宋" w:hAnsi="仿宋" w:eastAsia="仿宋" w:cs="仿宋"/>
          <w:color w:val="auto"/>
          <w:sz w:val="24"/>
          <w:szCs w:val="24"/>
          <w:highlight w:val="none"/>
        </w:rPr>
      </w:pPr>
      <w:r>
        <w:rPr>
          <w:rFonts w:hint="eastAsia" w:ascii="仿宋" w:hAnsi="仿宋" w:eastAsia="仿宋" w:cs="仿宋"/>
          <w:color w:val="auto"/>
          <w:spacing w:val="-1"/>
          <w:position w:val="15"/>
          <w:sz w:val="24"/>
          <w:szCs w:val="24"/>
          <w:highlight w:val="none"/>
        </w:rPr>
        <w:t>（三）以非法手段取得证明材料或者无法提供证据的合</w:t>
      </w:r>
      <w:r>
        <w:rPr>
          <w:rFonts w:hint="eastAsia" w:ascii="仿宋" w:hAnsi="仿宋" w:eastAsia="仿宋" w:cs="仿宋"/>
          <w:color w:val="auto"/>
          <w:spacing w:val="-2"/>
          <w:position w:val="15"/>
          <w:sz w:val="24"/>
          <w:szCs w:val="24"/>
          <w:highlight w:val="none"/>
        </w:rPr>
        <w:t>法来源；</w:t>
      </w:r>
    </w:p>
    <w:p w14:paraId="2A179595">
      <w:pPr>
        <w:pStyle w:val="8"/>
        <w:spacing w:before="1" w:line="223" w:lineRule="auto"/>
        <w:ind w:left="76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（四）法律法规规定的其他违法情形。</w:t>
      </w:r>
    </w:p>
    <w:p w14:paraId="4AF8C524">
      <w:pPr>
        <w:spacing w:line="223" w:lineRule="auto"/>
        <w:rPr>
          <w:rFonts w:hint="eastAsia" w:ascii="仿宋" w:hAnsi="仿宋" w:eastAsia="仿宋" w:cs="仿宋"/>
          <w:color w:val="auto"/>
          <w:sz w:val="24"/>
          <w:szCs w:val="24"/>
          <w:highlight w:val="none"/>
        </w:rPr>
        <w:sectPr>
          <w:footerReference r:id="rId15" w:type="default"/>
          <w:pgSz w:w="11905" w:h="16838"/>
          <w:pgMar w:top="1440" w:right="1083" w:bottom="1440" w:left="1083" w:header="0" w:footer="1225" w:gutter="0"/>
          <w:pgNumType w:fmt="decimal"/>
          <w:cols w:space="0" w:num="1"/>
          <w:rtlGutter w:val="0"/>
          <w:docGrid w:linePitch="0" w:charSpace="0"/>
        </w:sectPr>
      </w:pPr>
    </w:p>
    <w:p w14:paraId="497B98CA">
      <w:pPr>
        <w:pStyle w:val="8"/>
        <w:spacing w:before="74" w:line="231" w:lineRule="auto"/>
        <w:ind w:left="3271"/>
        <w:outlineLvl w:val="2"/>
        <w:rPr>
          <w:rFonts w:hint="eastAsia" w:ascii="仿宋" w:hAnsi="仿宋" w:eastAsia="仿宋" w:cs="仿宋"/>
          <w:color w:val="auto"/>
          <w:sz w:val="35"/>
          <w:szCs w:val="35"/>
          <w:highlight w:val="none"/>
        </w:rPr>
      </w:pPr>
      <w:bookmarkStart w:id="133" w:name="bookmark46"/>
      <w:bookmarkEnd w:id="133"/>
      <w:bookmarkStart w:id="134" w:name="bookmark45"/>
      <w:bookmarkEnd w:id="134"/>
      <w:bookmarkStart w:id="135" w:name="_Toc24118"/>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质疑函范本</w:t>
      </w:r>
      <w:bookmarkEnd w:id="135"/>
    </w:p>
    <w:p w14:paraId="488F6306">
      <w:pPr>
        <w:pStyle w:val="8"/>
        <w:spacing w:before="76" w:line="398" w:lineRule="exact"/>
        <w:ind w:left="29"/>
        <w:outlineLvl w:val="2"/>
        <w:rPr>
          <w:rFonts w:hint="eastAsia" w:ascii="仿宋" w:hAnsi="仿宋" w:eastAsia="仿宋" w:cs="仿宋"/>
          <w:color w:val="auto"/>
          <w:sz w:val="24"/>
          <w:szCs w:val="24"/>
          <w:highlight w:val="none"/>
        </w:rPr>
      </w:pPr>
      <w:bookmarkStart w:id="136" w:name="_Toc6677"/>
      <w:r>
        <w:rPr>
          <w:rFonts w:hint="eastAsia" w:ascii="仿宋" w:hAnsi="仿宋" w:eastAsia="仿宋" w:cs="仿宋"/>
          <w:color w:val="auto"/>
          <w:spacing w:val="-2"/>
          <w:position w:val="11"/>
          <w:sz w:val="24"/>
          <w:szCs w:val="24"/>
          <w:highlight w:val="none"/>
        </w:rPr>
        <w:t>一、质疑供应商基本信息</w:t>
      </w:r>
      <w:bookmarkEnd w:id="136"/>
    </w:p>
    <w:p w14:paraId="3543FDB3">
      <w:pPr>
        <w:pStyle w:val="8"/>
        <w:spacing w:line="224" w:lineRule="auto"/>
        <w:ind w:left="2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质疑供应商：</w:t>
      </w:r>
    </w:p>
    <w:p w14:paraId="2875468A">
      <w:pPr>
        <w:pStyle w:val="8"/>
        <w:spacing w:before="109" w:line="222"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地址：邮编：</w:t>
      </w:r>
    </w:p>
    <w:p w14:paraId="3BF93DF5">
      <w:pPr>
        <w:pStyle w:val="8"/>
        <w:spacing w:before="111" w:line="399" w:lineRule="exact"/>
        <w:ind w:left="23"/>
        <w:rPr>
          <w:rFonts w:hint="eastAsia" w:ascii="仿宋" w:hAnsi="仿宋" w:eastAsia="仿宋" w:cs="仿宋"/>
          <w:color w:val="auto"/>
          <w:sz w:val="24"/>
          <w:szCs w:val="24"/>
          <w:highlight w:val="none"/>
        </w:rPr>
      </w:pPr>
      <w:r>
        <w:rPr>
          <w:rFonts w:hint="eastAsia" w:ascii="仿宋" w:hAnsi="仿宋" w:eastAsia="仿宋" w:cs="仿宋"/>
          <w:color w:val="auto"/>
          <w:spacing w:val="-1"/>
          <w:position w:val="11"/>
          <w:sz w:val="24"/>
          <w:szCs w:val="24"/>
          <w:highlight w:val="none"/>
        </w:rPr>
        <w:t>联系人：联系电话：</w:t>
      </w:r>
    </w:p>
    <w:p w14:paraId="06B528ED">
      <w:pPr>
        <w:pStyle w:val="8"/>
        <w:spacing w:before="1" w:line="228" w:lineRule="auto"/>
        <w:ind w:left="27"/>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授权代表：</w:t>
      </w:r>
    </w:p>
    <w:p w14:paraId="0916C40F">
      <w:pPr>
        <w:pStyle w:val="8"/>
        <w:spacing w:before="103" w:line="223" w:lineRule="auto"/>
        <w:ind w:left="2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联系电话：</w:t>
      </w:r>
    </w:p>
    <w:p w14:paraId="2122A807">
      <w:pPr>
        <w:pStyle w:val="8"/>
        <w:spacing w:before="111" w:line="222"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地址：邮编：</w:t>
      </w:r>
    </w:p>
    <w:p w14:paraId="6C02612D">
      <w:pPr>
        <w:pStyle w:val="8"/>
        <w:spacing w:before="110" w:line="401" w:lineRule="exact"/>
        <w:ind w:left="26"/>
        <w:outlineLvl w:val="2"/>
        <w:rPr>
          <w:rFonts w:hint="eastAsia" w:ascii="仿宋" w:hAnsi="仿宋" w:eastAsia="仿宋" w:cs="仿宋"/>
          <w:color w:val="auto"/>
          <w:sz w:val="24"/>
          <w:szCs w:val="24"/>
          <w:highlight w:val="none"/>
        </w:rPr>
      </w:pPr>
      <w:bookmarkStart w:id="137" w:name="_Toc14676"/>
      <w:r>
        <w:rPr>
          <w:rFonts w:hint="eastAsia" w:ascii="仿宋" w:hAnsi="仿宋" w:eastAsia="仿宋" w:cs="仿宋"/>
          <w:color w:val="auto"/>
          <w:spacing w:val="-2"/>
          <w:position w:val="11"/>
          <w:sz w:val="24"/>
          <w:szCs w:val="24"/>
          <w:highlight w:val="none"/>
        </w:rPr>
        <w:t>二、质疑项目基本情况</w:t>
      </w:r>
      <w:bookmarkEnd w:id="137"/>
    </w:p>
    <w:p w14:paraId="09A0CD72">
      <w:pPr>
        <w:pStyle w:val="8"/>
        <w:spacing w:line="227" w:lineRule="auto"/>
        <w:ind w:left="2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质疑项目的名称：</w:t>
      </w:r>
    </w:p>
    <w:p w14:paraId="3325BC10">
      <w:pPr>
        <w:pStyle w:val="8"/>
        <w:spacing w:before="105" w:line="399" w:lineRule="exact"/>
        <w:ind w:left="26"/>
        <w:rPr>
          <w:rFonts w:hint="eastAsia" w:ascii="仿宋" w:hAnsi="仿宋" w:eastAsia="仿宋" w:cs="仿宋"/>
          <w:color w:val="auto"/>
          <w:sz w:val="24"/>
          <w:szCs w:val="24"/>
          <w:highlight w:val="none"/>
        </w:rPr>
      </w:pPr>
      <w:r>
        <w:rPr>
          <w:rFonts w:hint="eastAsia" w:ascii="仿宋" w:hAnsi="仿宋" w:eastAsia="仿宋" w:cs="仿宋"/>
          <w:color w:val="auto"/>
          <w:spacing w:val="-1"/>
          <w:position w:val="11"/>
          <w:sz w:val="24"/>
          <w:szCs w:val="24"/>
          <w:highlight w:val="none"/>
        </w:rPr>
        <w:t>质疑项目的编号：</w:t>
      </w:r>
      <w:r>
        <w:rPr>
          <w:rFonts w:hint="eastAsia" w:ascii="仿宋" w:hAnsi="仿宋" w:eastAsia="仿宋" w:cs="仿宋"/>
          <w:color w:val="auto"/>
          <w:spacing w:val="-1"/>
          <w:position w:val="11"/>
          <w:sz w:val="24"/>
          <w:szCs w:val="24"/>
          <w:highlight w:val="none"/>
          <w:lang w:eastAsia="zh-CN"/>
        </w:rPr>
        <w:t>标项</w:t>
      </w:r>
      <w:r>
        <w:rPr>
          <w:rFonts w:hint="eastAsia" w:ascii="仿宋" w:hAnsi="仿宋" w:eastAsia="仿宋" w:cs="仿宋"/>
          <w:color w:val="auto"/>
          <w:spacing w:val="-1"/>
          <w:position w:val="11"/>
          <w:sz w:val="24"/>
          <w:szCs w:val="24"/>
          <w:highlight w:val="none"/>
        </w:rPr>
        <w:t>：</w:t>
      </w:r>
    </w:p>
    <w:p w14:paraId="6A8B15FF">
      <w:pPr>
        <w:pStyle w:val="8"/>
        <w:spacing w:line="227" w:lineRule="auto"/>
        <w:ind w:left="2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采购人名称：</w:t>
      </w:r>
    </w:p>
    <w:p w14:paraId="2587D3C5">
      <w:pPr>
        <w:pStyle w:val="8"/>
        <w:spacing w:before="106" w:line="224" w:lineRule="auto"/>
        <w:ind w:left="2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采购文件获取日期：</w:t>
      </w:r>
    </w:p>
    <w:p w14:paraId="3A3CEFD0">
      <w:pPr>
        <w:pStyle w:val="8"/>
        <w:spacing w:before="109" w:line="398" w:lineRule="exact"/>
        <w:ind w:left="22"/>
        <w:outlineLvl w:val="2"/>
        <w:rPr>
          <w:rFonts w:hint="eastAsia" w:ascii="仿宋" w:hAnsi="仿宋" w:eastAsia="仿宋" w:cs="仿宋"/>
          <w:color w:val="auto"/>
          <w:sz w:val="24"/>
          <w:szCs w:val="24"/>
          <w:highlight w:val="none"/>
        </w:rPr>
      </w:pPr>
      <w:bookmarkStart w:id="138" w:name="_Toc29297"/>
      <w:r>
        <w:rPr>
          <w:rFonts w:hint="eastAsia" w:ascii="仿宋" w:hAnsi="仿宋" w:eastAsia="仿宋" w:cs="仿宋"/>
          <w:color w:val="auto"/>
          <w:spacing w:val="-1"/>
          <w:position w:val="11"/>
          <w:sz w:val="24"/>
          <w:szCs w:val="24"/>
          <w:highlight w:val="none"/>
        </w:rPr>
        <w:t>三、质疑事项具体内容</w:t>
      </w:r>
      <w:bookmarkEnd w:id="138"/>
    </w:p>
    <w:p w14:paraId="13B80472">
      <w:pPr>
        <w:pStyle w:val="8"/>
        <w:spacing w:before="1" w:line="224" w:lineRule="auto"/>
        <w:ind w:left="26"/>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质疑事项1：</w:t>
      </w:r>
    </w:p>
    <w:p w14:paraId="15F0AC14">
      <w:pPr>
        <w:pStyle w:val="8"/>
        <w:spacing w:before="109" w:line="401" w:lineRule="exact"/>
        <w:ind w:left="34"/>
        <w:rPr>
          <w:rFonts w:hint="eastAsia" w:ascii="仿宋" w:hAnsi="仿宋" w:eastAsia="仿宋" w:cs="仿宋"/>
          <w:color w:val="auto"/>
          <w:sz w:val="24"/>
          <w:szCs w:val="24"/>
          <w:highlight w:val="none"/>
        </w:rPr>
      </w:pPr>
      <w:r>
        <w:rPr>
          <w:rFonts w:hint="eastAsia" w:ascii="仿宋" w:hAnsi="仿宋" w:eastAsia="仿宋" w:cs="仿宋"/>
          <w:color w:val="auto"/>
          <w:spacing w:val="-4"/>
          <w:position w:val="11"/>
          <w:sz w:val="24"/>
          <w:szCs w:val="24"/>
          <w:highlight w:val="none"/>
        </w:rPr>
        <w:t>事实依据：</w:t>
      </w:r>
    </w:p>
    <w:p w14:paraId="718E0E83">
      <w:pPr>
        <w:pStyle w:val="8"/>
        <w:spacing w:before="1" w:line="223" w:lineRule="auto"/>
        <w:ind w:left="43"/>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法律依据：</w:t>
      </w:r>
    </w:p>
    <w:p w14:paraId="5ED06810">
      <w:pPr>
        <w:pStyle w:val="8"/>
        <w:spacing w:before="108" w:line="224" w:lineRule="auto"/>
        <w:ind w:left="2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质疑事项2</w:t>
      </w:r>
    </w:p>
    <w:p w14:paraId="773AA3CB">
      <w:pPr>
        <w:pStyle w:val="8"/>
        <w:spacing w:before="109" w:line="382" w:lineRule="exact"/>
        <w:ind w:left="40"/>
        <w:rPr>
          <w:rFonts w:hint="eastAsia" w:ascii="仿宋" w:hAnsi="仿宋" w:eastAsia="仿宋" w:cs="仿宋"/>
          <w:color w:val="auto"/>
          <w:sz w:val="24"/>
          <w:szCs w:val="24"/>
          <w:highlight w:val="none"/>
        </w:rPr>
      </w:pPr>
      <w:r>
        <w:rPr>
          <w:rFonts w:hint="eastAsia" w:ascii="仿宋" w:hAnsi="仿宋" w:eastAsia="仿宋" w:cs="仿宋"/>
          <w:color w:val="auto"/>
          <w:spacing w:val="-13"/>
          <w:position w:val="3"/>
          <w:sz w:val="24"/>
          <w:szCs w:val="24"/>
          <w:highlight w:val="none"/>
        </w:rPr>
        <w:t>……</w:t>
      </w:r>
    </w:p>
    <w:p w14:paraId="1B078DAC">
      <w:pPr>
        <w:pStyle w:val="8"/>
        <w:spacing w:before="19" w:line="398" w:lineRule="exact"/>
        <w:ind w:left="37"/>
        <w:outlineLvl w:val="2"/>
        <w:rPr>
          <w:rFonts w:hint="eastAsia" w:ascii="仿宋" w:hAnsi="仿宋" w:eastAsia="仿宋" w:cs="仿宋"/>
          <w:color w:val="auto"/>
          <w:sz w:val="24"/>
          <w:szCs w:val="24"/>
          <w:highlight w:val="none"/>
        </w:rPr>
      </w:pPr>
      <w:bookmarkStart w:id="139" w:name="_Toc5184"/>
      <w:r>
        <w:rPr>
          <w:rFonts w:hint="eastAsia" w:ascii="仿宋" w:hAnsi="仿宋" w:eastAsia="仿宋" w:cs="仿宋"/>
          <w:color w:val="auto"/>
          <w:spacing w:val="-2"/>
          <w:position w:val="11"/>
          <w:sz w:val="24"/>
          <w:szCs w:val="24"/>
          <w:highlight w:val="none"/>
        </w:rPr>
        <w:t>四、与质疑事项相关的质疑请求</w:t>
      </w:r>
      <w:bookmarkEnd w:id="139"/>
    </w:p>
    <w:p w14:paraId="7B63DAEB">
      <w:pPr>
        <w:pStyle w:val="8"/>
        <w:spacing w:line="227" w:lineRule="auto"/>
        <w:ind w:left="27"/>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请求：</w:t>
      </w:r>
    </w:p>
    <w:p w14:paraId="64DFBE64">
      <w:pPr>
        <w:pStyle w:val="8"/>
        <w:spacing w:before="106" w:line="223" w:lineRule="auto"/>
        <w:ind w:left="2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签字(签章)：公章：</w:t>
      </w:r>
    </w:p>
    <w:p w14:paraId="3D826A7B">
      <w:pPr>
        <w:pStyle w:val="8"/>
        <w:spacing w:before="111" w:line="224" w:lineRule="auto"/>
        <w:ind w:left="76"/>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日期：</w:t>
      </w:r>
    </w:p>
    <w:p w14:paraId="7E9B77CB">
      <w:pPr>
        <w:spacing w:line="269" w:lineRule="auto"/>
        <w:rPr>
          <w:rFonts w:hint="eastAsia" w:ascii="仿宋" w:hAnsi="仿宋" w:eastAsia="仿宋" w:cs="仿宋"/>
          <w:color w:val="auto"/>
          <w:sz w:val="21"/>
          <w:highlight w:val="none"/>
        </w:rPr>
      </w:pPr>
    </w:p>
    <w:p w14:paraId="11601AEF">
      <w:pPr>
        <w:pStyle w:val="8"/>
        <w:spacing w:before="79" w:line="223" w:lineRule="auto"/>
        <w:ind w:left="2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质疑函制作说明：</w:t>
      </w:r>
    </w:p>
    <w:p w14:paraId="7806A040">
      <w:pPr>
        <w:pStyle w:val="8"/>
        <w:spacing w:before="27" w:line="220" w:lineRule="auto"/>
        <w:ind w:left="518"/>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1.供应商提出质疑时，应提交质疑函和必要的证明材料。</w:t>
      </w:r>
    </w:p>
    <w:p w14:paraId="6DE48B4C">
      <w:pPr>
        <w:pStyle w:val="8"/>
        <w:spacing w:before="31" w:line="237" w:lineRule="auto"/>
        <w:ind w:left="28" w:firstLine="4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w:t>
      </w:r>
      <w:r>
        <w:rPr>
          <w:rFonts w:hint="eastAsia" w:ascii="仿宋" w:hAnsi="仿宋" w:eastAsia="仿宋" w:cs="仿宋"/>
          <w:color w:val="auto"/>
          <w:spacing w:val="-1"/>
          <w:sz w:val="24"/>
          <w:szCs w:val="24"/>
          <w:highlight w:val="none"/>
        </w:rPr>
        <w:t>质疑函应按要求列明“授权代表”</w:t>
      </w:r>
      <w:r>
        <w:rPr>
          <w:rFonts w:hint="eastAsia" w:ascii="仿宋" w:hAnsi="仿宋" w:eastAsia="仿宋" w:cs="仿宋"/>
          <w:color w:val="auto"/>
          <w:sz w:val="24"/>
          <w:szCs w:val="24"/>
          <w:highlight w:val="none"/>
        </w:rPr>
        <w:t>的有关内容，并在附件中提交由质疑供应商签</w:t>
      </w:r>
      <w:r>
        <w:rPr>
          <w:rFonts w:hint="eastAsia" w:ascii="仿宋" w:hAnsi="仿宋" w:eastAsia="仿宋" w:cs="仿宋"/>
          <w:color w:val="auto"/>
          <w:spacing w:val="-1"/>
          <w:sz w:val="24"/>
          <w:szCs w:val="24"/>
          <w:highlight w:val="none"/>
        </w:rPr>
        <w:t>署的授权委托书。授权委托书应载明代理人的姓名或者名称、代理事项、具体权限、期限和相关事项。</w:t>
      </w:r>
    </w:p>
    <w:p w14:paraId="1E0FA936">
      <w:pPr>
        <w:pStyle w:val="8"/>
        <w:spacing w:before="25" w:line="232" w:lineRule="auto"/>
        <w:ind w:left="499" w:right="150" w:firstLine="6"/>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3.质疑供应商若对项目的某一分包进行质疑，质疑函中应列明具体分</w:t>
      </w:r>
      <w:r>
        <w:rPr>
          <w:rFonts w:hint="eastAsia" w:ascii="仿宋" w:hAnsi="仿宋" w:eastAsia="仿宋" w:cs="仿宋"/>
          <w:color w:val="auto"/>
          <w:spacing w:val="-4"/>
          <w:sz w:val="24"/>
          <w:szCs w:val="24"/>
          <w:highlight w:val="none"/>
          <w:lang w:eastAsia="zh-CN"/>
        </w:rPr>
        <w:t>标项</w:t>
      </w:r>
      <w:r>
        <w:rPr>
          <w:rFonts w:hint="eastAsia" w:ascii="仿宋" w:hAnsi="仿宋" w:eastAsia="仿宋" w:cs="仿宋"/>
          <w:color w:val="auto"/>
          <w:spacing w:val="-4"/>
          <w:sz w:val="24"/>
          <w:szCs w:val="24"/>
          <w:highlight w:val="none"/>
        </w:rPr>
        <w:t>。</w:t>
      </w:r>
    </w:p>
    <w:p w14:paraId="61F1C30C">
      <w:pPr>
        <w:pStyle w:val="8"/>
        <w:spacing w:before="25" w:line="232" w:lineRule="auto"/>
        <w:ind w:left="499" w:right="150" w:firstLine="6"/>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4.质疑函的质疑事项应具体、明确，并有必要的事实依据和法律依据。</w:t>
      </w:r>
    </w:p>
    <w:p w14:paraId="429F09B1">
      <w:pPr>
        <w:pStyle w:val="8"/>
        <w:spacing w:before="25" w:line="232" w:lineRule="auto"/>
        <w:ind w:left="499" w:right="150" w:firstLine="6"/>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5.质疑函的质疑请求应与质疑事项相关。</w:t>
      </w:r>
    </w:p>
    <w:p w14:paraId="78BA2B4B">
      <w:pPr>
        <w:pStyle w:val="8"/>
        <w:spacing w:before="25" w:line="232" w:lineRule="auto"/>
        <w:ind w:left="499" w:right="150" w:firstLine="6"/>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6.质疑供应商为自然人的，质疑函应由本人签字；质疑供应商为法人或者其他组织的，质疑函应由法定代表人、主要负责人，或者其授权代表签字或者盖章，并加盖公章。</w:t>
      </w:r>
    </w:p>
    <w:p w14:paraId="0ACCE6B6">
      <w:pPr>
        <w:spacing w:line="220" w:lineRule="auto"/>
        <w:rPr>
          <w:rFonts w:hint="eastAsia" w:ascii="仿宋" w:hAnsi="仿宋" w:eastAsia="仿宋" w:cs="仿宋"/>
          <w:color w:val="auto"/>
          <w:sz w:val="24"/>
          <w:szCs w:val="24"/>
          <w:highlight w:val="none"/>
        </w:rPr>
        <w:sectPr>
          <w:footerReference r:id="rId16" w:type="default"/>
          <w:pgSz w:w="11905" w:h="16838"/>
          <w:pgMar w:top="1440" w:right="1083" w:bottom="1440" w:left="1083" w:header="0" w:footer="1225" w:gutter="0"/>
          <w:pgNumType w:fmt="decimal"/>
          <w:cols w:space="0" w:num="1"/>
          <w:rtlGutter w:val="0"/>
          <w:docGrid w:linePitch="0" w:charSpace="0"/>
        </w:sectPr>
      </w:pPr>
    </w:p>
    <w:p w14:paraId="168F79DD">
      <w:pPr>
        <w:pStyle w:val="8"/>
        <w:spacing w:before="155" w:line="227" w:lineRule="auto"/>
        <w:ind w:left="4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附件1：履约保证金保函（格式）</w:t>
      </w:r>
    </w:p>
    <w:p w14:paraId="2CA5A19F">
      <w:pPr>
        <w:pStyle w:val="8"/>
        <w:spacing w:before="144" w:line="225" w:lineRule="auto"/>
        <w:ind w:left="3598"/>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4"/>
          <w:sz w:val="24"/>
          <w:szCs w:val="24"/>
          <w:highlight w:val="none"/>
        </w:rPr>
        <w:t>本项目不适用</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14"/>
          <w:sz w:val="24"/>
          <w:szCs w:val="24"/>
          <w:highlight w:val="none"/>
          <w14:textOutline w14:w="4358" w14:cap="sq" w14:cmpd="sng">
            <w14:solidFill>
              <w14:srgbClr w14:val="000000"/>
            </w14:solidFill>
            <w14:prstDash w14:val="solid"/>
            <w14:bevel/>
          </w14:textOutline>
        </w:rPr>
        <w:t>）</w:t>
      </w:r>
    </w:p>
    <w:p w14:paraId="7D0F0D48">
      <w:pPr>
        <w:spacing w:line="253" w:lineRule="auto"/>
        <w:rPr>
          <w:rFonts w:hint="eastAsia" w:ascii="仿宋" w:hAnsi="仿宋" w:eastAsia="仿宋" w:cs="仿宋"/>
          <w:color w:val="auto"/>
          <w:sz w:val="21"/>
          <w:highlight w:val="none"/>
        </w:rPr>
      </w:pPr>
    </w:p>
    <w:p w14:paraId="2C9F25D1">
      <w:pPr>
        <w:spacing w:line="254" w:lineRule="auto"/>
        <w:rPr>
          <w:rFonts w:hint="eastAsia" w:ascii="仿宋" w:hAnsi="仿宋" w:eastAsia="仿宋" w:cs="仿宋"/>
          <w:color w:val="auto"/>
          <w:sz w:val="21"/>
          <w:highlight w:val="none"/>
        </w:rPr>
      </w:pPr>
    </w:p>
    <w:p w14:paraId="5A6AD623">
      <w:pPr>
        <w:pStyle w:val="8"/>
        <w:spacing w:before="78" w:line="232" w:lineRule="auto"/>
        <w:ind w:left="30"/>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致:(</w:t>
      </w:r>
      <w:r>
        <w:rPr>
          <w:rFonts w:hint="eastAsia" w:ascii="仿宋" w:hAnsi="仿宋" w:eastAsia="仿宋" w:cs="仿宋"/>
          <w:color w:val="auto"/>
          <w:spacing w:val="-9"/>
          <w:sz w:val="24"/>
          <w:szCs w:val="24"/>
          <w:highlight w:val="none"/>
          <w:u w:val="single" w:color="auto"/>
        </w:rPr>
        <w:t>买方名称</w:t>
      </w:r>
      <w:r>
        <w:rPr>
          <w:rFonts w:hint="eastAsia" w:ascii="仿宋" w:hAnsi="仿宋" w:eastAsia="仿宋" w:cs="仿宋"/>
          <w:color w:val="auto"/>
          <w:spacing w:val="-9"/>
          <w:sz w:val="24"/>
          <w:szCs w:val="24"/>
          <w:highlight w:val="none"/>
        </w:rPr>
        <w:t>)</w:t>
      </w:r>
    </w:p>
    <w:p w14:paraId="33B922D7">
      <w:pPr>
        <w:pStyle w:val="8"/>
        <w:tabs>
          <w:tab w:val="left" w:pos="4322"/>
        </w:tabs>
        <w:spacing w:before="137" w:line="223" w:lineRule="auto"/>
        <w:ind w:left="27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pacing w:val="-3"/>
          <w:sz w:val="24"/>
          <w:szCs w:val="24"/>
          <w:highlight w:val="none"/>
        </w:rPr>
        <w:t>号合同履约保函</w:t>
      </w:r>
    </w:p>
    <w:p w14:paraId="499B8EE8">
      <w:pPr>
        <w:spacing w:line="254" w:lineRule="auto"/>
        <w:rPr>
          <w:rFonts w:hint="eastAsia" w:ascii="仿宋" w:hAnsi="仿宋" w:eastAsia="仿宋" w:cs="仿宋"/>
          <w:color w:val="auto"/>
          <w:sz w:val="21"/>
          <w:highlight w:val="none"/>
        </w:rPr>
      </w:pPr>
    </w:p>
    <w:p w14:paraId="54B706B9">
      <w:pPr>
        <w:spacing w:line="255" w:lineRule="auto"/>
        <w:rPr>
          <w:rFonts w:hint="eastAsia" w:ascii="仿宋" w:hAnsi="仿宋" w:eastAsia="仿宋" w:cs="仿宋"/>
          <w:color w:val="auto"/>
          <w:sz w:val="21"/>
          <w:highlight w:val="none"/>
        </w:rPr>
      </w:pPr>
    </w:p>
    <w:p w14:paraId="12D22015">
      <w:pPr>
        <w:pStyle w:val="8"/>
        <w:spacing w:before="78" w:line="338" w:lineRule="auto"/>
        <w:ind w:left="26" w:right="126" w:firstLine="607"/>
        <w:jc w:val="both"/>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rPr>
        <w:t>本保函作为贵方与(卖方名称)(以下简称卖方)于年月日就项目(以下简称项目)项下提供(货物名称)(以下简称货物)签订的(合同号)号合同的履约保函。(出具保函的银行名称)(以下简称银行)无条件地、不可撤销地具结保证本行、其继承人和受让人无追索地向贵方以(货币名称)支付总额不超过(货币数量),即相当于合同价格的</w:t>
      </w:r>
    </w:p>
    <w:p w14:paraId="0DDBCA3C">
      <w:pPr>
        <w:pStyle w:val="8"/>
        <w:spacing w:before="78" w:line="338" w:lineRule="auto"/>
        <w:ind w:right="126"/>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%,并以此约定如下:</w:t>
      </w:r>
    </w:p>
    <w:p w14:paraId="5F64B360">
      <w:pPr>
        <w:pStyle w:val="8"/>
        <w:spacing w:before="78" w:line="338" w:lineRule="auto"/>
        <w:ind w:left="26" w:right="126" w:firstLine="607"/>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只要贵方确定卖方未能忠实地履行所有合同文件的规定和双方此后一致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C64BEAF">
      <w:pPr>
        <w:pStyle w:val="8"/>
        <w:spacing w:before="78" w:line="338" w:lineRule="auto"/>
        <w:ind w:left="26" w:right="126" w:firstLine="607"/>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2.本保函项下的任何支付应为免税和净值。对于现有或将来的税收、关税、收费、费用扣减或预提税款，不论这些款项是何种性质和由谁征收，都不应从本保函项下的支付中扣除。</w:t>
      </w:r>
    </w:p>
    <w:p w14:paraId="649D3FD3">
      <w:pPr>
        <w:pStyle w:val="8"/>
        <w:spacing w:before="78" w:line="338" w:lineRule="auto"/>
        <w:ind w:left="26" w:right="126" w:firstLine="607"/>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5111EB2">
      <w:pPr>
        <w:pStyle w:val="8"/>
        <w:spacing w:before="78" w:line="338" w:lineRule="auto"/>
        <w:ind w:left="26" w:right="126" w:firstLine="607"/>
        <w:jc w:val="both"/>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4.本保函在本合同规定的保证期期满前完全有效。</w:t>
      </w:r>
    </w:p>
    <w:p w14:paraId="18F5CE28">
      <w:pPr>
        <w:spacing w:line="253" w:lineRule="auto"/>
        <w:rPr>
          <w:rFonts w:hint="eastAsia" w:ascii="仿宋" w:hAnsi="仿宋" w:eastAsia="仿宋" w:cs="仿宋"/>
          <w:color w:val="auto"/>
          <w:sz w:val="21"/>
          <w:highlight w:val="none"/>
        </w:rPr>
      </w:pPr>
    </w:p>
    <w:p w14:paraId="1393AAFE">
      <w:pPr>
        <w:spacing w:line="254" w:lineRule="auto"/>
        <w:rPr>
          <w:rFonts w:hint="eastAsia" w:ascii="仿宋" w:hAnsi="仿宋" w:eastAsia="仿宋" w:cs="仿宋"/>
          <w:color w:val="auto"/>
          <w:sz w:val="21"/>
          <w:highlight w:val="none"/>
        </w:rPr>
      </w:pPr>
    </w:p>
    <w:p w14:paraId="224EF3E3">
      <w:pPr>
        <w:pStyle w:val="8"/>
        <w:spacing w:before="79" w:line="235" w:lineRule="auto"/>
        <w:ind w:left="567"/>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谨启</w:t>
      </w:r>
    </w:p>
    <w:p w14:paraId="586C60A2">
      <w:pPr>
        <w:pStyle w:val="8"/>
        <w:spacing w:before="135" w:line="338" w:lineRule="auto"/>
        <w:ind w:left="59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rPr>
        <w:t>出具保函银行名称：</w:t>
      </w:r>
    </w:p>
    <w:p w14:paraId="393D5FB0">
      <w:pPr>
        <w:pStyle w:val="8"/>
        <w:spacing w:before="1" w:line="222" w:lineRule="auto"/>
        <w:ind w:left="56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签字人姓名和职务：</w:t>
      </w:r>
    </w:p>
    <w:p w14:paraId="2D335D6B">
      <w:pPr>
        <w:pStyle w:val="8"/>
        <w:spacing w:before="150" w:line="223" w:lineRule="auto"/>
        <w:ind w:left="56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签字人签名：</w:t>
      </w:r>
    </w:p>
    <w:p w14:paraId="03D19705">
      <w:pPr>
        <w:pStyle w:val="8"/>
        <w:spacing w:before="152" w:line="225" w:lineRule="auto"/>
        <w:ind w:left="558"/>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公章：</w:t>
      </w:r>
    </w:p>
    <w:p w14:paraId="18D15969">
      <w:pPr>
        <w:spacing w:line="225" w:lineRule="auto"/>
        <w:rPr>
          <w:rFonts w:hint="eastAsia" w:ascii="仿宋" w:hAnsi="仿宋" w:eastAsia="仿宋" w:cs="仿宋"/>
          <w:color w:val="auto"/>
          <w:sz w:val="24"/>
          <w:szCs w:val="24"/>
          <w:highlight w:val="none"/>
        </w:rPr>
        <w:sectPr>
          <w:footerReference r:id="rId17" w:type="default"/>
          <w:pgSz w:w="11905" w:h="16838"/>
          <w:pgMar w:top="1440" w:right="1083" w:bottom="1440" w:left="1083" w:header="0" w:footer="1225" w:gutter="0"/>
          <w:pgNumType w:fmt="decimal"/>
          <w:cols w:space="0" w:num="1"/>
          <w:rtlGutter w:val="0"/>
          <w:docGrid w:linePitch="0" w:charSpace="0"/>
        </w:sectPr>
      </w:pPr>
    </w:p>
    <w:p w14:paraId="2623C459">
      <w:pPr>
        <w:pStyle w:val="8"/>
        <w:spacing w:before="155" w:line="227" w:lineRule="auto"/>
        <w:jc w:val="center"/>
        <w:outlineLvl w:val="2"/>
        <w:rPr>
          <w:rFonts w:hint="eastAsia" w:ascii="仿宋" w:hAnsi="仿宋" w:eastAsia="仿宋" w:cs="仿宋"/>
          <w:color w:val="auto"/>
          <w:sz w:val="24"/>
          <w:szCs w:val="24"/>
          <w:highlight w:val="none"/>
        </w:rPr>
      </w:pPr>
      <w:bookmarkStart w:id="140" w:name="bookmark47"/>
      <w:bookmarkEnd w:id="140"/>
      <w:bookmarkStart w:id="141" w:name="bookmark48"/>
      <w:bookmarkEnd w:id="141"/>
      <w:bookmarkStart w:id="142" w:name="_Toc21071"/>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附件2：履约担保函格式</w:t>
      </w:r>
      <w:bookmarkEnd w:id="142"/>
    </w:p>
    <w:p w14:paraId="2A454365">
      <w:pPr>
        <w:pStyle w:val="8"/>
        <w:spacing w:before="144" w:line="227" w:lineRule="auto"/>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（采用政府采购信用担保形式时使用）</w:t>
      </w:r>
    </w:p>
    <w:p w14:paraId="19C9EF3E">
      <w:pPr>
        <w:spacing w:line="252" w:lineRule="auto"/>
        <w:rPr>
          <w:rFonts w:hint="eastAsia" w:ascii="仿宋" w:hAnsi="仿宋" w:eastAsia="仿宋" w:cs="仿宋"/>
          <w:color w:val="auto"/>
          <w:sz w:val="21"/>
          <w:highlight w:val="none"/>
        </w:rPr>
      </w:pPr>
    </w:p>
    <w:p w14:paraId="0B684464">
      <w:pPr>
        <w:pStyle w:val="8"/>
        <w:spacing w:before="78" w:line="339" w:lineRule="auto"/>
        <w:ind w:right="126"/>
        <w:jc w:val="center"/>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政府采购履约担保函</w:t>
      </w:r>
    </w:p>
    <w:p w14:paraId="260BD138">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编号：</w:t>
      </w:r>
    </w:p>
    <w:p w14:paraId="02D5DC92">
      <w:pPr>
        <w:pStyle w:val="8"/>
        <w:spacing w:before="78" w:line="339" w:lineRule="auto"/>
        <w:ind w:right="126" w:firstLine="224" w:firstLineChars="1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（采购人）：</w:t>
      </w:r>
    </w:p>
    <w:p w14:paraId="68CE5B81">
      <w:pPr>
        <w:pStyle w:val="8"/>
        <w:spacing w:before="78" w:line="339" w:lineRule="auto"/>
        <w:ind w:right="126" w:firstLine="896" w:firstLineChars="40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鉴于你方与（以下简称供应商）于年月日签定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14:paraId="4C357CC0">
      <w:pPr>
        <w:pStyle w:val="8"/>
        <w:spacing w:before="78" w:line="339" w:lineRule="auto"/>
        <w:ind w:left="21" w:right="126" w:firstLine="490"/>
        <w:outlineLvl w:val="2"/>
        <w:rPr>
          <w:rFonts w:hint="eastAsia" w:ascii="仿宋" w:hAnsi="仿宋" w:eastAsia="仿宋" w:cs="仿宋"/>
          <w:color w:val="auto"/>
          <w:spacing w:val="-8"/>
          <w:sz w:val="24"/>
          <w:szCs w:val="24"/>
          <w:highlight w:val="none"/>
        </w:rPr>
      </w:pPr>
      <w:bookmarkStart w:id="143" w:name="_Toc19673"/>
      <w:r>
        <w:rPr>
          <w:rFonts w:hint="eastAsia" w:ascii="仿宋" w:hAnsi="仿宋" w:eastAsia="仿宋" w:cs="仿宋"/>
          <w:color w:val="auto"/>
          <w:spacing w:val="-8"/>
          <w:sz w:val="24"/>
          <w:szCs w:val="24"/>
          <w:highlight w:val="none"/>
        </w:rPr>
        <w:t>一、保证责任的情形及保证金额</w:t>
      </w:r>
      <w:bookmarkEnd w:id="143"/>
    </w:p>
    <w:p w14:paraId="76DFCD1E">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（一）在供应商出现下列情形之一时，我方承担保证责任：</w:t>
      </w:r>
    </w:p>
    <w:p w14:paraId="2F85F9AB">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1．将中标项目转让给他人，或者在投标文件中未说明，且未经采购招标机</w:t>
      </w:r>
    </w:p>
    <w:p w14:paraId="380ED911">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构人同意，将中标项目分包给他人的；</w:t>
      </w:r>
    </w:p>
    <w:p w14:paraId="69FA28EC">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2．主合同约定的应当缴纳履约保证金的情形:</w:t>
      </w:r>
    </w:p>
    <w:p w14:paraId="7F3032E6">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（1）未按主合同约定的质量、数量和期限供应货物/提供服务/完成工程的；</w:t>
      </w:r>
    </w:p>
    <w:p w14:paraId="5BBA81EB">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w:t>
      </w:r>
    </w:p>
    <w:p w14:paraId="383D2B3B">
      <w:pPr>
        <w:pStyle w:val="8"/>
        <w:spacing w:before="78" w:line="339" w:lineRule="auto"/>
        <w:ind w:left="479" w:leftChars="228" w:right="126" w:firstLine="0" w:firstLineChars="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（二）我方的保证范围是主合同约定的合同价款总额的%数额为元（大写），币种为。（即主合同履约保证金金额）</w:t>
      </w:r>
    </w:p>
    <w:p w14:paraId="5198E410">
      <w:pPr>
        <w:pStyle w:val="8"/>
        <w:spacing w:before="78" w:line="339" w:lineRule="auto"/>
        <w:ind w:left="21" w:right="126" w:firstLine="490"/>
        <w:outlineLvl w:val="2"/>
        <w:rPr>
          <w:rFonts w:hint="eastAsia" w:ascii="仿宋" w:hAnsi="仿宋" w:eastAsia="仿宋" w:cs="仿宋"/>
          <w:color w:val="auto"/>
          <w:spacing w:val="-8"/>
          <w:sz w:val="24"/>
          <w:szCs w:val="24"/>
          <w:highlight w:val="none"/>
        </w:rPr>
      </w:pPr>
      <w:bookmarkStart w:id="144" w:name="_Toc8585"/>
      <w:r>
        <w:rPr>
          <w:rFonts w:hint="eastAsia" w:ascii="仿宋" w:hAnsi="仿宋" w:eastAsia="仿宋" w:cs="仿宋"/>
          <w:color w:val="auto"/>
          <w:spacing w:val="-8"/>
          <w:sz w:val="24"/>
          <w:szCs w:val="24"/>
          <w:highlight w:val="none"/>
        </w:rPr>
        <w:t>二、保证的方式及保证期间</w:t>
      </w:r>
      <w:bookmarkEnd w:id="144"/>
    </w:p>
    <w:p w14:paraId="75736556">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我方保证的方式为：连带责任保证。</w:t>
      </w:r>
    </w:p>
    <w:p w14:paraId="52ABAA8C">
      <w:pPr>
        <w:pStyle w:val="8"/>
        <w:spacing w:before="78" w:line="339" w:lineRule="auto"/>
        <w:ind w:left="500" w:leftChars="238" w:right="126" w:firstLine="73" w:firstLineChars="33"/>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我方保证的期间为：自本合同生效之日起至供应商按照主合同约定的供货/完工期限届满后日内。如果供应商未按主合同约定向贵方供应货物/提供服务/完成工程的，由我</w:t>
      </w:r>
    </w:p>
    <w:p w14:paraId="2001E6BD">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方在保证金额内向你方支付上述款项。</w:t>
      </w:r>
    </w:p>
    <w:p w14:paraId="61C3789C">
      <w:pPr>
        <w:pStyle w:val="8"/>
        <w:spacing w:before="78" w:line="339" w:lineRule="auto"/>
        <w:ind w:left="21" w:right="126" w:firstLine="490"/>
        <w:outlineLvl w:val="2"/>
        <w:rPr>
          <w:rFonts w:hint="eastAsia" w:ascii="仿宋" w:hAnsi="仿宋" w:eastAsia="仿宋" w:cs="仿宋"/>
          <w:color w:val="auto"/>
          <w:spacing w:val="-8"/>
          <w:sz w:val="24"/>
          <w:szCs w:val="24"/>
          <w:highlight w:val="none"/>
        </w:rPr>
      </w:pPr>
      <w:bookmarkStart w:id="145" w:name="_Toc28477"/>
      <w:r>
        <w:rPr>
          <w:rFonts w:hint="eastAsia" w:ascii="仿宋" w:hAnsi="仿宋" w:eastAsia="仿宋" w:cs="仿宋"/>
          <w:color w:val="auto"/>
          <w:spacing w:val="-8"/>
          <w:sz w:val="24"/>
          <w:szCs w:val="24"/>
          <w:highlight w:val="none"/>
        </w:rPr>
        <w:t>三、承担保证责任的程序</w:t>
      </w:r>
      <w:bookmarkEnd w:id="145"/>
    </w:p>
    <w:p w14:paraId="209317C0">
      <w:pPr>
        <w:pStyle w:val="8"/>
        <w:spacing w:before="78" w:line="339" w:lineRule="auto"/>
        <w:ind w:left="21" w:right="126" w:firstLine="490"/>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1．你方要求我方承担保证责任的，应在本保函保证期间内向我方发出书面索赔通知。索赔通知应写明要求索赔的金额，支付款项应到达的帐号。并附有</w:t>
      </w:r>
      <w:bookmarkStart w:id="146" w:name="bookmark49"/>
      <w:bookmarkEnd w:id="146"/>
      <w:r>
        <w:rPr>
          <w:rFonts w:hint="eastAsia" w:ascii="仿宋" w:hAnsi="仿宋" w:eastAsia="仿宋" w:cs="仿宋"/>
          <w:color w:val="auto"/>
          <w:spacing w:val="-8"/>
          <w:sz w:val="24"/>
          <w:szCs w:val="24"/>
          <w:highlight w:val="none"/>
        </w:rPr>
        <w:t>证明供应商违约事实的证明材料。</w:t>
      </w:r>
    </w:p>
    <w:p w14:paraId="116F3FE7">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如果你方与供应商因货物质量问题产生争议</w:t>
      </w:r>
      <w:r>
        <w:rPr>
          <w:rFonts w:hint="eastAsia" w:ascii="仿宋" w:hAnsi="仿宋" w:eastAsia="仿宋" w:cs="仿宋"/>
          <w:color w:val="auto"/>
          <w:spacing w:val="-8"/>
          <w:sz w:val="24"/>
          <w:szCs w:val="24"/>
          <w:highlight w:val="none"/>
          <w:lang w:eastAsia="zh-CN"/>
        </w:rPr>
        <w:t>，</w:t>
      </w:r>
      <w:r>
        <w:rPr>
          <w:rFonts w:hint="eastAsia" w:ascii="仿宋" w:hAnsi="仿宋" w:eastAsia="仿宋" w:cs="仿宋"/>
          <w:color w:val="auto"/>
          <w:spacing w:val="-8"/>
          <w:sz w:val="24"/>
          <w:szCs w:val="24"/>
          <w:highlight w:val="none"/>
        </w:rPr>
        <w:t>你方还需同时提供部门出具的质量检测报告或经诉讼（仲裁）程序裁决后的裁决书、调解书，本保证人即按照检测结果或裁决书、调解书决定是否承担保证责任。</w:t>
      </w:r>
    </w:p>
    <w:p w14:paraId="7DCD5191">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2．我方收到你方的书面索赔通知及相应证明材料，在工作日内进行核定后按照本保函的承诺承担保证责任。</w:t>
      </w:r>
    </w:p>
    <w:p w14:paraId="6CD73128">
      <w:pPr>
        <w:pStyle w:val="8"/>
        <w:spacing w:before="78" w:line="339" w:lineRule="auto"/>
        <w:ind w:right="126"/>
        <w:outlineLvl w:val="2"/>
        <w:rPr>
          <w:rFonts w:hint="eastAsia" w:ascii="仿宋" w:hAnsi="仿宋" w:eastAsia="仿宋" w:cs="仿宋"/>
          <w:color w:val="auto"/>
          <w:spacing w:val="-8"/>
          <w:sz w:val="24"/>
          <w:szCs w:val="24"/>
          <w:highlight w:val="none"/>
        </w:rPr>
      </w:pPr>
      <w:bookmarkStart w:id="147" w:name="_Toc6340"/>
      <w:r>
        <w:rPr>
          <w:rFonts w:hint="eastAsia" w:ascii="仿宋" w:hAnsi="仿宋" w:eastAsia="仿宋" w:cs="仿宋"/>
          <w:color w:val="auto"/>
          <w:spacing w:val="-8"/>
          <w:sz w:val="24"/>
          <w:szCs w:val="24"/>
          <w:highlight w:val="none"/>
        </w:rPr>
        <w:t>四、保证责任的终止</w:t>
      </w:r>
      <w:bookmarkEnd w:id="147"/>
    </w:p>
    <w:p w14:paraId="343262F5">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9F6DC54">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2．我方按照本保函向你方履行了保证责任后，自我方向你方支付款项（支付款项从我方账户划出）之日起，保证责任即终止。</w:t>
      </w:r>
    </w:p>
    <w:p w14:paraId="64CCC031">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3．按照法律法规的规定或出现应终止我方保证责任的其它情形的，我方在本保函项下的保证责任亦终止。</w:t>
      </w:r>
    </w:p>
    <w:p w14:paraId="43696A84">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6AA7A2A">
      <w:pPr>
        <w:pStyle w:val="8"/>
        <w:spacing w:before="78" w:line="339" w:lineRule="auto"/>
        <w:ind w:right="126"/>
        <w:outlineLvl w:val="2"/>
        <w:rPr>
          <w:rFonts w:hint="eastAsia" w:ascii="仿宋" w:hAnsi="仿宋" w:eastAsia="仿宋" w:cs="仿宋"/>
          <w:color w:val="auto"/>
          <w:spacing w:val="-8"/>
          <w:sz w:val="24"/>
          <w:szCs w:val="24"/>
          <w:highlight w:val="none"/>
        </w:rPr>
      </w:pPr>
      <w:bookmarkStart w:id="148" w:name="_Toc17019"/>
      <w:r>
        <w:rPr>
          <w:rFonts w:hint="eastAsia" w:ascii="仿宋" w:hAnsi="仿宋" w:eastAsia="仿宋" w:cs="仿宋"/>
          <w:color w:val="auto"/>
          <w:spacing w:val="-8"/>
          <w:sz w:val="24"/>
          <w:szCs w:val="24"/>
          <w:highlight w:val="none"/>
        </w:rPr>
        <w:t>五、免责条款</w:t>
      </w:r>
      <w:bookmarkEnd w:id="148"/>
    </w:p>
    <w:p w14:paraId="3964EB74">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1．因你方违反主合同约定致使供应商不能履行义务的，我方不承担保证责任。</w:t>
      </w:r>
    </w:p>
    <w:p w14:paraId="662ECA71">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2．依照法律法规的规定或你方与供应商的另行约定，全部或者部分免除供应商应缴纳的保证金义务的，我方亦免除相应的保证责任。</w:t>
      </w:r>
    </w:p>
    <w:p w14:paraId="61ED355B">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3．因不可抗力造成供应商不能履行供货义务的，我方不承担保证责任。</w:t>
      </w:r>
    </w:p>
    <w:p w14:paraId="3BA8A5CE">
      <w:pPr>
        <w:pStyle w:val="8"/>
        <w:spacing w:before="78" w:line="339" w:lineRule="auto"/>
        <w:ind w:right="126"/>
        <w:outlineLvl w:val="2"/>
        <w:rPr>
          <w:rFonts w:hint="eastAsia" w:ascii="仿宋" w:hAnsi="仿宋" w:eastAsia="仿宋" w:cs="仿宋"/>
          <w:color w:val="auto"/>
          <w:spacing w:val="-8"/>
          <w:sz w:val="24"/>
          <w:szCs w:val="24"/>
          <w:highlight w:val="none"/>
        </w:rPr>
      </w:pPr>
      <w:bookmarkStart w:id="149" w:name="_Toc30693"/>
      <w:r>
        <w:rPr>
          <w:rFonts w:hint="eastAsia" w:ascii="仿宋" w:hAnsi="仿宋" w:eastAsia="仿宋" w:cs="仿宋"/>
          <w:color w:val="auto"/>
          <w:spacing w:val="-8"/>
          <w:sz w:val="24"/>
          <w:szCs w:val="24"/>
          <w:highlight w:val="none"/>
        </w:rPr>
        <w:t>六、争议的解决</w:t>
      </w:r>
      <w:bookmarkEnd w:id="149"/>
    </w:p>
    <w:p w14:paraId="061B8A0D">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因本保函发生的纠纷，由你我双方协商解决，协商不成的，通过诉讼程序解决，诉讼管辖地法院为法院。</w:t>
      </w:r>
    </w:p>
    <w:p w14:paraId="03538204">
      <w:pPr>
        <w:pStyle w:val="8"/>
        <w:spacing w:before="78" w:line="339" w:lineRule="auto"/>
        <w:ind w:right="126"/>
        <w:outlineLvl w:val="2"/>
        <w:rPr>
          <w:rFonts w:hint="eastAsia" w:ascii="仿宋" w:hAnsi="仿宋" w:eastAsia="仿宋" w:cs="仿宋"/>
          <w:color w:val="auto"/>
          <w:spacing w:val="-8"/>
          <w:sz w:val="24"/>
          <w:szCs w:val="24"/>
          <w:highlight w:val="none"/>
        </w:rPr>
      </w:pPr>
      <w:bookmarkStart w:id="150" w:name="_Toc4005"/>
      <w:r>
        <w:rPr>
          <w:rFonts w:hint="eastAsia" w:ascii="仿宋" w:hAnsi="仿宋" w:eastAsia="仿宋" w:cs="仿宋"/>
          <w:color w:val="auto"/>
          <w:spacing w:val="-8"/>
          <w:sz w:val="24"/>
          <w:szCs w:val="24"/>
          <w:highlight w:val="none"/>
        </w:rPr>
        <w:t>七、保函的生效</w:t>
      </w:r>
      <w:bookmarkEnd w:id="150"/>
    </w:p>
    <w:p w14:paraId="57418CCB">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本保函自我方加盖公章之日起生效。</w:t>
      </w:r>
    </w:p>
    <w:p w14:paraId="5315B527">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保证人：（公章）</w:t>
      </w:r>
    </w:p>
    <w:p w14:paraId="45F66F4C">
      <w:pPr>
        <w:pStyle w:val="8"/>
        <w:spacing w:before="78" w:line="339" w:lineRule="auto"/>
        <w:ind w:right="126"/>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年月日</w:t>
      </w:r>
    </w:p>
    <w:p w14:paraId="523489CA">
      <w:pPr>
        <w:pStyle w:val="8"/>
        <w:spacing w:before="78" w:line="339" w:lineRule="auto"/>
        <w:ind w:right="126"/>
        <w:rPr>
          <w:rFonts w:hint="eastAsia" w:ascii="仿宋" w:hAnsi="仿宋" w:eastAsia="仿宋" w:cs="仿宋"/>
          <w:color w:val="auto"/>
          <w:spacing w:val="-8"/>
          <w:sz w:val="24"/>
          <w:szCs w:val="24"/>
          <w:highlight w:val="none"/>
        </w:rPr>
        <w:sectPr>
          <w:footerReference r:id="rId18" w:type="default"/>
          <w:pgSz w:w="11905" w:h="16838"/>
          <w:pgMar w:top="1440" w:right="1083" w:bottom="1440" w:left="1083" w:header="0" w:footer="1225" w:gutter="0"/>
          <w:pgNumType w:fmt="decimal"/>
          <w:cols w:space="0" w:num="1"/>
          <w:rtlGutter w:val="0"/>
          <w:docGrid w:linePitch="0" w:charSpace="0"/>
        </w:sectPr>
      </w:pPr>
    </w:p>
    <w:p w14:paraId="7B8AE6CC">
      <w:pPr>
        <w:pStyle w:val="8"/>
        <w:spacing w:before="74" w:line="230" w:lineRule="auto"/>
        <w:jc w:val="center"/>
        <w:outlineLvl w:val="0"/>
        <w:rPr>
          <w:rFonts w:hint="eastAsia" w:ascii="仿宋" w:hAnsi="仿宋" w:eastAsia="仿宋" w:cs="仿宋"/>
          <w:color w:val="auto"/>
          <w:sz w:val="35"/>
          <w:szCs w:val="35"/>
          <w:highlight w:val="none"/>
        </w:rPr>
      </w:pPr>
      <w:bookmarkStart w:id="151" w:name="bookmark50"/>
      <w:bookmarkEnd w:id="151"/>
      <w:bookmarkStart w:id="152" w:name="_Toc29016"/>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第2章投标文件格式</w:t>
      </w:r>
      <w:bookmarkEnd w:id="152"/>
    </w:p>
    <w:p w14:paraId="088F5551">
      <w:pPr>
        <w:spacing w:line="467" w:lineRule="auto"/>
        <w:rPr>
          <w:rFonts w:hint="eastAsia" w:ascii="仿宋" w:hAnsi="仿宋" w:eastAsia="仿宋" w:cs="仿宋"/>
          <w:color w:val="auto"/>
          <w:sz w:val="21"/>
          <w:highlight w:val="none"/>
        </w:rPr>
      </w:pPr>
    </w:p>
    <w:p w14:paraId="28DE9A21">
      <w:pPr>
        <w:pStyle w:val="8"/>
        <w:spacing w:before="78" w:line="224" w:lineRule="auto"/>
        <w:jc w:val="center"/>
        <w:outlineLvl w:val="1"/>
        <w:rPr>
          <w:rFonts w:hint="eastAsia" w:ascii="仿宋" w:hAnsi="仿宋" w:eastAsia="仿宋" w:cs="仿宋"/>
          <w:color w:val="auto"/>
          <w:sz w:val="24"/>
          <w:szCs w:val="24"/>
          <w:highlight w:val="none"/>
        </w:rPr>
      </w:pPr>
      <w:bookmarkStart w:id="153" w:name="_Toc7835"/>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第一部分开标一览表及资格证明文件</w:t>
      </w:r>
      <w:bookmarkEnd w:id="153"/>
    </w:p>
    <w:p w14:paraId="450D6DF8">
      <w:pPr>
        <w:spacing w:line="254" w:lineRule="auto"/>
        <w:outlineLvl w:val="9"/>
        <w:rPr>
          <w:rFonts w:hint="eastAsia" w:ascii="仿宋" w:hAnsi="仿宋" w:eastAsia="仿宋" w:cs="仿宋"/>
          <w:color w:val="auto"/>
          <w:sz w:val="21"/>
          <w:highlight w:val="none"/>
        </w:rPr>
      </w:pPr>
    </w:p>
    <w:p w14:paraId="2B60A819">
      <w:pPr>
        <w:pStyle w:val="8"/>
        <w:spacing w:before="78" w:line="222" w:lineRule="auto"/>
        <w:ind w:left="582"/>
        <w:rPr>
          <w:rFonts w:hint="eastAsia" w:ascii="仿宋" w:hAnsi="仿宋" w:eastAsia="仿宋" w:cs="仿宋"/>
          <w:color w:val="auto"/>
          <w:sz w:val="24"/>
          <w:szCs w:val="24"/>
          <w:highlight w:val="none"/>
        </w:rPr>
      </w:pPr>
    </w:p>
    <w:p w14:paraId="0F2F06B3">
      <w:pPr>
        <w:pStyle w:val="8"/>
        <w:spacing w:before="78" w:line="240" w:lineRule="auto"/>
        <w:ind w:left="582"/>
        <w:outlineLvl w:val="2"/>
        <w:rPr>
          <w:rFonts w:hint="eastAsia" w:ascii="仿宋" w:hAnsi="仿宋" w:eastAsia="仿宋" w:cs="仿宋"/>
          <w:color w:val="auto"/>
          <w:sz w:val="24"/>
          <w:szCs w:val="24"/>
          <w:highlight w:val="none"/>
        </w:rPr>
      </w:pPr>
      <w:bookmarkStart w:id="154" w:name="_Toc30768"/>
      <w:r>
        <w:rPr>
          <w:rFonts w:hint="eastAsia" w:ascii="仿宋" w:hAnsi="仿宋" w:eastAsia="仿宋" w:cs="仿宋"/>
          <w:color w:val="auto"/>
          <w:sz w:val="24"/>
          <w:szCs w:val="24"/>
          <w:highlight w:val="none"/>
        </w:rPr>
        <w:t>1、开标一览表（见投标文件格式一）;</w:t>
      </w:r>
      <w:bookmarkEnd w:id="154"/>
    </w:p>
    <w:p w14:paraId="414FD48E">
      <w:pPr>
        <w:pStyle w:val="8"/>
        <w:spacing w:before="78" w:line="240" w:lineRule="auto"/>
        <w:ind w:left="822" w:leftChars="277"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2、法人或者非法人组织的营业执照等证明文件复印件（须加盖本单位章）或自然人的身份证明复印件;</w:t>
      </w:r>
    </w:p>
    <w:p w14:paraId="7C45859C">
      <w:pPr>
        <w:pStyle w:val="8"/>
        <w:spacing w:before="78" w:line="240" w:lineRule="auto"/>
        <w:ind w:left="822" w:leftChars="277"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法人身份证证明和</w:t>
      </w:r>
      <w:r>
        <w:rPr>
          <w:rFonts w:hint="eastAsia" w:ascii="仿宋" w:hAnsi="仿宋" w:eastAsia="仿宋" w:cs="仿宋"/>
          <w:color w:val="auto"/>
          <w:sz w:val="24"/>
          <w:szCs w:val="24"/>
          <w:highlight w:val="none"/>
        </w:rPr>
        <w:t>法定代表人授权书（见投标文件格式二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自然人投标的无需提供）;</w:t>
      </w:r>
    </w:p>
    <w:p w14:paraId="7F4A88BD">
      <w:pPr>
        <w:pStyle w:val="8"/>
        <w:spacing w:before="78" w:line="240" w:lineRule="auto"/>
        <w:ind w:left="822" w:leftChars="277"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4、具有良好的商业信誉和健全的财务会计制度的证明文件（</w:t>
      </w:r>
      <w:r>
        <w:rPr>
          <w:rFonts w:hint="eastAsia" w:ascii="仿宋" w:hAnsi="仿宋" w:eastAsia="仿宋" w:cs="仿宋"/>
          <w:color w:val="auto"/>
          <w:sz w:val="24"/>
          <w:szCs w:val="24"/>
          <w:highlight w:val="none"/>
          <w:lang w:eastAsia="zh-CN"/>
        </w:rPr>
        <w:t>提供本单位</w:t>
      </w:r>
      <w:r>
        <w:rPr>
          <w:rFonts w:hint="eastAsia" w:ascii="仿宋" w:hAnsi="仿宋" w:eastAsia="仿宋" w:cs="仿宋"/>
          <w:color w:val="auto"/>
          <w:sz w:val="24"/>
          <w:szCs w:val="24"/>
          <w:highlight w:val="none"/>
          <w:lang w:val="en-US" w:eastAsia="zh-CN"/>
        </w:rPr>
        <w:t>2024年的</w:t>
      </w:r>
      <w:r>
        <w:rPr>
          <w:rFonts w:hint="eastAsia" w:ascii="仿宋" w:hAnsi="仿宋" w:eastAsia="仿宋" w:cs="仿宋"/>
          <w:color w:val="auto"/>
          <w:sz w:val="24"/>
          <w:szCs w:val="24"/>
          <w:highlight w:val="none"/>
          <w:lang w:eastAsia="zh-CN"/>
        </w:rPr>
        <w:t>经会计师事务所</w:t>
      </w:r>
      <w:r>
        <w:rPr>
          <w:rFonts w:hint="eastAsia" w:ascii="仿宋" w:hAnsi="仿宋" w:eastAsia="仿宋" w:cs="仿宋"/>
          <w:color w:val="auto"/>
          <w:sz w:val="24"/>
          <w:szCs w:val="24"/>
          <w:highlight w:val="none"/>
        </w:rPr>
        <w:t>出具的审计报告复印件须加盖公章</w:t>
      </w:r>
      <w:r>
        <w:rPr>
          <w:rFonts w:hint="eastAsia" w:ascii="仿宋" w:hAnsi="仿宋" w:eastAsia="仿宋" w:cs="仿宋"/>
          <w:color w:val="auto"/>
          <w:sz w:val="24"/>
          <w:szCs w:val="24"/>
          <w:highlight w:val="none"/>
          <w:lang w:val="en-US" w:eastAsia="zh-CN"/>
        </w:rPr>
        <w:t>或投标截止日前</w:t>
      </w:r>
      <w:r>
        <w:rPr>
          <w:rFonts w:hint="eastAsia" w:ascii="仿宋" w:hAnsi="仿宋" w:eastAsia="仿宋" w:cs="仿宋"/>
          <w:color w:val="auto"/>
          <w:sz w:val="24"/>
          <w:szCs w:val="24"/>
          <w:highlight w:val="none"/>
        </w:rPr>
        <w:t>近三个月内有效的银行资信证明。）</w:t>
      </w:r>
    </w:p>
    <w:p w14:paraId="5A68EE47">
      <w:pPr>
        <w:pStyle w:val="8"/>
        <w:spacing w:before="78" w:line="240" w:lineRule="auto"/>
        <w:ind w:left="822" w:leftChars="277"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由社保部门或税务局出具的投标单位缴纳的单位社保缴纳证明和个人缴费明细（近半年任意一个月的单位社保缴费凭证及个人缴费明细）；复印件盖公章。</w:t>
      </w:r>
      <w:r>
        <w:rPr>
          <w:rFonts w:hint="eastAsia" w:ascii="仿宋" w:hAnsi="仿宋" w:eastAsia="仿宋" w:cs="仿宋"/>
          <w:color w:val="auto"/>
          <w:sz w:val="24"/>
          <w:szCs w:val="24"/>
          <w:highlight w:val="none"/>
          <w:lang w:eastAsia="zh-CN"/>
        </w:rPr>
        <w:t>在税务局依法缴纳</w:t>
      </w:r>
      <w:r>
        <w:rPr>
          <w:rFonts w:hint="eastAsia" w:ascii="仿宋" w:hAnsi="仿宋" w:eastAsia="仿宋" w:cs="仿宋"/>
          <w:color w:val="auto"/>
          <w:sz w:val="24"/>
          <w:szCs w:val="24"/>
          <w:highlight w:val="none"/>
          <w:lang w:val="en-US" w:eastAsia="zh-CN"/>
        </w:rPr>
        <w:t>税款所属日期为</w:t>
      </w:r>
      <w:r>
        <w:rPr>
          <w:rFonts w:hint="eastAsia" w:ascii="仿宋" w:hAnsi="仿宋" w:eastAsia="仿宋" w:cs="仿宋"/>
          <w:color w:val="auto"/>
          <w:sz w:val="24"/>
          <w:szCs w:val="24"/>
          <w:highlight w:val="none"/>
          <w:lang w:eastAsia="zh-CN"/>
        </w:rPr>
        <w:t>近半年任意一个月税收证明的良好记录</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lang w:eastAsia="zh-CN"/>
        </w:rPr>
        <w:t>投标截止日</w:t>
      </w:r>
      <w:r>
        <w:rPr>
          <w:rFonts w:hint="eastAsia" w:ascii="仿宋" w:hAnsi="仿宋" w:eastAsia="仿宋" w:cs="仿宋"/>
          <w:color w:val="auto"/>
          <w:sz w:val="24"/>
          <w:szCs w:val="24"/>
          <w:highlight w:val="none"/>
          <w:lang w:val="en-US" w:eastAsia="zh-CN"/>
        </w:rPr>
        <w:t>前</w:t>
      </w:r>
      <w:r>
        <w:rPr>
          <w:rFonts w:hint="eastAsia" w:ascii="仿宋" w:hAnsi="仿宋" w:eastAsia="仿宋" w:cs="仿宋"/>
          <w:color w:val="auto"/>
          <w:sz w:val="24"/>
          <w:szCs w:val="24"/>
          <w:highlight w:val="none"/>
          <w:lang w:eastAsia="zh-CN"/>
        </w:rPr>
        <w:t>无拖欠税收证明</w:t>
      </w:r>
      <w:r>
        <w:rPr>
          <w:rFonts w:hint="eastAsia" w:ascii="仿宋" w:hAnsi="仿宋" w:eastAsia="仿宋" w:cs="仿宋"/>
          <w:color w:val="auto"/>
          <w:sz w:val="24"/>
          <w:szCs w:val="24"/>
          <w:highlight w:val="none"/>
        </w:rPr>
        <w:t>；</w:t>
      </w:r>
    </w:p>
    <w:p w14:paraId="5A529F6F">
      <w:pPr>
        <w:pStyle w:val="8"/>
        <w:spacing w:before="78" w:line="240" w:lineRule="auto"/>
        <w:ind w:left="582"/>
        <w:outlineLvl w:val="2"/>
        <w:rPr>
          <w:rFonts w:hint="eastAsia" w:ascii="仿宋" w:hAnsi="仿宋" w:eastAsia="仿宋" w:cs="仿宋"/>
          <w:color w:val="auto"/>
          <w:sz w:val="24"/>
          <w:szCs w:val="24"/>
          <w:highlight w:val="none"/>
        </w:rPr>
      </w:pPr>
      <w:bookmarkStart w:id="155" w:name="_Toc32263"/>
      <w:r>
        <w:rPr>
          <w:rFonts w:hint="eastAsia" w:ascii="仿宋" w:hAnsi="仿宋" w:eastAsia="仿宋" w:cs="仿宋"/>
          <w:color w:val="auto"/>
          <w:sz w:val="24"/>
          <w:szCs w:val="24"/>
          <w:highlight w:val="none"/>
        </w:rPr>
        <w:t>6、参加政府采购活动前3年内在经营活动中没有重大违法记录的书面声</w:t>
      </w:r>
      <w:r>
        <w:rPr>
          <w:rFonts w:hint="eastAsia" w:ascii="仿宋" w:hAnsi="仿宋" w:eastAsia="仿宋" w:cs="仿宋"/>
          <w:color w:val="auto"/>
          <w:sz w:val="24"/>
          <w:szCs w:val="24"/>
          <w:highlight w:val="none"/>
          <w:lang w:val="en-US" w:eastAsia="zh-CN"/>
        </w:rPr>
        <w:t>明</w:t>
      </w:r>
      <w:bookmarkEnd w:id="155"/>
      <w:r>
        <w:rPr>
          <w:rFonts w:hint="eastAsia" w:ascii="仿宋" w:hAnsi="仿宋" w:eastAsia="仿宋" w:cs="仿宋"/>
          <w:color w:val="auto"/>
          <w:sz w:val="24"/>
          <w:szCs w:val="24"/>
          <w:highlight w:val="none"/>
          <w:lang w:val="en-US" w:eastAsia="zh-CN"/>
        </w:rPr>
        <w:t>；</w:t>
      </w:r>
    </w:p>
    <w:p w14:paraId="4FBEC675">
      <w:pPr>
        <w:pStyle w:val="8"/>
        <w:spacing w:before="78" w:line="240" w:lineRule="auto"/>
        <w:ind w:left="822" w:leftChars="277" w:hanging="240" w:hanging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"http://www.gsxt.gov.cn/"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http：//www.gsxt.gov.cn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）”列入经营异常名录信息、列入严重违法失信企业名单（黑名单）信息的将拒绝其参本次政府采购活动（投标企业自行下载放入投标文件中，日期需在投标截止日内）；</w:t>
      </w:r>
    </w:p>
    <w:p w14:paraId="1B0A864D">
      <w:pPr>
        <w:pStyle w:val="8"/>
        <w:spacing w:before="78" w:line="240" w:lineRule="auto"/>
        <w:ind w:left="582"/>
        <w:outlineLvl w:val="2"/>
        <w:rPr>
          <w:rFonts w:hint="eastAsia" w:ascii="仿宋" w:hAnsi="仿宋" w:eastAsia="仿宋" w:cs="仿宋"/>
          <w:color w:val="auto"/>
          <w:sz w:val="24"/>
          <w:szCs w:val="24"/>
          <w:highlight w:val="none"/>
          <w:lang w:eastAsia="zh-CN"/>
        </w:rPr>
      </w:pPr>
      <w:bookmarkStart w:id="156" w:name="_Toc20654"/>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、反商业贿赂承诺书</w:t>
      </w:r>
      <w:bookmarkEnd w:id="156"/>
      <w:r>
        <w:rPr>
          <w:rFonts w:hint="eastAsia" w:ascii="仿宋" w:hAnsi="仿宋" w:eastAsia="仿宋" w:cs="仿宋"/>
          <w:color w:val="auto"/>
          <w:sz w:val="24"/>
          <w:szCs w:val="24"/>
          <w:highlight w:val="none"/>
          <w:lang w:eastAsia="zh-CN"/>
        </w:rPr>
        <w:t>；</w:t>
      </w:r>
    </w:p>
    <w:p w14:paraId="4FF16B48">
      <w:pPr>
        <w:pStyle w:val="8"/>
        <w:spacing w:before="78" w:line="240" w:lineRule="auto"/>
        <w:ind w:left="582"/>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本项目的特定资格要求：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p w14:paraId="714E9757">
      <w:pPr>
        <w:pStyle w:val="8"/>
        <w:spacing w:before="78" w:line="240" w:lineRule="auto"/>
        <w:ind w:left="582"/>
        <w:rPr>
          <w:rFonts w:hint="eastAsia" w:ascii="仿宋" w:hAnsi="仿宋" w:eastAsia="仿宋" w:cs="仿宋"/>
          <w:color w:val="auto"/>
          <w:sz w:val="24"/>
          <w:szCs w:val="24"/>
          <w:highlight w:val="none"/>
          <w:lang w:val="en-US" w:eastAsia="zh-CN"/>
        </w:rPr>
      </w:pPr>
      <w:bookmarkStart w:id="157" w:name="bookmark51"/>
      <w:bookmarkEnd w:id="157"/>
      <w:r>
        <w:rPr>
          <w:rFonts w:hint="eastAsia" w:ascii="仿宋" w:hAnsi="仿宋" w:eastAsia="仿宋" w:cs="仿宋"/>
          <w:color w:val="auto"/>
          <w:sz w:val="24"/>
          <w:szCs w:val="24"/>
          <w:highlight w:val="none"/>
          <w:lang w:val="en-US" w:eastAsia="zh-CN"/>
        </w:rPr>
        <w:t>10、投标人可提供有利于投标的其他资格证明材料；</w:t>
      </w:r>
    </w:p>
    <w:p w14:paraId="0B849B46">
      <w:pPr>
        <w:pStyle w:val="8"/>
        <w:spacing w:before="78" w:line="240" w:lineRule="auto"/>
        <w:ind w:left="582"/>
        <w:rPr>
          <w:rFonts w:hint="eastAsia" w:ascii="仿宋" w:hAnsi="仿宋" w:eastAsia="仿宋" w:cs="仿宋"/>
          <w:color w:val="auto"/>
          <w:sz w:val="24"/>
          <w:szCs w:val="24"/>
          <w:highlight w:val="none"/>
          <w:lang w:val="en-US" w:eastAsia="zh-CN"/>
        </w:rPr>
      </w:pPr>
    </w:p>
    <w:p w14:paraId="097E0283">
      <w:pPr>
        <w:pStyle w:val="8"/>
        <w:spacing w:before="78" w:line="222" w:lineRule="auto"/>
        <w:ind w:left="582"/>
        <w:rPr>
          <w:rFonts w:hint="eastAsia" w:ascii="仿宋" w:hAnsi="仿宋" w:eastAsia="仿宋" w:cs="仿宋"/>
          <w:color w:val="auto"/>
          <w:sz w:val="24"/>
          <w:szCs w:val="24"/>
          <w:highlight w:val="none"/>
          <w:lang w:eastAsia="zh-CN"/>
        </w:rPr>
      </w:pPr>
    </w:p>
    <w:p w14:paraId="7351E940">
      <w:pPr>
        <w:pStyle w:val="8"/>
        <w:spacing w:before="78" w:line="222" w:lineRule="auto"/>
        <w:ind w:left="582"/>
        <w:rPr>
          <w:rFonts w:hint="eastAsia" w:ascii="仿宋" w:hAnsi="仿宋" w:eastAsia="仿宋" w:cs="仿宋"/>
          <w:color w:val="auto"/>
          <w:sz w:val="24"/>
          <w:szCs w:val="24"/>
          <w:highlight w:val="none"/>
        </w:rPr>
      </w:pPr>
    </w:p>
    <w:p w14:paraId="70A10ECF">
      <w:pPr>
        <w:pStyle w:val="8"/>
        <w:spacing w:before="156" w:line="227" w:lineRule="auto"/>
        <w:ind w:left="2604"/>
        <w:rPr>
          <w:rFonts w:hint="eastAsia" w:ascii="仿宋" w:hAnsi="仿宋" w:eastAsia="仿宋" w:cs="仿宋"/>
          <w:color w:val="auto"/>
          <w:spacing w:val="-2"/>
          <w:sz w:val="24"/>
          <w:szCs w:val="24"/>
          <w:highlight w:val="none"/>
        </w:rPr>
      </w:pPr>
    </w:p>
    <w:p w14:paraId="6426D460">
      <w:pPr>
        <w:pStyle w:val="8"/>
        <w:spacing w:before="156" w:line="227" w:lineRule="auto"/>
        <w:ind w:left="2604"/>
        <w:rPr>
          <w:rFonts w:hint="eastAsia" w:ascii="仿宋" w:hAnsi="仿宋" w:eastAsia="仿宋" w:cs="仿宋"/>
          <w:color w:val="auto"/>
          <w:spacing w:val="-2"/>
          <w:sz w:val="24"/>
          <w:szCs w:val="24"/>
          <w:highlight w:val="none"/>
        </w:rPr>
      </w:pPr>
    </w:p>
    <w:p w14:paraId="78250336">
      <w:pPr>
        <w:pStyle w:val="8"/>
        <w:spacing w:before="156" w:line="227" w:lineRule="auto"/>
        <w:ind w:left="2604"/>
        <w:rPr>
          <w:rFonts w:hint="eastAsia" w:ascii="仿宋" w:hAnsi="仿宋" w:eastAsia="仿宋" w:cs="仿宋"/>
          <w:color w:val="auto"/>
          <w:spacing w:val="-2"/>
          <w:sz w:val="24"/>
          <w:szCs w:val="24"/>
          <w:highlight w:val="none"/>
        </w:rPr>
      </w:pPr>
    </w:p>
    <w:p w14:paraId="49F2C6EB">
      <w:pPr>
        <w:pStyle w:val="8"/>
        <w:spacing w:before="156" w:line="227" w:lineRule="auto"/>
        <w:jc w:val="center"/>
        <w:outlineLvl w:val="9"/>
        <w:rPr>
          <w:rFonts w:hint="eastAsia" w:ascii="仿宋" w:hAnsi="仿宋" w:eastAsia="仿宋" w:cs="仿宋"/>
          <w:color w:val="auto"/>
          <w:spacing w:val="-2"/>
          <w:sz w:val="24"/>
          <w:szCs w:val="24"/>
          <w:highlight w:val="none"/>
        </w:rPr>
      </w:pPr>
    </w:p>
    <w:p w14:paraId="3F35B3AE">
      <w:pPr>
        <w:pStyle w:val="8"/>
        <w:spacing w:before="156" w:line="227" w:lineRule="auto"/>
        <w:jc w:val="center"/>
        <w:outlineLvl w:val="2"/>
        <w:rPr>
          <w:rFonts w:hint="eastAsia" w:ascii="仿宋" w:hAnsi="仿宋" w:eastAsia="仿宋" w:cs="仿宋"/>
          <w:color w:val="auto"/>
          <w:sz w:val="24"/>
          <w:szCs w:val="24"/>
          <w:highlight w:val="none"/>
        </w:rPr>
      </w:pPr>
      <w:bookmarkStart w:id="158" w:name="_Toc6243"/>
      <w:r>
        <w:rPr>
          <w:rFonts w:hint="eastAsia" w:ascii="仿宋" w:hAnsi="仿宋" w:eastAsia="仿宋" w:cs="仿宋"/>
          <w:color w:val="auto"/>
          <w:spacing w:val="-2"/>
          <w:sz w:val="24"/>
          <w:szCs w:val="24"/>
          <w:highlight w:val="none"/>
        </w:rPr>
        <w:t>1开标一览表（投标文件格式一）</w:t>
      </w:r>
      <w:bookmarkEnd w:id="158"/>
    </w:p>
    <w:p w14:paraId="5023757B">
      <w:pPr>
        <w:spacing w:line="313" w:lineRule="auto"/>
        <w:rPr>
          <w:rFonts w:hint="eastAsia" w:ascii="仿宋" w:hAnsi="仿宋" w:eastAsia="仿宋" w:cs="仿宋"/>
          <w:color w:val="auto"/>
          <w:sz w:val="21"/>
          <w:highlight w:val="none"/>
        </w:rPr>
      </w:pPr>
    </w:p>
    <w:p w14:paraId="39CCEC33">
      <w:pPr>
        <w:spacing w:line="312" w:lineRule="auto"/>
        <w:rPr>
          <w:rFonts w:hint="eastAsia" w:ascii="仿宋" w:hAnsi="仿宋" w:eastAsia="仿宋" w:cs="仿宋"/>
          <w:color w:val="auto"/>
          <w:sz w:val="21"/>
          <w:highlight w:val="none"/>
        </w:rPr>
      </w:pPr>
    </w:p>
    <w:p w14:paraId="1C38A2F9">
      <w:pPr>
        <w:widowControl w:val="0"/>
        <w:tabs>
          <w:tab w:val="left" w:pos="5580"/>
        </w:tabs>
        <w:kinsoku/>
        <w:autoSpaceDE/>
        <w:autoSpaceDN/>
        <w:adjustRightInd/>
        <w:snapToGrid/>
        <w:spacing w:line="360" w:lineRule="auto"/>
        <w:jc w:val="both"/>
        <w:textAlignment w:val="auto"/>
        <w:rPr>
          <w:rFonts w:hint="eastAsia" w:ascii="仿宋" w:hAnsi="仿宋" w:eastAsia="仿宋" w:cs="Times New Roman"/>
          <w:b/>
          <w:snapToGrid/>
          <w:color w:val="auto"/>
          <w:kern w:val="0"/>
          <w:sz w:val="24"/>
          <w:szCs w:val="20"/>
          <w:highlight w:val="none"/>
          <w:lang w:eastAsia="zh-CN"/>
        </w:rPr>
      </w:pPr>
      <w:r>
        <w:rPr>
          <w:rFonts w:hint="eastAsia" w:ascii="仿宋" w:hAnsi="仿宋" w:eastAsia="仿宋" w:cs="Times New Roman"/>
          <w:b/>
          <w:snapToGrid/>
          <w:color w:val="auto"/>
          <w:kern w:val="0"/>
          <w:sz w:val="24"/>
          <w:szCs w:val="20"/>
          <w:highlight w:val="none"/>
          <w:lang w:val="en-US" w:eastAsia="zh-CN"/>
        </w:rPr>
        <w:t>1-1</w:t>
      </w:r>
      <w:r>
        <w:rPr>
          <w:rFonts w:ascii="仿宋" w:hAnsi="仿宋" w:eastAsia="仿宋" w:cs="Times New Roman"/>
          <w:b/>
          <w:snapToGrid/>
          <w:color w:val="auto"/>
          <w:kern w:val="0"/>
          <w:sz w:val="24"/>
          <w:szCs w:val="20"/>
          <w:highlight w:val="none"/>
          <w:lang w:eastAsia="zh-CN"/>
        </w:rPr>
        <w:t>开标一览表</w:t>
      </w:r>
    </w:p>
    <w:p w14:paraId="25B7843F">
      <w:pPr>
        <w:widowControl w:val="0"/>
        <w:tabs>
          <w:tab w:val="left" w:pos="5580"/>
        </w:tabs>
        <w:kinsoku/>
        <w:autoSpaceDE w:val="0"/>
        <w:autoSpaceDN w:val="0"/>
        <w:adjustRightInd/>
        <w:snapToGrid/>
        <w:spacing w:line="360" w:lineRule="auto"/>
        <w:ind w:left="1080" w:leftChars="257" w:hanging="540"/>
        <w:jc w:val="center"/>
        <w:textAlignment w:val="auto"/>
        <w:rPr>
          <w:rFonts w:ascii="Times New Roman" w:hAnsi="Times New Roman" w:eastAsia="仿宋" w:cs="Times New Roman"/>
          <w:b/>
          <w:snapToGrid/>
          <w:color w:val="auto"/>
          <w:kern w:val="0"/>
          <w:sz w:val="24"/>
          <w:szCs w:val="20"/>
          <w:highlight w:val="none"/>
          <w:lang w:val="en-US" w:eastAsia="zh-CN" w:bidi="ar-SA"/>
        </w:rPr>
      </w:pPr>
    </w:p>
    <w:p w14:paraId="474145F0">
      <w:pPr>
        <w:widowControl w:val="0"/>
        <w:tabs>
          <w:tab w:val="left" w:pos="5580"/>
        </w:tabs>
        <w:kinsoku/>
        <w:autoSpaceDE w:val="0"/>
        <w:autoSpaceDN w:val="0"/>
        <w:adjustRightInd/>
        <w:snapToGrid/>
        <w:spacing w:line="360" w:lineRule="auto"/>
        <w:ind w:left="1080" w:leftChars="257" w:hanging="540"/>
        <w:jc w:val="left"/>
        <w:textAlignment w:val="auto"/>
        <w:rPr>
          <w:rFonts w:ascii="Times New Roman" w:hAnsi="Times New Roman" w:eastAsia="仿宋" w:cs="Times New Roman"/>
          <w:snapToGrid/>
          <w:color w:val="auto"/>
          <w:kern w:val="0"/>
          <w:sz w:val="24"/>
          <w:szCs w:val="20"/>
          <w:highlight w:val="none"/>
          <w:lang w:val="en-US" w:eastAsia="zh-CN" w:bidi="ar-SA"/>
        </w:rPr>
      </w:pPr>
    </w:p>
    <w:p w14:paraId="5993F458">
      <w:pPr>
        <w:widowControl w:val="0"/>
        <w:kinsoku/>
        <w:autoSpaceDE/>
        <w:autoSpaceDN/>
        <w:adjustRightInd/>
        <w:snapToGrid/>
        <w:spacing w:line="240" w:lineRule="auto"/>
        <w:jc w:val="both"/>
        <w:textAlignment w:val="auto"/>
        <w:rPr>
          <w:rFonts w:hint="default" w:ascii="仿宋" w:hAnsi="仿宋" w:eastAsia="仿宋" w:cs="仿宋"/>
          <w:snapToGrid/>
          <w:color w:val="auto"/>
          <w:kern w:val="2"/>
          <w:sz w:val="21"/>
          <w:szCs w:val="24"/>
          <w:highlight w:val="none"/>
          <w:u w:val="single"/>
          <w:lang w:val="en-US" w:eastAsia="zh-CN"/>
        </w:rPr>
      </w:pPr>
      <w:r>
        <w:rPr>
          <w:rFonts w:hint="eastAsia" w:ascii="仿宋" w:hAnsi="仿宋" w:eastAsia="仿宋" w:cs="仿宋"/>
          <w:snapToGrid/>
          <w:color w:val="auto"/>
          <w:kern w:val="2"/>
          <w:sz w:val="21"/>
          <w:szCs w:val="24"/>
          <w:highlight w:val="none"/>
          <w:lang w:val="en-US" w:eastAsia="zh-CN"/>
        </w:rPr>
        <w:t>项目编号：</w:t>
      </w:r>
      <w:r>
        <w:rPr>
          <w:rFonts w:hint="eastAsia" w:ascii="仿宋" w:hAnsi="仿宋" w:eastAsia="仿宋" w:cs="仿宋"/>
          <w:snapToGrid/>
          <w:color w:val="auto"/>
          <w:kern w:val="2"/>
          <w:sz w:val="21"/>
          <w:szCs w:val="24"/>
          <w:highlight w:val="none"/>
          <w:u w:val="single"/>
          <w:lang w:val="en-US" w:eastAsia="zh-CN"/>
        </w:rPr>
        <w:t xml:space="preserve">                     </w:t>
      </w:r>
      <w:r>
        <w:rPr>
          <w:rFonts w:hint="eastAsia" w:ascii="仿宋" w:hAnsi="仿宋" w:eastAsia="仿宋" w:cs="仿宋"/>
          <w:snapToGrid/>
          <w:color w:val="auto"/>
          <w:kern w:val="2"/>
          <w:sz w:val="21"/>
          <w:szCs w:val="24"/>
          <w:highlight w:val="none"/>
          <w:lang w:val="en-US" w:eastAsia="zh-CN"/>
        </w:rPr>
        <w:t xml:space="preserve"> 项目名称：</w:t>
      </w:r>
      <w:r>
        <w:rPr>
          <w:rFonts w:hint="eastAsia" w:ascii="仿宋" w:hAnsi="仿宋" w:eastAsia="仿宋" w:cs="仿宋"/>
          <w:snapToGrid/>
          <w:color w:val="auto"/>
          <w:kern w:val="2"/>
          <w:sz w:val="21"/>
          <w:szCs w:val="24"/>
          <w:highlight w:val="none"/>
          <w:u w:val="single"/>
          <w:lang w:val="en-US" w:eastAsia="zh-CN"/>
        </w:rPr>
        <w:t xml:space="preserve">               </w:t>
      </w:r>
      <w:r>
        <w:rPr>
          <w:rFonts w:hint="eastAsia" w:ascii="仿宋" w:hAnsi="仿宋" w:eastAsia="仿宋" w:cs="仿宋"/>
          <w:snapToGrid/>
          <w:color w:val="auto"/>
          <w:kern w:val="2"/>
          <w:sz w:val="21"/>
          <w:szCs w:val="24"/>
          <w:highlight w:val="none"/>
          <w:u w:val="none"/>
          <w:lang w:val="en-US" w:eastAsia="zh-CN"/>
        </w:rPr>
        <w:t>标项：</w:t>
      </w:r>
      <w:r>
        <w:rPr>
          <w:rFonts w:hint="eastAsia" w:ascii="仿宋" w:hAnsi="仿宋" w:eastAsia="仿宋" w:cs="仿宋"/>
          <w:snapToGrid/>
          <w:color w:val="auto"/>
          <w:kern w:val="2"/>
          <w:sz w:val="21"/>
          <w:szCs w:val="24"/>
          <w:highlight w:val="none"/>
          <w:u w:val="single"/>
          <w:lang w:val="en-US" w:eastAsia="zh-CN"/>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3268"/>
        <w:gridCol w:w="2350"/>
        <w:gridCol w:w="2351"/>
      </w:tblGrid>
      <w:tr w14:paraId="1BE5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30" w:type="dxa"/>
            <w:vMerge w:val="restart"/>
            <w:vAlign w:val="center"/>
          </w:tcPr>
          <w:p w14:paraId="09841FB8">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序号</w:t>
            </w:r>
          </w:p>
        </w:tc>
        <w:tc>
          <w:tcPr>
            <w:tcW w:w="3268" w:type="dxa"/>
            <w:vMerge w:val="restart"/>
            <w:vAlign w:val="center"/>
          </w:tcPr>
          <w:p w14:paraId="6AB77E9C">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投标人名称</w:t>
            </w:r>
          </w:p>
        </w:tc>
        <w:tc>
          <w:tcPr>
            <w:tcW w:w="4701" w:type="dxa"/>
            <w:gridSpan w:val="2"/>
            <w:vAlign w:val="center"/>
          </w:tcPr>
          <w:p w14:paraId="143FAA0C">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投标单价报价（人民币元，保留两位小数）</w:t>
            </w:r>
          </w:p>
        </w:tc>
      </w:tr>
      <w:tr w14:paraId="5EC6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430" w:type="dxa"/>
            <w:vMerge w:val="continue"/>
            <w:vAlign w:val="center"/>
          </w:tcPr>
          <w:p w14:paraId="25E356C5">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422" w:firstLineChars="20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p>
        </w:tc>
        <w:tc>
          <w:tcPr>
            <w:tcW w:w="3268" w:type="dxa"/>
            <w:vMerge w:val="continue"/>
            <w:vAlign w:val="center"/>
          </w:tcPr>
          <w:p w14:paraId="0A0A7E57">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422" w:firstLineChars="20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p>
        </w:tc>
        <w:tc>
          <w:tcPr>
            <w:tcW w:w="2350" w:type="dxa"/>
            <w:vAlign w:val="center"/>
          </w:tcPr>
          <w:p w14:paraId="42995D94">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大写</w:t>
            </w:r>
          </w:p>
        </w:tc>
        <w:tc>
          <w:tcPr>
            <w:tcW w:w="2351" w:type="dxa"/>
            <w:vAlign w:val="center"/>
          </w:tcPr>
          <w:p w14:paraId="3A47557B">
            <w:pPr>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小写</w:t>
            </w:r>
          </w:p>
        </w:tc>
      </w:tr>
      <w:tr w14:paraId="3542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430" w:type="dxa"/>
            <w:vAlign w:val="center"/>
          </w:tcPr>
          <w:p w14:paraId="081780E9">
            <w:pPr>
              <w:widowControl w:val="0"/>
              <w:kinsoku/>
              <w:autoSpaceDE/>
              <w:autoSpaceDN/>
              <w:adjustRightInd/>
              <w:snapToGrid/>
              <w:spacing w:after="120" w:line="360" w:lineRule="auto"/>
              <w:ind w:left="420" w:leftChars="200" w:firstLine="420" w:firstLineChars="200"/>
              <w:jc w:val="center"/>
              <w:textAlignment w:val="auto"/>
              <w:rPr>
                <w:rFonts w:hint="eastAsia" w:ascii="仿宋" w:hAnsi="仿宋" w:eastAsia="仿宋" w:cs="仿宋"/>
                <w:snapToGrid/>
                <w:color w:val="auto"/>
                <w:kern w:val="0"/>
                <w:sz w:val="21"/>
                <w:szCs w:val="24"/>
                <w:highlight w:val="none"/>
                <w:vertAlign w:val="baseline"/>
                <w:lang w:val="en-US" w:eastAsia="zh-CN" w:bidi="ar-SA"/>
              </w:rPr>
            </w:pPr>
          </w:p>
        </w:tc>
        <w:tc>
          <w:tcPr>
            <w:tcW w:w="3268" w:type="dxa"/>
            <w:vAlign w:val="center"/>
          </w:tcPr>
          <w:p w14:paraId="10A5E757">
            <w:pPr>
              <w:widowControl w:val="0"/>
              <w:kinsoku/>
              <w:autoSpaceDE/>
              <w:autoSpaceDN/>
              <w:adjustRightInd/>
              <w:snapToGrid/>
              <w:spacing w:after="120" w:line="360" w:lineRule="auto"/>
              <w:ind w:left="420" w:leftChars="200" w:firstLine="420" w:firstLineChars="200"/>
              <w:jc w:val="center"/>
              <w:textAlignment w:val="auto"/>
              <w:rPr>
                <w:rFonts w:hint="eastAsia" w:ascii="仿宋" w:hAnsi="仿宋" w:eastAsia="仿宋" w:cs="仿宋"/>
                <w:snapToGrid/>
                <w:color w:val="auto"/>
                <w:kern w:val="0"/>
                <w:sz w:val="21"/>
                <w:szCs w:val="24"/>
                <w:highlight w:val="none"/>
                <w:vertAlign w:val="baseline"/>
                <w:lang w:val="en-US" w:eastAsia="zh-CN" w:bidi="ar-SA"/>
              </w:rPr>
            </w:pPr>
          </w:p>
        </w:tc>
        <w:tc>
          <w:tcPr>
            <w:tcW w:w="2350" w:type="dxa"/>
            <w:vAlign w:val="center"/>
          </w:tcPr>
          <w:p w14:paraId="323B6666">
            <w:pPr>
              <w:widowControl w:val="0"/>
              <w:kinsoku/>
              <w:autoSpaceDE/>
              <w:autoSpaceDN/>
              <w:adjustRightInd/>
              <w:snapToGrid/>
              <w:spacing w:after="120" w:line="360" w:lineRule="auto"/>
              <w:jc w:val="both"/>
              <w:textAlignment w:val="auto"/>
              <w:rPr>
                <w:rFonts w:hint="default" w:ascii="仿宋" w:hAnsi="仿宋" w:eastAsia="仿宋" w:cs="仿宋"/>
                <w:snapToGrid/>
                <w:color w:val="auto"/>
                <w:kern w:val="0"/>
                <w:sz w:val="21"/>
                <w:szCs w:val="24"/>
                <w:highlight w:val="none"/>
                <w:u w:val="single"/>
                <w:vertAlign w:val="baseline"/>
                <w:lang w:val="en-US" w:eastAsia="zh-CN" w:bidi="ar-SA"/>
              </w:rPr>
            </w:pPr>
          </w:p>
        </w:tc>
        <w:tc>
          <w:tcPr>
            <w:tcW w:w="2351" w:type="dxa"/>
            <w:vAlign w:val="center"/>
          </w:tcPr>
          <w:p w14:paraId="0DDB70C0">
            <w:pPr>
              <w:widowControl w:val="0"/>
              <w:kinsoku/>
              <w:autoSpaceDE/>
              <w:autoSpaceDN/>
              <w:adjustRightInd/>
              <w:snapToGrid/>
              <w:spacing w:after="120" w:line="360" w:lineRule="auto"/>
              <w:jc w:val="both"/>
              <w:textAlignment w:val="auto"/>
              <w:rPr>
                <w:rFonts w:hint="default" w:ascii="仿宋" w:hAnsi="仿宋" w:eastAsia="仿宋" w:cs="仿宋"/>
                <w:snapToGrid/>
                <w:color w:val="auto"/>
                <w:kern w:val="0"/>
                <w:sz w:val="21"/>
                <w:szCs w:val="24"/>
                <w:highlight w:val="none"/>
                <w:u w:val="single"/>
                <w:vertAlign w:val="baseline"/>
                <w:lang w:val="en-US" w:eastAsia="zh-CN" w:bidi="ar-SA"/>
              </w:rPr>
            </w:pPr>
          </w:p>
        </w:tc>
      </w:tr>
      <w:tr w14:paraId="0BA5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399" w:type="dxa"/>
            <w:gridSpan w:val="4"/>
            <w:vAlign w:val="center"/>
          </w:tcPr>
          <w:p w14:paraId="7DC29752">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仿宋" w:hAnsi="仿宋" w:eastAsia="仿宋" w:cs="仿宋"/>
                <w:b w:val="0"/>
                <w:bCs w:val="0"/>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配送地点：</w:t>
            </w:r>
          </w:p>
        </w:tc>
      </w:tr>
      <w:tr w14:paraId="6DCF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9399" w:type="dxa"/>
            <w:gridSpan w:val="4"/>
            <w:vAlign w:val="center"/>
          </w:tcPr>
          <w:p w14:paraId="6C5A0E44">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合同履行期限：</w:t>
            </w:r>
          </w:p>
        </w:tc>
      </w:tr>
      <w:tr w14:paraId="40C1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9399" w:type="dxa"/>
            <w:gridSpan w:val="4"/>
            <w:vAlign w:val="center"/>
          </w:tcPr>
          <w:p w14:paraId="10DCC05F">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仿宋" w:hAnsi="仿宋" w:eastAsia="仿宋" w:cs="仿宋"/>
                <w:b/>
                <w:bCs/>
                <w:snapToGrid/>
                <w:color w:val="auto"/>
                <w:kern w:val="0"/>
                <w:sz w:val="21"/>
                <w:szCs w:val="24"/>
                <w:highlight w:val="none"/>
                <w:vertAlign w:val="baseline"/>
                <w:lang w:val="en-US" w:eastAsia="zh-CN" w:bidi="ar-SA"/>
              </w:rPr>
            </w:pPr>
            <w:r>
              <w:rPr>
                <w:rFonts w:hint="eastAsia" w:ascii="仿宋" w:hAnsi="仿宋" w:eastAsia="仿宋" w:cs="仿宋"/>
                <w:b/>
                <w:bCs/>
                <w:snapToGrid/>
                <w:color w:val="auto"/>
                <w:kern w:val="0"/>
                <w:sz w:val="21"/>
                <w:szCs w:val="24"/>
                <w:highlight w:val="none"/>
                <w:vertAlign w:val="baseline"/>
                <w:lang w:val="en-US" w:eastAsia="zh-CN" w:bidi="ar-SA"/>
              </w:rPr>
              <w:t>备注：</w:t>
            </w:r>
          </w:p>
        </w:tc>
      </w:tr>
    </w:tbl>
    <w:p w14:paraId="7232FEC0">
      <w:pPr>
        <w:widowControl w:val="0"/>
        <w:kinsoku/>
        <w:autoSpaceDE/>
        <w:autoSpaceDN/>
        <w:adjustRightInd/>
        <w:snapToGrid/>
        <w:spacing w:after="120" w:line="360" w:lineRule="auto"/>
        <w:ind w:left="0" w:leftChars="0" w:firstLine="0" w:firstLineChars="0"/>
        <w:jc w:val="both"/>
        <w:textAlignment w:val="auto"/>
        <w:rPr>
          <w:rFonts w:hint="eastAsia" w:ascii="仿宋" w:hAnsi="仿宋" w:eastAsia="仿宋" w:cs="仿宋"/>
          <w:snapToGrid/>
          <w:color w:val="auto"/>
          <w:kern w:val="0"/>
          <w:sz w:val="21"/>
          <w:szCs w:val="24"/>
          <w:highlight w:val="none"/>
          <w:lang w:val="en-US" w:eastAsia="zh-CN" w:bidi="ar-SA"/>
        </w:rPr>
      </w:pPr>
    </w:p>
    <w:p w14:paraId="3C6086FF">
      <w:pPr>
        <w:widowControl w:val="0"/>
        <w:kinsoku/>
        <w:autoSpaceDE/>
        <w:autoSpaceDN/>
        <w:adjustRightInd/>
        <w:snapToGrid/>
        <w:spacing w:line="360" w:lineRule="auto"/>
        <w:ind w:firstLine="210" w:firstLineChars="100"/>
        <w:jc w:val="both"/>
        <w:textAlignment w:val="auto"/>
        <w:rPr>
          <w:rFonts w:hint="eastAsia" w:ascii="仿宋" w:hAnsi="仿宋" w:eastAsia="仿宋" w:cs="仿宋"/>
          <w:snapToGrid/>
          <w:color w:val="auto"/>
          <w:kern w:val="2"/>
          <w:sz w:val="21"/>
          <w:szCs w:val="24"/>
          <w:highlight w:val="none"/>
          <w:lang w:val="en-US" w:eastAsia="zh-CN" w:bidi="zh-CN"/>
        </w:rPr>
      </w:pPr>
      <w:r>
        <w:rPr>
          <w:rFonts w:hint="eastAsia" w:ascii="仿宋" w:hAnsi="仿宋" w:eastAsia="仿宋" w:cs="仿宋"/>
          <w:snapToGrid/>
          <w:color w:val="auto"/>
          <w:kern w:val="2"/>
          <w:sz w:val="21"/>
          <w:szCs w:val="24"/>
          <w:highlight w:val="none"/>
          <w:lang w:val="en-US" w:eastAsia="zh-CN" w:bidi="zh-CN"/>
        </w:rPr>
        <w:t>注：1.此表中，每包的投标报价应和《投标分项报价表》中的总价相一致。</w:t>
      </w:r>
    </w:p>
    <w:p w14:paraId="776D7ED2">
      <w:pPr>
        <w:widowControl w:val="0"/>
        <w:kinsoku/>
        <w:autoSpaceDE/>
        <w:autoSpaceDN/>
        <w:adjustRightInd/>
        <w:snapToGrid/>
        <w:spacing w:line="360" w:lineRule="auto"/>
        <w:ind w:firstLine="210" w:firstLineChars="100"/>
        <w:jc w:val="both"/>
        <w:textAlignment w:val="auto"/>
        <w:rPr>
          <w:rFonts w:hint="eastAsia" w:ascii="仿宋" w:hAnsi="仿宋" w:eastAsia="仿宋" w:cs="仿宋"/>
          <w:snapToGrid/>
          <w:color w:val="auto"/>
          <w:kern w:val="2"/>
          <w:sz w:val="21"/>
          <w:szCs w:val="24"/>
          <w:highlight w:val="none"/>
          <w:lang w:val="en-US" w:eastAsia="zh-CN" w:bidi="zh-CN"/>
        </w:rPr>
      </w:pPr>
    </w:p>
    <w:p w14:paraId="42E023F5">
      <w:pPr>
        <w:widowControl w:val="0"/>
        <w:kinsoku/>
        <w:autoSpaceDE/>
        <w:autoSpaceDN/>
        <w:adjustRightInd/>
        <w:snapToGrid/>
        <w:spacing w:line="360" w:lineRule="auto"/>
        <w:ind w:firstLine="210" w:firstLineChars="100"/>
        <w:jc w:val="both"/>
        <w:textAlignment w:val="auto"/>
        <w:rPr>
          <w:rFonts w:hint="eastAsia" w:ascii="仿宋" w:hAnsi="仿宋" w:eastAsia="仿宋" w:cs="仿宋"/>
          <w:snapToGrid/>
          <w:color w:val="auto"/>
          <w:kern w:val="2"/>
          <w:sz w:val="21"/>
          <w:szCs w:val="24"/>
          <w:highlight w:val="none"/>
          <w:lang w:val="en-US" w:eastAsia="zh-CN" w:bidi="zh-CN"/>
        </w:rPr>
      </w:pPr>
    </w:p>
    <w:p w14:paraId="558DC068">
      <w:pPr>
        <w:widowControl w:val="0"/>
        <w:kinsoku/>
        <w:autoSpaceDE/>
        <w:autoSpaceDN/>
        <w:adjustRightInd/>
        <w:snapToGrid/>
        <w:spacing w:line="360" w:lineRule="auto"/>
        <w:ind w:firstLine="240" w:firstLineChars="100"/>
        <w:jc w:val="both"/>
        <w:textAlignment w:val="auto"/>
        <w:rPr>
          <w:rFonts w:hint="eastAsia" w:ascii="仿宋" w:hAnsi="仿宋" w:eastAsia="仿宋" w:cs="仿宋"/>
          <w:snapToGrid/>
          <w:color w:val="auto"/>
          <w:kern w:val="2"/>
          <w:sz w:val="24"/>
          <w:szCs w:val="24"/>
          <w:highlight w:val="none"/>
          <w:lang w:val="en-US" w:eastAsia="zh-CN" w:bidi="zh-CN"/>
        </w:rPr>
      </w:pPr>
      <w:r>
        <w:rPr>
          <w:rFonts w:hint="eastAsia" w:ascii="仿宋" w:hAnsi="仿宋" w:eastAsia="仿宋" w:cs="仿宋"/>
          <w:snapToGrid/>
          <w:color w:val="auto"/>
          <w:kern w:val="2"/>
          <w:sz w:val="24"/>
          <w:szCs w:val="24"/>
          <w:highlight w:val="none"/>
          <w:lang w:val="en-US" w:eastAsia="zh-CN" w:bidi="zh-CN"/>
        </w:rPr>
        <w:t>投标人名称（加盖公章）：</w:t>
      </w:r>
      <w:r>
        <w:rPr>
          <w:rFonts w:hint="eastAsia" w:ascii="仿宋" w:hAnsi="仿宋" w:eastAsia="仿宋" w:cs="仿宋"/>
          <w:snapToGrid/>
          <w:color w:val="auto"/>
          <w:kern w:val="2"/>
          <w:sz w:val="24"/>
          <w:szCs w:val="24"/>
          <w:highlight w:val="none"/>
          <w:u w:val="single"/>
          <w:lang w:val="en-US" w:eastAsia="zh-CN" w:bidi="zh-CN"/>
        </w:rPr>
        <w:t xml:space="preserve">             </w:t>
      </w:r>
    </w:p>
    <w:p w14:paraId="73A86349">
      <w:pPr>
        <w:widowControl w:val="0"/>
        <w:kinsoku/>
        <w:autoSpaceDE/>
        <w:autoSpaceDN/>
        <w:adjustRightInd/>
        <w:snapToGrid/>
        <w:spacing w:line="360" w:lineRule="auto"/>
        <w:ind w:firstLine="240" w:firstLineChars="100"/>
        <w:jc w:val="both"/>
        <w:textAlignment w:val="auto"/>
        <w:rPr>
          <w:rFonts w:hint="eastAsia" w:ascii="仿宋" w:hAnsi="仿宋" w:eastAsia="仿宋" w:cs="仿宋"/>
          <w:snapToGrid/>
          <w:color w:val="auto"/>
          <w:kern w:val="2"/>
          <w:sz w:val="24"/>
          <w:szCs w:val="24"/>
          <w:highlight w:val="none"/>
          <w:lang w:val="en-US" w:eastAsia="zh-CN" w:bidi="zh-CN"/>
        </w:rPr>
      </w:pPr>
      <w:r>
        <w:rPr>
          <w:rFonts w:hint="eastAsia" w:ascii="仿宋" w:hAnsi="仿宋" w:eastAsia="仿宋" w:cs="仿宋"/>
          <w:snapToGrid/>
          <w:color w:val="auto"/>
          <w:kern w:val="2"/>
          <w:sz w:val="24"/>
          <w:szCs w:val="24"/>
          <w:highlight w:val="none"/>
          <w:lang w:val="en-US" w:eastAsia="zh-CN" w:bidi="zh-CN"/>
        </w:rPr>
        <w:t>日期：</w:t>
      </w:r>
      <w:r>
        <w:rPr>
          <w:rFonts w:hint="eastAsia" w:ascii="仿宋" w:hAnsi="仿宋" w:eastAsia="仿宋" w:cs="仿宋"/>
          <w:snapToGrid/>
          <w:color w:val="auto"/>
          <w:kern w:val="2"/>
          <w:sz w:val="24"/>
          <w:szCs w:val="24"/>
          <w:highlight w:val="none"/>
          <w:u w:val="single"/>
          <w:lang w:val="en-US" w:eastAsia="zh-CN" w:bidi="zh-CN"/>
        </w:rPr>
        <w:t xml:space="preserve">        </w:t>
      </w:r>
      <w:r>
        <w:rPr>
          <w:rFonts w:hint="eastAsia" w:ascii="仿宋" w:hAnsi="仿宋" w:eastAsia="仿宋" w:cs="仿宋"/>
          <w:snapToGrid/>
          <w:color w:val="auto"/>
          <w:kern w:val="2"/>
          <w:sz w:val="24"/>
          <w:szCs w:val="24"/>
          <w:highlight w:val="none"/>
          <w:lang w:val="en-US" w:eastAsia="zh-CN" w:bidi="zh-CN"/>
        </w:rPr>
        <w:t>年</w:t>
      </w:r>
      <w:r>
        <w:rPr>
          <w:rFonts w:hint="eastAsia" w:ascii="仿宋" w:hAnsi="仿宋" w:eastAsia="仿宋" w:cs="仿宋"/>
          <w:snapToGrid/>
          <w:color w:val="auto"/>
          <w:kern w:val="2"/>
          <w:sz w:val="24"/>
          <w:szCs w:val="24"/>
          <w:highlight w:val="none"/>
          <w:u w:val="single"/>
          <w:lang w:val="en-US" w:eastAsia="zh-CN" w:bidi="zh-CN"/>
        </w:rPr>
        <w:t xml:space="preserve">      </w:t>
      </w:r>
      <w:r>
        <w:rPr>
          <w:rFonts w:hint="eastAsia" w:ascii="仿宋" w:hAnsi="仿宋" w:eastAsia="仿宋" w:cs="仿宋"/>
          <w:snapToGrid/>
          <w:color w:val="auto"/>
          <w:kern w:val="2"/>
          <w:sz w:val="24"/>
          <w:szCs w:val="24"/>
          <w:highlight w:val="none"/>
          <w:lang w:val="en-US" w:eastAsia="zh-CN" w:bidi="zh-CN"/>
        </w:rPr>
        <w:t>月</w:t>
      </w:r>
      <w:r>
        <w:rPr>
          <w:rFonts w:hint="eastAsia" w:ascii="仿宋" w:hAnsi="仿宋" w:eastAsia="仿宋" w:cs="仿宋"/>
          <w:snapToGrid/>
          <w:color w:val="auto"/>
          <w:kern w:val="2"/>
          <w:sz w:val="24"/>
          <w:szCs w:val="24"/>
          <w:highlight w:val="none"/>
          <w:u w:val="single"/>
          <w:lang w:val="en-US" w:eastAsia="zh-CN" w:bidi="zh-CN"/>
        </w:rPr>
        <w:t xml:space="preserve">     </w:t>
      </w:r>
      <w:r>
        <w:rPr>
          <w:rFonts w:hint="eastAsia" w:ascii="仿宋" w:hAnsi="仿宋" w:eastAsia="仿宋" w:cs="仿宋"/>
          <w:snapToGrid/>
          <w:color w:val="auto"/>
          <w:kern w:val="2"/>
          <w:sz w:val="24"/>
          <w:szCs w:val="24"/>
          <w:highlight w:val="none"/>
          <w:lang w:val="en-US" w:eastAsia="zh-CN" w:bidi="zh-CN"/>
        </w:rPr>
        <w:t>日</w:t>
      </w:r>
    </w:p>
    <w:p w14:paraId="7CBD539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24831B5">
      <w:pPr>
        <w:pStyle w:val="8"/>
        <w:spacing w:before="156" w:line="756" w:lineRule="exact"/>
        <w:jc w:val="center"/>
        <w:outlineLvl w:val="2"/>
        <w:rPr>
          <w:rFonts w:hint="eastAsia" w:ascii="仿宋" w:hAnsi="仿宋" w:eastAsia="仿宋" w:cs="仿宋"/>
          <w:color w:val="auto"/>
          <w:sz w:val="24"/>
          <w:szCs w:val="24"/>
          <w:highlight w:val="none"/>
        </w:rPr>
      </w:pPr>
      <w:bookmarkStart w:id="159" w:name="bookmark52"/>
      <w:bookmarkEnd w:id="159"/>
      <w:bookmarkStart w:id="160" w:name="_Toc32186"/>
      <w:r>
        <w:rPr>
          <w:rFonts w:hint="eastAsia" w:ascii="仿宋" w:hAnsi="仿宋" w:eastAsia="仿宋" w:cs="仿宋"/>
          <w:color w:val="auto"/>
          <w:position w:val="40"/>
          <w:sz w:val="24"/>
          <w:szCs w:val="24"/>
          <w:highlight w:val="none"/>
          <w14:textOutline w14:w="4358" w14:cap="sq" w14:cmpd="sng">
            <w14:solidFill>
              <w14:srgbClr w14:val="000000"/>
            </w14:solidFill>
            <w14:prstDash w14:val="solid"/>
            <w14:bevel/>
          </w14:textOutline>
        </w:rPr>
        <w:t>2法人或者非法人组织的营业执照等证明文件或自然人的身份证明</w:t>
      </w:r>
      <w:bookmarkEnd w:id="160"/>
    </w:p>
    <w:p w14:paraId="41240914">
      <w:pPr>
        <w:pStyle w:val="8"/>
        <w:spacing w:line="224" w:lineRule="auto"/>
        <w:ind w:left="275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（一）法定代表人身份证明</w:t>
      </w:r>
    </w:p>
    <w:p w14:paraId="4EDBD318">
      <w:pPr>
        <w:spacing w:line="383" w:lineRule="auto"/>
        <w:rPr>
          <w:rFonts w:hint="eastAsia" w:ascii="仿宋" w:hAnsi="仿宋" w:eastAsia="仿宋" w:cs="仿宋"/>
          <w:color w:val="auto"/>
          <w:sz w:val="21"/>
          <w:highlight w:val="none"/>
        </w:rPr>
      </w:pPr>
    </w:p>
    <w:p w14:paraId="50AC8038">
      <w:pPr>
        <w:pStyle w:val="8"/>
        <w:tabs>
          <w:tab w:val="left" w:pos="1816"/>
        </w:tabs>
        <w:spacing w:before="78" w:line="340" w:lineRule="auto"/>
        <w:ind w:left="61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pacing w:val="-8"/>
          <w:sz w:val="24"/>
          <w:szCs w:val="24"/>
          <w:highlight w:val="none"/>
        </w:rPr>
        <w:t>同志，现任我单位职务，为法定代表人，特此证明。</w:t>
      </w:r>
    </w:p>
    <w:p w14:paraId="314D1045">
      <w:pPr>
        <w:pStyle w:val="8"/>
        <w:spacing w:line="224" w:lineRule="auto"/>
        <w:ind w:left="26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签发日期：单位：</w:t>
      </w:r>
    </w:p>
    <w:p w14:paraId="565CF102">
      <w:pPr>
        <w:pStyle w:val="8"/>
        <w:spacing w:before="148" w:line="224" w:lineRule="auto"/>
        <w:ind w:left="28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附：代表人性别：年龄：身份证号码：</w:t>
      </w:r>
    </w:p>
    <w:p w14:paraId="2C336BC3">
      <w:pPr>
        <w:pStyle w:val="8"/>
        <w:spacing w:before="147" w:line="223" w:lineRule="auto"/>
        <w:ind w:left="26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联系电话：</w:t>
      </w:r>
    </w:p>
    <w:p w14:paraId="723DC99E">
      <w:pPr>
        <w:pStyle w:val="8"/>
        <w:spacing w:before="152" w:line="225" w:lineRule="auto"/>
        <w:ind w:left="2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营业执照号码：经济性质：</w:t>
      </w:r>
    </w:p>
    <w:p w14:paraId="623C515D">
      <w:pPr>
        <w:pStyle w:val="8"/>
        <w:spacing w:before="147" w:line="232" w:lineRule="auto"/>
        <w:ind w:left="2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说明：</w:t>
      </w:r>
    </w:p>
    <w:p w14:paraId="507ACE9E">
      <w:pPr>
        <w:pStyle w:val="8"/>
        <w:spacing w:before="137" w:line="442" w:lineRule="exact"/>
        <w:ind w:left="278"/>
        <w:rPr>
          <w:rFonts w:hint="eastAsia" w:ascii="仿宋" w:hAnsi="仿宋" w:eastAsia="仿宋" w:cs="仿宋"/>
          <w:color w:val="auto"/>
          <w:sz w:val="24"/>
          <w:szCs w:val="24"/>
          <w:highlight w:val="none"/>
        </w:rPr>
      </w:pPr>
      <w:r>
        <w:rPr>
          <w:rFonts w:hint="eastAsia" w:ascii="仿宋" w:hAnsi="仿宋" w:eastAsia="仿宋" w:cs="仿宋"/>
          <w:color w:val="auto"/>
          <w:spacing w:val="-1"/>
          <w:position w:val="14"/>
          <w:sz w:val="24"/>
          <w:szCs w:val="24"/>
          <w:highlight w:val="none"/>
        </w:rPr>
        <w:t>1、法定代表人为企业事业单位、国家机关、社会团体的主要行政负责人。</w:t>
      </w:r>
    </w:p>
    <w:p w14:paraId="6E08EDD3">
      <w:pPr>
        <w:pStyle w:val="8"/>
        <w:spacing w:line="220" w:lineRule="auto"/>
        <w:ind w:left="26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2、内容必须填写真实、清楚、涂改无效，不得转让。</w:t>
      </w:r>
    </w:p>
    <w:p w14:paraId="23ABFE1F">
      <w:pPr>
        <w:pStyle w:val="8"/>
        <w:spacing w:before="153" w:line="439" w:lineRule="exact"/>
        <w:ind w:left="265"/>
        <w:rPr>
          <w:rFonts w:hint="eastAsia" w:ascii="仿宋" w:hAnsi="仿宋" w:eastAsia="仿宋" w:cs="仿宋"/>
          <w:color w:val="auto"/>
          <w:sz w:val="24"/>
          <w:szCs w:val="24"/>
          <w:highlight w:val="none"/>
        </w:rPr>
      </w:pPr>
      <w:r>
        <w:rPr>
          <w:rFonts w:hint="eastAsia" w:ascii="仿宋" w:hAnsi="仿宋" w:eastAsia="仿宋" w:cs="仿宋"/>
          <w:color w:val="auto"/>
          <w:spacing w:val="-1"/>
          <w:position w:val="14"/>
          <w:sz w:val="24"/>
          <w:szCs w:val="24"/>
          <w:highlight w:val="none"/>
        </w:rPr>
        <w:t>3、将此证明书放入响应文件中加盖公章。</w:t>
      </w:r>
    </w:p>
    <w:p w14:paraId="4811142D">
      <w:pPr>
        <w:pStyle w:val="8"/>
        <w:spacing w:line="220" w:lineRule="auto"/>
        <w:ind w:left="31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(为避免废标，请投标人务必提供本附件)</w:t>
      </w:r>
    </w:p>
    <w:p w14:paraId="3938D30A">
      <w:pPr>
        <w:spacing w:line="41" w:lineRule="exact"/>
        <w:rPr>
          <w:rFonts w:hint="eastAsia" w:ascii="仿宋" w:hAnsi="仿宋" w:eastAsia="仿宋" w:cs="仿宋"/>
          <w:color w:val="auto"/>
          <w:highlight w:val="none"/>
        </w:rPr>
      </w:pPr>
    </w:p>
    <w:p w14:paraId="2C801FCC">
      <w:pPr>
        <w:jc w:val="both"/>
        <w:rPr>
          <w:rFonts w:hint="eastAsia" w:ascii="仿宋" w:hAnsi="仿宋" w:eastAsia="仿宋" w:cs="仿宋"/>
          <w:color w:val="auto"/>
          <w:szCs w:val="21"/>
          <w:highlight w:val="none"/>
        </w:rPr>
      </w:pPr>
      <w:r>
        <w:rPr>
          <w:rFonts w:hint="eastAsia" w:ascii="仿宋" w:hAnsi="仿宋" w:eastAsia="仿宋" w:cs="仿宋"/>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2818765</wp:posOffset>
                </wp:positionH>
                <wp:positionV relativeFrom="paragraph">
                  <wp:posOffset>60960</wp:posOffset>
                </wp:positionV>
                <wp:extent cx="2555875" cy="1269365"/>
                <wp:effectExtent l="12700" t="12700" r="22225" b="13335"/>
                <wp:wrapNone/>
                <wp:docPr id="5" name="圆角矩形 5"/>
                <wp:cNvGraphicFramePr/>
                <a:graphic xmlns:a="http://schemas.openxmlformats.org/drawingml/2006/main">
                  <a:graphicData uri="http://schemas.microsoft.com/office/word/2010/wordprocessingShape">
                    <wps:wsp>
                      <wps:cNvSpPr/>
                      <wps:spPr>
                        <a:xfrm>
                          <a:off x="0" y="0"/>
                          <a:ext cx="2555875" cy="126936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1.95pt;margin-top:4.8pt;height:99.95pt;width:201.25pt;z-index:251663360;v-text-anchor:middle;mso-width-relative:page;mso-height-relative:page;" filled="f" stroked="t" coordsize="21600,21600" arcsize="0.166666666666667" o:gfxdata="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CJbcdgAAAAJAQAADwAAAAAAAAABACAAAAAiAAAAZHJzL2Rvd25yZXYu&#10;eG1sUEsBAhQAFAAAAAgAh07iQJ7eRFhtAgAAwAQAAA4AAAAAAAAAAQAgAAAAJwEAAGRycy9lMm9E&#10;b2MueG1sUEsFBgAAAAAGAAYAWQEAAAYGAAAAAA==&#10;">
                <v:fill on="f" focussize="0,0"/>
                <v:stroke weight="2pt" color="#000000 [3213]" joinstyle="round"/>
                <v:imagedata o:title=""/>
                <o:lock v:ext="edit" aspectratio="f"/>
              </v:roundrect>
            </w:pict>
          </mc:Fallback>
        </mc:AlternateContent>
      </w:r>
      <w:r>
        <w:rPr>
          <w:rFonts w:hint="eastAsia" w:ascii="仿宋" w:hAnsi="仿宋" w:eastAsia="仿宋" w:cs="仿宋"/>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86995</wp:posOffset>
                </wp:positionH>
                <wp:positionV relativeFrom="paragraph">
                  <wp:posOffset>67310</wp:posOffset>
                </wp:positionV>
                <wp:extent cx="2555875" cy="1269365"/>
                <wp:effectExtent l="12700" t="12700" r="22225" b="13335"/>
                <wp:wrapNone/>
                <wp:docPr id="1" name="圆角矩形 1"/>
                <wp:cNvGraphicFramePr/>
                <a:graphic xmlns:a="http://schemas.openxmlformats.org/drawingml/2006/main">
                  <a:graphicData uri="http://schemas.microsoft.com/office/word/2010/wordprocessingShape">
                    <wps:wsp>
                      <wps:cNvSpPr/>
                      <wps:spPr>
                        <a:xfrm>
                          <a:off x="1220470" y="4683125"/>
                          <a:ext cx="2555875" cy="126936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85pt;margin-top:5.3pt;height:99.95pt;width:201.25pt;z-index:251662336;v-text-anchor:middle;mso-width-relative:page;mso-height-relative:page;" filled="f" stroked="t" coordsize="21600,21600" arcsize="0.166666666666667" o:gfxdata="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5G6GtcAAAAJAQAADwAAAAAAAAABACAAAAAiAAAA&#10;ZHJzL2Rvd25yZXYueG1sUEsBAhQAFAAAAAgAh07iQFzZTZV6AgAAzAQAAA4AAAAAAAAAAQAgAAAA&#10;JgEAAGRycy9lMm9Eb2MueG1sUEsFBgAAAAAGAAYAWQEAABIGAAAAAA==&#10;">
                <v:fill on="f" focussize="0,0"/>
                <v:stroke weight="2pt" color="#000000 [3213]" joinstyle="round"/>
                <v:imagedata o:title=""/>
                <o:lock v:ext="edit" aspectratio="f"/>
              </v:roundrect>
            </w:pict>
          </mc:Fallback>
        </mc:AlternateContent>
      </w:r>
    </w:p>
    <w:p w14:paraId="1F06F2B2">
      <w:pPr>
        <w:jc w:val="both"/>
        <w:rPr>
          <w:rFonts w:hint="eastAsia" w:ascii="仿宋" w:hAnsi="仿宋" w:eastAsia="仿宋" w:cs="仿宋"/>
          <w:color w:val="auto"/>
          <w:szCs w:val="21"/>
          <w:highlight w:val="none"/>
        </w:rPr>
      </w:pPr>
    </w:p>
    <w:p w14:paraId="16DC9C08">
      <w:pPr>
        <w:ind w:firstLine="840" w:firstLineChars="400"/>
        <w:jc w:val="both"/>
        <w:rPr>
          <w:rFonts w:hint="eastAsia" w:ascii="仿宋" w:hAnsi="仿宋" w:eastAsia="仿宋" w:cs="仿宋"/>
          <w:color w:val="auto"/>
          <w:szCs w:val="21"/>
          <w:highlight w:val="none"/>
        </w:rPr>
      </w:pPr>
    </w:p>
    <w:p w14:paraId="0F38CA68">
      <w:pPr>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法定代表人身份证复印件正面</w:t>
      </w:r>
      <w:r>
        <w:rPr>
          <w:rFonts w:hint="eastAsia" w:ascii="仿宋" w:hAnsi="仿宋" w:eastAsia="仿宋" w:cs="仿宋"/>
          <w:color w:val="auto"/>
          <w:szCs w:val="21"/>
          <w:highlight w:val="none"/>
          <w:lang w:eastAsia="zh-CN"/>
        </w:rPr>
        <w:tab/>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法定代表人身份证复印件反面</w:t>
      </w:r>
    </w:p>
    <w:p w14:paraId="3B20EABC">
      <w:pPr>
        <w:rPr>
          <w:rFonts w:hint="eastAsia" w:ascii="仿宋" w:hAnsi="仿宋" w:eastAsia="仿宋" w:cs="仿宋"/>
          <w:color w:val="auto"/>
          <w:highlight w:val="none"/>
        </w:rPr>
      </w:pPr>
    </w:p>
    <w:p w14:paraId="18E4FF7E">
      <w:pPr>
        <w:pStyle w:val="8"/>
        <w:tabs>
          <w:tab w:val="left" w:pos="567"/>
        </w:tabs>
        <w:ind w:firstLine="1400" w:firstLineChars="500"/>
        <w:rPr>
          <w:rFonts w:hint="eastAsia" w:ascii="仿宋" w:hAnsi="仿宋" w:eastAsia="仿宋" w:cs="仿宋"/>
          <w:color w:val="auto"/>
          <w:highlight w:val="none"/>
        </w:rPr>
      </w:pPr>
      <w:r>
        <w:rPr>
          <w:rFonts w:hint="eastAsia" w:ascii="仿宋" w:hAnsi="仿宋" w:eastAsia="仿宋" w:cs="仿宋"/>
          <w:color w:val="auto"/>
          <w:highlight w:val="none"/>
        </w:rPr>
        <w:t>（头像）</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szCs w:val="21"/>
          <w:highlight w:val="none"/>
        </w:rPr>
        <w:t>（国徽）</w:t>
      </w:r>
    </w:p>
    <w:p w14:paraId="3C97D0B8">
      <w:pPr>
        <w:pStyle w:val="5"/>
        <w:tabs>
          <w:tab w:val="left" w:pos="5937"/>
        </w:tabs>
        <w:ind w:firstLine="1200" w:firstLineChars="500"/>
        <w:rPr>
          <w:rFonts w:hint="eastAsia" w:ascii="仿宋" w:hAnsi="仿宋" w:eastAsia="仿宋" w:cs="仿宋"/>
          <w:color w:val="auto"/>
          <w:highlight w:val="none"/>
          <w:lang w:eastAsia="zh-CN"/>
        </w:rPr>
      </w:pPr>
    </w:p>
    <w:p w14:paraId="50868B1B">
      <w:pPr>
        <w:tabs>
          <w:tab w:val="left" w:pos="5487"/>
        </w:tabs>
        <w:ind w:firstLine="840" w:firstLineChars="400"/>
        <w:jc w:val="both"/>
        <w:rPr>
          <w:rFonts w:hint="eastAsia" w:ascii="仿宋" w:hAnsi="仿宋" w:eastAsia="仿宋" w:cs="仿宋"/>
          <w:color w:val="auto"/>
          <w:szCs w:val="21"/>
          <w:highlight w:val="none"/>
          <w:lang w:eastAsia="zh-CN"/>
        </w:rPr>
      </w:pPr>
    </w:p>
    <w:p w14:paraId="5BD1773B">
      <w:pPr>
        <w:spacing w:line="317" w:lineRule="auto"/>
        <w:rPr>
          <w:rFonts w:hint="eastAsia" w:ascii="仿宋" w:hAnsi="仿宋" w:eastAsia="仿宋" w:cs="仿宋"/>
          <w:color w:val="auto"/>
          <w:sz w:val="21"/>
          <w:highlight w:val="none"/>
        </w:rPr>
      </w:pPr>
    </w:p>
    <w:p w14:paraId="0328F9A4">
      <w:pPr>
        <w:spacing w:line="317" w:lineRule="auto"/>
        <w:rPr>
          <w:rFonts w:hint="eastAsia" w:ascii="仿宋" w:hAnsi="仿宋" w:eastAsia="仿宋" w:cs="仿宋"/>
          <w:color w:val="auto"/>
          <w:sz w:val="21"/>
          <w:highlight w:val="none"/>
        </w:rPr>
      </w:pPr>
    </w:p>
    <w:p w14:paraId="67C45F96">
      <w:pPr>
        <w:spacing w:line="317" w:lineRule="auto"/>
        <w:rPr>
          <w:rFonts w:hint="eastAsia" w:ascii="仿宋" w:hAnsi="仿宋" w:eastAsia="仿宋" w:cs="仿宋"/>
          <w:color w:val="auto"/>
          <w:sz w:val="21"/>
          <w:highlight w:val="none"/>
        </w:rPr>
      </w:pPr>
    </w:p>
    <w:p w14:paraId="054CD0B9">
      <w:pPr>
        <w:spacing w:line="317" w:lineRule="auto"/>
        <w:rPr>
          <w:rFonts w:hint="eastAsia" w:ascii="仿宋" w:hAnsi="仿宋" w:eastAsia="仿宋" w:cs="仿宋"/>
          <w:color w:val="auto"/>
          <w:sz w:val="21"/>
          <w:highlight w:val="none"/>
        </w:rPr>
      </w:pPr>
    </w:p>
    <w:p w14:paraId="33844043">
      <w:pPr>
        <w:spacing w:line="317" w:lineRule="auto"/>
        <w:rPr>
          <w:rFonts w:hint="eastAsia" w:ascii="仿宋" w:hAnsi="仿宋" w:eastAsia="仿宋" w:cs="仿宋"/>
          <w:color w:val="auto"/>
          <w:sz w:val="21"/>
          <w:highlight w:val="none"/>
        </w:rPr>
      </w:pPr>
    </w:p>
    <w:p w14:paraId="0ECD3023">
      <w:pPr>
        <w:pStyle w:val="8"/>
        <w:spacing w:before="79" w:line="338" w:lineRule="auto"/>
        <w:ind w:left="81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投标人（盖章</w:t>
      </w:r>
      <w:r>
        <w:rPr>
          <w:rFonts w:hint="eastAsia" w:ascii="仿宋" w:hAnsi="仿宋" w:eastAsia="仿宋" w:cs="仿宋"/>
          <w:color w:val="auto"/>
          <w:spacing w:val="-1"/>
          <w:sz w:val="24"/>
          <w:szCs w:val="24"/>
          <w:highlight w:val="none"/>
        </w:rPr>
        <w:t>）：</w:t>
      </w:r>
    </w:p>
    <w:p w14:paraId="498A5439">
      <w:pPr>
        <w:pStyle w:val="8"/>
        <w:spacing w:before="1" w:line="222" w:lineRule="auto"/>
        <w:ind w:left="82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法定代表人签字或盖章：</w:t>
      </w:r>
    </w:p>
    <w:p w14:paraId="6F5F5D4E">
      <w:pPr>
        <w:pStyle w:val="8"/>
        <w:spacing w:before="152" w:line="224" w:lineRule="auto"/>
        <w:ind w:left="86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1"/>
          <w:sz w:val="24"/>
          <w:szCs w:val="24"/>
          <w:highlight w:val="none"/>
        </w:rPr>
        <w:t>日期：</w:t>
      </w:r>
    </w:p>
    <w:p w14:paraId="40B83E67">
      <w:pPr>
        <w:spacing w:line="252" w:lineRule="auto"/>
        <w:rPr>
          <w:rFonts w:hint="eastAsia" w:ascii="仿宋" w:hAnsi="仿宋" w:eastAsia="仿宋" w:cs="仿宋"/>
          <w:color w:val="auto"/>
          <w:sz w:val="21"/>
          <w:highlight w:val="none"/>
        </w:rPr>
      </w:pPr>
    </w:p>
    <w:p w14:paraId="21386808">
      <w:pPr>
        <w:spacing w:line="253" w:lineRule="auto"/>
        <w:rPr>
          <w:rFonts w:hint="eastAsia" w:ascii="仿宋" w:hAnsi="仿宋" w:eastAsia="仿宋" w:cs="仿宋"/>
          <w:color w:val="auto"/>
          <w:sz w:val="21"/>
          <w:highlight w:val="none"/>
        </w:rPr>
      </w:pPr>
    </w:p>
    <w:p w14:paraId="2EDA4AD6">
      <w:pPr>
        <w:pStyle w:val="8"/>
        <w:spacing w:before="79" w:line="441" w:lineRule="exact"/>
        <w:ind w:left="562"/>
        <w:rPr>
          <w:rFonts w:hint="eastAsia" w:ascii="仿宋" w:hAnsi="仿宋" w:eastAsia="仿宋" w:cs="仿宋"/>
          <w:color w:val="auto"/>
          <w:sz w:val="24"/>
          <w:szCs w:val="24"/>
          <w:highlight w:val="none"/>
        </w:rPr>
      </w:pPr>
      <w:r>
        <w:rPr>
          <w:rFonts w:hint="eastAsia" w:ascii="仿宋" w:hAnsi="仿宋" w:eastAsia="仿宋" w:cs="仿宋"/>
          <w:color w:val="auto"/>
          <w:spacing w:val="-1"/>
          <w:position w:val="14"/>
          <w:sz w:val="24"/>
          <w:szCs w:val="24"/>
          <w:highlight w:val="none"/>
        </w:rPr>
        <w:t>说明：1.提供有效的营业执照等证明文件复印件，复印件上应加盖</w:t>
      </w:r>
      <w:r>
        <w:rPr>
          <w:rFonts w:hint="eastAsia" w:ascii="仿宋" w:hAnsi="仿宋" w:eastAsia="仿宋" w:cs="仿宋"/>
          <w:color w:val="auto"/>
          <w:spacing w:val="-2"/>
          <w:position w:val="14"/>
          <w:sz w:val="24"/>
          <w:szCs w:val="24"/>
          <w:highlight w:val="none"/>
        </w:rPr>
        <w:t>本单位</w:t>
      </w:r>
    </w:p>
    <w:p w14:paraId="0F368843">
      <w:pPr>
        <w:pStyle w:val="8"/>
        <w:spacing w:line="225" w:lineRule="auto"/>
        <w:ind w:left="1106"/>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章。</w:t>
      </w:r>
    </w:p>
    <w:p w14:paraId="4755623C">
      <w:pPr>
        <w:pStyle w:val="8"/>
        <w:spacing w:before="147" w:line="220" w:lineRule="auto"/>
        <w:ind w:left="1283"/>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2.投标人为自然人的，应提供身份证明的复印件。</w:t>
      </w:r>
    </w:p>
    <w:p w14:paraId="2417C151">
      <w:pPr>
        <w:pStyle w:val="8"/>
        <w:spacing w:before="154" w:line="227" w:lineRule="auto"/>
        <w:ind w:left="1285"/>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3.联合体投标应提供联合体各方满足以上要求的证明文件。</w:t>
      </w:r>
    </w:p>
    <w:p w14:paraId="3A3935B8">
      <w:pPr>
        <w:spacing w:line="227" w:lineRule="auto"/>
        <w:rPr>
          <w:rFonts w:hint="eastAsia" w:ascii="仿宋" w:hAnsi="仿宋" w:eastAsia="仿宋" w:cs="仿宋"/>
          <w:color w:val="auto"/>
          <w:sz w:val="24"/>
          <w:szCs w:val="24"/>
          <w:highlight w:val="none"/>
        </w:rPr>
        <w:sectPr>
          <w:footerReference r:id="rId19" w:type="default"/>
          <w:pgSz w:w="11905" w:h="16838"/>
          <w:pgMar w:top="1440" w:right="1083" w:bottom="1440" w:left="1083" w:header="0" w:footer="1225" w:gutter="0"/>
          <w:pgNumType w:fmt="decimal"/>
          <w:cols w:space="0" w:num="1"/>
          <w:rtlGutter w:val="0"/>
          <w:docGrid w:linePitch="0" w:charSpace="0"/>
        </w:sectPr>
      </w:pPr>
    </w:p>
    <w:p w14:paraId="521EE77E">
      <w:pPr>
        <w:pStyle w:val="8"/>
        <w:spacing w:before="156" w:line="220" w:lineRule="auto"/>
        <w:jc w:val="center"/>
        <w:outlineLvl w:val="2"/>
        <w:rPr>
          <w:rFonts w:hint="eastAsia" w:ascii="仿宋" w:hAnsi="仿宋" w:eastAsia="仿宋" w:cs="仿宋"/>
          <w:color w:val="auto"/>
          <w:sz w:val="24"/>
          <w:szCs w:val="24"/>
          <w:highlight w:val="none"/>
        </w:rPr>
      </w:pPr>
      <w:bookmarkStart w:id="161" w:name="bookmark53"/>
      <w:bookmarkEnd w:id="161"/>
      <w:bookmarkStart w:id="162" w:name="_Toc26110"/>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3法定代表人授权委托书(投标文件格式二，</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自然人投标的无需提供)</w:t>
      </w:r>
      <w:bookmarkEnd w:id="162"/>
    </w:p>
    <w:p w14:paraId="70E48991">
      <w:pPr>
        <w:spacing w:line="317" w:lineRule="auto"/>
        <w:outlineLvl w:val="9"/>
        <w:rPr>
          <w:rFonts w:hint="eastAsia" w:ascii="仿宋" w:hAnsi="仿宋" w:eastAsia="仿宋" w:cs="仿宋"/>
          <w:color w:val="auto"/>
          <w:sz w:val="21"/>
          <w:highlight w:val="none"/>
        </w:rPr>
      </w:pPr>
    </w:p>
    <w:p w14:paraId="2B2AA106">
      <w:pPr>
        <w:spacing w:line="317" w:lineRule="auto"/>
        <w:rPr>
          <w:rFonts w:hint="eastAsia" w:ascii="仿宋" w:hAnsi="仿宋" w:eastAsia="仿宋" w:cs="仿宋"/>
          <w:color w:val="auto"/>
          <w:sz w:val="21"/>
          <w:highlight w:val="none"/>
        </w:rPr>
      </w:pPr>
    </w:p>
    <w:p w14:paraId="72CBF9A8">
      <w:pPr>
        <w:spacing w:line="317" w:lineRule="auto"/>
        <w:rPr>
          <w:rFonts w:hint="eastAsia" w:ascii="仿宋" w:hAnsi="仿宋" w:eastAsia="仿宋" w:cs="仿宋"/>
          <w:color w:val="auto"/>
          <w:sz w:val="21"/>
          <w:highlight w:val="none"/>
        </w:rPr>
      </w:pPr>
    </w:p>
    <w:p w14:paraId="42435579">
      <w:pPr>
        <w:pStyle w:val="8"/>
        <w:spacing w:before="78" w:line="338" w:lineRule="auto"/>
        <w:ind w:left="40" w:right="477" w:firstLine="48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w:t>
      </w:r>
      <w:r>
        <w:rPr>
          <w:rFonts w:hint="eastAsia" w:ascii="仿宋" w:hAnsi="仿宋" w:eastAsia="仿宋" w:cs="仿宋"/>
          <w:color w:val="auto"/>
          <w:sz w:val="24"/>
          <w:szCs w:val="24"/>
          <w:highlight w:val="none"/>
          <w:u w:val="single" w:color="auto"/>
        </w:rPr>
        <w:t>（国家或地区的名称）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color="auto"/>
        </w:rPr>
        <w:t>投标人</w:t>
      </w:r>
      <w:r>
        <w:rPr>
          <w:rFonts w:hint="eastAsia" w:ascii="仿宋" w:hAnsi="仿宋" w:eastAsia="仿宋" w:cs="仿宋"/>
          <w:color w:val="auto"/>
          <w:sz w:val="24"/>
          <w:szCs w:val="24"/>
          <w:highlight w:val="none"/>
        </w:rPr>
        <w:t>）的在下面签字的（</w:t>
      </w:r>
      <w:r>
        <w:rPr>
          <w:rFonts w:hint="eastAsia" w:ascii="仿宋" w:hAnsi="仿宋" w:eastAsia="仿宋" w:cs="仿宋"/>
          <w:color w:val="auto"/>
          <w:sz w:val="24"/>
          <w:szCs w:val="24"/>
          <w:highlight w:val="none"/>
          <w:u w:val="single" w:color="auto"/>
        </w:rPr>
        <w:t>法人代表姓名、职务</w:t>
      </w:r>
      <w:r>
        <w:rPr>
          <w:rFonts w:hint="eastAsia" w:ascii="仿宋" w:hAnsi="仿宋" w:eastAsia="仿宋" w:cs="仿宋"/>
          <w:color w:val="auto"/>
          <w:sz w:val="24"/>
          <w:szCs w:val="24"/>
          <w:highlight w:val="none"/>
        </w:rPr>
        <w:t>）代表我单位授权（</w:t>
      </w:r>
      <w:r>
        <w:rPr>
          <w:rFonts w:hint="eastAsia" w:ascii="仿宋" w:hAnsi="仿宋" w:eastAsia="仿宋" w:cs="仿宋"/>
          <w:color w:val="auto"/>
          <w:sz w:val="24"/>
          <w:szCs w:val="24"/>
          <w:highlight w:val="none"/>
          <w:u w:val="single" w:color="auto"/>
        </w:rPr>
        <w:t>单位名称</w:t>
      </w:r>
      <w:r>
        <w:rPr>
          <w:rFonts w:hint="eastAsia" w:ascii="仿宋" w:hAnsi="仿宋" w:eastAsia="仿宋" w:cs="仿宋"/>
          <w:color w:val="auto"/>
          <w:sz w:val="24"/>
          <w:szCs w:val="24"/>
          <w:highlight w:val="none"/>
        </w:rPr>
        <w:t>）的在下面签字的（</w:t>
      </w:r>
      <w:r>
        <w:rPr>
          <w:rFonts w:hint="eastAsia" w:ascii="仿宋" w:hAnsi="仿宋" w:eastAsia="仿宋" w:cs="仿宋"/>
          <w:color w:val="auto"/>
          <w:sz w:val="24"/>
          <w:szCs w:val="24"/>
          <w:highlight w:val="none"/>
          <w:u w:val="single" w:color="auto"/>
        </w:rPr>
        <w:t>被</w:t>
      </w:r>
      <w:r>
        <w:rPr>
          <w:rFonts w:hint="eastAsia" w:ascii="仿宋" w:hAnsi="仿宋" w:eastAsia="仿宋" w:cs="仿宋"/>
          <w:color w:val="auto"/>
          <w:spacing w:val="-4"/>
          <w:sz w:val="24"/>
          <w:szCs w:val="24"/>
          <w:highlight w:val="none"/>
          <w:u w:val="single" w:color="auto"/>
        </w:rPr>
        <w:t>授权人的姓名、职务</w:t>
      </w:r>
      <w:r>
        <w:rPr>
          <w:rFonts w:hint="eastAsia" w:ascii="仿宋" w:hAnsi="仿宋" w:eastAsia="仿宋" w:cs="仿宋"/>
          <w:color w:val="auto"/>
          <w:spacing w:val="-4"/>
          <w:sz w:val="24"/>
          <w:szCs w:val="24"/>
          <w:highlight w:val="none"/>
        </w:rPr>
        <w:t>）为我单位的合法代理人，就（</w:t>
      </w:r>
      <w:r>
        <w:rPr>
          <w:rFonts w:hint="eastAsia" w:ascii="仿宋" w:hAnsi="仿宋" w:eastAsia="仿宋" w:cs="仿宋"/>
          <w:color w:val="auto"/>
          <w:spacing w:val="-4"/>
          <w:sz w:val="24"/>
          <w:szCs w:val="24"/>
          <w:highlight w:val="none"/>
          <w:u w:val="single" w:color="auto"/>
        </w:rPr>
        <w:t>项目名称</w:t>
      </w:r>
      <w:r>
        <w:rPr>
          <w:rFonts w:hint="eastAsia" w:ascii="仿宋" w:hAnsi="仿宋" w:eastAsia="仿宋" w:cs="仿宋"/>
          <w:color w:val="auto"/>
          <w:spacing w:val="-4"/>
          <w:sz w:val="24"/>
          <w:szCs w:val="24"/>
          <w:highlight w:val="none"/>
        </w:rPr>
        <w:t>）的（</w:t>
      </w:r>
      <w:r>
        <w:rPr>
          <w:rFonts w:hint="eastAsia" w:ascii="仿宋" w:hAnsi="仿宋" w:eastAsia="仿宋" w:cs="仿宋"/>
          <w:color w:val="auto"/>
          <w:spacing w:val="-4"/>
          <w:sz w:val="24"/>
          <w:szCs w:val="24"/>
          <w:highlight w:val="none"/>
          <w:u w:val="single" w:color="auto"/>
        </w:rPr>
        <w:t>合同名称</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1"/>
          <w:sz w:val="24"/>
          <w:szCs w:val="24"/>
          <w:highlight w:val="none"/>
        </w:rPr>
        <w:t>投标，以我单位名义处理一切与之有关的事务。</w:t>
      </w:r>
    </w:p>
    <w:p w14:paraId="0359BB7B">
      <w:pPr>
        <w:spacing w:line="255" w:lineRule="auto"/>
        <w:rPr>
          <w:rFonts w:hint="eastAsia" w:ascii="仿宋" w:hAnsi="仿宋" w:eastAsia="仿宋" w:cs="仿宋"/>
          <w:color w:val="auto"/>
          <w:sz w:val="21"/>
          <w:highlight w:val="none"/>
        </w:rPr>
      </w:pPr>
    </w:p>
    <w:p w14:paraId="66A76FAC">
      <w:pPr>
        <w:spacing w:line="255" w:lineRule="auto"/>
        <w:rPr>
          <w:rFonts w:hint="eastAsia" w:ascii="仿宋" w:hAnsi="仿宋" w:eastAsia="仿宋" w:cs="仿宋"/>
          <w:color w:val="auto"/>
          <w:sz w:val="21"/>
          <w:highlight w:val="none"/>
        </w:rPr>
      </w:pPr>
    </w:p>
    <w:p w14:paraId="6CC8997B">
      <w:pPr>
        <w:pStyle w:val="8"/>
        <w:spacing w:before="78" w:line="222" w:lineRule="auto"/>
        <w:ind w:left="406"/>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本授权书于年月日签</w:t>
      </w:r>
      <w:r>
        <w:rPr>
          <w:rFonts w:hint="eastAsia" w:ascii="仿宋" w:hAnsi="仿宋" w:eastAsia="仿宋" w:cs="仿宋"/>
          <w:color w:val="auto"/>
          <w:spacing w:val="-4"/>
          <w:sz w:val="24"/>
          <w:szCs w:val="24"/>
          <w:highlight w:val="none"/>
        </w:rPr>
        <w:t>字生效,特此声明。</w:t>
      </w:r>
    </w:p>
    <w:p w14:paraId="034CBD26">
      <w:pPr>
        <w:spacing w:line="324" w:lineRule="auto"/>
        <w:rPr>
          <w:rFonts w:hint="eastAsia" w:ascii="仿宋" w:hAnsi="仿宋" w:eastAsia="仿宋" w:cs="仿宋"/>
          <w:color w:val="auto"/>
          <w:sz w:val="21"/>
          <w:highlight w:val="none"/>
        </w:rPr>
      </w:pPr>
    </w:p>
    <w:p w14:paraId="0D8AE791">
      <w:pPr>
        <w:spacing w:line="324" w:lineRule="auto"/>
        <w:rPr>
          <w:rFonts w:hint="eastAsia" w:ascii="仿宋" w:hAnsi="仿宋" w:eastAsia="仿宋" w:cs="仿宋"/>
          <w:color w:val="auto"/>
          <w:sz w:val="21"/>
          <w:highlight w:val="none"/>
        </w:rPr>
      </w:pPr>
      <w:r>
        <w:rPr>
          <w:rFonts w:hint="eastAsia" w:ascii="仿宋" w:hAnsi="仿宋" w:eastAsia="仿宋" w:cs="仿宋"/>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2921000</wp:posOffset>
                </wp:positionH>
                <wp:positionV relativeFrom="paragraph">
                  <wp:posOffset>54610</wp:posOffset>
                </wp:positionV>
                <wp:extent cx="2476500" cy="1237615"/>
                <wp:effectExtent l="12700" t="12700" r="25400" b="26035"/>
                <wp:wrapNone/>
                <wp:docPr id="7" name="圆角矩形 7"/>
                <wp:cNvGraphicFramePr/>
                <a:graphic xmlns:a="http://schemas.openxmlformats.org/drawingml/2006/main">
                  <a:graphicData uri="http://schemas.microsoft.com/office/word/2010/wordprocessingShape">
                    <wps:wsp>
                      <wps:cNvSpPr/>
                      <wps:spPr>
                        <a:xfrm>
                          <a:off x="4014470" y="3836035"/>
                          <a:ext cx="2476500" cy="123761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pt;margin-top:4.3pt;height:97.45pt;width:195pt;z-index:251664384;v-text-anchor:middle;mso-width-relative:page;mso-height-relative:page;" filled="f" stroked="t" coordsize="21600,21600" arcsize="0.166666666666667" o:gfxdata="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QxQYNYAAAAJAQAADwAAAAAAAAABACAAAAAiAAAAZHJz&#10;L2Rvd25yZXYueG1sUEsBAhQAFAAAAAgAh07iQFJe6sp4AgAAzAQAAA4AAAAAAAAAAQAgAAAAJQEA&#10;AGRycy9lMm9Eb2MueG1sUEsFBgAAAAAGAAYAWQEAAA8GAAAAAA==&#10;">
                <v:fill on="f" focussize="0,0"/>
                <v:stroke weight="2pt" color="#000000 [3213]" joinstyle="round"/>
                <v:imagedata o:title=""/>
                <o:lock v:ext="edit" aspectratio="f"/>
              </v:roundrect>
            </w:pict>
          </mc:Fallback>
        </mc:AlternateContent>
      </w:r>
      <w:r>
        <w:rPr>
          <w:rFonts w:hint="eastAsia" w:ascii="仿宋" w:hAnsi="仿宋" w:eastAsia="仿宋" w:cs="仿宋"/>
          <w:color w:val="auto"/>
          <w:sz w:val="21"/>
          <w:highlight w:val="none"/>
        </w:rPr>
        <mc:AlternateContent>
          <mc:Choice Requires="wps">
            <w:drawing>
              <wp:anchor distT="0" distB="0" distL="114300" distR="114300" simplePos="0" relativeHeight="251667456" behindDoc="0" locked="0" layoutInCell="1" allowOverlap="1">
                <wp:simplePos x="0" y="0"/>
                <wp:positionH relativeFrom="column">
                  <wp:posOffset>15875</wp:posOffset>
                </wp:positionH>
                <wp:positionV relativeFrom="paragraph">
                  <wp:posOffset>74295</wp:posOffset>
                </wp:positionV>
                <wp:extent cx="2476500" cy="1222375"/>
                <wp:effectExtent l="12700" t="12700" r="25400" b="22225"/>
                <wp:wrapNone/>
                <wp:docPr id="12" name="圆角矩形 12"/>
                <wp:cNvGraphicFramePr/>
                <a:graphic xmlns:a="http://schemas.openxmlformats.org/drawingml/2006/main">
                  <a:graphicData uri="http://schemas.microsoft.com/office/word/2010/wordprocessingShape">
                    <wps:wsp>
                      <wps:cNvSpPr/>
                      <wps:spPr>
                        <a:xfrm>
                          <a:off x="1276350" y="3788410"/>
                          <a:ext cx="2476500" cy="122237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5pt;margin-top:5.85pt;height:96.25pt;width:195pt;z-index:251667456;v-text-anchor:middle;mso-width-relative:page;mso-height-relative:page;" filled="f" stroked="t" coordsize="21600,21600" arcsize="0.166666666666667" o:gfxdata="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JPlItUAAAAIAQAADwAAAAAAAAABACAAAAAiAAAAZHJz&#10;L2Rvd25yZXYueG1sUEsBAhQAFAAAAAgAh07iQNqa6ZR5AgAAzgQAAA4AAAAAAAAAAQAgAAAAJAEA&#10;AGRycy9lMm9Eb2MueG1sUEsFBgAAAAAGAAYAWQEAAA8GAAAAAA==&#10;">
                <v:fill on="f" focussize="0,0"/>
                <v:stroke weight="2pt" color="#000000 [3213]" joinstyle="round"/>
                <v:imagedata o:title=""/>
                <o:lock v:ext="edit" aspectratio="f"/>
              </v:roundrect>
            </w:pict>
          </mc:Fallback>
        </mc:AlternateContent>
      </w:r>
    </w:p>
    <w:p w14:paraId="63CA62BF">
      <w:pPr>
        <w:spacing w:before="65" w:line="228" w:lineRule="auto"/>
        <w:ind w:left="539"/>
        <w:rPr>
          <w:rFonts w:hint="eastAsia" w:ascii="仿宋" w:hAnsi="仿宋" w:eastAsia="仿宋" w:cs="仿宋"/>
          <w:color w:val="auto"/>
          <w:sz w:val="20"/>
          <w:szCs w:val="20"/>
          <w:highlight w:val="none"/>
        </w:rPr>
      </w:pPr>
      <w:r>
        <w:rPr>
          <w:rFonts w:hint="eastAsia" w:ascii="仿宋" w:hAnsi="仿宋" w:eastAsia="仿宋" w:cs="仿宋"/>
          <w:color w:val="auto"/>
          <w:highlight w:val="none"/>
        </w:rPr>
        <w:pict>
          <v:shape id="_x0000_s1027" o:spid="_x0000_s1027" o:spt="202" type="#_x0000_t202" style="position:absolute;left:0pt;margin-left:310.8pt;margin-top:328.45pt;height:30.2pt;width:148.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14:paraId="2E2AC2E6">
                  <w:pPr>
                    <w:spacing w:before="19" w:line="228" w:lineRule="auto"/>
                    <w:ind w:left="20"/>
                    <w:rPr>
                      <w:rFonts w:hint="eastAsia" w:ascii="仿宋" w:hAnsi="仿宋" w:eastAsia="仿宋" w:cs="仿宋"/>
                      <w:sz w:val="20"/>
                      <w:szCs w:val="20"/>
                    </w:rPr>
                  </w:pPr>
                  <w:r>
                    <w:rPr>
                      <w:rFonts w:hint="eastAsia" w:ascii="仿宋" w:hAnsi="仿宋" w:eastAsia="仿宋" w:cs="仿宋"/>
                      <w:spacing w:val="9"/>
                      <w:sz w:val="20"/>
                      <w:szCs w:val="20"/>
                    </w:rPr>
                    <w:t>被授权委托人身份证复印件反面</w:t>
                  </w:r>
                </w:p>
                <w:p w14:paraId="0F3A6CCE">
                  <w:pPr>
                    <w:spacing w:before="69" w:line="228" w:lineRule="auto"/>
                    <w:ind w:left="1290"/>
                    <w:rPr>
                      <w:rFonts w:hint="eastAsia" w:ascii="仿宋" w:hAnsi="仿宋" w:eastAsia="仿宋" w:cs="仿宋"/>
                      <w:color w:val="auto"/>
                      <w:sz w:val="20"/>
                      <w:szCs w:val="20"/>
                    </w:rPr>
                  </w:pPr>
                  <w:r>
                    <w:rPr>
                      <w:rFonts w:hint="eastAsia" w:ascii="仿宋" w:hAnsi="仿宋" w:eastAsia="仿宋" w:cs="仿宋"/>
                      <w:color w:val="auto"/>
                      <w:spacing w:val="2"/>
                      <w:sz w:val="20"/>
                      <w:szCs w:val="20"/>
                    </w:rPr>
                    <w:t>（头像）</w:t>
                  </w:r>
                </w:p>
              </w:txbxContent>
            </v:textbox>
          </v:shape>
        </w:pict>
      </w:r>
      <w:r>
        <w:rPr>
          <w:rFonts w:hint="eastAsia" w:ascii="仿宋" w:hAnsi="仿宋" w:eastAsia="仿宋" w:cs="仿宋"/>
          <w:color w:val="auto"/>
          <w:spacing w:val="9"/>
          <w:sz w:val="20"/>
          <w:szCs w:val="20"/>
          <w:highlight w:val="none"/>
        </w:rPr>
        <w:t>被授权委托人身份证复印件正面</w:t>
      </w:r>
    </w:p>
    <w:p w14:paraId="48D9EF97">
      <w:pPr>
        <w:spacing w:before="175" w:line="220" w:lineRule="auto"/>
        <w:ind w:left="1459"/>
        <w:rPr>
          <w:rFonts w:hint="eastAsia" w:ascii="仿宋" w:hAnsi="仿宋" w:eastAsia="仿宋" w:cs="仿宋"/>
          <w:color w:val="auto"/>
          <w:highlight w:val="none"/>
        </w:rPr>
      </w:pPr>
      <w:r>
        <w:rPr>
          <w:rFonts w:hint="eastAsia" w:ascii="仿宋" w:hAnsi="仿宋" w:eastAsia="仿宋" w:cs="仿宋"/>
          <w:color w:val="auto"/>
          <w:spacing w:val="-6"/>
          <w:sz w:val="24"/>
          <w:szCs w:val="24"/>
          <w:highlight w:val="none"/>
        </w:rPr>
        <w:t>（国徽）</w:t>
      </w:r>
    </w:p>
    <w:p w14:paraId="54601285">
      <w:pPr>
        <w:spacing w:line="249" w:lineRule="auto"/>
        <w:rPr>
          <w:rFonts w:hint="eastAsia" w:ascii="仿宋" w:hAnsi="仿宋" w:eastAsia="仿宋" w:cs="仿宋"/>
          <w:color w:val="auto"/>
          <w:sz w:val="21"/>
          <w:highlight w:val="none"/>
        </w:rPr>
      </w:pPr>
    </w:p>
    <w:p w14:paraId="64C43F48">
      <w:pPr>
        <w:spacing w:before="65" w:line="228" w:lineRule="auto"/>
        <w:ind w:left="673" w:firstLine="4620" w:firstLineChars="2200"/>
        <w:rPr>
          <w:rFonts w:hint="eastAsia" w:ascii="仿宋" w:hAnsi="仿宋" w:eastAsia="仿宋" w:cs="仿宋"/>
          <w:color w:val="auto"/>
          <w:highlight w:val="none"/>
          <w:lang w:eastAsia="zh-CN"/>
        </w:rPr>
      </w:pPr>
    </w:p>
    <w:p w14:paraId="5525FD40">
      <w:pPr>
        <w:spacing w:before="65" w:line="228" w:lineRule="auto"/>
        <w:ind w:left="673" w:firstLine="4620" w:firstLineChars="2200"/>
        <w:rPr>
          <w:rFonts w:hint="eastAsia" w:ascii="仿宋" w:hAnsi="仿宋" w:eastAsia="仿宋" w:cs="仿宋"/>
          <w:color w:val="auto"/>
          <w:highlight w:val="none"/>
          <w:lang w:eastAsia="zh-CN"/>
        </w:rPr>
      </w:pPr>
    </w:p>
    <w:p w14:paraId="737B218A">
      <w:pPr>
        <w:spacing w:before="65" w:line="228" w:lineRule="auto"/>
        <w:ind w:left="673" w:firstLine="4620" w:firstLineChars="2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ab/>
      </w:r>
    </w:p>
    <w:p w14:paraId="6542360D">
      <w:pPr>
        <w:spacing w:before="65" w:line="228" w:lineRule="auto"/>
        <w:ind w:left="673" w:firstLine="4620" w:firstLineChars="2200"/>
        <w:rPr>
          <w:rFonts w:hint="eastAsia" w:ascii="仿宋" w:hAnsi="仿宋" w:eastAsia="仿宋" w:cs="仿宋"/>
          <w:color w:val="auto"/>
          <w:highlight w:val="none"/>
          <w:lang w:eastAsia="zh-CN"/>
        </w:rPr>
      </w:pPr>
      <w:r>
        <w:rPr>
          <w:rFonts w:hint="eastAsia" w:ascii="仿宋" w:hAnsi="仿宋" w:eastAsia="仿宋" w:cs="仿宋"/>
          <w:color w:val="auto"/>
          <w:sz w:val="21"/>
          <w:highlight w:val="none"/>
        </w:rPr>
        <mc:AlternateContent>
          <mc:Choice Requires="wps">
            <w:drawing>
              <wp:anchor distT="0" distB="0" distL="114300" distR="114300" simplePos="0" relativeHeight="251666432" behindDoc="0" locked="0" layoutInCell="1" allowOverlap="1">
                <wp:simplePos x="0" y="0"/>
                <wp:positionH relativeFrom="column">
                  <wp:posOffset>2896235</wp:posOffset>
                </wp:positionH>
                <wp:positionV relativeFrom="paragraph">
                  <wp:posOffset>87630</wp:posOffset>
                </wp:positionV>
                <wp:extent cx="2516505" cy="1197610"/>
                <wp:effectExtent l="12700" t="12700" r="23495" b="27940"/>
                <wp:wrapNone/>
                <wp:docPr id="9" name="圆角矩形 9"/>
                <wp:cNvGraphicFramePr/>
                <a:graphic xmlns:a="http://schemas.openxmlformats.org/drawingml/2006/main">
                  <a:graphicData uri="http://schemas.microsoft.com/office/word/2010/wordprocessingShape">
                    <wps:wsp>
                      <wps:cNvSpPr/>
                      <wps:spPr>
                        <a:xfrm>
                          <a:off x="4030345" y="5280660"/>
                          <a:ext cx="2516505" cy="119761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05pt;margin-top:6.9pt;height:94.3pt;width:198.15pt;z-index:251666432;v-text-anchor:middle;mso-width-relative:page;mso-height-relative:page;" filled="f" stroked="t" coordsize="21600,21600" arcsize="0.166666666666667" o:gfxdata="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zRZbLXAAAACgEAAA8AAAAAAAAAAQAgAAAAIgAA&#10;AGRycy9kb3ducmV2LnhtbFBLAQIUABQAAAAIAIdO4kBSofEmewIAAMwEAAAOAAAAAAAAAAEAIAAA&#10;ACYBAABkcnMvZTJvRG9jLnhtbFBLBQYAAAAABgAGAFkBAAATBgAAAAA=&#10;">
                <v:fill on="f" focussize="0,0"/>
                <v:stroke weight="2pt" color="#000000 [3213]" joinstyle="round"/>
                <v:imagedata o:title=""/>
                <o:lock v:ext="edit" aspectratio="f"/>
              </v:roundrect>
            </w:pict>
          </mc:Fallback>
        </mc:AlternateContent>
      </w:r>
      <w:r>
        <w:rPr>
          <w:rFonts w:hint="eastAsia" w:ascii="仿宋" w:hAnsi="仿宋" w:eastAsia="仿宋" w:cs="仿宋"/>
          <w:color w:val="auto"/>
          <w:sz w:val="21"/>
          <w:highlight w:val="none"/>
        </w:rPr>
        <mc:AlternateContent>
          <mc:Choice Requires="wps">
            <w:drawing>
              <wp:anchor distT="0" distB="0" distL="114300" distR="114300" simplePos="0" relativeHeight="251665408" behindDoc="0" locked="0" layoutInCell="1" allowOverlap="1">
                <wp:simplePos x="0" y="0"/>
                <wp:positionH relativeFrom="column">
                  <wp:posOffset>54610</wp:posOffset>
                </wp:positionH>
                <wp:positionV relativeFrom="paragraph">
                  <wp:posOffset>85090</wp:posOffset>
                </wp:positionV>
                <wp:extent cx="2492375" cy="1214120"/>
                <wp:effectExtent l="12700" t="12700" r="28575" b="30480"/>
                <wp:wrapNone/>
                <wp:docPr id="8" name="圆角矩形 8"/>
                <wp:cNvGraphicFramePr/>
                <a:graphic xmlns:a="http://schemas.openxmlformats.org/drawingml/2006/main">
                  <a:graphicData uri="http://schemas.microsoft.com/office/word/2010/wordprocessingShape">
                    <wps:wsp>
                      <wps:cNvSpPr/>
                      <wps:spPr>
                        <a:xfrm>
                          <a:off x="1156970" y="5153660"/>
                          <a:ext cx="2492375" cy="121412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pt;margin-top:6.7pt;height:95.6pt;width:196.25pt;z-index:251665408;v-text-anchor:middle;mso-width-relative:page;mso-height-relative:page;" filled="f" stroked="t" coordsize="21600,21600" arcsize="0.166666666666667" o:gfxdata="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D0EVtYAAAAIAQAADwAAAAAAAAABACAAAAAiAAAA&#10;ZHJzL2Rvd25yZXYueG1sUEsBAhQAFAAAAAgAh07iQIqGEhl7AgAAzAQAAA4AAAAAAAAAAQAgAAAA&#10;JQEAAGRycy9lMm9Eb2MueG1sUEsFBgAAAAAGAAYAWQEAABIGAAAAAA==&#10;">
                <v:fill on="f" focussize="0,0"/>
                <v:stroke weight="2pt" color="#000000 [3213]" joinstyle="round"/>
                <v:imagedata o:title=""/>
                <o:lock v:ext="edit" aspectratio="f"/>
              </v:roundrect>
            </w:pict>
          </mc:Fallback>
        </mc:AlternateContent>
      </w:r>
    </w:p>
    <w:p w14:paraId="2D4A7ED7">
      <w:pPr>
        <w:spacing w:before="65" w:line="228" w:lineRule="auto"/>
        <w:ind w:left="673" w:firstLine="4620" w:firstLineChars="2200"/>
        <w:rPr>
          <w:rFonts w:hint="eastAsia" w:ascii="仿宋" w:hAnsi="仿宋" w:eastAsia="仿宋" w:cs="仿宋"/>
          <w:color w:val="auto"/>
          <w:highlight w:val="none"/>
          <w:lang w:eastAsia="zh-CN"/>
        </w:rPr>
      </w:pPr>
      <w:r>
        <w:rPr>
          <w:rFonts w:hint="eastAsia" w:ascii="仿宋" w:hAnsi="仿宋" w:eastAsia="仿宋" w:cs="仿宋"/>
          <w:color w:val="auto"/>
          <w:highlight w:val="none"/>
        </w:rPr>
        <w:pict>
          <v:shape id="_x0000_s1028" o:spid="_x0000_s1028" o:spt="202" type="#_x0000_t202" style="position:absolute;left:0pt;margin-left:82.55pt;margin-top:452.15pt;height:37.45pt;width:138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14:paraId="14D1E9B5">
                  <w:pPr>
                    <w:spacing w:before="19" w:line="228" w:lineRule="auto"/>
                    <w:ind w:left="20"/>
                    <w:rPr>
                      <w:rFonts w:hint="eastAsia" w:ascii="仿宋" w:hAnsi="仿宋" w:eastAsia="仿宋" w:cs="仿宋"/>
                      <w:sz w:val="20"/>
                      <w:szCs w:val="20"/>
                    </w:rPr>
                  </w:pPr>
                  <w:r>
                    <w:rPr>
                      <w:rFonts w:hint="eastAsia" w:ascii="仿宋" w:hAnsi="仿宋" w:eastAsia="仿宋" w:cs="仿宋"/>
                      <w:spacing w:val="9"/>
                      <w:sz w:val="20"/>
                      <w:szCs w:val="20"/>
                    </w:rPr>
                    <w:t>法定代表人身份证复印件正面</w:t>
                  </w:r>
                </w:p>
                <w:p w14:paraId="3AD05930">
                  <w:pPr>
                    <w:spacing w:before="175" w:line="220" w:lineRule="auto"/>
                    <w:ind w:left="811"/>
                    <w:rPr>
                      <w:rFonts w:hint="eastAsia" w:ascii="仿宋" w:hAnsi="仿宋" w:eastAsia="仿宋" w:cs="仿宋"/>
                      <w:color w:val="auto"/>
                      <w:sz w:val="24"/>
                      <w:szCs w:val="24"/>
                    </w:rPr>
                  </w:pPr>
                  <w:r>
                    <w:rPr>
                      <w:rFonts w:hint="eastAsia" w:ascii="仿宋" w:hAnsi="仿宋" w:eastAsia="仿宋" w:cs="仿宋"/>
                      <w:color w:val="auto"/>
                      <w:spacing w:val="-6"/>
                      <w:sz w:val="24"/>
                      <w:szCs w:val="24"/>
                    </w:rPr>
                    <w:t>（国徽）</w:t>
                  </w:r>
                </w:p>
              </w:txbxContent>
            </v:textbox>
          </v:shape>
        </w:pict>
      </w:r>
    </w:p>
    <w:p w14:paraId="2A182F03">
      <w:pPr>
        <w:spacing w:before="65" w:line="228" w:lineRule="auto"/>
        <w:ind w:left="673" w:firstLine="4796" w:firstLineChars="2200"/>
        <w:rPr>
          <w:rFonts w:hint="eastAsia" w:ascii="仿宋" w:hAnsi="仿宋" w:eastAsia="仿宋" w:cs="仿宋"/>
          <w:color w:val="auto"/>
          <w:spacing w:val="9"/>
          <w:sz w:val="20"/>
          <w:szCs w:val="20"/>
          <w:highlight w:val="none"/>
        </w:rPr>
      </w:pPr>
      <w:r>
        <w:rPr>
          <w:rFonts w:hint="eastAsia" w:ascii="仿宋" w:hAnsi="仿宋" w:eastAsia="仿宋" w:cs="仿宋"/>
          <w:color w:val="auto"/>
          <w:spacing w:val="9"/>
          <w:sz w:val="20"/>
          <w:szCs w:val="20"/>
          <w:highlight w:val="none"/>
        </w:rPr>
        <w:t>法定代表人身份证复印件反面</w:t>
      </w:r>
    </w:p>
    <w:p w14:paraId="441D3AA3">
      <w:pPr>
        <w:spacing w:before="69" w:line="228" w:lineRule="auto"/>
        <w:ind w:left="1748" w:firstLine="4692" w:firstLineChars="2300"/>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（头像）</w:t>
      </w:r>
    </w:p>
    <w:p w14:paraId="6D4673FC">
      <w:pPr>
        <w:pStyle w:val="19"/>
        <w:rPr>
          <w:rFonts w:hint="eastAsia" w:ascii="仿宋" w:hAnsi="仿宋" w:eastAsia="仿宋" w:cs="仿宋"/>
          <w:color w:val="auto"/>
          <w:highlight w:val="none"/>
        </w:rPr>
      </w:pPr>
    </w:p>
    <w:p w14:paraId="1189BB3B">
      <w:pPr>
        <w:spacing w:line="272" w:lineRule="auto"/>
        <w:rPr>
          <w:rFonts w:hint="eastAsia" w:ascii="仿宋" w:hAnsi="仿宋" w:eastAsia="仿宋" w:cs="仿宋"/>
          <w:color w:val="auto"/>
          <w:sz w:val="21"/>
          <w:highlight w:val="none"/>
        </w:rPr>
      </w:pPr>
    </w:p>
    <w:p w14:paraId="357576BA">
      <w:pPr>
        <w:spacing w:line="273" w:lineRule="auto"/>
        <w:rPr>
          <w:rFonts w:hint="eastAsia" w:ascii="仿宋" w:hAnsi="仿宋" w:eastAsia="仿宋" w:cs="仿宋"/>
          <w:color w:val="auto"/>
          <w:sz w:val="21"/>
          <w:highlight w:val="none"/>
        </w:rPr>
      </w:pPr>
    </w:p>
    <w:p w14:paraId="6D03B260">
      <w:pPr>
        <w:pStyle w:val="8"/>
        <w:spacing w:before="79" w:line="340" w:lineRule="auto"/>
        <w:ind w:left="5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投标人（盖单位章）;</w:t>
      </w:r>
    </w:p>
    <w:p w14:paraId="28DB9A31">
      <w:pPr>
        <w:pStyle w:val="8"/>
        <w:spacing w:before="1" w:line="222" w:lineRule="auto"/>
        <w:ind w:left="53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法定代表人（签字或签章</w:t>
      </w:r>
      <w:r>
        <w:rPr>
          <w:rFonts w:hint="eastAsia" w:ascii="仿宋" w:hAnsi="仿宋" w:eastAsia="仿宋" w:cs="仿宋"/>
          <w:color w:val="auto"/>
          <w:spacing w:val="2"/>
          <w:sz w:val="24"/>
          <w:szCs w:val="24"/>
          <w:highlight w:val="none"/>
        </w:rPr>
        <w:t>）：</w:t>
      </w:r>
    </w:p>
    <w:p w14:paraId="79715FAC">
      <w:pPr>
        <w:pStyle w:val="8"/>
        <w:spacing w:before="150" w:line="224" w:lineRule="auto"/>
        <w:ind w:left="53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u w:val="single" w:color="EEECE1"/>
        </w:rPr>
        <w:t>身份证号码</w:t>
      </w:r>
      <w:r>
        <w:rPr>
          <w:rFonts w:hint="eastAsia" w:ascii="仿宋" w:hAnsi="仿宋" w:eastAsia="仿宋" w:cs="仿宋"/>
          <w:color w:val="auto"/>
          <w:spacing w:val="-4"/>
          <w:sz w:val="24"/>
          <w:szCs w:val="24"/>
          <w:highlight w:val="none"/>
        </w:rPr>
        <w:t>：</w:t>
      </w:r>
    </w:p>
    <w:p w14:paraId="41E45F7F">
      <w:pPr>
        <w:pStyle w:val="8"/>
        <w:spacing w:before="147" w:line="229" w:lineRule="auto"/>
        <w:ind w:left="51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委托代理人：</w:t>
      </w:r>
    </w:p>
    <w:p w14:paraId="11B24535">
      <w:pPr>
        <w:pStyle w:val="8"/>
        <w:spacing w:before="145" w:line="224" w:lineRule="auto"/>
        <w:ind w:left="53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身份证号码：</w:t>
      </w:r>
    </w:p>
    <w:p w14:paraId="0ABA62D4">
      <w:pPr>
        <w:pStyle w:val="8"/>
        <w:spacing w:before="147" w:line="224" w:lineRule="auto"/>
        <w:ind w:left="5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详细通讯地址：</w:t>
      </w:r>
    </w:p>
    <w:p w14:paraId="41D37231">
      <w:pPr>
        <w:pStyle w:val="8"/>
        <w:spacing w:before="149" w:line="222" w:lineRule="auto"/>
        <w:ind w:left="52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邮政编码：</w:t>
      </w:r>
    </w:p>
    <w:p w14:paraId="1701358B">
      <w:pPr>
        <w:pStyle w:val="8"/>
        <w:spacing w:before="152" w:line="227" w:lineRule="auto"/>
        <w:ind w:left="51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传真：</w:t>
      </w:r>
    </w:p>
    <w:p w14:paraId="6E45018D">
      <w:pPr>
        <w:pStyle w:val="8"/>
        <w:spacing w:before="145" w:line="237" w:lineRule="auto"/>
        <w:ind w:left="540"/>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5"/>
          <w:sz w:val="24"/>
          <w:szCs w:val="24"/>
          <w:highlight w:val="none"/>
        </w:rPr>
        <w:t>电话：</w:t>
      </w:r>
    </w:p>
    <w:p w14:paraId="0BF68506">
      <w:pPr>
        <w:spacing w:line="237" w:lineRule="auto"/>
        <w:rPr>
          <w:rFonts w:hint="eastAsia" w:ascii="仿宋" w:hAnsi="仿宋" w:eastAsia="仿宋" w:cs="仿宋"/>
          <w:color w:val="auto"/>
          <w:sz w:val="24"/>
          <w:szCs w:val="24"/>
          <w:highlight w:val="none"/>
        </w:rPr>
        <w:sectPr>
          <w:footerReference r:id="rId20" w:type="default"/>
          <w:pgSz w:w="11905" w:h="16838"/>
          <w:pgMar w:top="1440" w:right="1083" w:bottom="1440" w:left="1083" w:header="0" w:footer="1225" w:gutter="0"/>
          <w:pgNumType w:fmt="decimal"/>
          <w:cols w:space="0" w:num="1"/>
          <w:rtlGutter w:val="0"/>
          <w:docGrid w:linePitch="0" w:charSpace="0"/>
        </w:sectPr>
      </w:pPr>
    </w:p>
    <w:p w14:paraId="25E93F1E">
      <w:pPr>
        <w:pStyle w:val="8"/>
        <w:spacing w:before="156" w:line="224" w:lineRule="auto"/>
        <w:jc w:val="center"/>
        <w:outlineLvl w:val="2"/>
        <w:rPr>
          <w:rFonts w:hint="eastAsia" w:ascii="仿宋" w:hAnsi="仿宋" w:eastAsia="仿宋" w:cs="仿宋"/>
          <w:color w:val="auto"/>
          <w:sz w:val="24"/>
          <w:szCs w:val="24"/>
          <w:highlight w:val="none"/>
        </w:rPr>
      </w:pPr>
      <w:bookmarkStart w:id="163" w:name="_Toc15176"/>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4具有良好的商业信誉和健全的财务会计制度的证明文件</w:t>
      </w:r>
      <w:bookmarkEnd w:id="163"/>
    </w:p>
    <w:p w14:paraId="2E5BC1F9">
      <w:pPr>
        <w:pStyle w:val="8"/>
        <w:spacing w:before="147" w:line="232" w:lineRule="auto"/>
        <w:ind w:left="56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说明：</w:t>
      </w:r>
    </w:p>
    <w:p w14:paraId="20FE5459">
      <w:pPr>
        <w:pStyle w:val="8"/>
        <w:spacing w:before="136" w:line="339" w:lineRule="auto"/>
        <w:ind w:left="564" w:right="179" w:firstLine="13"/>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1、</w:t>
      </w:r>
      <w:r>
        <w:rPr>
          <w:rFonts w:hint="eastAsia" w:ascii="仿宋" w:hAnsi="仿宋" w:eastAsia="仿宋" w:cs="仿宋"/>
          <w:color w:val="auto"/>
          <w:spacing w:val="1"/>
          <w:sz w:val="24"/>
          <w:szCs w:val="24"/>
          <w:highlight w:val="none"/>
          <w:lang w:eastAsia="zh-CN"/>
          <w14:textOutline w14:w="4358" w14:cap="sq" w14:cmpd="sng">
            <w14:solidFill>
              <w14:srgbClr w14:val="000000"/>
            </w14:solidFill>
            <w14:prstDash w14:val="solid"/>
            <w14:bevel/>
          </w14:textOutline>
        </w:rPr>
        <w:t>提供本单位</w:t>
      </w:r>
      <w:r>
        <w:rPr>
          <w:rFonts w:hint="eastAsia" w:ascii="仿宋" w:hAnsi="仿宋" w:eastAsia="仿宋" w:cs="仿宋"/>
          <w:color w:val="auto"/>
          <w:spacing w:val="1"/>
          <w:sz w:val="24"/>
          <w:szCs w:val="24"/>
          <w:highlight w:val="none"/>
          <w:lang w:val="en-US" w:eastAsia="zh-CN"/>
          <w14:textOutline w14:w="4358" w14:cap="sq" w14:cmpd="sng">
            <w14:solidFill>
              <w14:srgbClr w14:val="000000"/>
            </w14:solidFill>
            <w14:prstDash w14:val="solid"/>
            <w14:bevel/>
          </w14:textOutline>
        </w:rPr>
        <w:t>2024年的</w:t>
      </w:r>
      <w:r>
        <w:rPr>
          <w:rFonts w:hint="eastAsia" w:ascii="仿宋" w:hAnsi="仿宋" w:eastAsia="仿宋" w:cs="仿宋"/>
          <w:color w:val="auto"/>
          <w:spacing w:val="1"/>
          <w:sz w:val="24"/>
          <w:szCs w:val="24"/>
          <w:highlight w:val="none"/>
          <w:lang w:eastAsia="zh-CN"/>
          <w14:textOutline w14:w="4358" w14:cap="sq" w14:cmpd="sng">
            <w14:solidFill>
              <w14:srgbClr w14:val="000000"/>
            </w14:solidFill>
            <w14:prstDash w14:val="solid"/>
            <w14:bevel/>
          </w14:textOutline>
        </w:rPr>
        <w:t>经会计师事务所</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出具的审计报告复印件</w:t>
      </w: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须加盖公章</w:t>
      </w:r>
      <w:r>
        <w:rPr>
          <w:rFonts w:hint="eastAsia" w:ascii="仿宋" w:hAnsi="仿宋" w:eastAsia="仿宋" w:cs="仿宋"/>
          <w:color w:val="auto"/>
          <w:spacing w:val="6"/>
          <w:sz w:val="24"/>
          <w:szCs w:val="24"/>
          <w:highlight w:val="none"/>
          <w:lang w:val="en-US" w:eastAsia="zh-CN"/>
          <w14:textOutline w14:w="4358" w14:cap="sq" w14:cmpd="sng">
            <w14:solidFill>
              <w14:srgbClr w14:val="000000"/>
            </w14:solidFill>
            <w14:prstDash w14:val="solid"/>
            <w14:bevel/>
          </w14:textOutline>
        </w:rPr>
        <w:t>或投标截止日前</w:t>
      </w: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近三个月内有效的银行资信证</w:t>
      </w:r>
      <w:r>
        <w:rPr>
          <w:rFonts w:hint="eastAsia" w:ascii="仿宋" w:hAnsi="仿宋" w:eastAsia="仿宋" w:cs="仿宋"/>
          <w:color w:val="auto"/>
          <w:spacing w:val="-11"/>
          <w:sz w:val="24"/>
          <w:szCs w:val="24"/>
          <w:highlight w:val="none"/>
          <w14:textOutline w14:w="4358" w14:cap="sq" w14:cmpd="sng">
            <w14:solidFill>
              <w14:srgbClr w14:val="000000"/>
            </w14:solidFill>
            <w14:prstDash w14:val="solid"/>
            <w14:bevel/>
          </w14:textOutline>
        </w:rPr>
        <w:t>明。</w:t>
      </w:r>
    </w:p>
    <w:p w14:paraId="22DB1714">
      <w:pPr>
        <w:pStyle w:val="8"/>
        <w:spacing w:before="136" w:line="339" w:lineRule="auto"/>
        <w:ind w:left="560" w:right="115" w:firstLine="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2、如提供银行出具的证明文件。投标单位需按照以上银行证明文件提供，</w:t>
      </w:r>
      <w:r>
        <w:rPr>
          <w:rFonts w:hint="eastAsia" w:ascii="仿宋" w:hAnsi="仿宋" w:eastAsia="仿宋" w:cs="仿宋"/>
          <w:color w:val="auto"/>
          <w:spacing w:val="1"/>
          <w:sz w:val="24"/>
          <w:szCs w:val="24"/>
          <w:highlight w:val="none"/>
        </w:rPr>
        <w:t>且与本项目项目采购内容一致的银行开具证明文</w:t>
      </w:r>
      <w:r>
        <w:rPr>
          <w:rFonts w:hint="eastAsia" w:ascii="仿宋" w:hAnsi="仿宋" w:eastAsia="仿宋" w:cs="仿宋"/>
          <w:color w:val="auto"/>
          <w:sz w:val="24"/>
          <w:szCs w:val="24"/>
          <w:highlight w:val="none"/>
        </w:rPr>
        <w:t>件。若提供的是复印件，</w:t>
      </w:r>
      <w:r>
        <w:rPr>
          <w:rFonts w:hint="eastAsia" w:ascii="仿宋" w:hAnsi="仿宋" w:eastAsia="仿宋" w:cs="仿宋"/>
          <w:color w:val="auto"/>
          <w:spacing w:val="-1"/>
          <w:sz w:val="24"/>
          <w:szCs w:val="24"/>
          <w:highlight w:val="none"/>
        </w:rPr>
        <w:t>招标采购单位保留审核原件的权利。银行出具的证明文件应能说明该</w:t>
      </w:r>
      <w:r>
        <w:rPr>
          <w:rFonts w:hint="eastAsia" w:ascii="仿宋" w:hAnsi="仿宋" w:eastAsia="仿宋" w:cs="仿宋"/>
          <w:color w:val="auto"/>
          <w:spacing w:val="-2"/>
          <w:sz w:val="24"/>
          <w:szCs w:val="24"/>
          <w:highlight w:val="none"/>
        </w:rPr>
        <w:t>投标</w:t>
      </w:r>
      <w:r>
        <w:rPr>
          <w:rFonts w:hint="eastAsia" w:ascii="仿宋" w:hAnsi="仿宋" w:eastAsia="仿宋" w:cs="仿宋"/>
          <w:color w:val="auto"/>
          <w:spacing w:val="-1"/>
          <w:sz w:val="24"/>
          <w:szCs w:val="24"/>
          <w:highlight w:val="none"/>
        </w:rPr>
        <w:t>人与银行之间业务往来正常，企业信誉良好等。（如未按上述要求提</w:t>
      </w:r>
      <w:r>
        <w:rPr>
          <w:rFonts w:hint="eastAsia" w:ascii="仿宋" w:hAnsi="仿宋" w:eastAsia="仿宋" w:cs="仿宋"/>
          <w:color w:val="auto"/>
          <w:spacing w:val="-2"/>
          <w:sz w:val="24"/>
          <w:szCs w:val="24"/>
          <w:highlight w:val="none"/>
        </w:rPr>
        <w:t>供则</w:t>
      </w:r>
      <w:r>
        <w:rPr>
          <w:rFonts w:hint="eastAsia" w:ascii="仿宋" w:hAnsi="仿宋" w:eastAsia="仿宋" w:cs="仿宋"/>
          <w:color w:val="auto"/>
          <w:spacing w:val="-3"/>
          <w:sz w:val="24"/>
          <w:szCs w:val="24"/>
          <w:highlight w:val="none"/>
        </w:rPr>
        <w:t>投标无效）</w:t>
      </w:r>
    </w:p>
    <w:p w14:paraId="008F4C93">
      <w:pPr>
        <w:pStyle w:val="8"/>
        <w:spacing w:before="137" w:line="220" w:lineRule="auto"/>
        <w:ind w:left="565"/>
        <w:outlineLvl w:val="2"/>
        <w:rPr>
          <w:rFonts w:hint="eastAsia" w:ascii="仿宋" w:hAnsi="仿宋" w:eastAsia="仿宋" w:cs="仿宋"/>
          <w:color w:val="auto"/>
          <w:sz w:val="24"/>
          <w:szCs w:val="24"/>
          <w:highlight w:val="none"/>
        </w:rPr>
      </w:pPr>
      <w:bookmarkStart w:id="164" w:name="_Toc19546"/>
      <w:r>
        <w:rPr>
          <w:rFonts w:hint="eastAsia" w:ascii="仿宋" w:hAnsi="仿宋" w:eastAsia="仿宋" w:cs="仿宋"/>
          <w:color w:val="auto"/>
          <w:spacing w:val="-1"/>
          <w:sz w:val="24"/>
          <w:szCs w:val="24"/>
          <w:highlight w:val="none"/>
        </w:rPr>
        <w:t>3、如果是联合体投标，联合体各方均需提供上述证明。</w:t>
      </w:r>
      <w:bookmarkEnd w:id="164"/>
    </w:p>
    <w:p w14:paraId="2612AB29">
      <w:pPr>
        <w:spacing w:line="372" w:lineRule="auto"/>
        <w:rPr>
          <w:rFonts w:hint="eastAsia" w:ascii="仿宋" w:hAnsi="仿宋" w:eastAsia="仿宋" w:cs="仿宋"/>
          <w:color w:val="auto"/>
          <w:sz w:val="21"/>
          <w:highlight w:val="none"/>
        </w:rPr>
      </w:pPr>
    </w:p>
    <w:p w14:paraId="3CC24267">
      <w:pPr>
        <w:pStyle w:val="8"/>
        <w:spacing w:before="115" w:line="230" w:lineRule="auto"/>
        <w:ind w:left="2467" w:firstLine="736" w:firstLineChars="200"/>
        <w:outlineLvl w:val="9"/>
        <w:rPr>
          <w:rFonts w:hint="eastAsia" w:ascii="仿宋" w:hAnsi="仿宋" w:eastAsia="仿宋" w:cs="仿宋"/>
          <w:color w:val="auto"/>
          <w:sz w:val="35"/>
          <w:szCs w:val="35"/>
          <w:highlight w:val="none"/>
        </w:rPr>
      </w:pPr>
      <w:r>
        <w:rPr>
          <w:rFonts w:hint="eastAsia" w:ascii="仿宋" w:hAnsi="仿宋" w:eastAsia="仿宋" w:cs="仿宋"/>
          <w:color w:val="auto"/>
          <w:spacing w:val="9"/>
          <w:sz w:val="35"/>
          <w:szCs w:val="35"/>
          <w:highlight w:val="none"/>
          <w14:textOutline w14:w="6537" w14:cap="sq" w14:cmpd="sng">
            <w14:solidFill>
              <w14:srgbClr w14:val="000000"/>
            </w14:solidFill>
            <w14:prstDash w14:val="solid"/>
            <w14:bevel/>
          </w14:textOutline>
        </w:rPr>
        <w:t>具有良好商业信誉承诺书</w:t>
      </w:r>
    </w:p>
    <w:p w14:paraId="79E93BFF">
      <w:pPr>
        <w:pStyle w:val="8"/>
        <w:tabs>
          <w:tab w:val="left" w:pos="161"/>
        </w:tabs>
        <w:spacing w:before="318" w:line="227" w:lineRule="auto"/>
        <w:ind w:left="1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pacing w:val="-13"/>
          <w:sz w:val="24"/>
          <w:szCs w:val="24"/>
          <w:highlight w:val="none"/>
          <w:u w:val="single" w:color="000000"/>
          <w14:textOutline w14:w="4358" w14:cap="sq" w14:cmpd="sng">
            <w14:solidFill>
              <w14:srgbClr w14:val="000000"/>
            </w14:solidFill>
            <w14:prstDash w14:val="solid"/>
            <w14:bevel/>
          </w14:textOutline>
        </w:rPr>
        <w:t>（采购人、采购代理公司</w:t>
      </w:r>
      <w:r>
        <w:rPr>
          <w:rFonts w:hint="eastAsia" w:ascii="仿宋" w:hAnsi="仿宋" w:eastAsia="仿宋" w:cs="仿宋"/>
          <w:color w:val="auto"/>
          <w:spacing w:val="3"/>
          <w:sz w:val="24"/>
          <w:szCs w:val="24"/>
          <w:highlight w:val="none"/>
          <w:u w:val="single" w:color="000000"/>
          <w14:textOutline w14:w="4358" w14:cap="sq" w14:cmpd="sng">
            <w14:solidFill>
              <w14:srgbClr w14:val="000000"/>
            </w14:solidFill>
            <w14:prstDash w14:val="solid"/>
            <w14:bevel/>
          </w14:textOutline>
        </w:rPr>
        <w:t>）</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w:t>
      </w:r>
    </w:p>
    <w:p w14:paraId="20E22BDC">
      <w:pPr>
        <w:pStyle w:val="8"/>
        <w:spacing w:before="21" w:line="220" w:lineRule="auto"/>
        <w:jc w:val="right"/>
        <w:outlineLvl w:val="9"/>
        <w:rPr>
          <w:rFonts w:hint="eastAsia" w:ascii="仿宋" w:hAnsi="仿宋" w:eastAsia="仿宋" w:cs="仿宋"/>
          <w:color w:val="auto"/>
          <w:spacing w:val="-1"/>
          <w:sz w:val="24"/>
          <w:szCs w:val="24"/>
          <w:highlight w:val="none"/>
        </w:rPr>
      </w:pPr>
    </w:p>
    <w:p w14:paraId="00A9C339">
      <w:pPr>
        <w:pStyle w:val="8"/>
        <w:spacing w:before="21" w:line="220" w:lineRule="auto"/>
        <w:ind w:firstLine="476"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我单位承诺，在参加本项目</w:t>
      </w:r>
      <w:r>
        <w:rPr>
          <w:rFonts w:hint="eastAsia" w:ascii="仿宋" w:hAnsi="仿宋" w:eastAsia="仿宋" w:cs="仿宋"/>
          <w:color w:val="auto"/>
          <w:spacing w:val="-1"/>
          <w:sz w:val="24"/>
          <w:szCs w:val="24"/>
          <w:highlight w:val="none"/>
          <w:u w:val="single" w:color="auto"/>
        </w:rPr>
        <w:t>（</w:t>
      </w:r>
      <w:r>
        <w:rPr>
          <w:rFonts w:hint="eastAsia" w:ascii="仿宋" w:hAnsi="仿宋" w:eastAsia="仿宋" w:cs="仿宋"/>
          <w:color w:val="auto"/>
          <w:spacing w:val="-2"/>
          <w:sz w:val="24"/>
          <w:szCs w:val="24"/>
          <w:highlight w:val="none"/>
          <w:u w:val="single" w:color="auto"/>
        </w:rPr>
        <w:t>项目名称）</w:t>
      </w:r>
      <w:r>
        <w:rPr>
          <w:rFonts w:hint="eastAsia" w:ascii="仿宋" w:hAnsi="仿宋" w:eastAsia="仿宋" w:cs="仿宋"/>
          <w:color w:val="auto"/>
          <w:spacing w:val="-6"/>
          <w:sz w:val="24"/>
          <w:szCs w:val="24"/>
          <w:highlight w:val="none"/>
          <w:u w:val="single" w:color="auto"/>
        </w:rPr>
        <w:t>（</w:t>
      </w:r>
      <w:r>
        <w:rPr>
          <w:rFonts w:hint="eastAsia" w:ascii="仿宋" w:hAnsi="仿宋" w:eastAsia="仿宋" w:cs="仿宋"/>
          <w:color w:val="auto"/>
          <w:spacing w:val="-6"/>
          <w:sz w:val="24"/>
          <w:szCs w:val="24"/>
          <w:highlight w:val="none"/>
          <w:u w:val="single" w:color="auto"/>
          <w:lang w:eastAsia="zh-CN"/>
        </w:rPr>
        <w:t>项目编号</w:t>
      </w:r>
      <w:r>
        <w:rPr>
          <w:rFonts w:hint="eastAsia" w:ascii="仿宋" w:hAnsi="仿宋" w:eastAsia="仿宋" w:cs="仿宋"/>
          <w:color w:val="auto"/>
          <w:spacing w:val="-23"/>
          <w:sz w:val="24"/>
          <w:szCs w:val="24"/>
          <w:highlight w:val="none"/>
          <w:u w:val="single" w:color="auto"/>
        </w:rPr>
        <w:t>）（</w:t>
      </w:r>
      <w:r>
        <w:rPr>
          <w:rFonts w:hint="eastAsia" w:ascii="仿宋" w:hAnsi="仿宋" w:eastAsia="仿宋" w:cs="仿宋"/>
          <w:color w:val="auto"/>
          <w:spacing w:val="-6"/>
          <w:sz w:val="24"/>
          <w:szCs w:val="24"/>
          <w:highlight w:val="none"/>
          <w:u w:val="single" w:color="auto"/>
          <w:lang w:eastAsia="zh-CN"/>
        </w:rPr>
        <w:t>标项</w:t>
      </w:r>
      <w:r>
        <w:rPr>
          <w:rFonts w:hint="eastAsia" w:ascii="仿宋" w:hAnsi="仿宋" w:eastAsia="仿宋" w:cs="仿宋"/>
          <w:color w:val="auto"/>
          <w:spacing w:val="-6"/>
          <w:sz w:val="24"/>
          <w:szCs w:val="24"/>
          <w:highlight w:val="none"/>
          <w:u w:val="single" w:color="auto"/>
        </w:rPr>
        <w:t>）</w:t>
      </w:r>
      <w:r>
        <w:rPr>
          <w:rFonts w:hint="eastAsia" w:ascii="仿宋" w:hAnsi="仿宋" w:eastAsia="仿宋" w:cs="仿宋"/>
          <w:color w:val="auto"/>
          <w:spacing w:val="-6"/>
          <w:sz w:val="24"/>
          <w:szCs w:val="24"/>
          <w:highlight w:val="none"/>
        </w:rPr>
        <w:t>投标前，我单位具有良好商业信誉，不存在下列不能认定</w:t>
      </w:r>
      <w:r>
        <w:rPr>
          <w:rFonts w:hint="eastAsia" w:ascii="仿宋" w:hAnsi="仿宋" w:eastAsia="仿宋" w:cs="仿宋"/>
          <w:color w:val="auto"/>
          <w:spacing w:val="-1"/>
          <w:sz w:val="24"/>
          <w:szCs w:val="24"/>
          <w:highlight w:val="none"/>
        </w:rPr>
        <w:t>具有良好商业信誉的情形：</w:t>
      </w:r>
    </w:p>
    <w:p w14:paraId="1052DD91">
      <w:pPr>
        <w:pStyle w:val="8"/>
        <w:spacing w:before="25" w:line="234" w:lineRule="auto"/>
        <w:ind w:left="449" w:right="68" w:hanging="379"/>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(1)被纳入法院、工商行政管理部门、税务部门、银行认定的失信名单且在有效</w:t>
      </w:r>
      <w:r>
        <w:rPr>
          <w:rFonts w:hint="eastAsia" w:ascii="仿宋" w:hAnsi="仿宋" w:eastAsia="仿宋" w:cs="仿宋"/>
          <w:color w:val="auto"/>
          <w:spacing w:val="-4"/>
          <w:sz w:val="24"/>
          <w:szCs w:val="24"/>
          <w:highlight w:val="none"/>
        </w:rPr>
        <w:t>期内；</w:t>
      </w:r>
    </w:p>
    <w:p w14:paraId="17954049">
      <w:pPr>
        <w:pStyle w:val="8"/>
        <w:spacing w:before="28" w:line="234" w:lineRule="auto"/>
        <w:ind w:left="462" w:right="71" w:hanging="39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(2)在前三年采购合同履约过程中及其他经营活动履约过程中未依法履约</w:t>
      </w:r>
      <w:r>
        <w:rPr>
          <w:rFonts w:hint="eastAsia" w:ascii="仿宋" w:hAnsi="仿宋" w:eastAsia="仿宋" w:cs="仿宋"/>
          <w:color w:val="auto"/>
          <w:spacing w:val="3"/>
          <w:sz w:val="24"/>
          <w:szCs w:val="24"/>
          <w:highlight w:val="none"/>
        </w:rPr>
        <w:t>被有</w:t>
      </w:r>
      <w:r>
        <w:rPr>
          <w:rFonts w:hint="eastAsia" w:ascii="仿宋" w:hAnsi="仿宋" w:eastAsia="仿宋" w:cs="仿宋"/>
          <w:color w:val="auto"/>
          <w:spacing w:val="-3"/>
          <w:sz w:val="24"/>
          <w:szCs w:val="24"/>
          <w:highlight w:val="none"/>
        </w:rPr>
        <w:t>关部门处罚（处理）的；</w:t>
      </w:r>
    </w:p>
    <w:p w14:paraId="55497931">
      <w:pPr>
        <w:pStyle w:val="8"/>
        <w:spacing w:before="25" w:line="235" w:lineRule="auto"/>
        <w:ind w:left="450" w:right="68" w:hanging="38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(3)国家相关法律、法规，规范文件等规定的认定为不具有良好的</w:t>
      </w:r>
      <w:r>
        <w:rPr>
          <w:rFonts w:hint="eastAsia" w:ascii="仿宋" w:hAnsi="仿宋" w:eastAsia="仿宋" w:cs="仿宋"/>
          <w:color w:val="auto"/>
          <w:spacing w:val="-5"/>
          <w:sz w:val="24"/>
          <w:szCs w:val="24"/>
          <w:highlight w:val="none"/>
        </w:rPr>
        <w:t>商业信誉的其</w:t>
      </w:r>
      <w:r>
        <w:rPr>
          <w:rFonts w:hint="eastAsia" w:ascii="仿宋" w:hAnsi="仿宋" w:eastAsia="仿宋" w:cs="仿宋"/>
          <w:color w:val="auto"/>
          <w:spacing w:val="-3"/>
          <w:sz w:val="24"/>
          <w:szCs w:val="24"/>
          <w:highlight w:val="none"/>
        </w:rPr>
        <w:t>他情形。</w:t>
      </w:r>
    </w:p>
    <w:p w14:paraId="512DD155">
      <w:pPr>
        <w:pStyle w:val="8"/>
        <w:spacing w:before="24" w:line="234" w:lineRule="auto"/>
        <w:ind w:left="19" w:right="95" w:firstLine="973"/>
        <w:outlineLvl w:val="9"/>
        <w:rPr>
          <w:rFonts w:hint="eastAsia" w:ascii="仿宋" w:hAnsi="仿宋" w:eastAsia="仿宋" w:cs="仿宋"/>
          <w:color w:val="auto"/>
          <w:spacing w:val="-1"/>
          <w:sz w:val="24"/>
          <w:szCs w:val="24"/>
          <w:highlight w:val="none"/>
        </w:rPr>
      </w:pPr>
    </w:p>
    <w:p w14:paraId="578382CE">
      <w:pPr>
        <w:pStyle w:val="8"/>
        <w:spacing w:before="24" w:line="234" w:lineRule="auto"/>
        <w:ind w:right="95" w:firstLine="476"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若我单位虚假承诺，将自行承担由此带来的一切后果（如取消投标资</w:t>
      </w:r>
      <w:r>
        <w:rPr>
          <w:rFonts w:hint="eastAsia" w:ascii="仿宋" w:hAnsi="仿宋" w:eastAsia="仿宋" w:cs="仿宋"/>
          <w:color w:val="auto"/>
          <w:spacing w:val="-4"/>
          <w:sz w:val="24"/>
          <w:szCs w:val="24"/>
          <w:highlight w:val="none"/>
        </w:rPr>
        <w:t>格、中标资格、不予退还投标保证金、法定时间内禁止参与采购投标活动等）。</w:t>
      </w:r>
    </w:p>
    <w:p w14:paraId="6DB17A20">
      <w:pPr>
        <w:spacing w:line="277" w:lineRule="auto"/>
        <w:rPr>
          <w:rFonts w:hint="eastAsia" w:ascii="仿宋" w:hAnsi="仿宋" w:eastAsia="仿宋" w:cs="仿宋"/>
          <w:color w:val="auto"/>
          <w:sz w:val="21"/>
          <w:highlight w:val="none"/>
        </w:rPr>
      </w:pPr>
    </w:p>
    <w:p w14:paraId="0F8126C9">
      <w:pPr>
        <w:spacing w:line="277" w:lineRule="auto"/>
        <w:rPr>
          <w:rFonts w:hint="eastAsia" w:ascii="仿宋" w:hAnsi="仿宋" w:eastAsia="仿宋" w:cs="仿宋"/>
          <w:color w:val="auto"/>
          <w:sz w:val="21"/>
          <w:highlight w:val="none"/>
        </w:rPr>
      </w:pPr>
    </w:p>
    <w:p w14:paraId="1995BEC9">
      <w:pPr>
        <w:spacing w:line="278" w:lineRule="auto"/>
        <w:rPr>
          <w:rFonts w:hint="eastAsia" w:ascii="仿宋" w:hAnsi="仿宋" w:eastAsia="仿宋" w:cs="仿宋"/>
          <w:color w:val="auto"/>
          <w:sz w:val="21"/>
          <w:highlight w:val="none"/>
        </w:rPr>
      </w:pPr>
    </w:p>
    <w:p w14:paraId="1D841571">
      <w:pPr>
        <w:spacing w:line="278" w:lineRule="auto"/>
        <w:rPr>
          <w:rFonts w:hint="eastAsia" w:ascii="仿宋" w:hAnsi="仿宋" w:eastAsia="仿宋" w:cs="仿宋"/>
          <w:color w:val="auto"/>
          <w:sz w:val="21"/>
          <w:highlight w:val="none"/>
        </w:rPr>
      </w:pPr>
    </w:p>
    <w:p w14:paraId="4D6C5ED0">
      <w:pPr>
        <w:pStyle w:val="8"/>
        <w:spacing w:before="78" w:line="225" w:lineRule="auto"/>
        <w:ind w:left="987"/>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投标人名称</w:t>
      </w:r>
      <w:r>
        <w:rPr>
          <w:rFonts w:hint="eastAsia" w:ascii="仿宋" w:hAnsi="仿宋" w:eastAsia="仿宋" w:cs="仿宋"/>
          <w:color w:val="auto"/>
          <w:spacing w:val="-11"/>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1"/>
          <w:sz w:val="24"/>
          <w:szCs w:val="24"/>
          <w:highlight w:val="none"/>
          <w:u w:val="single" w:color="000000"/>
          <w14:textOutline w14:w="4358" w14:cap="sq" w14:cmpd="sng">
            <w14:solidFill>
              <w14:srgbClr w14:val="000000"/>
            </w14:solidFill>
            <w14:prstDash w14:val="solid"/>
            <w14:bevel/>
          </w14:textOutline>
        </w:rPr>
        <w:t>（</w:t>
      </w:r>
      <w:r>
        <w:rPr>
          <w:rFonts w:hint="eastAsia" w:ascii="仿宋" w:hAnsi="仿宋" w:eastAsia="仿宋" w:cs="仿宋"/>
          <w:color w:val="auto"/>
          <w:spacing w:val="2"/>
          <w:sz w:val="24"/>
          <w:szCs w:val="24"/>
          <w:highlight w:val="none"/>
          <w:u w:val="single" w:color="000000"/>
          <w:lang w:eastAsia="zh-CN"/>
          <w14:textOutline w14:w="4358" w14:cap="sq" w14:cmpd="sng">
            <w14:solidFill>
              <w14:srgbClr w14:val="000000"/>
            </w14:solidFill>
            <w14:prstDash w14:val="solid"/>
            <w14:bevel/>
          </w14:textOutline>
        </w:rPr>
        <w:t>加盖公章</w:t>
      </w:r>
      <w:r>
        <w:rPr>
          <w:rFonts w:hint="eastAsia" w:ascii="仿宋" w:hAnsi="仿宋" w:eastAsia="仿宋" w:cs="仿宋"/>
          <w:color w:val="auto"/>
          <w:spacing w:val="2"/>
          <w:sz w:val="24"/>
          <w:szCs w:val="24"/>
          <w:highlight w:val="none"/>
          <w:u w:val="single" w:color="000000"/>
          <w14:textOutline w14:w="4358" w14:cap="sq" w14:cmpd="sng">
            <w14:solidFill>
              <w14:srgbClr w14:val="000000"/>
            </w14:solidFill>
            <w14:prstDash w14:val="solid"/>
            <w14:bevel/>
          </w14:textOutline>
        </w:rPr>
        <w:t>）</w:t>
      </w:r>
    </w:p>
    <w:p w14:paraId="1C394113">
      <w:pPr>
        <w:pStyle w:val="8"/>
        <w:spacing w:before="259" w:line="423" w:lineRule="auto"/>
        <w:ind w:left="100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法定代表人或授权代表</w:t>
      </w: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5"/>
          <w:sz w:val="24"/>
          <w:szCs w:val="24"/>
          <w:highlight w:val="none"/>
          <w:u w:val="single" w:color="000000"/>
          <w14:textOutline w14:w="4358" w14:cap="sq" w14:cmpd="sng">
            <w14:solidFill>
              <w14:srgbClr w14:val="000000"/>
            </w14:solidFill>
            <w14:prstDash w14:val="solid"/>
            <w14:bevel/>
          </w14:textOutline>
        </w:rPr>
        <w:t>（</w:t>
      </w:r>
      <w:r>
        <w:rPr>
          <w:rFonts w:hint="eastAsia" w:ascii="仿宋" w:hAnsi="仿宋" w:eastAsia="仿宋" w:cs="仿宋"/>
          <w:color w:val="auto"/>
          <w:sz w:val="24"/>
          <w:szCs w:val="24"/>
          <w:highlight w:val="none"/>
          <w:u w:val="single" w:color="000000"/>
          <w14:textOutline w14:w="4358" w14:cap="sq" w14:cmpd="sng">
            <w14:solidFill>
              <w14:srgbClr w14:val="000000"/>
            </w14:solidFill>
            <w14:prstDash w14:val="solid"/>
            <w14:bevel/>
          </w14:textOutline>
        </w:rPr>
        <w:t>签字或加盖个人名章）</w:t>
      </w:r>
    </w:p>
    <w:p w14:paraId="0C62927B">
      <w:pPr>
        <w:pStyle w:val="8"/>
        <w:spacing w:before="1" w:line="224" w:lineRule="auto"/>
        <w:ind w:left="987"/>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投标日期：</w:t>
      </w:r>
      <w:r>
        <w:rPr>
          <w:rFonts w:hint="eastAsia" w:ascii="仿宋" w:hAnsi="仿宋" w:eastAsia="仿宋" w:cs="仿宋"/>
          <w:color w:val="auto"/>
          <w:spacing w:val="-3"/>
          <w:sz w:val="24"/>
          <w:szCs w:val="24"/>
          <w:highlight w:val="none"/>
          <w:u w:val="single" w:color="000000"/>
          <w14:textOutline w14:w="4358" w14:cap="sq" w14:cmpd="sng">
            <w14:solidFill>
              <w14:srgbClr w14:val="000000"/>
            </w14:solidFill>
            <w14:prstDash w14:val="solid"/>
            <w14:bevel/>
          </w14:textOutline>
        </w:rPr>
        <w:t>年月日</w:t>
      </w:r>
    </w:p>
    <w:p w14:paraId="685126D5">
      <w:pPr>
        <w:spacing w:line="369" w:lineRule="auto"/>
        <w:rPr>
          <w:rFonts w:hint="eastAsia" w:ascii="仿宋" w:hAnsi="仿宋" w:eastAsia="仿宋" w:cs="仿宋"/>
          <w:color w:val="auto"/>
          <w:sz w:val="21"/>
          <w:highlight w:val="none"/>
        </w:rPr>
      </w:pPr>
    </w:p>
    <w:p w14:paraId="1B35F2F5">
      <w:pPr>
        <w:spacing w:line="225" w:lineRule="auto"/>
        <w:rPr>
          <w:rFonts w:hint="eastAsia" w:ascii="仿宋" w:hAnsi="仿宋" w:eastAsia="仿宋" w:cs="仿宋"/>
          <w:color w:val="auto"/>
          <w:sz w:val="24"/>
          <w:szCs w:val="24"/>
          <w:highlight w:val="none"/>
        </w:rPr>
        <w:sectPr>
          <w:footerReference r:id="rId21" w:type="default"/>
          <w:pgSz w:w="11905" w:h="16838"/>
          <w:pgMar w:top="1440" w:right="1083" w:bottom="1440" w:left="1083" w:header="0" w:footer="1225" w:gutter="0"/>
          <w:pgNumType w:fmt="decimal"/>
          <w:cols w:space="0" w:num="1"/>
          <w:rtlGutter w:val="0"/>
          <w:docGrid w:linePitch="0" w:charSpace="0"/>
        </w:sectPr>
      </w:pPr>
    </w:p>
    <w:p w14:paraId="285C2FB3">
      <w:pPr>
        <w:pStyle w:val="8"/>
        <w:spacing w:before="156" w:line="226" w:lineRule="auto"/>
        <w:jc w:val="center"/>
        <w:outlineLvl w:val="2"/>
        <w:rPr>
          <w:rFonts w:hint="eastAsia" w:ascii="仿宋" w:hAnsi="仿宋" w:eastAsia="仿宋" w:cs="仿宋"/>
          <w:color w:val="auto"/>
          <w:sz w:val="24"/>
          <w:szCs w:val="24"/>
          <w:highlight w:val="none"/>
        </w:rPr>
      </w:pPr>
      <w:bookmarkStart w:id="165" w:name="_Toc29891"/>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5社会保障资金的缴纳记录及依</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法缴纳税收良好记录证明</w:t>
      </w:r>
      <w:bookmarkEnd w:id="165"/>
    </w:p>
    <w:p w14:paraId="3E56E723">
      <w:pPr>
        <w:spacing w:line="251" w:lineRule="auto"/>
        <w:rPr>
          <w:rFonts w:hint="eastAsia" w:ascii="仿宋" w:hAnsi="仿宋" w:eastAsia="仿宋" w:cs="仿宋"/>
          <w:color w:val="auto"/>
          <w:sz w:val="21"/>
          <w:highlight w:val="none"/>
        </w:rPr>
      </w:pPr>
    </w:p>
    <w:p w14:paraId="737A09D4">
      <w:pPr>
        <w:spacing w:line="252" w:lineRule="auto"/>
        <w:rPr>
          <w:rFonts w:hint="eastAsia" w:ascii="仿宋" w:hAnsi="仿宋" w:eastAsia="仿宋" w:cs="仿宋"/>
          <w:color w:val="auto"/>
          <w:sz w:val="21"/>
          <w:highlight w:val="none"/>
        </w:rPr>
      </w:pPr>
    </w:p>
    <w:p w14:paraId="0BB522FA">
      <w:pPr>
        <w:pStyle w:val="8"/>
        <w:spacing w:line="228" w:lineRule="auto"/>
        <w:ind w:left="41"/>
        <w:rPr>
          <w:rFonts w:hint="eastAsia" w:ascii="仿宋" w:hAnsi="仿宋" w:eastAsia="仿宋" w:cs="仿宋"/>
          <w:color w:val="auto"/>
          <w:spacing w:val="4"/>
          <w:position w:val="14"/>
          <w:sz w:val="24"/>
          <w:szCs w:val="24"/>
          <w:highlight w:val="none"/>
          <w:lang w:val="en-US" w:eastAsia="zh-CN"/>
        </w:rPr>
      </w:pPr>
      <w:r>
        <w:rPr>
          <w:rFonts w:hint="eastAsia" w:ascii="仿宋" w:hAnsi="仿宋" w:eastAsia="仿宋" w:cs="仿宋"/>
          <w:color w:val="auto"/>
          <w:spacing w:val="4"/>
          <w:position w:val="14"/>
          <w:sz w:val="24"/>
          <w:szCs w:val="24"/>
          <w:highlight w:val="none"/>
        </w:rPr>
        <w:t>社会保障资金的缴纳记录证明：供应商提供</w:t>
      </w:r>
      <w:r>
        <w:rPr>
          <w:rFonts w:hint="eastAsia" w:ascii="仿宋" w:hAnsi="仿宋" w:eastAsia="仿宋" w:cs="仿宋"/>
          <w:color w:val="auto"/>
          <w:spacing w:val="4"/>
          <w:position w:val="14"/>
          <w:sz w:val="24"/>
          <w:szCs w:val="24"/>
          <w:highlight w:val="none"/>
          <w:lang w:eastAsia="zh-CN"/>
        </w:rPr>
        <w:t>近半年任意一个月</w:t>
      </w:r>
      <w:r>
        <w:rPr>
          <w:rFonts w:hint="eastAsia" w:ascii="仿宋" w:hAnsi="仿宋" w:eastAsia="仿宋" w:cs="仿宋"/>
          <w:color w:val="auto"/>
          <w:spacing w:val="4"/>
          <w:position w:val="14"/>
          <w:sz w:val="24"/>
          <w:szCs w:val="24"/>
          <w:highlight w:val="none"/>
        </w:rPr>
        <w:t>单位社保缴纳凭证</w:t>
      </w:r>
      <w:r>
        <w:rPr>
          <w:rFonts w:hint="eastAsia" w:ascii="仿宋" w:hAnsi="仿宋" w:eastAsia="仿宋" w:cs="仿宋"/>
          <w:color w:val="auto"/>
          <w:spacing w:val="4"/>
          <w:position w:val="14"/>
          <w:sz w:val="24"/>
          <w:szCs w:val="24"/>
          <w:highlight w:val="none"/>
          <w:lang w:val="en-US" w:eastAsia="zh-CN"/>
        </w:rPr>
        <w:t>及个人缴费明细</w:t>
      </w:r>
    </w:p>
    <w:p w14:paraId="766CB3D8">
      <w:pPr>
        <w:widowControl w:val="0"/>
        <w:kinsoku/>
        <w:autoSpaceDE/>
        <w:autoSpaceDN/>
        <w:adjustRightInd/>
        <w:snapToGrid/>
        <w:spacing w:line="360" w:lineRule="auto"/>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说明：</w:t>
      </w:r>
      <w:r>
        <w:rPr>
          <w:rFonts w:hint="eastAsia" w:ascii="仿宋" w:hAnsi="仿宋" w:eastAsia="仿宋" w:cs="仿宋"/>
          <w:snapToGrid/>
          <w:color w:val="auto"/>
          <w:kern w:val="2"/>
          <w:sz w:val="24"/>
          <w:szCs w:val="24"/>
          <w:highlight w:val="none"/>
          <w:lang w:val="en-US" w:eastAsia="zh-CN"/>
        </w:rPr>
        <w:t>扫描件</w:t>
      </w:r>
      <w:r>
        <w:rPr>
          <w:rFonts w:hint="eastAsia" w:ascii="仿宋" w:hAnsi="仿宋" w:eastAsia="仿宋" w:cs="仿宋"/>
          <w:snapToGrid/>
          <w:color w:val="auto"/>
          <w:kern w:val="2"/>
          <w:sz w:val="24"/>
          <w:szCs w:val="24"/>
          <w:highlight w:val="none"/>
          <w:lang w:eastAsia="zh-CN"/>
        </w:rPr>
        <w:t>上应加盖本单位章。</w:t>
      </w:r>
    </w:p>
    <w:p w14:paraId="70E6E4A4">
      <w:pPr>
        <w:pStyle w:val="8"/>
        <w:spacing w:line="228" w:lineRule="auto"/>
        <w:ind w:left="41"/>
        <w:rPr>
          <w:rFonts w:hint="eastAsia" w:ascii="仿宋" w:hAnsi="仿宋" w:eastAsia="仿宋" w:cs="仿宋"/>
          <w:color w:val="auto"/>
          <w:spacing w:val="4"/>
          <w:position w:val="14"/>
          <w:sz w:val="24"/>
          <w:szCs w:val="24"/>
          <w:highlight w:val="none"/>
        </w:rPr>
      </w:pPr>
    </w:p>
    <w:p w14:paraId="0E3DB05E">
      <w:pPr>
        <w:pStyle w:val="8"/>
        <w:spacing w:line="228" w:lineRule="auto"/>
        <w:ind w:left="41"/>
        <w:rPr>
          <w:rFonts w:hint="eastAsia" w:ascii="仿宋" w:hAnsi="仿宋" w:eastAsia="仿宋" w:cs="仿宋"/>
          <w:color w:val="auto"/>
          <w:spacing w:val="4"/>
          <w:position w:val="14"/>
          <w:sz w:val="24"/>
          <w:szCs w:val="24"/>
          <w:highlight w:val="none"/>
        </w:rPr>
      </w:pPr>
    </w:p>
    <w:p w14:paraId="712B87A1">
      <w:pPr>
        <w:pStyle w:val="8"/>
        <w:spacing w:line="228" w:lineRule="auto"/>
        <w:ind w:left="41"/>
        <w:rPr>
          <w:rFonts w:hint="eastAsia" w:ascii="仿宋" w:hAnsi="仿宋" w:eastAsia="仿宋" w:cs="仿宋"/>
          <w:color w:val="auto"/>
          <w:spacing w:val="4"/>
          <w:position w:val="14"/>
          <w:sz w:val="24"/>
          <w:szCs w:val="24"/>
          <w:highlight w:val="none"/>
        </w:rPr>
      </w:pPr>
    </w:p>
    <w:p w14:paraId="7F8500F8">
      <w:pPr>
        <w:pStyle w:val="8"/>
        <w:spacing w:line="228" w:lineRule="auto"/>
        <w:ind w:left="41"/>
        <w:rPr>
          <w:rFonts w:hint="eastAsia" w:ascii="仿宋" w:hAnsi="仿宋" w:eastAsia="仿宋" w:cs="仿宋"/>
          <w:color w:val="auto"/>
          <w:spacing w:val="4"/>
          <w:position w:val="14"/>
          <w:sz w:val="24"/>
          <w:szCs w:val="24"/>
          <w:highlight w:val="none"/>
        </w:rPr>
      </w:pPr>
    </w:p>
    <w:p w14:paraId="13397B64">
      <w:pPr>
        <w:pStyle w:val="8"/>
        <w:spacing w:line="228" w:lineRule="auto"/>
        <w:ind w:left="41"/>
        <w:rPr>
          <w:rFonts w:hint="eastAsia" w:ascii="仿宋" w:hAnsi="仿宋" w:eastAsia="仿宋" w:cs="仿宋"/>
          <w:color w:val="auto"/>
          <w:spacing w:val="4"/>
          <w:position w:val="14"/>
          <w:sz w:val="24"/>
          <w:szCs w:val="24"/>
          <w:highlight w:val="none"/>
        </w:rPr>
      </w:pPr>
      <w:r>
        <w:rPr>
          <w:rFonts w:hint="eastAsia" w:ascii="仿宋" w:hAnsi="仿宋" w:eastAsia="仿宋" w:cs="仿宋"/>
          <w:color w:val="auto"/>
          <w:spacing w:val="4"/>
          <w:position w:val="14"/>
          <w:sz w:val="24"/>
          <w:szCs w:val="24"/>
          <w:highlight w:val="none"/>
        </w:rPr>
        <w:t>依法缴纳税收良好记录证明：</w:t>
      </w:r>
      <w:r>
        <w:rPr>
          <w:rFonts w:hint="eastAsia" w:ascii="仿宋" w:hAnsi="仿宋" w:eastAsia="仿宋" w:cs="仿宋"/>
          <w:color w:val="auto"/>
          <w:spacing w:val="4"/>
          <w:position w:val="14"/>
          <w:sz w:val="24"/>
          <w:szCs w:val="24"/>
          <w:highlight w:val="none"/>
          <w:lang w:eastAsia="zh-CN"/>
        </w:rPr>
        <w:t>在税务局依法缴纳</w:t>
      </w:r>
      <w:r>
        <w:rPr>
          <w:rFonts w:hint="eastAsia" w:ascii="仿宋" w:hAnsi="仿宋" w:eastAsia="仿宋" w:cs="仿宋"/>
          <w:color w:val="auto"/>
          <w:spacing w:val="4"/>
          <w:position w:val="14"/>
          <w:sz w:val="24"/>
          <w:szCs w:val="24"/>
          <w:highlight w:val="none"/>
          <w:lang w:val="en-US" w:eastAsia="zh-CN"/>
        </w:rPr>
        <w:t>税款所属日期为</w:t>
      </w:r>
      <w:r>
        <w:rPr>
          <w:rFonts w:hint="eastAsia" w:ascii="仿宋" w:hAnsi="仿宋" w:eastAsia="仿宋" w:cs="仿宋"/>
          <w:color w:val="auto"/>
          <w:spacing w:val="4"/>
          <w:position w:val="14"/>
          <w:sz w:val="24"/>
          <w:szCs w:val="24"/>
          <w:highlight w:val="none"/>
          <w:lang w:eastAsia="zh-CN"/>
        </w:rPr>
        <w:t>近半年任意一个月税收证明的良好记录</w:t>
      </w:r>
      <w:r>
        <w:rPr>
          <w:rFonts w:hint="eastAsia" w:ascii="仿宋" w:hAnsi="仿宋" w:eastAsia="仿宋" w:cs="仿宋"/>
          <w:color w:val="auto"/>
          <w:spacing w:val="4"/>
          <w:position w:val="14"/>
          <w:sz w:val="24"/>
          <w:szCs w:val="24"/>
          <w:highlight w:val="none"/>
          <w:lang w:val="en-US" w:eastAsia="zh-CN"/>
        </w:rPr>
        <w:t>及</w:t>
      </w:r>
      <w:r>
        <w:rPr>
          <w:rFonts w:hint="eastAsia" w:ascii="仿宋" w:hAnsi="仿宋" w:eastAsia="仿宋" w:cs="仿宋"/>
          <w:color w:val="auto"/>
          <w:spacing w:val="4"/>
          <w:position w:val="14"/>
          <w:sz w:val="24"/>
          <w:szCs w:val="24"/>
          <w:highlight w:val="none"/>
          <w:lang w:eastAsia="zh-CN"/>
        </w:rPr>
        <w:t>投标截止日</w:t>
      </w:r>
      <w:r>
        <w:rPr>
          <w:rFonts w:hint="eastAsia" w:ascii="仿宋" w:hAnsi="仿宋" w:eastAsia="仿宋" w:cs="仿宋"/>
          <w:color w:val="auto"/>
          <w:spacing w:val="4"/>
          <w:position w:val="14"/>
          <w:sz w:val="24"/>
          <w:szCs w:val="24"/>
          <w:highlight w:val="none"/>
          <w:lang w:val="en-US" w:eastAsia="zh-CN"/>
        </w:rPr>
        <w:t>前</w:t>
      </w:r>
      <w:r>
        <w:rPr>
          <w:rFonts w:hint="eastAsia" w:ascii="仿宋" w:hAnsi="仿宋" w:eastAsia="仿宋" w:cs="仿宋"/>
          <w:color w:val="auto"/>
          <w:spacing w:val="4"/>
          <w:position w:val="14"/>
          <w:sz w:val="24"/>
          <w:szCs w:val="24"/>
          <w:highlight w:val="none"/>
          <w:lang w:eastAsia="zh-CN"/>
        </w:rPr>
        <w:t>无拖欠税收证明</w:t>
      </w:r>
      <w:r>
        <w:rPr>
          <w:rFonts w:hint="eastAsia" w:ascii="仿宋" w:hAnsi="仿宋" w:eastAsia="仿宋" w:cs="仿宋"/>
          <w:color w:val="auto"/>
          <w:spacing w:val="4"/>
          <w:position w:val="14"/>
          <w:sz w:val="24"/>
          <w:szCs w:val="24"/>
          <w:highlight w:val="none"/>
        </w:rPr>
        <w:t>；</w:t>
      </w:r>
    </w:p>
    <w:p w14:paraId="4AAEF439">
      <w:pPr>
        <w:pStyle w:val="8"/>
        <w:spacing w:line="228" w:lineRule="auto"/>
        <w:ind w:left="41"/>
        <w:rPr>
          <w:rFonts w:hint="eastAsia" w:ascii="仿宋" w:hAnsi="仿宋" w:eastAsia="仿宋" w:cs="仿宋"/>
          <w:color w:val="auto"/>
          <w:spacing w:val="4"/>
          <w:position w:val="14"/>
          <w:sz w:val="24"/>
          <w:szCs w:val="24"/>
          <w:highlight w:val="none"/>
        </w:rPr>
      </w:pPr>
    </w:p>
    <w:p w14:paraId="37E695D6">
      <w:pPr>
        <w:spacing w:line="22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 ：</w:t>
      </w:r>
      <w:r>
        <w:rPr>
          <w:rFonts w:hint="eastAsia" w:ascii="仿宋" w:hAnsi="仿宋" w:eastAsia="仿宋" w:cs="仿宋"/>
          <w:color w:val="auto"/>
          <w:sz w:val="24"/>
          <w:szCs w:val="24"/>
          <w:highlight w:val="none"/>
          <w:lang w:val="en-US" w:eastAsia="zh-CN"/>
        </w:rPr>
        <w:t>1）“投标企业提供税务部门出具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4C29A378">
      <w:pPr>
        <w:spacing w:line="2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2）扫描件</w:t>
      </w:r>
      <w:r>
        <w:rPr>
          <w:rFonts w:hint="eastAsia" w:ascii="仿宋" w:hAnsi="仿宋" w:eastAsia="仿宋" w:cs="仿宋"/>
          <w:color w:val="auto"/>
          <w:sz w:val="24"/>
          <w:szCs w:val="24"/>
          <w:highlight w:val="none"/>
        </w:rPr>
        <w:t>上应加盖本单位章。</w:t>
      </w:r>
    </w:p>
    <w:p w14:paraId="477708B0">
      <w:pPr>
        <w:spacing w:line="220" w:lineRule="auto"/>
        <w:rPr>
          <w:rFonts w:hint="eastAsia" w:ascii="仿宋" w:hAnsi="仿宋" w:eastAsia="仿宋" w:cs="仿宋"/>
          <w:color w:val="auto"/>
          <w:sz w:val="24"/>
          <w:szCs w:val="24"/>
          <w:highlight w:val="none"/>
        </w:rPr>
        <w:sectPr>
          <w:footerReference r:id="rId22" w:type="default"/>
          <w:pgSz w:w="11905" w:h="16838"/>
          <w:pgMar w:top="1440" w:right="1083" w:bottom="1440" w:left="1083" w:header="0" w:footer="1225" w:gutter="0"/>
          <w:pgNumType w:fmt="decimal"/>
          <w:cols w:space="0" w:num="1"/>
          <w:rtlGutter w:val="0"/>
          <w:docGrid w:linePitch="0" w:charSpace="0"/>
        </w:sectPr>
      </w:pPr>
    </w:p>
    <w:p w14:paraId="7814939F">
      <w:pPr>
        <w:pStyle w:val="8"/>
        <w:spacing w:before="156" w:line="225" w:lineRule="auto"/>
        <w:jc w:val="center"/>
        <w:outlineLvl w:val="2"/>
        <w:rPr>
          <w:rFonts w:hint="eastAsia" w:ascii="仿宋" w:hAnsi="仿宋" w:eastAsia="仿宋" w:cs="仿宋"/>
          <w:color w:val="auto"/>
          <w:sz w:val="24"/>
          <w:szCs w:val="24"/>
          <w:highlight w:val="none"/>
        </w:rPr>
      </w:pPr>
      <w:bookmarkStart w:id="166" w:name="bookmark54"/>
      <w:bookmarkEnd w:id="166"/>
      <w:bookmarkStart w:id="167" w:name="bookmark55"/>
      <w:bookmarkEnd w:id="167"/>
      <w:bookmarkStart w:id="168" w:name="_Toc32096"/>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参加政府采购活动前3年内在经营活动中没有重大违</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法记录声明书</w:t>
      </w:r>
      <w:bookmarkEnd w:id="168"/>
    </w:p>
    <w:p w14:paraId="35104E0E">
      <w:pPr>
        <w:spacing w:line="288" w:lineRule="auto"/>
        <w:outlineLvl w:val="9"/>
        <w:rPr>
          <w:rFonts w:hint="eastAsia" w:ascii="仿宋" w:hAnsi="仿宋" w:eastAsia="仿宋" w:cs="仿宋"/>
          <w:color w:val="auto"/>
          <w:sz w:val="21"/>
          <w:highlight w:val="none"/>
        </w:rPr>
      </w:pPr>
    </w:p>
    <w:p w14:paraId="6A0B3401">
      <w:pPr>
        <w:spacing w:line="288" w:lineRule="auto"/>
        <w:rPr>
          <w:rFonts w:hint="eastAsia" w:ascii="仿宋" w:hAnsi="仿宋" w:eastAsia="仿宋" w:cs="仿宋"/>
          <w:color w:val="auto"/>
          <w:sz w:val="21"/>
          <w:highlight w:val="none"/>
        </w:rPr>
      </w:pPr>
    </w:p>
    <w:p w14:paraId="7DFD888A">
      <w:pPr>
        <w:pStyle w:val="8"/>
        <w:tabs>
          <w:tab w:val="left" w:pos="156"/>
        </w:tabs>
        <w:spacing w:before="78" w:line="227" w:lineRule="auto"/>
        <w:ind w:left="1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pacing w:val="-14"/>
          <w:sz w:val="24"/>
          <w:szCs w:val="24"/>
          <w:highlight w:val="none"/>
          <w:u w:val="single" w:color="auto"/>
        </w:rPr>
        <w:t>（采购人、采购代理公司</w:t>
      </w:r>
      <w:r>
        <w:rPr>
          <w:rFonts w:hint="eastAsia" w:ascii="仿宋" w:hAnsi="仿宋" w:eastAsia="仿宋" w:cs="仿宋"/>
          <w:color w:val="auto"/>
          <w:spacing w:val="4"/>
          <w:sz w:val="24"/>
          <w:szCs w:val="24"/>
          <w:highlight w:val="none"/>
          <w:u w:val="single" w:color="auto"/>
        </w:rPr>
        <w:t>）</w:t>
      </w: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w:t>
      </w:r>
    </w:p>
    <w:p w14:paraId="0E95128C">
      <w:pPr>
        <w:spacing w:line="325" w:lineRule="auto"/>
        <w:rPr>
          <w:rFonts w:hint="eastAsia" w:ascii="仿宋" w:hAnsi="仿宋" w:eastAsia="仿宋" w:cs="仿宋"/>
          <w:color w:val="auto"/>
          <w:sz w:val="21"/>
          <w:highlight w:val="none"/>
        </w:rPr>
      </w:pPr>
    </w:p>
    <w:p w14:paraId="4DA788AE">
      <w:pPr>
        <w:pStyle w:val="8"/>
        <w:spacing w:before="78" w:line="287" w:lineRule="auto"/>
        <w:ind w:left="17" w:right="11" w:firstLine="49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我单位声明：在参加本项目（项目名称</w:t>
      </w:r>
      <w:r>
        <w:rPr>
          <w:rFonts w:hint="eastAsia" w:ascii="仿宋" w:hAnsi="仿宋" w:eastAsia="仿宋" w:cs="仿宋"/>
          <w:color w:val="auto"/>
          <w:spacing w:val="-27"/>
          <w:sz w:val="24"/>
          <w:szCs w:val="24"/>
          <w:highlight w:val="none"/>
        </w:rPr>
        <w:t>）（</w:t>
      </w:r>
      <w:r>
        <w:rPr>
          <w:rFonts w:hint="eastAsia" w:ascii="仿宋" w:hAnsi="仿宋" w:eastAsia="仿宋" w:cs="仿宋"/>
          <w:color w:val="auto"/>
          <w:sz w:val="24"/>
          <w:szCs w:val="24"/>
          <w:highlight w:val="none"/>
        </w:rPr>
        <w:t>项目编号</w:t>
      </w:r>
      <w:r>
        <w:rPr>
          <w:rFonts w:hint="eastAsia" w:ascii="仿宋" w:hAnsi="仿宋" w:eastAsia="仿宋" w:cs="仿宋"/>
          <w:color w:val="auto"/>
          <w:spacing w:val="-27"/>
          <w:sz w:val="24"/>
          <w:szCs w:val="24"/>
          <w:highlight w:val="none"/>
        </w:rPr>
        <w:t>）（</w:t>
      </w:r>
      <w:r>
        <w:rPr>
          <w:rFonts w:hint="eastAsia" w:ascii="仿宋" w:hAnsi="仿宋" w:eastAsia="仿宋" w:cs="仿宋"/>
          <w:color w:val="auto"/>
          <w:sz w:val="24"/>
          <w:szCs w:val="24"/>
          <w:highlight w:val="none"/>
          <w:lang w:eastAsia="zh-CN"/>
        </w:rPr>
        <w:t>标项</w:t>
      </w:r>
      <w:r>
        <w:rPr>
          <w:rFonts w:hint="eastAsia" w:ascii="仿宋" w:hAnsi="仿宋" w:eastAsia="仿宋" w:cs="仿宋"/>
          <w:color w:val="auto"/>
          <w:sz w:val="24"/>
          <w:szCs w:val="24"/>
          <w:highlight w:val="none"/>
        </w:rPr>
        <w:t>）</w:t>
      </w:r>
      <w:r>
        <w:rPr>
          <w:rFonts w:hint="eastAsia" w:ascii="仿宋" w:hAnsi="仿宋" w:eastAsia="仿宋" w:cs="仿宋"/>
          <w:color w:val="auto"/>
          <w:spacing w:val="-1"/>
          <w:sz w:val="24"/>
          <w:szCs w:val="24"/>
          <w:highlight w:val="none"/>
        </w:rPr>
        <w:t>投标前三年</w:t>
      </w:r>
      <w:r>
        <w:rPr>
          <w:rFonts w:hint="eastAsia" w:ascii="仿宋" w:hAnsi="仿宋" w:eastAsia="仿宋" w:cs="仿宋"/>
          <w:color w:val="auto"/>
          <w:sz w:val="24"/>
          <w:szCs w:val="24"/>
          <w:highlight w:val="none"/>
        </w:rPr>
        <w:t>内，在采购及招投标活动中级经营活动中无重大违法违规记录</w:t>
      </w:r>
      <w:r>
        <w:rPr>
          <w:rFonts w:hint="eastAsia" w:ascii="仿宋" w:hAnsi="仿宋" w:eastAsia="仿宋" w:cs="仿宋"/>
          <w:color w:val="auto"/>
          <w:spacing w:val="-1"/>
          <w:sz w:val="24"/>
          <w:szCs w:val="24"/>
          <w:highlight w:val="none"/>
        </w:rPr>
        <w:t>（含较大数额罚</w:t>
      </w:r>
      <w:r>
        <w:rPr>
          <w:rFonts w:hint="eastAsia" w:ascii="仿宋" w:hAnsi="仿宋" w:eastAsia="仿宋" w:cs="仿宋"/>
          <w:color w:val="auto"/>
          <w:spacing w:val="-3"/>
          <w:sz w:val="24"/>
          <w:szCs w:val="24"/>
          <w:highlight w:val="none"/>
        </w:rPr>
        <w:t>款）。若我单位虚假声明，将自行承担由此带来的一切后果（如取消投标及中标</w:t>
      </w:r>
      <w:r>
        <w:rPr>
          <w:rFonts w:hint="eastAsia" w:ascii="仿宋" w:hAnsi="仿宋" w:eastAsia="仿宋" w:cs="仿宋"/>
          <w:color w:val="auto"/>
          <w:sz w:val="24"/>
          <w:szCs w:val="24"/>
          <w:highlight w:val="none"/>
        </w:rPr>
        <w:t>资格、不予退还投标保证金、法定时间内禁止参与采</w:t>
      </w:r>
      <w:r>
        <w:rPr>
          <w:rFonts w:hint="eastAsia" w:ascii="仿宋" w:hAnsi="仿宋" w:eastAsia="仿宋" w:cs="仿宋"/>
          <w:color w:val="auto"/>
          <w:spacing w:val="-1"/>
          <w:sz w:val="24"/>
          <w:szCs w:val="24"/>
          <w:highlight w:val="none"/>
        </w:rPr>
        <w:t>购投标活动）。</w:t>
      </w:r>
    </w:p>
    <w:p w14:paraId="6F64C89C">
      <w:pPr>
        <w:spacing w:line="284" w:lineRule="auto"/>
        <w:rPr>
          <w:rFonts w:hint="eastAsia" w:ascii="仿宋" w:hAnsi="仿宋" w:eastAsia="仿宋" w:cs="仿宋"/>
          <w:color w:val="auto"/>
          <w:sz w:val="21"/>
          <w:highlight w:val="none"/>
        </w:rPr>
      </w:pPr>
    </w:p>
    <w:p w14:paraId="17AF293D">
      <w:pPr>
        <w:spacing w:line="285" w:lineRule="auto"/>
        <w:rPr>
          <w:rFonts w:hint="eastAsia" w:ascii="仿宋" w:hAnsi="仿宋" w:eastAsia="仿宋" w:cs="仿宋"/>
          <w:color w:val="auto"/>
          <w:sz w:val="21"/>
          <w:highlight w:val="none"/>
        </w:rPr>
      </w:pPr>
    </w:p>
    <w:p w14:paraId="0576C63C">
      <w:pPr>
        <w:pStyle w:val="8"/>
        <w:spacing w:before="78" w:line="225" w:lineRule="auto"/>
        <w:ind w:left="98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投标人名称</w:t>
      </w:r>
      <w:r>
        <w:rPr>
          <w:rFonts w:hint="eastAsia" w:ascii="仿宋" w:hAnsi="仿宋" w:eastAsia="仿宋" w:cs="仿宋"/>
          <w:color w:val="auto"/>
          <w:spacing w:val="-12"/>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12"/>
          <w:sz w:val="24"/>
          <w:szCs w:val="24"/>
          <w:highlight w:val="none"/>
          <w:u w:val="single" w:color="000000"/>
          <w14:textOutline w14:w="4358" w14:cap="sq" w14:cmpd="sng">
            <w14:solidFill>
              <w14:srgbClr w14:val="000000"/>
            </w14:solidFill>
            <w14:prstDash w14:val="solid"/>
            <w14:bevel/>
          </w14:textOutline>
        </w:rPr>
        <w:t>（</w:t>
      </w:r>
      <w:r>
        <w:rPr>
          <w:rFonts w:hint="eastAsia" w:ascii="仿宋" w:hAnsi="仿宋" w:eastAsia="仿宋" w:cs="仿宋"/>
          <w:color w:val="auto"/>
          <w:spacing w:val="2"/>
          <w:sz w:val="24"/>
          <w:szCs w:val="24"/>
          <w:highlight w:val="none"/>
          <w:u w:val="single" w:color="000000"/>
          <w:lang w:eastAsia="zh-CN"/>
          <w14:textOutline w14:w="4358" w14:cap="sq" w14:cmpd="sng">
            <w14:solidFill>
              <w14:srgbClr w14:val="000000"/>
            </w14:solidFill>
            <w14:prstDash w14:val="solid"/>
            <w14:bevel/>
          </w14:textOutline>
        </w:rPr>
        <w:t>加盖公章</w:t>
      </w:r>
      <w:r>
        <w:rPr>
          <w:rFonts w:hint="eastAsia" w:ascii="仿宋" w:hAnsi="仿宋" w:eastAsia="仿宋" w:cs="仿宋"/>
          <w:color w:val="auto"/>
          <w:spacing w:val="2"/>
          <w:sz w:val="24"/>
          <w:szCs w:val="24"/>
          <w:highlight w:val="none"/>
          <w:u w:val="single" w:color="000000"/>
          <w14:textOutline w14:w="4358" w14:cap="sq" w14:cmpd="sng">
            <w14:solidFill>
              <w14:srgbClr w14:val="000000"/>
            </w14:solidFill>
            <w14:prstDash w14:val="solid"/>
            <w14:bevel/>
          </w14:textOutline>
        </w:rPr>
        <w:t>）</w:t>
      </w:r>
    </w:p>
    <w:p w14:paraId="15771EC9">
      <w:pPr>
        <w:pStyle w:val="8"/>
        <w:spacing w:before="252" w:line="419" w:lineRule="auto"/>
        <w:ind w:left="9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法定代表人或授权代表</w:t>
      </w: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pacing w:val="-5"/>
          <w:sz w:val="24"/>
          <w:szCs w:val="24"/>
          <w:highlight w:val="none"/>
          <w:u w:val="single" w:color="000000"/>
          <w14:textOutline w14:w="4358" w14:cap="sq" w14:cmpd="sng">
            <w14:solidFill>
              <w14:srgbClr w14:val="000000"/>
            </w14:solidFill>
            <w14:prstDash w14:val="solid"/>
            <w14:bevel/>
          </w14:textOutline>
        </w:rPr>
        <w:t>（</w:t>
      </w:r>
      <w:r>
        <w:rPr>
          <w:rFonts w:hint="eastAsia" w:ascii="仿宋" w:hAnsi="仿宋" w:eastAsia="仿宋" w:cs="仿宋"/>
          <w:color w:val="auto"/>
          <w:sz w:val="24"/>
          <w:szCs w:val="24"/>
          <w:highlight w:val="none"/>
          <w:u w:val="single" w:color="000000"/>
          <w14:textOutline w14:w="4358" w14:cap="sq" w14:cmpd="sng">
            <w14:solidFill>
              <w14:srgbClr w14:val="000000"/>
            </w14:solidFill>
            <w14:prstDash w14:val="solid"/>
            <w14:bevel/>
          </w14:textOutline>
        </w:rPr>
        <w:t>签字或加盖个人名章）</w:t>
      </w:r>
    </w:p>
    <w:p w14:paraId="76184E25">
      <w:pPr>
        <w:pStyle w:val="8"/>
        <w:spacing w:line="224" w:lineRule="auto"/>
        <w:ind w:left="98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投标日期：</w:t>
      </w:r>
      <w:r>
        <w:rPr>
          <w:rFonts w:hint="eastAsia" w:ascii="仿宋" w:hAnsi="仿宋" w:eastAsia="仿宋" w:cs="仿宋"/>
          <w:color w:val="auto"/>
          <w:spacing w:val="-3"/>
          <w:sz w:val="24"/>
          <w:szCs w:val="24"/>
          <w:highlight w:val="none"/>
          <w:u w:val="single" w:color="000000"/>
          <w14:textOutline w14:w="4358" w14:cap="sq" w14:cmpd="sng">
            <w14:solidFill>
              <w14:srgbClr w14:val="000000"/>
            </w14:solidFill>
            <w14:prstDash w14:val="solid"/>
            <w14:bevel/>
          </w14:textOutline>
        </w:rPr>
        <w:t>年月日</w:t>
      </w:r>
    </w:p>
    <w:p w14:paraId="58E4F376">
      <w:pPr>
        <w:rPr>
          <w:rFonts w:hint="eastAsia" w:ascii="仿宋" w:hAnsi="仿宋" w:eastAsia="仿宋" w:cs="仿宋"/>
          <w:color w:val="auto"/>
          <w:sz w:val="21"/>
          <w:highlight w:val="none"/>
        </w:rPr>
      </w:pPr>
      <w:r>
        <w:rPr>
          <w:rFonts w:hint="eastAsia" w:ascii="仿宋" w:hAnsi="仿宋" w:eastAsia="仿宋" w:cs="仿宋"/>
          <w:color w:val="auto"/>
          <w:sz w:val="21"/>
          <w:highlight w:val="none"/>
        </w:rPr>
        <w:br w:type="page"/>
      </w:r>
    </w:p>
    <w:p w14:paraId="1E704997">
      <w:pPr>
        <w:spacing w:line="362" w:lineRule="auto"/>
        <w:rPr>
          <w:rFonts w:hint="eastAsia" w:ascii="仿宋" w:hAnsi="仿宋" w:eastAsia="仿宋" w:cs="仿宋"/>
          <w:color w:val="auto"/>
          <w:sz w:val="21"/>
          <w:highlight w:val="none"/>
        </w:rPr>
      </w:pPr>
    </w:p>
    <w:p w14:paraId="05046035">
      <w:pPr>
        <w:pStyle w:val="8"/>
        <w:spacing w:before="79" w:line="223" w:lineRule="auto"/>
        <w:ind w:left="18"/>
        <w:jc w:val="center"/>
        <w:outlineLvl w:val="2"/>
        <w:rPr>
          <w:rFonts w:hint="eastAsia" w:ascii="仿宋" w:hAnsi="仿宋" w:eastAsia="仿宋" w:cs="仿宋"/>
          <w:color w:val="auto"/>
          <w:sz w:val="24"/>
          <w:szCs w:val="24"/>
          <w:highlight w:val="none"/>
        </w:rPr>
      </w:pPr>
      <w:bookmarkStart w:id="169" w:name="_Toc24560"/>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7、</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资格要求的信用记录截图（如中国政府采购网、信用中国等）</w:t>
      </w:r>
      <w:bookmarkEnd w:id="169"/>
    </w:p>
    <w:p w14:paraId="7C55FEC8">
      <w:pPr>
        <w:spacing w:line="223" w:lineRule="auto"/>
        <w:jc w:val="center"/>
        <w:rPr>
          <w:rFonts w:hint="eastAsia" w:ascii="仿宋" w:hAnsi="仿宋" w:eastAsia="仿宋" w:cs="仿宋"/>
          <w:color w:val="auto"/>
          <w:sz w:val="24"/>
          <w:szCs w:val="24"/>
          <w:highlight w:val="none"/>
        </w:rPr>
        <w:sectPr>
          <w:footerReference r:id="rId23" w:type="default"/>
          <w:pgSz w:w="11905" w:h="16838"/>
          <w:pgMar w:top="1440" w:right="1083" w:bottom="1440" w:left="1083" w:header="0" w:footer="1225" w:gutter="0"/>
          <w:pgNumType w:fmt="decimal"/>
          <w:cols w:space="0" w:num="1"/>
          <w:rtlGutter w:val="0"/>
          <w:docGrid w:linePitch="0" w:charSpace="0"/>
        </w:sectPr>
      </w:pPr>
    </w:p>
    <w:p w14:paraId="6A25996E">
      <w:pPr>
        <w:spacing w:line="315" w:lineRule="auto"/>
        <w:rPr>
          <w:rFonts w:hint="eastAsia" w:ascii="仿宋" w:hAnsi="仿宋" w:eastAsia="仿宋" w:cs="仿宋"/>
          <w:color w:val="auto"/>
          <w:sz w:val="21"/>
          <w:highlight w:val="none"/>
        </w:rPr>
      </w:pPr>
    </w:p>
    <w:p w14:paraId="714BE0C3">
      <w:pPr>
        <w:pStyle w:val="8"/>
        <w:spacing w:before="98" w:line="224" w:lineRule="auto"/>
        <w:jc w:val="center"/>
        <w:outlineLvl w:val="2"/>
        <w:rPr>
          <w:rFonts w:hint="eastAsia" w:ascii="仿宋" w:hAnsi="仿宋" w:eastAsia="仿宋" w:cs="仿宋"/>
          <w:color w:val="auto"/>
          <w:sz w:val="30"/>
          <w:szCs w:val="30"/>
          <w:highlight w:val="none"/>
        </w:rPr>
      </w:pPr>
      <w:bookmarkStart w:id="170" w:name="bookmark56"/>
      <w:bookmarkEnd w:id="170"/>
      <w:bookmarkStart w:id="171" w:name="_Toc32053"/>
      <w:r>
        <w:rPr>
          <w:rFonts w:hint="eastAsia" w:ascii="仿宋" w:hAnsi="仿宋" w:eastAsia="仿宋" w:cs="仿宋"/>
          <w:color w:val="auto"/>
          <w:sz w:val="30"/>
          <w:szCs w:val="30"/>
          <w:highlight w:val="none"/>
          <w:lang w:val="en-US" w:eastAsia="zh-CN"/>
          <w14:textOutline w14:w="5448" w14:cap="sq" w14:cmpd="sng">
            <w14:solidFill>
              <w14:srgbClr w14:val="000000"/>
            </w14:solidFill>
            <w14:prstDash w14:val="solid"/>
            <w14:bevel/>
          </w14:textOutline>
        </w:rPr>
        <w:t>8</w:t>
      </w:r>
      <w:r>
        <w:rPr>
          <w:rFonts w:hint="eastAsia" w:ascii="仿宋" w:hAnsi="仿宋" w:eastAsia="仿宋" w:cs="仿宋"/>
          <w:color w:val="auto"/>
          <w:sz w:val="30"/>
          <w:szCs w:val="30"/>
          <w:highlight w:val="none"/>
          <w14:textOutline w14:w="5448" w14:cap="sq" w14:cmpd="sng">
            <w14:solidFill>
              <w14:srgbClr w14:val="000000"/>
            </w14:solidFill>
            <w14:prstDash w14:val="solid"/>
            <w14:bevel/>
          </w14:textOutline>
        </w:rPr>
        <w:t>、反商业贿赂承诺书（格式自拟）</w:t>
      </w:r>
      <w:bookmarkEnd w:id="171"/>
    </w:p>
    <w:p w14:paraId="24303533">
      <w:pPr>
        <w:spacing w:line="224" w:lineRule="auto"/>
        <w:rPr>
          <w:rFonts w:hint="eastAsia" w:ascii="仿宋" w:hAnsi="仿宋" w:eastAsia="仿宋" w:cs="仿宋"/>
          <w:color w:val="auto"/>
          <w:sz w:val="30"/>
          <w:szCs w:val="30"/>
          <w:highlight w:val="none"/>
        </w:rPr>
      </w:pPr>
    </w:p>
    <w:p w14:paraId="148C1D8F">
      <w:pPr>
        <w:spacing w:line="224" w:lineRule="auto"/>
        <w:rPr>
          <w:rFonts w:hint="eastAsia" w:ascii="仿宋" w:hAnsi="仿宋" w:eastAsia="仿宋" w:cs="仿宋"/>
          <w:color w:val="auto"/>
          <w:sz w:val="30"/>
          <w:szCs w:val="30"/>
          <w:highlight w:val="none"/>
          <w:lang w:val="en-US" w:eastAsia="zh-CN"/>
        </w:rPr>
      </w:pPr>
    </w:p>
    <w:p w14:paraId="1CD50032">
      <w:pP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br w:type="page"/>
      </w:r>
    </w:p>
    <w:p w14:paraId="5A738AF9">
      <w:pPr>
        <w:pStyle w:val="15"/>
        <w:rPr>
          <w:rFonts w:hint="eastAsia" w:ascii="仿宋" w:hAnsi="仿宋" w:eastAsia="仿宋" w:cs="仿宋"/>
          <w:color w:val="auto"/>
          <w:highlight w:val="none"/>
          <w:lang w:val="en-US" w:eastAsia="zh-CN"/>
        </w:rPr>
      </w:pPr>
    </w:p>
    <w:p w14:paraId="794436B5">
      <w:pPr>
        <w:pStyle w:val="8"/>
        <w:spacing w:before="156" w:line="225" w:lineRule="auto"/>
        <w:jc w:val="center"/>
        <w:outlineLvl w:val="2"/>
        <w:rPr>
          <w:rFonts w:hint="eastAsia" w:ascii="仿宋" w:hAnsi="仿宋" w:eastAsia="仿宋" w:cs="仿宋"/>
          <w:color w:val="auto"/>
          <w:sz w:val="24"/>
          <w:szCs w:val="24"/>
          <w:highlight w:val="none"/>
        </w:rPr>
      </w:pPr>
      <w:bookmarkStart w:id="172" w:name="bookmark57"/>
      <w:bookmarkEnd w:id="172"/>
      <w:bookmarkStart w:id="173" w:name="_Toc27576"/>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9、</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投标人须知资料表要求的其他资格证明文件</w:t>
      </w:r>
      <w:bookmarkEnd w:id="173"/>
    </w:p>
    <w:p w14:paraId="3D2CE020">
      <w:pPr>
        <w:pStyle w:val="8"/>
        <w:spacing w:before="146" w:line="225" w:lineRule="auto"/>
        <w:ind w:left="5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说明：1.应提供</w:t>
      </w:r>
      <w:r>
        <w:rPr>
          <w:rFonts w:hint="eastAsia" w:ascii="仿宋" w:hAnsi="仿宋" w:eastAsia="仿宋" w:cs="仿宋"/>
          <w:color w:val="auto"/>
          <w:sz w:val="24"/>
          <w:szCs w:val="24"/>
          <w:highlight w:val="none"/>
          <w:u w:val="single" w:color="auto"/>
        </w:rPr>
        <w:t>投标人须知资料表</w:t>
      </w:r>
      <w:r>
        <w:rPr>
          <w:rFonts w:hint="eastAsia" w:ascii="仿宋" w:hAnsi="仿宋" w:eastAsia="仿宋" w:cs="仿宋"/>
          <w:color w:val="auto"/>
          <w:sz w:val="24"/>
          <w:szCs w:val="24"/>
          <w:highlight w:val="none"/>
        </w:rPr>
        <w:t>要求的其他</w:t>
      </w:r>
      <w:r>
        <w:rPr>
          <w:rFonts w:hint="eastAsia" w:ascii="仿宋" w:hAnsi="仿宋" w:eastAsia="仿宋" w:cs="仿宋"/>
          <w:color w:val="auto"/>
          <w:spacing w:val="-1"/>
          <w:sz w:val="24"/>
          <w:szCs w:val="24"/>
          <w:highlight w:val="none"/>
        </w:rPr>
        <w:t>资格证明文件。</w:t>
      </w:r>
    </w:p>
    <w:p w14:paraId="1343D0B3">
      <w:pPr>
        <w:pStyle w:val="8"/>
        <w:numPr>
          <w:ilvl w:val="0"/>
          <w:numId w:val="0"/>
        </w:numPr>
        <w:spacing w:before="145" w:line="339" w:lineRule="auto"/>
        <w:ind w:left="1279" w:left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val="en-US" w:eastAsia="zh-CN"/>
        </w:rPr>
        <w:t>2.</w:t>
      </w:r>
      <w:r>
        <w:rPr>
          <w:rFonts w:hint="eastAsia" w:ascii="仿宋" w:hAnsi="仿宋" w:eastAsia="仿宋" w:cs="仿宋"/>
          <w:color w:val="auto"/>
          <w:spacing w:val="-2"/>
          <w:sz w:val="24"/>
          <w:szCs w:val="24"/>
          <w:highlight w:val="none"/>
        </w:rPr>
        <w:t>复印件上应加盖本单位章（自然人投标</w:t>
      </w:r>
      <w:r>
        <w:rPr>
          <w:rFonts w:hint="eastAsia" w:ascii="仿宋" w:hAnsi="仿宋" w:eastAsia="仿宋" w:cs="仿宋"/>
          <w:color w:val="auto"/>
          <w:spacing w:val="-3"/>
          <w:sz w:val="24"/>
          <w:szCs w:val="24"/>
          <w:highlight w:val="none"/>
        </w:rPr>
        <w:t>的无需盖章，需要签字）。</w:t>
      </w:r>
    </w:p>
    <w:p w14:paraId="2C4F0DD0">
      <w:pPr>
        <w:pStyle w:val="8"/>
        <w:numPr>
          <w:ilvl w:val="0"/>
          <w:numId w:val="0"/>
        </w:numPr>
        <w:spacing w:before="145" w:line="339" w:lineRule="auto"/>
        <w:ind w:left="1279" w:leftChars="0"/>
        <w:jc w:val="both"/>
        <w:outlineLvl w:val="2"/>
        <w:rPr>
          <w:rFonts w:hint="eastAsia" w:ascii="仿宋" w:hAnsi="仿宋" w:eastAsia="仿宋" w:cs="仿宋"/>
          <w:color w:val="auto"/>
          <w:sz w:val="24"/>
          <w:szCs w:val="24"/>
          <w:highlight w:val="none"/>
        </w:rPr>
      </w:pPr>
      <w:bookmarkStart w:id="174" w:name="_Toc12631"/>
      <w:r>
        <w:rPr>
          <w:rFonts w:hint="eastAsia" w:ascii="仿宋" w:hAnsi="仿宋" w:eastAsia="仿宋" w:cs="仿宋"/>
          <w:color w:val="auto"/>
          <w:spacing w:val="-3"/>
          <w:sz w:val="24"/>
          <w:szCs w:val="24"/>
          <w:highlight w:val="none"/>
          <w:lang w:val="en-US" w:eastAsia="zh-CN"/>
        </w:rPr>
        <w:t>3.</w:t>
      </w:r>
      <w:r>
        <w:rPr>
          <w:rFonts w:hint="eastAsia" w:ascii="仿宋" w:hAnsi="仿宋" w:eastAsia="仿宋" w:cs="仿宋"/>
          <w:color w:val="auto"/>
          <w:spacing w:val="-3"/>
          <w:sz w:val="24"/>
          <w:szCs w:val="24"/>
          <w:highlight w:val="none"/>
        </w:rPr>
        <w:t>如果是联合体投标，联合体各方需提供的满</w:t>
      </w:r>
      <w:r>
        <w:rPr>
          <w:rFonts w:hint="eastAsia" w:ascii="仿宋" w:hAnsi="仿宋" w:eastAsia="仿宋" w:cs="仿宋"/>
          <w:color w:val="auto"/>
          <w:spacing w:val="-4"/>
          <w:sz w:val="24"/>
          <w:szCs w:val="24"/>
          <w:highlight w:val="none"/>
        </w:rPr>
        <w:t>足招标文件要求的其</w:t>
      </w:r>
      <w:bookmarkEnd w:id="174"/>
    </w:p>
    <w:p w14:paraId="75422E19">
      <w:pPr>
        <w:pStyle w:val="8"/>
        <w:spacing w:before="1" w:line="225" w:lineRule="auto"/>
        <w:ind w:left="128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他资格证明文件。</w:t>
      </w:r>
    </w:p>
    <w:p w14:paraId="1B16EF3A">
      <w:pPr>
        <w:spacing w:line="225" w:lineRule="auto"/>
        <w:rPr>
          <w:rFonts w:hint="eastAsia" w:ascii="仿宋" w:hAnsi="仿宋" w:eastAsia="仿宋" w:cs="仿宋"/>
          <w:color w:val="auto"/>
          <w:sz w:val="24"/>
          <w:szCs w:val="24"/>
          <w:highlight w:val="none"/>
        </w:rPr>
        <w:sectPr>
          <w:footerReference r:id="rId24" w:type="default"/>
          <w:pgSz w:w="11905" w:h="16838"/>
          <w:pgMar w:top="1440" w:right="1083" w:bottom="1440" w:left="1083" w:header="0" w:footer="1225" w:gutter="0"/>
          <w:pgNumType w:fmt="decimal"/>
          <w:cols w:space="0" w:num="1"/>
          <w:rtlGutter w:val="0"/>
          <w:docGrid w:linePitch="0" w:charSpace="0"/>
        </w:sectPr>
      </w:pPr>
    </w:p>
    <w:p w14:paraId="02CAFAF9">
      <w:pPr>
        <w:pStyle w:val="8"/>
        <w:spacing w:before="156" w:line="224" w:lineRule="auto"/>
        <w:jc w:val="center"/>
        <w:outlineLvl w:val="1"/>
        <w:rPr>
          <w:rFonts w:hint="eastAsia" w:ascii="仿宋" w:hAnsi="仿宋" w:eastAsia="仿宋" w:cs="仿宋"/>
          <w:color w:val="auto"/>
          <w:sz w:val="24"/>
          <w:szCs w:val="24"/>
          <w:highlight w:val="none"/>
        </w:rPr>
      </w:pPr>
      <w:bookmarkStart w:id="175" w:name="bookmark59"/>
      <w:bookmarkEnd w:id="175"/>
      <w:bookmarkStart w:id="176" w:name="bookmark58"/>
      <w:bookmarkEnd w:id="176"/>
      <w:bookmarkStart w:id="177" w:name="_Toc22257"/>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第二部分商务及技术文件</w:t>
      </w:r>
      <w:bookmarkEnd w:id="177"/>
    </w:p>
    <w:p w14:paraId="7CB1CB0D">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1、投标书（投标文件格式五）</w:t>
      </w:r>
    </w:p>
    <w:p w14:paraId="5E6DB237">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2、投标保证金缴纳凭证复印件或投标担保函（见投标文件格式六）</w:t>
      </w:r>
    </w:p>
    <w:p w14:paraId="6413A4AD">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3、投标分项报价表（投标文件格式七）</w:t>
      </w:r>
    </w:p>
    <w:p w14:paraId="225C6E86">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4、货物说明一览表（投标文件格式八）</w:t>
      </w:r>
    </w:p>
    <w:p w14:paraId="1FA4BA29">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5、技术规格偏离表（投标文件格式九）</w:t>
      </w:r>
    </w:p>
    <w:p w14:paraId="433DFCA2">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6、商务条款偏离表（投标文件格式十）</w:t>
      </w:r>
    </w:p>
    <w:p w14:paraId="73BBFDF5">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7、符合《政府采购促进中小企业发展暂行办法》、价格扣减条件的投标人须提交</w:t>
      </w:r>
    </w:p>
    <w:p w14:paraId="6D3014AB">
      <w:pPr>
        <w:pStyle w:val="8"/>
        <w:spacing w:before="147" w:line="227" w:lineRule="auto"/>
        <w:ind w:left="573"/>
        <w:outlineLvl w:val="2"/>
        <w:rPr>
          <w:rFonts w:hint="eastAsia" w:ascii="仿宋" w:hAnsi="仿宋" w:eastAsia="仿宋" w:cs="仿宋"/>
          <w:color w:val="auto"/>
          <w:spacing w:val="-2"/>
          <w:sz w:val="24"/>
          <w:szCs w:val="24"/>
          <w:highlight w:val="none"/>
        </w:rPr>
      </w:pPr>
      <w:bookmarkStart w:id="178" w:name="_Toc1842"/>
      <w:r>
        <w:rPr>
          <w:rFonts w:hint="eastAsia" w:ascii="仿宋" w:hAnsi="仿宋" w:eastAsia="仿宋" w:cs="仿宋"/>
          <w:color w:val="auto"/>
          <w:spacing w:val="-2"/>
          <w:sz w:val="24"/>
          <w:szCs w:val="24"/>
          <w:highlight w:val="none"/>
        </w:rPr>
        <w:t>7-1《中小企业声明函》（投标文件格式十一）</w:t>
      </w:r>
      <w:bookmarkEnd w:id="178"/>
    </w:p>
    <w:p w14:paraId="20DF55F9">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8、</w:t>
      </w:r>
      <w:r>
        <w:rPr>
          <w:rFonts w:hint="eastAsia" w:ascii="仿宋" w:hAnsi="仿宋" w:eastAsia="仿宋" w:cs="仿宋"/>
          <w:color w:val="auto"/>
          <w:spacing w:val="-2"/>
          <w:sz w:val="24"/>
          <w:szCs w:val="24"/>
          <w:highlight w:val="none"/>
        </w:rPr>
        <w:t>投标人关联单位的说明（格式自拟）</w:t>
      </w:r>
    </w:p>
    <w:p w14:paraId="6BE14C24">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9、人员配备一览表</w:t>
      </w:r>
    </w:p>
    <w:p w14:paraId="6F7BAD7C">
      <w:pPr>
        <w:pStyle w:val="8"/>
        <w:spacing w:before="147" w:line="227" w:lineRule="auto"/>
        <w:ind w:left="573"/>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10</w:t>
      </w:r>
      <w:r>
        <w:rPr>
          <w:rFonts w:hint="eastAsia" w:ascii="仿宋" w:hAnsi="仿宋" w:eastAsia="仿宋" w:cs="仿宋"/>
          <w:color w:val="auto"/>
          <w:spacing w:val="-2"/>
          <w:sz w:val="24"/>
          <w:szCs w:val="24"/>
          <w:highlight w:val="none"/>
        </w:rPr>
        <w:t>、投标文件还应包括投标人须知第10条的所有技术文件</w:t>
      </w:r>
    </w:p>
    <w:p w14:paraId="101771CF">
      <w:pPr>
        <w:pStyle w:val="8"/>
        <w:spacing w:before="147" w:line="227" w:lineRule="auto"/>
        <w:ind w:left="573"/>
        <w:rPr>
          <w:rFonts w:hint="eastAsia" w:ascii="仿宋" w:hAnsi="仿宋" w:eastAsia="仿宋" w:cs="仿宋"/>
          <w:color w:val="auto"/>
          <w:spacing w:val="-2"/>
          <w:sz w:val="24"/>
          <w:szCs w:val="24"/>
          <w:highlight w:val="none"/>
        </w:rPr>
        <w:sectPr>
          <w:footerReference r:id="rId25" w:type="default"/>
          <w:pgSz w:w="11905" w:h="16838"/>
          <w:pgMar w:top="1440" w:right="1083" w:bottom="1440" w:left="1083" w:header="0" w:footer="1225" w:gutter="0"/>
          <w:pgNumType w:fmt="decimal"/>
          <w:cols w:space="0" w:num="1"/>
          <w:rtlGutter w:val="0"/>
          <w:docGrid w:linePitch="0" w:charSpace="0"/>
        </w:sectPr>
      </w:pPr>
    </w:p>
    <w:p w14:paraId="01F89950">
      <w:pPr>
        <w:pStyle w:val="8"/>
        <w:spacing w:before="156" w:line="227" w:lineRule="auto"/>
        <w:jc w:val="center"/>
        <w:outlineLvl w:val="2"/>
        <w:rPr>
          <w:rFonts w:hint="eastAsia" w:ascii="仿宋" w:hAnsi="仿宋" w:eastAsia="仿宋" w:cs="仿宋"/>
          <w:color w:val="auto"/>
          <w:sz w:val="24"/>
          <w:szCs w:val="24"/>
          <w:highlight w:val="none"/>
        </w:rPr>
      </w:pPr>
      <w:bookmarkStart w:id="179" w:name="bookmark60"/>
      <w:bookmarkEnd w:id="179"/>
      <w:bookmarkStart w:id="180" w:name="_Toc17911"/>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1投标书（投标文件格式五</w:t>
      </w:r>
      <w:r>
        <w:rPr>
          <w:rFonts w:hint="eastAsia" w:ascii="仿宋" w:hAnsi="仿宋" w:eastAsia="仿宋" w:cs="仿宋"/>
          <w:color w:val="auto"/>
          <w:spacing w:val="-1"/>
          <w:sz w:val="24"/>
          <w:szCs w:val="24"/>
          <w:highlight w:val="none"/>
        </w:rPr>
        <w:t>）</w:t>
      </w:r>
      <w:bookmarkEnd w:id="180"/>
    </w:p>
    <w:p w14:paraId="3621FD8D">
      <w:pPr>
        <w:pStyle w:val="8"/>
        <w:spacing w:before="144" w:line="227" w:lineRule="auto"/>
        <w:ind w:left="2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致：</w:t>
      </w:r>
      <w:r>
        <w:rPr>
          <w:rFonts w:hint="eastAsia" w:ascii="仿宋" w:hAnsi="仿宋" w:eastAsia="仿宋" w:cs="仿宋"/>
          <w:color w:val="auto"/>
          <w:spacing w:val="-2"/>
          <w:sz w:val="24"/>
          <w:szCs w:val="24"/>
          <w:highlight w:val="none"/>
          <w:u w:val="single" w:color="auto"/>
        </w:rPr>
        <w:t>采购代理机构</w:t>
      </w:r>
    </w:p>
    <w:p w14:paraId="52C00706">
      <w:pPr>
        <w:pStyle w:val="8"/>
        <w:spacing w:before="145" w:line="338" w:lineRule="auto"/>
        <w:ind w:left="20" w:right="84" w:firstLine="715"/>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根据贵方(</w:t>
      </w:r>
      <w:r>
        <w:rPr>
          <w:rFonts w:hint="eastAsia" w:ascii="仿宋" w:hAnsi="仿宋" w:eastAsia="仿宋" w:cs="仿宋"/>
          <w:color w:val="auto"/>
          <w:spacing w:val="1"/>
          <w:sz w:val="24"/>
          <w:szCs w:val="24"/>
          <w:highlight w:val="none"/>
          <w:u w:val="single" w:color="auto"/>
        </w:rPr>
        <w:t>项目名称</w:t>
      </w:r>
      <w:r>
        <w:rPr>
          <w:rFonts w:hint="eastAsia" w:ascii="仿宋" w:hAnsi="仿宋" w:eastAsia="仿宋" w:cs="仿宋"/>
          <w:color w:val="auto"/>
          <w:spacing w:val="1"/>
          <w:sz w:val="24"/>
          <w:szCs w:val="24"/>
          <w:highlight w:val="none"/>
        </w:rPr>
        <w:t>)项目的投标邀请(</w:t>
      </w:r>
      <w:r>
        <w:rPr>
          <w:rFonts w:hint="eastAsia" w:ascii="仿宋" w:hAnsi="仿宋" w:eastAsia="仿宋" w:cs="仿宋"/>
          <w:color w:val="auto"/>
          <w:spacing w:val="1"/>
          <w:sz w:val="24"/>
          <w:szCs w:val="24"/>
          <w:highlight w:val="none"/>
          <w:u w:val="single" w:color="auto"/>
          <w:lang w:eastAsia="zh-CN"/>
        </w:rPr>
        <w:t>项目编号</w:t>
      </w:r>
      <w:r>
        <w:rPr>
          <w:rFonts w:hint="eastAsia" w:ascii="仿宋" w:hAnsi="仿宋" w:eastAsia="仿宋" w:cs="仿宋"/>
          <w:color w:val="auto"/>
          <w:spacing w:val="1"/>
          <w:sz w:val="24"/>
          <w:szCs w:val="24"/>
          <w:highlight w:val="none"/>
          <w:u w:val="single"/>
        </w:rPr>
        <w:t>)</w:t>
      </w:r>
      <w:r>
        <w:rPr>
          <w:rFonts w:hint="eastAsia" w:ascii="仿宋" w:hAnsi="仿宋" w:eastAsia="仿宋" w:cs="仿宋"/>
          <w:color w:val="auto"/>
          <w:spacing w:val="1"/>
          <w:sz w:val="24"/>
          <w:szCs w:val="24"/>
          <w:highlight w:val="none"/>
          <w:u w:val="single"/>
          <w:lang w:eastAsia="zh-CN"/>
        </w:rPr>
        <w:t>（</w:t>
      </w:r>
      <w:r>
        <w:rPr>
          <w:rFonts w:hint="eastAsia" w:ascii="仿宋" w:hAnsi="仿宋" w:eastAsia="仿宋" w:cs="仿宋"/>
          <w:color w:val="auto"/>
          <w:spacing w:val="1"/>
          <w:sz w:val="24"/>
          <w:szCs w:val="24"/>
          <w:highlight w:val="none"/>
          <w:u w:val="single"/>
          <w:lang w:val="en-US" w:eastAsia="zh-CN"/>
        </w:rPr>
        <w:t>标项</w:t>
      </w:r>
      <w:r>
        <w:rPr>
          <w:rFonts w:hint="eastAsia" w:ascii="仿宋" w:hAnsi="仿宋" w:eastAsia="仿宋" w:cs="仿宋"/>
          <w:color w:val="auto"/>
          <w:spacing w:val="1"/>
          <w:sz w:val="24"/>
          <w:szCs w:val="24"/>
          <w:highlight w:val="none"/>
          <w:u w:val="single"/>
          <w:lang w:eastAsia="zh-CN"/>
        </w:rPr>
        <w:t>）</w:t>
      </w:r>
      <w:r>
        <w:rPr>
          <w:rFonts w:hint="eastAsia" w:ascii="仿宋" w:hAnsi="仿宋" w:eastAsia="仿宋" w:cs="仿宋"/>
          <w:color w:val="auto"/>
          <w:spacing w:val="1"/>
          <w:sz w:val="24"/>
          <w:szCs w:val="24"/>
          <w:highlight w:val="none"/>
        </w:rPr>
        <w:t>,签字</w:t>
      </w:r>
      <w:r>
        <w:rPr>
          <w:rFonts w:hint="eastAsia" w:ascii="仿宋" w:hAnsi="仿宋" w:eastAsia="仿宋" w:cs="仿宋"/>
          <w:color w:val="auto"/>
          <w:sz w:val="24"/>
          <w:szCs w:val="24"/>
          <w:highlight w:val="none"/>
        </w:rPr>
        <w:t>代表(</w:t>
      </w:r>
      <w:r>
        <w:rPr>
          <w:rFonts w:hint="eastAsia" w:ascii="仿宋" w:hAnsi="仿宋" w:eastAsia="仿宋" w:cs="仿宋"/>
          <w:color w:val="auto"/>
          <w:sz w:val="24"/>
          <w:szCs w:val="24"/>
          <w:highlight w:val="none"/>
          <w:u w:val="single" w:color="auto"/>
        </w:rPr>
        <w:t>姓名、职务</w:t>
      </w:r>
      <w:r>
        <w:rPr>
          <w:rFonts w:hint="eastAsia" w:ascii="仿宋" w:hAnsi="仿宋" w:eastAsia="仿宋" w:cs="仿宋"/>
          <w:color w:val="auto"/>
          <w:sz w:val="24"/>
          <w:szCs w:val="24"/>
          <w:highlight w:val="none"/>
        </w:rPr>
        <w:t>)</w:t>
      </w:r>
      <w:r>
        <w:rPr>
          <w:rFonts w:hint="eastAsia" w:ascii="仿宋" w:hAnsi="仿宋" w:eastAsia="仿宋" w:cs="仿宋"/>
          <w:color w:val="auto"/>
          <w:spacing w:val="-3"/>
          <w:sz w:val="24"/>
          <w:szCs w:val="24"/>
          <w:highlight w:val="none"/>
        </w:rPr>
        <w:t>经正式授权并代表投标人（</w:t>
      </w:r>
      <w:r>
        <w:rPr>
          <w:rFonts w:hint="eastAsia" w:ascii="仿宋" w:hAnsi="仿宋" w:eastAsia="仿宋" w:cs="仿宋"/>
          <w:color w:val="auto"/>
          <w:spacing w:val="-3"/>
          <w:sz w:val="24"/>
          <w:szCs w:val="24"/>
          <w:highlight w:val="none"/>
          <w:u w:val="single" w:color="auto"/>
        </w:rPr>
        <w:t>名称、地址</w:t>
      </w:r>
      <w:r>
        <w:rPr>
          <w:rFonts w:hint="eastAsia" w:ascii="仿宋" w:hAnsi="仿宋" w:eastAsia="仿宋" w:cs="仿宋"/>
          <w:color w:val="auto"/>
          <w:spacing w:val="-3"/>
          <w:sz w:val="24"/>
          <w:szCs w:val="24"/>
          <w:highlight w:val="none"/>
        </w:rPr>
        <w:t>）提交下述文件正本份、副本份及电子文档份，并以</w:t>
      </w:r>
      <w:r>
        <w:rPr>
          <w:color w:val="auto"/>
          <w:spacing w:val="-3"/>
          <w:sz w:val="24"/>
          <w:szCs w:val="24"/>
          <w:highlight w:val="none"/>
          <w:u w:val="single" w:color="auto"/>
        </w:rPr>
        <w:t xml:space="preserve">         </w:t>
      </w:r>
      <w:r>
        <w:rPr>
          <w:color w:val="auto"/>
          <w:spacing w:val="-103"/>
          <w:sz w:val="24"/>
          <w:szCs w:val="24"/>
          <w:highlight w:val="none"/>
        </w:rPr>
        <w:t xml:space="preserve"> </w:t>
      </w:r>
      <w:r>
        <w:rPr>
          <w:rFonts w:hint="eastAsia" w:ascii="仿宋" w:hAnsi="仿宋" w:eastAsia="仿宋" w:cs="仿宋"/>
          <w:color w:val="auto"/>
          <w:spacing w:val="-3"/>
          <w:sz w:val="24"/>
          <w:szCs w:val="24"/>
          <w:highlight w:val="none"/>
        </w:rPr>
        <w:t>形式出具的金额为人民币</w:t>
      </w:r>
      <w:r>
        <w:rPr>
          <w:color w:val="auto"/>
          <w:spacing w:val="-3"/>
          <w:sz w:val="24"/>
          <w:szCs w:val="24"/>
          <w:highlight w:val="none"/>
          <w:u w:val="single" w:color="auto"/>
        </w:rPr>
        <w:t xml:space="preserve">        </w:t>
      </w:r>
      <w:r>
        <w:rPr>
          <w:color w:val="auto"/>
          <w:spacing w:val="-98"/>
          <w:sz w:val="24"/>
          <w:szCs w:val="24"/>
          <w:highlight w:val="none"/>
        </w:rPr>
        <w:t xml:space="preserve"> </w:t>
      </w:r>
      <w:r>
        <w:rPr>
          <w:rFonts w:hint="eastAsia" w:ascii="仿宋" w:hAnsi="仿宋" w:eastAsia="仿宋" w:cs="仿宋"/>
          <w:color w:val="auto"/>
          <w:spacing w:val="-3"/>
          <w:sz w:val="24"/>
          <w:szCs w:val="24"/>
          <w:highlight w:val="none"/>
        </w:rPr>
        <w:t>元的投标</w:t>
      </w:r>
      <w:r>
        <w:rPr>
          <w:rFonts w:hint="eastAsia" w:ascii="仿宋" w:hAnsi="仿宋" w:eastAsia="仿宋" w:cs="仿宋"/>
          <w:color w:val="auto"/>
          <w:spacing w:val="-1"/>
          <w:sz w:val="24"/>
          <w:szCs w:val="24"/>
          <w:highlight w:val="none"/>
        </w:rPr>
        <w:t>保证金。</w:t>
      </w:r>
    </w:p>
    <w:p w14:paraId="362310AF">
      <w:pPr>
        <w:pStyle w:val="8"/>
        <w:spacing w:before="138" w:line="220" w:lineRule="auto"/>
        <w:ind w:left="55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据此，签字代表宣布同意如下：</w:t>
      </w:r>
    </w:p>
    <w:p w14:paraId="2423C86F">
      <w:pPr>
        <w:pStyle w:val="8"/>
        <w:spacing w:before="152" w:line="339" w:lineRule="auto"/>
        <w:ind w:left="24" w:firstLine="1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（1）附投标价格表中规定的应提供货物的投</w:t>
      </w:r>
      <w:r>
        <w:rPr>
          <w:rFonts w:hint="eastAsia" w:ascii="仿宋" w:hAnsi="仿宋" w:eastAsia="仿宋" w:cs="仿宋"/>
          <w:color w:val="auto"/>
          <w:spacing w:val="-1"/>
          <w:sz w:val="24"/>
          <w:szCs w:val="24"/>
          <w:highlight w:val="none"/>
        </w:rPr>
        <w:t>标总价详见开标一览表，</w:t>
      </w:r>
      <w:r>
        <w:rPr>
          <w:rFonts w:hint="eastAsia" w:ascii="仿宋" w:hAnsi="仿宋" w:eastAsia="仿宋" w:cs="仿宋"/>
          <w:color w:val="auto"/>
          <w:spacing w:val="-1"/>
          <w:sz w:val="24"/>
          <w:szCs w:val="24"/>
          <w:highlight w:val="none"/>
          <w:u w:val="none" w:color="auto"/>
        </w:rPr>
        <w:t>其中由小型和</w:t>
      </w:r>
      <w:r>
        <w:rPr>
          <w:rFonts w:hint="eastAsia" w:ascii="仿宋" w:hAnsi="仿宋" w:eastAsia="仿宋" w:cs="仿宋"/>
          <w:color w:val="auto"/>
          <w:spacing w:val="-1"/>
          <w:sz w:val="24"/>
          <w:szCs w:val="24"/>
          <w:highlight w:val="none"/>
        </w:rPr>
        <w:t>微型企业制造产品的价格为</w:t>
      </w:r>
      <w:r>
        <w:rPr>
          <w:rFonts w:hint="eastAsia" w:ascii="仿宋" w:hAnsi="仿宋" w:eastAsia="仿宋" w:cs="仿宋"/>
          <w:color w:val="auto"/>
          <w:spacing w:val="-1"/>
          <w:sz w:val="24"/>
          <w:szCs w:val="24"/>
          <w:highlight w:val="none"/>
          <w:u w:val="single" w:color="auto"/>
        </w:rPr>
        <w:t>（用文字和数字表示</w:t>
      </w:r>
      <w:r>
        <w:rPr>
          <w:rFonts w:hint="eastAsia" w:ascii="仿宋" w:hAnsi="仿宋" w:eastAsia="仿宋" w:cs="仿宋"/>
          <w:color w:val="auto"/>
          <w:spacing w:val="-48"/>
          <w:sz w:val="24"/>
          <w:szCs w:val="24"/>
          <w:highlight w:val="none"/>
          <w:u w:val="single" w:color="auto"/>
        </w:rPr>
        <w:t>），</w:t>
      </w:r>
      <w:r>
        <w:rPr>
          <w:rFonts w:hint="eastAsia" w:ascii="仿宋" w:hAnsi="仿宋" w:eastAsia="仿宋" w:cs="仿宋"/>
          <w:color w:val="auto"/>
          <w:spacing w:val="-1"/>
          <w:sz w:val="24"/>
          <w:szCs w:val="24"/>
          <w:highlight w:val="none"/>
          <w:u w:val="single" w:color="auto"/>
        </w:rPr>
        <w:t>占投标总价</w:t>
      </w:r>
      <w:r>
        <w:rPr>
          <w:rFonts w:hint="eastAsia" w:ascii="仿宋" w:hAnsi="仿宋" w:eastAsia="仿宋" w:cs="仿宋"/>
          <w:color w:val="auto"/>
          <w:spacing w:val="-2"/>
          <w:sz w:val="24"/>
          <w:szCs w:val="24"/>
          <w:highlight w:val="none"/>
          <w:u w:val="single" w:color="auto"/>
        </w:rPr>
        <w:t>%</w:t>
      </w:r>
      <w:r>
        <w:rPr>
          <w:rFonts w:hint="eastAsia" w:ascii="仿宋" w:hAnsi="仿宋" w:eastAsia="仿宋" w:cs="仿宋"/>
          <w:color w:val="auto"/>
          <w:spacing w:val="-2"/>
          <w:sz w:val="24"/>
          <w:szCs w:val="24"/>
          <w:highlight w:val="none"/>
        </w:rPr>
        <w:t>。</w:t>
      </w:r>
    </w:p>
    <w:p w14:paraId="6D7FE66E">
      <w:pPr>
        <w:pStyle w:val="8"/>
        <w:spacing w:before="1" w:line="222" w:lineRule="auto"/>
        <w:ind w:left="4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（2）本投标有效期为自投标截止之日起</w:t>
      </w:r>
      <w:r>
        <w:rPr>
          <w:color w:val="auto"/>
          <w:spacing w:val="-3"/>
          <w:sz w:val="24"/>
          <w:szCs w:val="24"/>
          <w:highlight w:val="none"/>
          <w:u w:val="single" w:color="auto"/>
        </w:rPr>
        <w:t xml:space="preserve">        </w:t>
      </w:r>
      <w:r>
        <w:rPr>
          <w:color w:val="auto"/>
          <w:spacing w:val="-98"/>
          <w:sz w:val="24"/>
          <w:szCs w:val="24"/>
          <w:highlight w:val="none"/>
        </w:rPr>
        <w:t xml:space="preserve"> </w:t>
      </w:r>
      <w:r>
        <w:rPr>
          <w:rFonts w:hint="eastAsia" w:ascii="仿宋" w:hAnsi="仿宋" w:eastAsia="仿宋" w:cs="仿宋"/>
          <w:color w:val="auto"/>
          <w:spacing w:val="-1"/>
          <w:sz w:val="24"/>
          <w:szCs w:val="24"/>
          <w:highlight w:val="none"/>
        </w:rPr>
        <w:t>个</w:t>
      </w:r>
      <w:r>
        <w:rPr>
          <w:rFonts w:hint="eastAsia" w:ascii="仿宋" w:hAnsi="仿宋" w:eastAsia="仿宋" w:cs="仿宋"/>
          <w:color w:val="auto"/>
          <w:spacing w:val="-2"/>
          <w:sz w:val="24"/>
          <w:szCs w:val="24"/>
          <w:highlight w:val="none"/>
        </w:rPr>
        <w:t>日历日。</w:t>
      </w:r>
    </w:p>
    <w:p w14:paraId="6881807D">
      <w:pPr>
        <w:pStyle w:val="8"/>
        <w:spacing w:before="152" w:line="338" w:lineRule="auto"/>
        <w:ind w:left="35" w:firstLine="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（3）联合体中的大中型企业和其他自然人、</w:t>
      </w:r>
      <w:r>
        <w:rPr>
          <w:rFonts w:hint="eastAsia" w:ascii="仿宋" w:hAnsi="仿宋" w:eastAsia="仿宋" w:cs="仿宋"/>
          <w:color w:val="auto"/>
          <w:spacing w:val="-1"/>
          <w:sz w:val="24"/>
          <w:szCs w:val="24"/>
          <w:highlight w:val="none"/>
        </w:rPr>
        <w:t>法人或者非法人组织，与联合体中</w:t>
      </w:r>
      <w:r>
        <w:rPr>
          <w:rFonts w:hint="eastAsia" w:ascii="仿宋" w:hAnsi="仿宋" w:eastAsia="仿宋" w:cs="仿宋"/>
          <w:color w:val="auto"/>
          <w:spacing w:val="-5"/>
          <w:sz w:val="24"/>
          <w:szCs w:val="24"/>
          <w:highlight w:val="none"/>
        </w:rPr>
        <w:t>的小型、微型企业之间</w:t>
      </w:r>
      <w:r>
        <w:rPr>
          <w:color w:val="auto"/>
          <w:spacing w:val="-3"/>
          <w:sz w:val="24"/>
          <w:szCs w:val="24"/>
          <w:highlight w:val="none"/>
          <w:u w:val="single" w:color="auto"/>
        </w:rPr>
        <w:t xml:space="preserve">        </w:t>
      </w:r>
      <w:r>
        <w:rPr>
          <w:color w:val="auto"/>
          <w:spacing w:val="-98"/>
          <w:sz w:val="24"/>
          <w:szCs w:val="24"/>
          <w:highlight w:val="none"/>
        </w:rPr>
        <w:t xml:space="preserve"> </w:t>
      </w:r>
      <w:r>
        <w:rPr>
          <w:rFonts w:hint="eastAsia" w:ascii="仿宋" w:hAnsi="仿宋" w:eastAsia="仿宋" w:cs="仿宋"/>
          <w:color w:val="auto"/>
          <w:spacing w:val="-5"/>
          <w:sz w:val="24"/>
          <w:szCs w:val="24"/>
          <w:highlight w:val="none"/>
          <w:u w:val="none" w:color="auto"/>
        </w:rPr>
        <w:t>（</w:t>
      </w:r>
      <w:r>
        <w:rPr>
          <w:rFonts w:hint="eastAsia" w:ascii="仿宋" w:hAnsi="仿宋" w:eastAsia="仿宋" w:cs="仿宋"/>
          <w:color w:val="auto"/>
          <w:spacing w:val="-5"/>
          <w:sz w:val="24"/>
          <w:szCs w:val="24"/>
          <w:highlight w:val="none"/>
        </w:rPr>
        <w:t>存在、不存在）投资关系（如果是联合体的话）。</w:t>
      </w:r>
    </w:p>
    <w:p w14:paraId="385C2550">
      <w:pPr>
        <w:pStyle w:val="8"/>
        <w:spacing w:before="152" w:line="338" w:lineRule="auto"/>
        <w:ind w:left="35" w:firstLine="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（4）已详细审查全部招标文件，包括所有补充通知（如果有的话</w:t>
      </w:r>
      <w:r>
        <w:rPr>
          <w:rFonts w:hint="eastAsia" w:ascii="仿宋" w:hAnsi="仿宋" w:eastAsia="仿宋" w:cs="仿宋"/>
          <w:color w:val="auto"/>
          <w:spacing w:val="19"/>
          <w:sz w:val="24"/>
          <w:szCs w:val="24"/>
          <w:highlight w:val="none"/>
        </w:rPr>
        <w:t>），</w:t>
      </w:r>
      <w:r>
        <w:rPr>
          <w:rFonts w:hint="eastAsia" w:ascii="仿宋" w:hAnsi="仿宋" w:eastAsia="仿宋" w:cs="仿宋"/>
          <w:color w:val="auto"/>
          <w:spacing w:val="-1"/>
          <w:sz w:val="24"/>
          <w:szCs w:val="24"/>
          <w:highlight w:val="none"/>
        </w:rPr>
        <w:t>完全理解并同意放弃对这方面有不明、误解和质疑的权力。</w:t>
      </w:r>
    </w:p>
    <w:p w14:paraId="290CD436">
      <w:pPr>
        <w:pStyle w:val="8"/>
        <w:spacing w:before="150" w:line="220" w:lineRule="auto"/>
        <w:ind w:left="4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（5）在规定的开标时间后，遵守招标文件中有关保证金的</w:t>
      </w:r>
      <w:r>
        <w:rPr>
          <w:rFonts w:hint="eastAsia" w:ascii="仿宋" w:hAnsi="仿宋" w:eastAsia="仿宋" w:cs="仿宋"/>
          <w:color w:val="auto"/>
          <w:spacing w:val="-2"/>
          <w:sz w:val="24"/>
          <w:szCs w:val="24"/>
          <w:highlight w:val="none"/>
        </w:rPr>
        <w:t>规定。</w:t>
      </w:r>
    </w:p>
    <w:p w14:paraId="06574025">
      <w:pPr>
        <w:pStyle w:val="8"/>
        <w:spacing w:before="156" w:line="439" w:lineRule="exact"/>
        <w:ind w:left="41"/>
        <w:rPr>
          <w:rFonts w:hint="eastAsia" w:ascii="仿宋" w:hAnsi="仿宋" w:eastAsia="仿宋" w:cs="仿宋"/>
          <w:color w:val="auto"/>
          <w:position w:val="14"/>
          <w:sz w:val="24"/>
          <w:szCs w:val="24"/>
          <w:highlight w:val="none"/>
        </w:rPr>
      </w:pPr>
      <w:r>
        <w:rPr>
          <w:rFonts w:hint="eastAsia" w:ascii="仿宋" w:hAnsi="仿宋" w:eastAsia="仿宋" w:cs="仿宋"/>
          <w:color w:val="auto"/>
          <w:position w:val="14"/>
          <w:sz w:val="24"/>
          <w:szCs w:val="24"/>
          <w:highlight w:val="none"/>
        </w:rPr>
        <w:t>（6）我设计、规范编制或者项目管理、监方不是为本项目提供整体理、检测等服务的供应商，我方不是采购代理机构的附属机构。</w:t>
      </w:r>
    </w:p>
    <w:p w14:paraId="198FACDD">
      <w:pPr>
        <w:pStyle w:val="8"/>
        <w:spacing w:before="153" w:line="442" w:lineRule="exact"/>
        <w:ind w:left="41"/>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（7）在领取中标通知书的同时按招标文件规定的形式，向贵方一次性支付中标服务费。</w:t>
      </w:r>
    </w:p>
    <w:p w14:paraId="2B25AF91">
      <w:pPr>
        <w:pStyle w:val="8"/>
        <w:spacing w:before="153" w:line="442" w:lineRule="exact"/>
        <w:ind w:left="41"/>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（8）按照贵方可能要求，提供与其投标有关的一切数据或资料，完全理解贵方不一定接受最低价的投标或收到的任何投标。</w:t>
      </w:r>
    </w:p>
    <w:p w14:paraId="20E992C0">
      <w:pPr>
        <w:pStyle w:val="8"/>
        <w:spacing w:before="153" w:line="442" w:lineRule="exact"/>
        <w:ind w:left="41"/>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（9）按照招标文件的规定履行合同责任和义务。</w:t>
      </w:r>
    </w:p>
    <w:p w14:paraId="700FEAD9">
      <w:pPr>
        <w:pStyle w:val="8"/>
        <w:spacing w:before="150" w:line="224" w:lineRule="auto"/>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与本投标有关的一切正式往来信函请寄：</w:t>
      </w:r>
    </w:p>
    <w:p w14:paraId="58C9A7DA">
      <w:pPr>
        <w:pStyle w:val="8"/>
        <w:tabs>
          <w:tab w:val="left" w:pos="8050"/>
        </w:tabs>
        <w:spacing w:before="147" w:line="339" w:lineRule="auto"/>
        <w:ind w:left="43" w:right="355" w:hanging="2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rPr>
        <w:t>地址传真</w:t>
      </w:r>
      <w:r>
        <w:rPr>
          <w:rFonts w:hint="eastAsia" w:ascii="仿宋" w:hAnsi="仿宋" w:eastAsia="仿宋" w:cs="仿宋"/>
          <w:color w:val="auto"/>
          <w:sz w:val="24"/>
          <w:szCs w:val="24"/>
          <w:highlight w:val="none"/>
          <w:u w:val="single" w:color="auto"/>
        </w:rPr>
        <w:tab/>
      </w:r>
    </w:p>
    <w:p w14:paraId="690EA4B3">
      <w:pPr>
        <w:pStyle w:val="8"/>
        <w:tabs>
          <w:tab w:val="left" w:pos="8050"/>
        </w:tabs>
        <w:spacing w:before="147" w:line="339" w:lineRule="auto"/>
        <w:ind w:left="43" w:right="355" w:hanging="22"/>
        <w:jc w:val="both"/>
        <w:outlineLvl w:val="2"/>
        <w:rPr>
          <w:rFonts w:hint="eastAsia" w:ascii="仿宋" w:hAnsi="仿宋" w:eastAsia="仿宋" w:cs="仿宋"/>
          <w:color w:val="auto"/>
          <w:sz w:val="24"/>
          <w:szCs w:val="24"/>
          <w:highlight w:val="none"/>
          <w:lang w:eastAsia="zh-CN"/>
        </w:rPr>
      </w:pPr>
      <w:bookmarkStart w:id="181" w:name="_Toc17149"/>
      <w:r>
        <w:rPr>
          <w:rFonts w:hint="eastAsia" w:ascii="仿宋" w:hAnsi="仿宋" w:eastAsia="仿宋" w:cs="仿宋"/>
          <w:color w:val="auto"/>
          <w:spacing w:val="-6"/>
          <w:sz w:val="24"/>
          <w:szCs w:val="24"/>
          <w:highlight w:val="none"/>
        </w:rPr>
        <w:t>电话电子函件</w:t>
      </w:r>
      <w:bookmarkEnd w:id="181"/>
    </w:p>
    <w:p w14:paraId="6D1E2565">
      <w:pPr>
        <w:pStyle w:val="8"/>
        <w:spacing w:before="1" w:line="222" w:lineRule="auto"/>
        <w:ind w:left="3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法定代表人或其委托代理人签字</w:t>
      </w:r>
    </w:p>
    <w:p w14:paraId="21BA33B1">
      <w:pPr>
        <w:pStyle w:val="8"/>
        <w:spacing w:before="150" w:line="232" w:lineRule="auto"/>
        <w:ind w:left="2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投标人名称（全称）</w:t>
      </w:r>
    </w:p>
    <w:p w14:paraId="6CAADB34">
      <w:pPr>
        <w:pStyle w:val="8"/>
        <w:spacing w:before="139" w:line="338" w:lineRule="auto"/>
        <w:ind w:left="2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投标人开户银行（全称）</w:t>
      </w:r>
    </w:p>
    <w:p w14:paraId="6BF115D0">
      <w:pPr>
        <w:pStyle w:val="8"/>
        <w:spacing w:line="225" w:lineRule="auto"/>
        <w:ind w:left="2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投标人银行帐号</w:t>
      </w:r>
    </w:p>
    <w:p w14:paraId="48AFA68E">
      <w:pPr>
        <w:pStyle w:val="8"/>
        <w:spacing w:before="147" w:line="225" w:lineRule="auto"/>
        <w:ind w:left="2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投标人单位章</w:t>
      </w:r>
    </w:p>
    <w:p w14:paraId="09671F1C">
      <w:pPr>
        <w:pStyle w:val="8"/>
        <w:spacing w:before="149" w:line="224" w:lineRule="auto"/>
        <w:ind w:left="71"/>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0"/>
          <w:sz w:val="24"/>
          <w:szCs w:val="24"/>
          <w:highlight w:val="none"/>
        </w:rPr>
        <w:t>日期</w:t>
      </w:r>
    </w:p>
    <w:p w14:paraId="54B1B2D1">
      <w:pPr>
        <w:spacing w:line="224" w:lineRule="auto"/>
        <w:rPr>
          <w:rFonts w:hint="eastAsia" w:ascii="仿宋" w:hAnsi="仿宋" w:eastAsia="仿宋" w:cs="仿宋"/>
          <w:color w:val="auto"/>
          <w:sz w:val="24"/>
          <w:szCs w:val="24"/>
          <w:highlight w:val="none"/>
        </w:rPr>
        <w:sectPr>
          <w:footerReference r:id="rId26" w:type="default"/>
          <w:pgSz w:w="11905" w:h="16838"/>
          <w:pgMar w:top="1440" w:right="1083" w:bottom="1440" w:left="1083" w:header="0" w:footer="1225" w:gutter="0"/>
          <w:pgNumType w:fmt="decimal"/>
          <w:cols w:space="0" w:num="1"/>
          <w:rtlGutter w:val="0"/>
          <w:docGrid w:linePitch="0" w:charSpace="0"/>
        </w:sectPr>
      </w:pPr>
    </w:p>
    <w:p w14:paraId="20D8F809">
      <w:pPr>
        <w:pStyle w:val="8"/>
        <w:spacing w:before="155" w:line="222" w:lineRule="auto"/>
        <w:jc w:val="center"/>
        <w:outlineLvl w:val="2"/>
        <w:rPr>
          <w:rFonts w:hint="eastAsia" w:ascii="仿宋" w:hAnsi="仿宋" w:eastAsia="仿宋" w:cs="仿宋"/>
          <w:color w:val="auto"/>
          <w:sz w:val="24"/>
          <w:szCs w:val="24"/>
          <w:highlight w:val="none"/>
        </w:rPr>
      </w:pPr>
      <w:bookmarkStart w:id="182" w:name="_Toc26654"/>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2投标保证金缴纳凭证或保函凭证复印件（投标文件格式六）</w:t>
      </w:r>
      <w:bookmarkEnd w:id="182"/>
    </w:p>
    <w:p w14:paraId="0BDEF328">
      <w:pPr>
        <w:spacing w:line="254" w:lineRule="auto"/>
        <w:rPr>
          <w:rFonts w:hint="eastAsia" w:ascii="仿宋" w:hAnsi="仿宋" w:eastAsia="仿宋" w:cs="仿宋"/>
          <w:color w:val="auto"/>
          <w:sz w:val="21"/>
          <w:highlight w:val="none"/>
        </w:rPr>
      </w:pPr>
    </w:p>
    <w:p w14:paraId="762B067C">
      <w:pPr>
        <w:spacing w:line="255" w:lineRule="auto"/>
        <w:rPr>
          <w:rFonts w:hint="eastAsia" w:ascii="仿宋" w:hAnsi="仿宋" w:eastAsia="仿宋" w:cs="仿宋"/>
          <w:color w:val="auto"/>
          <w:sz w:val="21"/>
          <w:highlight w:val="none"/>
        </w:rPr>
      </w:pPr>
    </w:p>
    <w:p w14:paraId="03A6D4BF">
      <w:pPr>
        <w:pStyle w:val="8"/>
        <w:spacing w:before="78" w:line="441" w:lineRule="exact"/>
        <w:ind w:right="11" w:firstLine="496"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pacing w:val="4"/>
          <w:position w:val="14"/>
          <w:sz w:val="24"/>
          <w:szCs w:val="24"/>
          <w:highlight w:val="none"/>
        </w:rPr>
        <w:t>投标人可将本项目投标保证金支付的银行回单或打款凭证或保函凭证复印</w:t>
      </w:r>
    </w:p>
    <w:p w14:paraId="258B2FD1">
      <w:pPr>
        <w:pStyle w:val="8"/>
        <w:spacing w:line="220" w:lineRule="auto"/>
        <w:ind w:left="20"/>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件作为缴纳凭证装订在本部分，复印件上应加盖本单位章。</w:t>
      </w:r>
    </w:p>
    <w:p w14:paraId="78BFAB4F">
      <w:pPr>
        <w:spacing w:before="38"/>
        <w:rPr>
          <w:rFonts w:hint="eastAsia" w:ascii="仿宋" w:hAnsi="仿宋" w:eastAsia="仿宋" w:cs="仿宋"/>
          <w:color w:val="auto"/>
          <w:highlight w:val="none"/>
        </w:rPr>
      </w:pPr>
    </w:p>
    <w:p w14:paraId="7A85AEFA">
      <w:pPr>
        <w:spacing w:before="38"/>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备注：</w:t>
      </w:r>
      <w:r>
        <w:rPr>
          <w:rFonts w:hint="eastAsia" w:ascii="仿宋" w:hAnsi="仿宋" w:eastAsia="仿宋" w:cs="仿宋"/>
          <w:color w:val="auto"/>
          <w:highlight w:val="none"/>
        </w:rPr>
        <w:t xml:space="preserve">1.若从基本账户打款递交投标保证金，需将有效投标保证金缴纳证明，按照要求加盖印章后放入投标文件中； </w:t>
      </w:r>
    </w:p>
    <w:p w14:paraId="2061B1B9">
      <w:pPr>
        <w:spacing w:before="38"/>
        <w:rPr>
          <w:rFonts w:hint="eastAsia" w:ascii="仿宋" w:hAnsi="仿宋" w:eastAsia="仿宋" w:cs="仿宋"/>
          <w:color w:val="auto"/>
          <w:highlight w:val="none"/>
        </w:rPr>
      </w:pPr>
      <w:r>
        <w:rPr>
          <w:rFonts w:hint="eastAsia" w:ascii="仿宋" w:hAnsi="仿宋" w:eastAsia="仿宋" w:cs="仿宋"/>
          <w:color w:val="auto"/>
          <w:highlight w:val="none"/>
        </w:rPr>
        <w:t>若采用政采云电子保函形式：按照政采云电子投标流程制作并将电子保函制作在投标文件中；</w:t>
      </w:r>
    </w:p>
    <w:p w14:paraId="76D0A384">
      <w:pPr>
        <w:spacing w:before="38"/>
        <w:rPr>
          <w:rFonts w:hint="eastAsia" w:ascii="仿宋" w:hAnsi="仿宋" w:eastAsia="仿宋" w:cs="仿宋"/>
          <w:color w:val="auto"/>
          <w:highlight w:val="none"/>
        </w:rPr>
      </w:pPr>
      <w:r>
        <w:rPr>
          <w:rFonts w:hint="eastAsia" w:ascii="仿宋" w:hAnsi="仿宋" w:eastAsia="仿宋" w:cs="仿宋"/>
          <w:color w:val="auto"/>
          <w:highlight w:val="none"/>
        </w:rPr>
        <w:t>若采用银行保函或者金融机构、担保机构保函等形式，应将保函扫描件装订在本部分；扫描件上应加盖本单位公章；附《银行开户许可证》或《基本存款账户信息》 复印件；并加盖本单位公章放入投标文件。</w:t>
      </w:r>
    </w:p>
    <w:p w14:paraId="1CF895B3">
      <w:pPr>
        <w:spacing w:before="38"/>
        <w:rPr>
          <w:rFonts w:hint="eastAsia" w:ascii="仿宋" w:hAnsi="仿宋" w:eastAsia="仿宋" w:cs="仿宋"/>
          <w:color w:val="auto"/>
          <w:highlight w:val="none"/>
        </w:rPr>
      </w:pPr>
    </w:p>
    <w:p w14:paraId="5EBD9659">
      <w:pPr>
        <w:spacing w:before="38"/>
        <w:rPr>
          <w:rFonts w:hint="eastAsia" w:ascii="仿宋" w:hAnsi="仿宋" w:eastAsia="仿宋" w:cs="仿宋"/>
          <w:color w:val="auto"/>
          <w:highlight w:val="none"/>
        </w:rPr>
      </w:pPr>
    </w:p>
    <w:tbl>
      <w:tblPr>
        <w:tblStyle w:val="25"/>
        <w:tblW w:w="9360" w:type="dxa"/>
        <w:tblInd w:w="22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60"/>
      </w:tblGrid>
      <w:tr w14:paraId="62BECF4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68" w:hRule="atLeast"/>
        </w:trPr>
        <w:tc>
          <w:tcPr>
            <w:tcW w:w="9360" w:type="dxa"/>
            <w:vAlign w:val="top"/>
          </w:tcPr>
          <w:p w14:paraId="71EFEE01">
            <w:pPr>
              <w:pStyle w:val="26"/>
              <w:spacing w:line="276" w:lineRule="auto"/>
              <w:rPr>
                <w:rFonts w:hint="eastAsia" w:ascii="仿宋" w:hAnsi="仿宋" w:eastAsia="仿宋" w:cs="仿宋"/>
                <w:color w:val="auto"/>
                <w:highlight w:val="none"/>
              </w:rPr>
            </w:pPr>
          </w:p>
          <w:p w14:paraId="47C55513">
            <w:pPr>
              <w:pStyle w:val="26"/>
              <w:spacing w:line="277" w:lineRule="auto"/>
              <w:rPr>
                <w:rFonts w:hint="eastAsia" w:ascii="仿宋" w:hAnsi="仿宋" w:eastAsia="仿宋" w:cs="仿宋"/>
                <w:color w:val="auto"/>
                <w:highlight w:val="none"/>
              </w:rPr>
            </w:pPr>
          </w:p>
          <w:p w14:paraId="5235C895">
            <w:pPr>
              <w:pStyle w:val="26"/>
              <w:spacing w:line="277" w:lineRule="auto"/>
              <w:rPr>
                <w:rFonts w:hint="eastAsia" w:ascii="仿宋" w:hAnsi="仿宋" w:eastAsia="仿宋" w:cs="仿宋"/>
                <w:color w:val="auto"/>
                <w:highlight w:val="none"/>
              </w:rPr>
            </w:pPr>
          </w:p>
          <w:p w14:paraId="0E124B28">
            <w:pPr>
              <w:pStyle w:val="26"/>
              <w:spacing w:line="277" w:lineRule="auto"/>
              <w:rPr>
                <w:rFonts w:hint="eastAsia" w:ascii="仿宋" w:hAnsi="仿宋" w:eastAsia="仿宋" w:cs="仿宋"/>
                <w:color w:val="auto"/>
                <w:highlight w:val="none"/>
              </w:rPr>
            </w:pPr>
          </w:p>
          <w:p w14:paraId="3134C7FA">
            <w:pPr>
              <w:pStyle w:val="26"/>
              <w:spacing w:line="277" w:lineRule="auto"/>
              <w:rPr>
                <w:rFonts w:hint="eastAsia" w:ascii="仿宋" w:hAnsi="仿宋" w:eastAsia="仿宋" w:cs="仿宋"/>
                <w:color w:val="auto"/>
                <w:highlight w:val="none"/>
              </w:rPr>
            </w:pPr>
          </w:p>
          <w:p w14:paraId="392B2DB3">
            <w:pPr>
              <w:spacing w:before="78" w:line="225" w:lineRule="auto"/>
              <w:ind w:left="226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银行回单或打款凭证或保函凭证</w:t>
            </w:r>
          </w:p>
        </w:tc>
      </w:tr>
    </w:tbl>
    <w:p w14:paraId="5D29A634">
      <w:pPr>
        <w:rPr>
          <w:rFonts w:hint="eastAsia" w:ascii="仿宋" w:hAnsi="仿宋" w:eastAsia="仿宋" w:cs="仿宋"/>
          <w:color w:val="auto"/>
          <w:sz w:val="21"/>
          <w:highlight w:val="none"/>
        </w:rPr>
      </w:pPr>
    </w:p>
    <w:p w14:paraId="7B56177E">
      <w:pPr>
        <w:rPr>
          <w:rFonts w:hint="eastAsia" w:ascii="仿宋" w:hAnsi="仿宋" w:eastAsia="仿宋" w:cs="仿宋"/>
          <w:color w:val="auto"/>
          <w:sz w:val="21"/>
          <w:szCs w:val="21"/>
          <w:highlight w:val="none"/>
        </w:rPr>
        <w:sectPr>
          <w:footerReference r:id="rId27" w:type="default"/>
          <w:pgSz w:w="11905" w:h="16838"/>
          <w:pgMar w:top="1440" w:right="1083" w:bottom="1440" w:left="1083" w:header="0" w:footer="1225" w:gutter="0"/>
          <w:pgNumType w:fmt="decimal"/>
          <w:cols w:space="0" w:num="1"/>
          <w:rtlGutter w:val="0"/>
          <w:docGrid w:linePitch="0" w:charSpace="0"/>
        </w:sectPr>
      </w:pPr>
    </w:p>
    <w:p w14:paraId="324801F5">
      <w:pPr>
        <w:pStyle w:val="8"/>
        <w:spacing w:before="156" w:line="227"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政府采购投标担保函</w:t>
      </w:r>
    </w:p>
    <w:p w14:paraId="75CEA9AD">
      <w:pPr>
        <w:pStyle w:val="8"/>
        <w:spacing w:before="143" w:line="225" w:lineRule="auto"/>
        <w:ind w:left="24"/>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rPr>
        <w:t>项目</w:t>
      </w:r>
      <w:r>
        <w:rPr>
          <w:rFonts w:hint="eastAsia" w:ascii="仿宋" w:hAnsi="仿宋" w:eastAsia="仿宋" w:cs="仿宋"/>
          <w:color w:val="auto"/>
          <w:spacing w:val="-5"/>
          <w:sz w:val="24"/>
          <w:szCs w:val="24"/>
          <w:highlight w:val="none"/>
        </w:rPr>
        <w:t>编号：</w:t>
      </w:r>
    </w:p>
    <w:p w14:paraId="3FAD0674">
      <w:pPr>
        <w:pStyle w:val="8"/>
        <w:tabs>
          <w:tab w:val="left" w:pos="2291"/>
        </w:tabs>
        <w:spacing w:before="146" w:line="227" w:lineRule="auto"/>
        <w:ind w:left="13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color="auto"/>
        </w:rPr>
        <w:tab/>
      </w:r>
      <w:r>
        <w:rPr>
          <w:rFonts w:hint="eastAsia" w:ascii="仿宋" w:hAnsi="仿宋" w:eastAsia="仿宋" w:cs="仿宋"/>
          <w:color w:val="auto"/>
          <w:sz w:val="24"/>
          <w:szCs w:val="24"/>
          <w:highlight w:val="none"/>
        </w:rPr>
        <w:t>（采购人或采购代理机构</w:t>
      </w:r>
      <w:r>
        <w:rPr>
          <w:rFonts w:hint="eastAsia" w:ascii="仿宋" w:hAnsi="仿宋" w:eastAsia="仿宋" w:cs="仿宋"/>
          <w:color w:val="auto"/>
          <w:spacing w:val="-1"/>
          <w:sz w:val="24"/>
          <w:szCs w:val="24"/>
          <w:highlight w:val="none"/>
        </w:rPr>
        <w:t>）：</w:t>
      </w:r>
    </w:p>
    <w:p w14:paraId="66CD27C9">
      <w:pPr>
        <w:pStyle w:val="8"/>
        <w:spacing w:before="148" w:line="338" w:lineRule="auto"/>
        <w:ind w:left="22" w:right="63" w:firstLine="483"/>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鉴于（以下简称“投标人”）拟参加</w:t>
      </w:r>
      <w:r>
        <w:rPr>
          <w:rFonts w:hint="eastAsia" w:ascii="仿宋" w:hAnsi="仿宋" w:eastAsia="仿宋" w:cs="仿宋"/>
          <w:color w:val="auto"/>
          <w:spacing w:val="-14"/>
          <w:sz w:val="24"/>
          <w:szCs w:val="24"/>
          <w:highlight w:val="none"/>
          <w:u w:val="single"/>
          <w:lang w:val="en-US" w:eastAsia="zh-CN"/>
        </w:rPr>
        <w:t>项目</w:t>
      </w:r>
      <w:r>
        <w:rPr>
          <w:rFonts w:hint="eastAsia" w:ascii="仿宋" w:hAnsi="仿宋" w:eastAsia="仿宋" w:cs="仿宋"/>
          <w:color w:val="auto"/>
          <w:spacing w:val="-14"/>
          <w:sz w:val="24"/>
          <w:szCs w:val="24"/>
          <w:highlight w:val="none"/>
          <w:u w:val="single"/>
        </w:rPr>
        <w:t>编号</w:t>
      </w:r>
      <w:r>
        <w:rPr>
          <w:rFonts w:hint="eastAsia" w:ascii="仿宋" w:hAnsi="仿宋" w:eastAsia="仿宋" w:cs="仿宋"/>
          <w:color w:val="auto"/>
          <w:spacing w:val="-14"/>
          <w:sz w:val="24"/>
          <w:szCs w:val="24"/>
          <w:highlight w:val="none"/>
          <w:u w:val="single"/>
          <w:lang w:eastAsia="zh-CN"/>
        </w:rPr>
        <w:t>、</w:t>
      </w:r>
      <w:r>
        <w:rPr>
          <w:rFonts w:hint="eastAsia" w:ascii="仿宋" w:hAnsi="仿宋" w:eastAsia="仿宋" w:cs="仿宋"/>
          <w:color w:val="auto"/>
          <w:spacing w:val="-14"/>
          <w:sz w:val="24"/>
          <w:szCs w:val="24"/>
          <w:highlight w:val="none"/>
          <w:u w:val="single"/>
          <w:lang w:val="en-US" w:eastAsia="zh-CN"/>
        </w:rPr>
        <w:t>标项</w:t>
      </w:r>
      <w:r>
        <w:rPr>
          <w:rFonts w:hint="eastAsia" w:ascii="仿宋" w:hAnsi="仿宋" w:eastAsia="仿宋" w:cs="仿宋"/>
          <w:color w:val="auto"/>
          <w:spacing w:val="-14"/>
          <w:sz w:val="24"/>
          <w:szCs w:val="24"/>
          <w:highlight w:val="none"/>
        </w:rPr>
        <w:t>为的</w:t>
      </w:r>
      <w:r>
        <w:rPr>
          <w:rFonts w:hint="eastAsia" w:ascii="仿宋" w:hAnsi="仿宋" w:eastAsia="仿宋" w:cs="仿宋"/>
          <w:color w:val="auto"/>
          <w:spacing w:val="-4"/>
          <w:sz w:val="24"/>
          <w:szCs w:val="24"/>
          <w:highlight w:val="none"/>
        </w:rPr>
        <w:t>项目（以下简称“本项目”）投标，根据本项目招标文件，供应商参加投标时应</w:t>
      </w:r>
      <w:r>
        <w:rPr>
          <w:rFonts w:hint="eastAsia" w:ascii="仿宋" w:hAnsi="仿宋" w:eastAsia="仿宋" w:cs="仿宋"/>
          <w:color w:val="auto"/>
          <w:spacing w:val="-3"/>
          <w:sz w:val="24"/>
          <w:szCs w:val="24"/>
          <w:highlight w:val="none"/>
        </w:rPr>
        <w:t>向你方交纳投标保证金，且可以投标担保函的形式交纳投标保证金。应供应商的</w:t>
      </w:r>
      <w:r>
        <w:rPr>
          <w:rFonts w:hint="eastAsia" w:ascii="仿宋" w:hAnsi="仿宋" w:eastAsia="仿宋" w:cs="仿宋"/>
          <w:color w:val="auto"/>
          <w:spacing w:val="-2"/>
          <w:sz w:val="24"/>
          <w:szCs w:val="24"/>
          <w:highlight w:val="none"/>
        </w:rPr>
        <w:t>申请，我方以保证的方式向你方提供如下投标保证金担保：</w:t>
      </w:r>
    </w:p>
    <w:p w14:paraId="14DC6373">
      <w:pPr>
        <w:pStyle w:val="8"/>
        <w:spacing w:before="154" w:line="224" w:lineRule="auto"/>
        <w:ind w:left="50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一、保证责任的情形及保证金额</w:t>
      </w:r>
    </w:p>
    <w:p w14:paraId="6FED2D9C">
      <w:pPr>
        <w:pStyle w:val="8"/>
        <w:spacing w:before="147" w:line="220" w:lineRule="auto"/>
        <w:ind w:left="28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（一）在投标人出现下列情形之一时，我方承</w:t>
      </w:r>
      <w:r>
        <w:rPr>
          <w:rFonts w:hint="eastAsia" w:ascii="仿宋" w:hAnsi="仿宋" w:eastAsia="仿宋" w:cs="仿宋"/>
          <w:color w:val="auto"/>
          <w:spacing w:val="-2"/>
          <w:sz w:val="24"/>
          <w:szCs w:val="24"/>
          <w:highlight w:val="none"/>
        </w:rPr>
        <w:t>担保证责任：</w:t>
      </w:r>
    </w:p>
    <w:p w14:paraId="1E1D8B9B">
      <w:pPr>
        <w:pStyle w:val="8"/>
        <w:spacing w:before="156" w:line="439" w:lineRule="exact"/>
        <w:ind w:right="63"/>
        <w:jc w:val="center"/>
        <w:rPr>
          <w:rFonts w:hint="eastAsia" w:ascii="仿宋" w:hAnsi="仿宋" w:eastAsia="仿宋" w:cs="仿宋"/>
          <w:color w:val="auto"/>
          <w:position w:val="14"/>
          <w:sz w:val="24"/>
          <w:szCs w:val="24"/>
          <w:highlight w:val="none"/>
        </w:rPr>
      </w:pPr>
      <w:r>
        <w:rPr>
          <w:rFonts w:hint="eastAsia" w:ascii="仿宋" w:hAnsi="仿宋" w:eastAsia="仿宋" w:cs="仿宋"/>
          <w:color w:val="auto"/>
          <w:position w:val="14"/>
          <w:sz w:val="24"/>
          <w:szCs w:val="24"/>
          <w:highlight w:val="none"/>
        </w:rPr>
        <w:t>1．中标后投标人无正当理由不与采购人或者采购代理机构签订《政府采购合同》；</w:t>
      </w:r>
    </w:p>
    <w:p w14:paraId="371C5F40">
      <w:pPr>
        <w:pStyle w:val="8"/>
        <w:spacing w:before="156" w:line="439" w:lineRule="exact"/>
        <w:ind w:right="63" w:firstLine="480" w:firstLineChars="200"/>
        <w:jc w:val="both"/>
        <w:outlineLvl w:val="2"/>
        <w:rPr>
          <w:rFonts w:hint="eastAsia" w:ascii="仿宋" w:hAnsi="仿宋" w:eastAsia="仿宋" w:cs="仿宋"/>
          <w:color w:val="auto"/>
          <w:position w:val="14"/>
          <w:sz w:val="24"/>
          <w:szCs w:val="24"/>
          <w:highlight w:val="none"/>
        </w:rPr>
      </w:pPr>
      <w:bookmarkStart w:id="183" w:name="_Toc2960"/>
      <w:r>
        <w:rPr>
          <w:rFonts w:hint="eastAsia" w:ascii="仿宋" w:hAnsi="仿宋" w:eastAsia="仿宋" w:cs="仿宋"/>
          <w:color w:val="auto"/>
          <w:position w:val="14"/>
          <w:sz w:val="24"/>
          <w:szCs w:val="24"/>
          <w:highlight w:val="none"/>
        </w:rPr>
        <w:t>2．招标文件规定的投标人应当缴纳保证金的其他情形。</w:t>
      </w:r>
      <w:bookmarkEnd w:id="183"/>
    </w:p>
    <w:p w14:paraId="38256164">
      <w:pPr>
        <w:pStyle w:val="8"/>
        <w:spacing w:before="149" w:line="338" w:lineRule="auto"/>
        <w:ind w:firstLine="232" w:firstLineChars="100"/>
        <w:jc w:val="both"/>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（二）我方承担保证责任的最高金额为人民币元（大写</w:t>
      </w:r>
      <w:r>
        <w:rPr>
          <w:rFonts w:hint="eastAsia" w:ascii="仿宋" w:hAnsi="仿宋" w:eastAsia="仿宋" w:cs="仿宋"/>
          <w:color w:val="auto"/>
          <w:spacing w:val="-46"/>
          <w:w w:val="87"/>
          <w:sz w:val="24"/>
          <w:szCs w:val="24"/>
          <w:highlight w:val="none"/>
        </w:rPr>
        <w:t>），</w:t>
      </w:r>
    </w:p>
    <w:p w14:paraId="70A36F3F">
      <w:pPr>
        <w:pStyle w:val="8"/>
        <w:spacing w:line="225" w:lineRule="auto"/>
        <w:ind w:left="3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即本项目的投标保证金金额。</w:t>
      </w:r>
    </w:p>
    <w:p w14:paraId="573E17AB">
      <w:pPr>
        <w:pStyle w:val="8"/>
        <w:spacing w:before="147" w:line="224" w:lineRule="auto"/>
        <w:ind w:left="502"/>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二、保证的方式及保证期间</w:t>
      </w:r>
    </w:p>
    <w:p w14:paraId="01E31232">
      <w:pPr>
        <w:pStyle w:val="8"/>
        <w:spacing w:before="150" w:line="223" w:lineRule="auto"/>
        <w:ind w:left="50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我方保证的方式为：连带责任保证。</w:t>
      </w:r>
    </w:p>
    <w:p w14:paraId="7BE08737">
      <w:pPr>
        <w:pStyle w:val="8"/>
        <w:spacing w:before="149" w:line="224" w:lineRule="auto"/>
        <w:ind w:left="50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我方的保证期间为：自本保函生效之日起个月止。</w:t>
      </w:r>
    </w:p>
    <w:p w14:paraId="2A8AA1C5">
      <w:pPr>
        <w:pStyle w:val="8"/>
        <w:spacing w:before="148" w:line="224" w:lineRule="auto"/>
        <w:ind w:left="497"/>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三、承担保证责任的程序</w:t>
      </w:r>
    </w:p>
    <w:p w14:paraId="06BDD019">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1．你方要求我方承担保证责任的，应在本保函保证期间内向我方发出书面</w:t>
      </w:r>
      <w:r>
        <w:rPr>
          <w:rFonts w:hint="eastAsia" w:ascii="仿宋" w:hAnsi="仿宋" w:eastAsia="仿宋" w:cs="仿宋"/>
          <w:color w:val="auto"/>
          <w:spacing w:val="-3"/>
          <w:sz w:val="24"/>
          <w:szCs w:val="24"/>
          <w:highlight w:val="none"/>
        </w:rPr>
        <w:t>索赔通知。索赔通知应写明要求索赔的金额，支付款</w:t>
      </w:r>
      <w:r>
        <w:rPr>
          <w:rFonts w:hint="eastAsia" w:ascii="仿宋" w:hAnsi="仿宋" w:eastAsia="仿宋" w:cs="仿宋"/>
          <w:color w:val="auto"/>
          <w:spacing w:val="-4"/>
          <w:sz w:val="24"/>
          <w:szCs w:val="24"/>
          <w:highlight w:val="none"/>
        </w:rPr>
        <w:t>项应到达的账号，并附有证</w:t>
      </w:r>
      <w:r>
        <w:rPr>
          <w:rFonts w:hint="eastAsia" w:ascii="仿宋" w:hAnsi="仿宋" w:eastAsia="仿宋" w:cs="仿宋"/>
          <w:color w:val="auto"/>
          <w:spacing w:val="-2"/>
          <w:sz w:val="24"/>
          <w:szCs w:val="24"/>
          <w:highlight w:val="none"/>
        </w:rPr>
        <w:t>明投标人发生我方应承担保证责任情形的事实材料。</w:t>
      </w:r>
    </w:p>
    <w:p w14:paraId="600E4919">
      <w:pPr>
        <w:pStyle w:val="8"/>
        <w:spacing w:before="150" w:line="338" w:lineRule="auto"/>
        <w:ind w:left="20" w:firstLine="47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2．我方在收到索赔通知及相关证明材料后，在</w:t>
      </w:r>
      <w:r>
        <w:rPr>
          <w:rFonts w:hint="eastAsia" w:ascii="仿宋" w:hAnsi="仿宋" w:eastAsia="仿宋" w:cs="仿宋"/>
          <w:color w:val="auto"/>
          <w:spacing w:val="-5"/>
          <w:sz w:val="24"/>
          <w:szCs w:val="24"/>
          <w:highlight w:val="none"/>
        </w:rPr>
        <w:t>个工作日内进行审查，</w:t>
      </w:r>
      <w:r>
        <w:rPr>
          <w:rFonts w:hint="eastAsia" w:ascii="仿宋" w:hAnsi="仿宋" w:eastAsia="仿宋" w:cs="仿宋"/>
          <w:color w:val="auto"/>
          <w:spacing w:val="-3"/>
          <w:sz w:val="24"/>
          <w:szCs w:val="24"/>
          <w:highlight w:val="none"/>
        </w:rPr>
        <w:t>符合应承担保证责任情形的，我方应按照你方的要求代投标人向你方支付投标保</w:t>
      </w:r>
      <w:r>
        <w:rPr>
          <w:rFonts w:hint="eastAsia" w:ascii="仿宋" w:hAnsi="仿宋" w:eastAsia="仿宋" w:cs="仿宋"/>
          <w:color w:val="auto"/>
          <w:spacing w:val="-2"/>
          <w:sz w:val="24"/>
          <w:szCs w:val="24"/>
          <w:highlight w:val="none"/>
        </w:rPr>
        <w:t>证金。</w:t>
      </w:r>
    </w:p>
    <w:p w14:paraId="72CBBC48">
      <w:pPr>
        <w:pStyle w:val="8"/>
        <w:spacing w:before="134" w:line="224" w:lineRule="auto"/>
        <w:ind w:left="51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四、保证责任的终止</w:t>
      </w:r>
    </w:p>
    <w:p w14:paraId="2D59F14D">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1．保证期间届满你方未向我方书面主张保证责任的，自保证期间届满次日起，我方保证责任自动终止。</w:t>
      </w:r>
    </w:p>
    <w:p w14:paraId="462389D7">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2．我方按照本保函向你贵方履行了保证责任后，自我方向你贵方支付款项（支付款项从我方账户划出）之日起，保证责任终止。</w:t>
      </w:r>
    </w:p>
    <w:p w14:paraId="3757B089">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3．按照法律法规的规定或出现我方保证责任终止的其它情形的，我方在本保函项下的保证责任亦终止。</w:t>
      </w:r>
    </w:p>
    <w:p w14:paraId="1D08835D">
      <w:pPr>
        <w:pStyle w:val="8"/>
        <w:spacing w:before="150" w:line="338" w:lineRule="auto"/>
        <w:ind w:left="38" w:right="63" w:firstLine="474"/>
        <w:rPr>
          <w:rFonts w:hint="eastAsia" w:ascii="仿宋" w:hAnsi="仿宋" w:eastAsia="仿宋" w:cs="仿宋"/>
          <w:color w:val="auto"/>
          <w:sz w:val="24"/>
          <w:szCs w:val="24"/>
          <w:highlight w:val="none"/>
        </w:rPr>
      </w:pPr>
      <w:bookmarkStart w:id="184" w:name="bookmark61"/>
      <w:bookmarkEnd w:id="184"/>
      <w:r>
        <w:rPr>
          <w:rFonts w:hint="eastAsia" w:ascii="仿宋" w:hAnsi="仿宋" w:eastAsia="仿宋" w:cs="仿宋"/>
          <w:color w:val="auto"/>
          <w:sz w:val="24"/>
          <w:szCs w:val="24"/>
          <w:highlight w:val="none"/>
        </w:rPr>
        <w:t>五、免责条款</w:t>
      </w:r>
    </w:p>
    <w:p w14:paraId="12752A95">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1．依照法律规定或你方与投标人的另行约定，全部或者部分免除投标人投标保证金义务时，我方亦免除相应的保证责任。</w:t>
      </w:r>
    </w:p>
    <w:p w14:paraId="53AB290B">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2．因你方原因致使投标人发生本保函第一条第（一）款约定情形的，我方不承担保证责任。</w:t>
      </w:r>
    </w:p>
    <w:p w14:paraId="159C0089">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3．因不可抗力造成投标人发生本保函第一条约定情形的，我方不承担保证责任。</w:t>
      </w:r>
    </w:p>
    <w:p w14:paraId="21FA1875">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4．你方或其他有权机关对招标文件进行任何澄清或修改，加重我方保证责任的，我方对加重部分不承担保证责任，但该澄清或修改经我方事先书面同意的除外。</w:t>
      </w:r>
    </w:p>
    <w:p w14:paraId="57580E1B">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六、争议的解决</w:t>
      </w:r>
    </w:p>
    <w:p w14:paraId="5211DB2B">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因本保函发生的纠纷，由你我双方协商解决，协商不成的，通过诉讼程序解决，诉讼管辖地法院为法院。</w:t>
      </w:r>
    </w:p>
    <w:p w14:paraId="548D1629">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七、保函的生效</w:t>
      </w:r>
    </w:p>
    <w:p w14:paraId="37CD2211">
      <w:pPr>
        <w:pStyle w:val="8"/>
        <w:spacing w:before="150" w:line="338" w:lineRule="auto"/>
        <w:ind w:left="38" w:right="63" w:firstLine="47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本保函自我方加盖公章之日起生效。</w:t>
      </w:r>
    </w:p>
    <w:p w14:paraId="1F6FF151">
      <w:pPr>
        <w:pStyle w:val="8"/>
        <w:spacing w:before="150" w:line="338" w:lineRule="auto"/>
        <w:ind w:left="38" w:right="63" w:firstLine="474"/>
        <w:rPr>
          <w:rFonts w:hint="eastAsia" w:ascii="仿宋" w:hAnsi="仿宋" w:eastAsia="仿宋" w:cs="仿宋"/>
          <w:color w:val="auto"/>
          <w:sz w:val="24"/>
          <w:szCs w:val="24"/>
          <w:highlight w:val="none"/>
        </w:rPr>
      </w:pPr>
    </w:p>
    <w:p w14:paraId="216F000C">
      <w:pPr>
        <w:pStyle w:val="8"/>
        <w:spacing w:before="150" w:line="338" w:lineRule="auto"/>
        <w:ind w:left="38" w:right="63" w:firstLine="474"/>
        <w:rPr>
          <w:rFonts w:hint="eastAsia" w:ascii="仿宋" w:hAnsi="仿宋" w:eastAsia="仿宋" w:cs="仿宋"/>
          <w:color w:val="auto"/>
          <w:sz w:val="24"/>
          <w:szCs w:val="24"/>
          <w:highlight w:val="none"/>
        </w:rPr>
      </w:pPr>
    </w:p>
    <w:p w14:paraId="1AF5B719">
      <w:pPr>
        <w:spacing w:line="315" w:lineRule="auto"/>
        <w:rPr>
          <w:rFonts w:hint="eastAsia" w:ascii="仿宋" w:hAnsi="仿宋" w:eastAsia="仿宋" w:cs="仿宋"/>
          <w:color w:val="auto"/>
          <w:sz w:val="21"/>
          <w:highlight w:val="none"/>
        </w:rPr>
      </w:pPr>
    </w:p>
    <w:p w14:paraId="0FBEB82D">
      <w:pPr>
        <w:pStyle w:val="8"/>
        <w:spacing w:before="79" w:line="225" w:lineRule="auto"/>
        <w:ind w:right="42"/>
        <w:jc w:val="right"/>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保证人</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3"/>
          <w:sz w:val="24"/>
          <w:szCs w:val="24"/>
          <w:highlight w:val="none"/>
        </w:rPr>
        <w:t>公章）</w:t>
      </w:r>
    </w:p>
    <w:p w14:paraId="078F903C">
      <w:pPr>
        <w:spacing w:line="253" w:lineRule="auto"/>
        <w:rPr>
          <w:rFonts w:hint="eastAsia" w:ascii="仿宋" w:hAnsi="仿宋" w:eastAsia="仿宋" w:cs="仿宋"/>
          <w:color w:val="auto"/>
          <w:sz w:val="21"/>
          <w:highlight w:val="none"/>
        </w:rPr>
      </w:pPr>
    </w:p>
    <w:p w14:paraId="480A455F">
      <w:pPr>
        <w:spacing w:line="254" w:lineRule="auto"/>
        <w:rPr>
          <w:rFonts w:hint="eastAsia" w:ascii="仿宋" w:hAnsi="仿宋" w:eastAsia="仿宋" w:cs="仿宋"/>
          <w:color w:val="auto"/>
          <w:sz w:val="21"/>
          <w:highlight w:val="none"/>
        </w:rPr>
      </w:pPr>
    </w:p>
    <w:p w14:paraId="194B7336">
      <w:pPr>
        <w:pStyle w:val="8"/>
        <w:spacing w:before="78" w:line="225" w:lineRule="auto"/>
        <w:ind w:left="6022"/>
        <w:jc w:val="right"/>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年月日</w:t>
      </w:r>
    </w:p>
    <w:p w14:paraId="227505C3">
      <w:pPr>
        <w:spacing w:line="225" w:lineRule="auto"/>
        <w:rPr>
          <w:rFonts w:hint="eastAsia" w:ascii="仿宋" w:hAnsi="仿宋" w:eastAsia="仿宋" w:cs="仿宋"/>
          <w:color w:val="auto"/>
          <w:sz w:val="24"/>
          <w:szCs w:val="24"/>
          <w:highlight w:val="none"/>
        </w:rPr>
        <w:sectPr>
          <w:footerReference r:id="rId28" w:type="default"/>
          <w:pgSz w:w="11905" w:h="16838"/>
          <w:pgMar w:top="1440" w:right="1083" w:bottom="1440" w:left="1083" w:header="0" w:footer="1225" w:gutter="0"/>
          <w:pgNumType w:fmt="decimal"/>
          <w:cols w:space="0" w:num="1"/>
          <w:rtlGutter w:val="0"/>
          <w:docGrid w:linePitch="0" w:charSpace="0"/>
        </w:sectPr>
      </w:pPr>
    </w:p>
    <w:p w14:paraId="22C879CC">
      <w:pPr>
        <w:rPr>
          <w:rFonts w:hint="eastAsia" w:ascii="仿宋" w:hAnsi="仿宋" w:eastAsia="仿宋" w:cs="仿宋"/>
          <w:color w:val="auto"/>
          <w:sz w:val="21"/>
          <w:highlight w:val="none"/>
        </w:rPr>
      </w:pPr>
      <w:bookmarkStart w:id="185" w:name="bookmark62"/>
      <w:bookmarkEnd w:id="185"/>
      <w:r>
        <w:rPr>
          <w:rFonts w:hint="eastAsia" w:ascii="仿宋" w:hAnsi="仿宋" w:eastAsia="仿宋" w:cs="仿宋"/>
          <w:color w:val="auto"/>
          <w:sz w:val="21"/>
          <w:highlight w:val="none"/>
        </w:rPr>
        <w:br w:type="page"/>
      </w:r>
    </w:p>
    <w:p w14:paraId="0361781D">
      <w:pPr>
        <w:pStyle w:val="15"/>
        <w:rPr>
          <w:rFonts w:hint="eastAsia" w:ascii="仿宋" w:hAnsi="仿宋" w:eastAsia="仿宋" w:cs="仿宋"/>
          <w:color w:val="auto"/>
          <w:sz w:val="21"/>
          <w:highlight w:val="none"/>
        </w:rPr>
      </w:pPr>
    </w:p>
    <w:p w14:paraId="2C45D7C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ascii="Times New Roman" w:hAnsi="Times New Roman" w:eastAsia="仿宋" w:cs="Times New Roman"/>
          <w:b/>
          <w:snapToGrid/>
          <w:color w:val="auto"/>
          <w:kern w:val="2"/>
          <w:sz w:val="24"/>
          <w:szCs w:val="20"/>
          <w:highlight w:val="none"/>
          <w:lang w:val="en-US" w:eastAsia="zh-CN" w:bidi="ar-SA"/>
        </w:rPr>
      </w:pPr>
      <w:r>
        <w:rPr>
          <w:rFonts w:hint="eastAsia" w:ascii="Times New Roman" w:hAnsi="Times New Roman" w:eastAsia="仿宋" w:cs="Times New Roman"/>
          <w:b/>
          <w:snapToGrid/>
          <w:color w:val="auto"/>
          <w:kern w:val="2"/>
          <w:sz w:val="24"/>
          <w:szCs w:val="20"/>
          <w:highlight w:val="none"/>
          <w:lang w:val="en-US" w:eastAsia="zh-CN" w:bidi="ar-SA"/>
        </w:rPr>
        <w:t>3.</w:t>
      </w:r>
      <w:r>
        <w:rPr>
          <w:rFonts w:ascii="Times New Roman" w:hAnsi="Times New Roman" w:eastAsia="仿宋" w:cs="Times New Roman"/>
          <w:b/>
          <w:snapToGrid/>
          <w:color w:val="auto"/>
          <w:kern w:val="2"/>
          <w:sz w:val="24"/>
          <w:szCs w:val="20"/>
          <w:highlight w:val="none"/>
          <w:lang w:val="en-US" w:eastAsia="zh-CN" w:bidi="ar-SA"/>
        </w:rPr>
        <w:t>投标分项报价表</w:t>
      </w:r>
      <w:r>
        <w:rPr>
          <w:rFonts w:hint="eastAsia" w:ascii="Times New Roman" w:hAnsi="Times New Roman" w:eastAsia="仿宋" w:cs="Times New Roman"/>
          <w:b/>
          <w:snapToGrid/>
          <w:color w:val="auto"/>
          <w:kern w:val="2"/>
          <w:sz w:val="24"/>
          <w:szCs w:val="20"/>
          <w:highlight w:val="none"/>
          <w:lang w:val="en-US" w:eastAsia="zh-CN" w:bidi="ar-SA"/>
        </w:rPr>
        <w:t>（投标文件格式七）</w:t>
      </w:r>
    </w:p>
    <w:p w14:paraId="1EEF75C3">
      <w:pPr>
        <w:widowControl w:val="0"/>
        <w:kinsoku/>
        <w:autoSpaceDE/>
        <w:autoSpaceDN/>
        <w:adjustRightInd/>
        <w:snapToGrid/>
        <w:spacing w:line="360" w:lineRule="auto"/>
        <w:ind w:left="1080" w:leftChars="257" w:hanging="540"/>
        <w:jc w:val="both"/>
        <w:textAlignment w:val="auto"/>
        <w:rPr>
          <w:rFonts w:ascii="Times New Roman" w:hAnsi="Times New Roman" w:eastAsia="仿宋" w:cs="Times New Roman"/>
          <w:snapToGrid/>
          <w:color w:val="auto"/>
          <w:kern w:val="2"/>
          <w:sz w:val="24"/>
          <w:szCs w:val="20"/>
          <w:highlight w:val="none"/>
          <w:lang w:val="en-US" w:eastAsia="zh-CN" w:bidi="ar-SA"/>
        </w:rPr>
      </w:pPr>
    </w:p>
    <w:p w14:paraId="1703F62A">
      <w:pPr>
        <w:widowControl w:val="0"/>
        <w:kinsoku/>
        <w:autoSpaceDE/>
        <w:autoSpaceDN/>
        <w:adjustRightInd/>
        <w:snapToGrid/>
        <w:spacing w:line="360" w:lineRule="auto"/>
        <w:ind w:left="-141" w:leftChars="-67"/>
        <w:jc w:val="both"/>
        <w:textAlignment w:val="auto"/>
        <w:rPr>
          <w:rFonts w:hint="default" w:ascii="Times New Roman" w:hAnsi="Times New Roman" w:eastAsia="仿宋" w:cs="Times New Roman"/>
          <w:snapToGrid/>
          <w:color w:val="auto"/>
          <w:kern w:val="2"/>
          <w:sz w:val="24"/>
          <w:szCs w:val="20"/>
          <w:highlight w:val="none"/>
          <w:lang w:val="en-US" w:eastAsia="zh-CN" w:bidi="ar-SA"/>
        </w:rPr>
      </w:pPr>
      <w:r>
        <w:rPr>
          <w:rFonts w:ascii="Times New Roman" w:hAnsi="Times New Roman" w:eastAsia="仿宋" w:cs="Times New Roman"/>
          <w:snapToGrid/>
          <w:color w:val="auto"/>
          <w:kern w:val="2"/>
          <w:sz w:val="24"/>
          <w:szCs w:val="20"/>
          <w:highlight w:val="none"/>
          <w:lang w:val="en-US" w:eastAsia="zh-CN" w:bidi="ar-SA"/>
        </w:rPr>
        <w:t xml:space="preserve">项目名称:             </w:t>
      </w:r>
      <w:r>
        <w:rPr>
          <w:rFonts w:hint="eastAsia" w:ascii="Times New Roman" w:hAnsi="Times New Roman" w:eastAsia="仿宋" w:cs="Times New Roman"/>
          <w:snapToGrid/>
          <w:color w:val="auto"/>
          <w:kern w:val="2"/>
          <w:sz w:val="24"/>
          <w:szCs w:val="20"/>
          <w:highlight w:val="none"/>
          <w:lang w:val="en-US" w:eastAsia="zh-CN" w:bidi="ar-SA"/>
        </w:rPr>
        <w:t xml:space="preserve">        </w:t>
      </w:r>
      <w:r>
        <w:rPr>
          <w:rFonts w:ascii="Times New Roman" w:hAnsi="Times New Roman" w:eastAsia="仿宋" w:cs="Times New Roman"/>
          <w:snapToGrid/>
          <w:color w:val="auto"/>
          <w:kern w:val="2"/>
          <w:sz w:val="24"/>
          <w:szCs w:val="20"/>
          <w:highlight w:val="none"/>
          <w:lang w:val="en-US" w:eastAsia="zh-CN" w:bidi="ar-SA"/>
        </w:rPr>
        <w:t xml:space="preserve"> </w:t>
      </w:r>
      <w:r>
        <w:rPr>
          <w:rFonts w:hint="eastAsia" w:ascii="Times New Roman" w:hAnsi="Times New Roman" w:eastAsia="仿宋" w:cs="Times New Roman"/>
          <w:snapToGrid/>
          <w:color w:val="auto"/>
          <w:kern w:val="2"/>
          <w:sz w:val="24"/>
          <w:szCs w:val="20"/>
          <w:highlight w:val="none"/>
          <w:lang w:val="en-US" w:eastAsia="zh-CN" w:bidi="ar-SA"/>
        </w:rPr>
        <w:t>项目编号</w:t>
      </w:r>
      <w:r>
        <w:rPr>
          <w:rFonts w:ascii="Times New Roman" w:hAnsi="Times New Roman" w:eastAsia="仿宋" w:cs="Times New Roman"/>
          <w:snapToGrid/>
          <w:color w:val="auto"/>
          <w:kern w:val="2"/>
          <w:sz w:val="24"/>
          <w:szCs w:val="20"/>
          <w:highlight w:val="none"/>
          <w:lang w:val="en-US" w:eastAsia="zh-CN" w:bidi="ar-SA"/>
        </w:rPr>
        <w:t xml:space="preserve">:  </w:t>
      </w:r>
      <w:r>
        <w:rPr>
          <w:rFonts w:hint="eastAsia" w:ascii="Times New Roman" w:hAnsi="Times New Roman" w:eastAsia="仿宋" w:cs="Times New Roman"/>
          <w:snapToGrid/>
          <w:color w:val="auto"/>
          <w:kern w:val="2"/>
          <w:sz w:val="24"/>
          <w:szCs w:val="20"/>
          <w:highlight w:val="none"/>
          <w:lang w:val="en-US" w:eastAsia="zh-CN" w:bidi="ar-SA"/>
        </w:rPr>
        <w:t xml:space="preserve">                    标项：</w:t>
      </w:r>
    </w:p>
    <w:tbl>
      <w:tblPr>
        <w:tblStyle w:val="21"/>
        <w:tblpPr w:leftFromText="180" w:rightFromText="180" w:vertAnchor="text" w:horzAnchor="page" w:tblpXSpec="center" w:tblpY="327"/>
        <w:tblOverlap w:val="never"/>
        <w:tblW w:w="11356" w:type="dxa"/>
        <w:jc w:val="center"/>
        <w:tblLayout w:type="fixed"/>
        <w:tblCellMar>
          <w:top w:w="15" w:type="dxa"/>
          <w:left w:w="15" w:type="dxa"/>
          <w:bottom w:w="0" w:type="dxa"/>
          <w:right w:w="15" w:type="dxa"/>
        </w:tblCellMar>
      </w:tblPr>
      <w:tblGrid>
        <w:gridCol w:w="598"/>
        <w:gridCol w:w="1287"/>
        <w:gridCol w:w="1229"/>
        <w:gridCol w:w="1229"/>
        <w:gridCol w:w="1087"/>
        <w:gridCol w:w="1087"/>
        <w:gridCol w:w="952"/>
        <w:gridCol w:w="954"/>
        <w:gridCol w:w="1047"/>
        <w:gridCol w:w="943"/>
        <w:gridCol w:w="943"/>
      </w:tblGrid>
      <w:tr w14:paraId="491A1279">
        <w:tblPrEx>
          <w:tblCellMar>
            <w:top w:w="15" w:type="dxa"/>
            <w:left w:w="15" w:type="dxa"/>
            <w:bottom w:w="0" w:type="dxa"/>
            <w:right w:w="15" w:type="dxa"/>
          </w:tblCellMar>
        </w:tblPrEx>
        <w:trPr>
          <w:trHeight w:val="900"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B0170">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ascii="Times New Roman" w:hAnsi="Times New Roman" w:eastAsia="仿宋" w:cs="Times New Roman"/>
                <w:snapToGrid/>
                <w:color w:val="auto"/>
                <w:kern w:val="0"/>
                <w:sz w:val="24"/>
                <w:szCs w:val="24"/>
                <w:highlight w:val="none"/>
                <w:lang w:eastAsia="zh-CN"/>
              </w:rPr>
              <w:t>序号</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4289B">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val="en-US" w:eastAsia="zh-CN"/>
              </w:rPr>
              <w:t>标的名称</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75453">
            <w:pPr>
              <w:widowControl/>
              <w:kinsoku/>
              <w:autoSpaceDE/>
              <w:autoSpaceDN/>
              <w:adjustRightInd/>
              <w:snapToGrid/>
              <w:spacing w:line="360" w:lineRule="auto"/>
              <w:jc w:val="center"/>
              <w:textAlignment w:val="auto"/>
              <w:rPr>
                <w:rFonts w:hint="default" w:ascii="Times New Roman" w:hAnsi="Times New Roman" w:eastAsia="仿宋" w:cs="Times New Roman"/>
                <w:snapToGrid/>
                <w:color w:val="auto"/>
                <w:kern w:val="0"/>
                <w:sz w:val="24"/>
                <w:szCs w:val="24"/>
                <w:highlight w:val="none"/>
                <w:lang w:val="en-US" w:eastAsia="zh-CN"/>
              </w:rPr>
            </w:pPr>
            <w:r>
              <w:rPr>
                <w:rFonts w:hint="eastAsia" w:ascii="Times New Roman" w:hAnsi="Times New Roman" w:eastAsia="仿宋" w:cs="Times New Roman"/>
                <w:snapToGrid/>
                <w:color w:val="auto"/>
                <w:kern w:val="0"/>
                <w:sz w:val="24"/>
                <w:szCs w:val="24"/>
                <w:highlight w:val="none"/>
                <w:lang w:val="en-US" w:eastAsia="zh-CN"/>
              </w:rPr>
              <w:t>所属行业</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88C87">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品牌</w:t>
            </w:r>
            <w:r>
              <w:rPr>
                <w:rFonts w:hint="eastAsia" w:ascii="Times New Roman" w:hAnsi="Times New Roman" w:eastAsia="仿宋" w:cs="Times New Roman"/>
                <w:snapToGrid/>
                <w:color w:val="auto"/>
                <w:kern w:val="0"/>
                <w:sz w:val="24"/>
                <w:szCs w:val="24"/>
                <w:highlight w:val="none"/>
                <w:lang w:val="en-US" w:eastAsia="zh-CN"/>
              </w:rPr>
              <w:t>/</w:t>
            </w:r>
            <w:r>
              <w:rPr>
                <w:rFonts w:hint="eastAsia" w:ascii="Times New Roman" w:hAnsi="Times New Roman" w:eastAsia="仿宋" w:cs="Times New Roman"/>
                <w:snapToGrid/>
                <w:color w:val="auto"/>
                <w:kern w:val="0"/>
                <w:sz w:val="24"/>
                <w:szCs w:val="24"/>
                <w:highlight w:val="none"/>
                <w:lang w:eastAsia="zh-CN"/>
              </w:rPr>
              <w:t>制造商名称</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DD0CF">
            <w:pPr>
              <w:widowControl/>
              <w:kinsoku/>
              <w:autoSpaceDE/>
              <w:autoSpaceDN/>
              <w:adjustRightInd/>
              <w:snapToGrid/>
              <w:spacing w:line="360" w:lineRule="auto"/>
              <w:jc w:val="center"/>
              <w:textAlignment w:val="auto"/>
              <w:rPr>
                <w:rFonts w:hint="default" w:ascii="Times New Roman" w:hAnsi="Times New Roman" w:eastAsia="仿宋" w:cs="Times New Roman"/>
                <w:snapToGrid/>
                <w:color w:val="auto"/>
                <w:kern w:val="0"/>
                <w:sz w:val="24"/>
                <w:szCs w:val="24"/>
                <w:highlight w:val="none"/>
                <w:lang w:val="en-US" w:eastAsia="zh-CN"/>
              </w:rPr>
            </w:pPr>
            <w:r>
              <w:rPr>
                <w:rFonts w:hint="eastAsia" w:ascii="Times New Roman" w:hAnsi="Times New Roman" w:eastAsia="仿宋" w:cs="Times New Roman"/>
                <w:snapToGrid/>
                <w:color w:val="auto"/>
                <w:kern w:val="0"/>
                <w:sz w:val="24"/>
                <w:szCs w:val="24"/>
                <w:highlight w:val="none"/>
                <w:lang w:val="en-US" w:eastAsia="zh-CN"/>
              </w:rPr>
              <w:t>规格/型号</w:t>
            </w: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1FB84">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产地/国别</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A11F7">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数量</w:t>
            </w: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1D693">
            <w:pPr>
              <w:widowControl/>
              <w:kinsoku/>
              <w:autoSpaceDE/>
              <w:autoSpaceDN/>
              <w:adjustRightInd/>
              <w:snapToGrid/>
              <w:spacing w:line="360" w:lineRule="auto"/>
              <w:jc w:val="center"/>
              <w:textAlignment w:val="auto"/>
              <w:rPr>
                <w:rFonts w:hint="default" w:ascii="Times New Roman" w:hAnsi="Times New Roman" w:eastAsia="仿宋" w:cs="Times New Roman"/>
                <w:snapToGrid/>
                <w:color w:val="auto"/>
                <w:kern w:val="0"/>
                <w:sz w:val="24"/>
                <w:szCs w:val="24"/>
                <w:highlight w:val="none"/>
                <w:lang w:val="en-US" w:eastAsia="zh-CN"/>
              </w:rPr>
            </w:pPr>
            <w:r>
              <w:rPr>
                <w:rFonts w:hint="eastAsia" w:ascii="Times New Roman" w:hAnsi="Times New Roman" w:eastAsia="仿宋" w:cs="Times New Roman"/>
                <w:snapToGrid/>
                <w:color w:val="auto"/>
                <w:kern w:val="0"/>
                <w:sz w:val="24"/>
                <w:szCs w:val="24"/>
                <w:highlight w:val="none"/>
                <w:lang w:val="en-US" w:eastAsia="zh-CN"/>
              </w:rPr>
              <w:t>单位</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E20AE">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单价</w:t>
            </w:r>
            <w:r>
              <w:rPr>
                <w:rFonts w:hint="eastAsia" w:ascii="Times New Roman" w:hAnsi="Times New Roman" w:eastAsia="仿宋" w:cs="Times New Roman"/>
                <w:snapToGrid/>
                <w:color w:val="auto"/>
                <w:kern w:val="0"/>
                <w:sz w:val="24"/>
                <w:szCs w:val="24"/>
                <w:highlight w:val="none"/>
                <w:lang w:eastAsia="zh-CN"/>
              </w:rPr>
              <w:br w:type="textWrapping"/>
            </w:r>
            <w:r>
              <w:rPr>
                <w:rFonts w:hint="eastAsia" w:ascii="Times New Roman" w:hAnsi="Times New Roman" w:eastAsia="仿宋" w:cs="Times New Roman"/>
                <w:snapToGrid/>
                <w:color w:val="auto"/>
                <w:kern w:val="0"/>
                <w:sz w:val="24"/>
                <w:szCs w:val="24"/>
                <w:highlight w:val="none"/>
                <w:lang w:eastAsia="zh-CN"/>
              </w:rPr>
              <w:t>（元）</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55236">
            <w:pPr>
              <w:widowControl/>
              <w:kinsoku/>
              <w:autoSpaceDE/>
              <w:autoSpaceDN/>
              <w:adjustRightInd/>
              <w:snapToGrid/>
              <w:spacing w:line="360" w:lineRule="auto"/>
              <w:jc w:val="center"/>
              <w:textAlignment w:val="auto"/>
              <w:rPr>
                <w:rFonts w:hint="default" w:ascii="Times New Roman" w:hAnsi="Times New Roman" w:eastAsia="仿宋" w:cs="Times New Roman"/>
                <w:snapToGrid/>
                <w:color w:val="auto"/>
                <w:kern w:val="0"/>
                <w:sz w:val="24"/>
                <w:szCs w:val="24"/>
                <w:highlight w:val="none"/>
                <w:lang w:val="en-US" w:eastAsia="zh-CN"/>
              </w:rPr>
            </w:pPr>
            <w:r>
              <w:rPr>
                <w:rFonts w:hint="eastAsia" w:ascii="Times New Roman" w:hAnsi="Times New Roman" w:eastAsia="仿宋" w:cs="Times New Roman"/>
                <w:snapToGrid/>
                <w:color w:val="auto"/>
                <w:kern w:val="0"/>
                <w:sz w:val="24"/>
                <w:szCs w:val="24"/>
                <w:highlight w:val="none"/>
                <w:lang w:val="en-US" w:eastAsia="zh-CN"/>
              </w:rPr>
              <w:t>总价</w:t>
            </w:r>
            <w:r>
              <w:rPr>
                <w:rFonts w:hint="eastAsia" w:ascii="Times New Roman" w:hAnsi="Times New Roman" w:eastAsia="仿宋" w:cs="Times New Roman"/>
                <w:snapToGrid/>
                <w:color w:val="auto"/>
                <w:kern w:val="0"/>
                <w:sz w:val="24"/>
                <w:szCs w:val="24"/>
                <w:highlight w:val="none"/>
                <w:lang w:eastAsia="zh-CN"/>
              </w:rPr>
              <w:t>（元）</w:t>
            </w: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01482">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备注</w:t>
            </w:r>
          </w:p>
        </w:tc>
      </w:tr>
      <w:tr w14:paraId="57EFD9E1">
        <w:tblPrEx>
          <w:tblCellMar>
            <w:top w:w="15" w:type="dxa"/>
            <w:left w:w="15" w:type="dxa"/>
            <w:bottom w:w="0" w:type="dxa"/>
            <w:right w:w="15" w:type="dxa"/>
          </w:tblCellMar>
        </w:tblPrEx>
        <w:trPr>
          <w:trHeight w:val="285"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D6888">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ascii="Times New Roman" w:hAnsi="Times New Roman" w:eastAsia="仿宋" w:cs="Times New Roman"/>
                <w:snapToGrid/>
                <w:color w:val="auto"/>
                <w:kern w:val="0"/>
                <w:sz w:val="24"/>
                <w:szCs w:val="24"/>
                <w:highlight w:val="none"/>
                <w:lang w:eastAsia="zh-CN"/>
              </w:rPr>
              <w:t>1</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EB48B">
            <w:pPr>
              <w:widowControl w:val="0"/>
              <w:kinsoku/>
              <w:autoSpaceDE/>
              <w:autoSpaceDN/>
              <w:adjustRightInd/>
              <w:snapToGrid/>
              <w:spacing w:line="360" w:lineRule="auto"/>
              <w:jc w:val="both"/>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C7C3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D2229">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74791">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1502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BCFE5">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ACC89">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4374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EB83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227C9">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r>
      <w:tr w14:paraId="2AD4CF4C">
        <w:tblPrEx>
          <w:tblCellMar>
            <w:top w:w="15" w:type="dxa"/>
            <w:left w:w="15" w:type="dxa"/>
            <w:bottom w:w="0" w:type="dxa"/>
            <w:right w:w="15" w:type="dxa"/>
          </w:tblCellMar>
        </w:tblPrEx>
        <w:trPr>
          <w:trHeight w:val="285"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4EBA0">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ascii="Times New Roman" w:hAnsi="Times New Roman" w:eastAsia="仿宋" w:cs="Times New Roman"/>
                <w:snapToGrid/>
                <w:color w:val="auto"/>
                <w:kern w:val="0"/>
                <w:sz w:val="24"/>
                <w:szCs w:val="24"/>
                <w:highlight w:val="none"/>
                <w:lang w:eastAsia="zh-CN"/>
              </w:rPr>
              <w:t>2</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C148C">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EB466">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37451">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DBDC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FEE1E">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2A9B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66EC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2FAE2">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2139B">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76E1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r>
      <w:tr w14:paraId="684F88DD">
        <w:tblPrEx>
          <w:tblCellMar>
            <w:top w:w="15" w:type="dxa"/>
            <w:left w:w="15" w:type="dxa"/>
            <w:bottom w:w="0" w:type="dxa"/>
            <w:right w:w="15" w:type="dxa"/>
          </w:tblCellMar>
        </w:tblPrEx>
        <w:trPr>
          <w:trHeight w:val="285"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440D5">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ascii="Times New Roman" w:hAnsi="Times New Roman" w:eastAsia="仿宋" w:cs="Times New Roman"/>
                <w:snapToGrid/>
                <w:color w:val="auto"/>
                <w:kern w:val="0"/>
                <w:sz w:val="24"/>
                <w:szCs w:val="24"/>
                <w:highlight w:val="none"/>
                <w:lang w:eastAsia="zh-CN"/>
              </w:rPr>
              <w:t>3</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99C2C">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E063B">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05962">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C434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AE18B">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8D10B">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9C8DF">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0EC13">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F969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F9AB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r>
      <w:tr w14:paraId="1029A05F">
        <w:tblPrEx>
          <w:tblCellMar>
            <w:top w:w="15" w:type="dxa"/>
            <w:left w:w="15" w:type="dxa"/>
            <w:bottom w:w="0" w:type="dxa"/>
            <w:right w:w="15" w:type="dxa"/>
          </w:tblCellMar>
        </w:tblPrEx>
        <w:trPr>
          <w:trHeight w:val="285"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E07BC">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ascii="Times New Roman" w:hAnsi="Times New Roman" w:eastAsia="仿宋" w:cs="Times New Roman"/>
                <w:snapToGrid/>
                <w:color w:val="auto"/>
                <w:kern w:val="0"/>
                <w:sz w:val="24"/>
                <w:szCs w:val="24"/>
                <w:highlight w:val="none"/>
                <w:lang w:eastAsia="zh-CN"/>
              </w:rPr>
              <w:t>4</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BC15C">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2C6C3">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C07CD">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92404">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A225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D257F">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B2433">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0461B">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6DA53">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94BA4">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r>
      <w:tr w14:paraId="7213B31D">
        <w:tblPrEx>
          <w:tblCellMar>
            <w:top w:w="15" w:type="dxa"/>
            <w:left w:w="15" w:type="dxa"/>
            <w:bottom w:w="0" w:type="dxa"/>
            <w:right w:w="15" w:type="dxa"/>
          </w:tblCellMar>
        </w:tblPrEx>
        <w:trPr>
          <w:trHeight w:val="285"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61281">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5</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7A1E9">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4B155">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30366">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830FF">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1BE0E">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F22F4">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5D07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5A7F7">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07D98">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38D01">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r>
      <w:tr w14:paraId="1DA8298D">
        <w:tblPrEx>
          <w:tblCellMar>
            <w:top w:w="15" w:type="dxa"/>
            <w:left w:w="15" w:type="dxa"/>
            <w:bottom w:w="0" w:type="dxa"/>
            <w:right w:w="15" w:type="dxa"/>
          </w:tblCellMar>
        </w:tblPrEx>
        <w:trPr>
          <w:trHeight w:val="285" w:hRule="atLeast"/>
          <w:jc w:val="center"/>
        </w:trPr>
        <w:tc>
          <w:tcPr>
            <w:tcW w:w="5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3A41D">
            <w:pPr>
              <w:widowControl/>
              <w:kinsoku/>
              <w:autoSpaceDE/>
              <w:autoSpaceDN/>
              <w:adjustRightInd/>
              <w:snapToGrid/>
              <w:spacing w:line="360" w:lineRule="auto"/>
              <w:jc w:val="center"/>
              <w:textAlignment w:val="auto"/>
              <w:rPr>
                <w:rFonts w:ascii="Times New Roman" w:hAnsi="Times New Roman" w:eastAsia="仿宋" w:cs="Times New Roman"/>
                <w:snapToGrid/>
                <w:color w:val="auto"/>
                <w:kern w:val="0"/>
                <w:sz w:val="24"/>
                <w:szCs w:val="24"/>
                <w:highlight w:val="none"/>
                <w:lang w:eastAsia="zh-CN"/>
              </w:rPr>
            </w:pPr>
            <w:r>
              <w:rPr>
                <w:rFonts w:hint="eastAsia" w:ascii="Times New Roman" w:hAnsi="Times New Roman" w:eastAsia="仿宋" w:cs="Times New Roman"/>
                <w:snapToGrid/>
                <w:color w:val="auto"/>
                <w:kern w:val="0"/>
                <w:sz w:val="24"/>
                <w:szCs w:val="24"/>
                <w:highlight w:val="none"/>
                <w:lang w:eastAsia="zh-CN"/>
              </w:rPr>
              <w:t>6</w:t>
            </w:r>
          </w:p>
        </w:tc>
        <w:tc>
          <w:tcPr>
            <w:tcW w:w="12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F0E1B">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6F66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E5585">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BC600">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61C9E">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FE9A4">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9DF52">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5FB35">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E98B8">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c>
          <w:tcPr>
            <w:tcW w:w="9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F5DDA">
            <w:pPr>
              <w:widowControl w:val="0"/>
              <w:kinsoku/>
              <w:autoSpaceDE/>
              <w:autoSpaceDN/>
              <w:adjustRightInd/>
              <w:snapToGrid/>
              <w:spacing w:line="360" w:lineRule="auto"/>
              <w:jc w:val="center"/>
              <w:textAlignment w:val="auto"/>
              <w:rPr>
                <w:rFonts w:ascii="Times New Roman" w:hAnsi="Times New Roman" w:eastAsia="仿宋" w:cs="Times New Roman"/>
                <w:snapToGrid/>
                <w:color w:val="auto"/>
                <w:kern w:val="2"/>
                <w:sz w:val="24"/>
                <w:szCs w:val="24"/>
                <w:highlight w:val="none"/>
                <w:lang w:eastAsia="zh-CN"/>
              </w:rPr>
            </w:pPr>
          </w:p>
        </w:tc>
      </w:tr>
    </w:tbl>
    <w:p w14:paraId="25A2A4FC">
      <w:pPr>
        <w:widowControl w:val="0"/>
        <w:kinsoku/>
        <w:autoSpaceDE/>
        <w:autoSpaceDN/>
        <w:adjustRightInd/>
        <w:snapToGrid/>
        <w:spacing w:line="360" w:lineRule="auto"/>
        <w:ind w:left="-141" w:leftChars="-67"/>
        <w:jc w:val="both"/>
        <w:textAlignment w:val="auto"/>
        <w:rPr>
          <w:rFonts w:ascii="Times New Roman" w:hAnsi="Times New Roman" w:eastAsia="仿宋" w:cs="Times New Roman"/>
          <w:snapToGrid/>
          <w:color w:val="auto"/>
          <w:kern w:val="2"/>
          <w:sz w:val="24"/>
          <w:szCs w:val="20"/>
          <w:highlight w:val="none"/>
          <w:lang w:val="en-US" w:eastAsia="zh-CN" w:bidi="ar-SA"/>
        </w:rPr>
      </w:pPr>
    </w:p>
    <w:p w14:paraId="51B50DDC">
      <w:pPr>
        <w:widowControl w:val="0"/>
        <w:kinsoku/>
        <w:autoSpaceDE/>
        <w:autoSpaceDN/>
        <w:adjustRightInd/>
        <w:snapToGrid/>
        <w:spacing w:line="240" w:lineRule="auto"/>
        <w:jc w:val="both"/>
        <w:textAlignment w:val="auto"/>
        <w:rPr>
          <w:rFonts w:ascii="Times New Roman" w:hAnsi="Times New Roman" w:eastAsia="宋体" w:cs="Times New Roman"/>
          <w:b/>
          <w:bCs/>
          <w:snapToGrid/>
          <w:color w:val="auto"/>
          <w:kern w:val="2"/>
          <w:sz w:val="21"/>
          <w:szCs w:val="24"/>
          <w:highlight w:val="none"/>
          <w:lang w:eastAsia="zh-CN"/>
        </w:rPr>
      </w:pPr>
    </w:p>
    <w:p w14:paraId="6E73B0B7">
      <w:pPr>
        <w:widowControl w:val="0"/>
        <w:kinsoku/>
        <w:autoSpaceDE/>
        <w:autoSpaceDN/>
        <w:adjustRightInd/>
        <w:snapToGrid/>
        <w:spacing w:line="360" w:lineRule="auto"/>
        <w:ind w:left="-141" w:leftChars="-67"/>
        <w:jc w:val="both"/>
        <w:textAlignment w:val="auto"/>
        <w:rPr>
          <w:rFonts w:ascii="Times New Roman" w:hAnsi="Times New Roman" w:eastAsia="仿宋" w:cs="Times New Roman"/>
          <w:snapToGrid/>
          <w:color w:val="auto"/>
          <w:kern w:val="2"/>
          <w:sz w:val="24"/>
          <w:szCs w:val="20"/>
          <w:highlight w:val="none"/>
          <w:lang w:val="en-US" w:eastAsia="zh-CN" w:bidi="ar-SA"/>
        </w:rPr>
      </w:pPr>
    </w:p>
    <w:p w14:paraId="15471470">
      <w:pPr>
        <w:widowControl w:val="0"/>
        <w:kinsoku/>
        <w:autoSpaceDE/>
        <w:autoSpaceDN/>
        <w:adjustRightInd/>
        <w:snapToGrid/>
        <w:spacing w:line="360" w:lineRule="auto"/>
        <w:ind w:left="1080" w:leftChars="257" w:hanging="540"/>
        <w:jc w:val="both"/>
        <w:textAlignment w:val="auto"/>
        <w:rPr>
          <w:rFonts w:ascii="Times New Roman" w:hAnsi="Times New Roman" w:eastAsia="仿宋" w:cs="Times New Roman"/>
          <w:snapToGrid/>
          <w:color w:val="auto"/>
          <w:kern w:val="2"/>
          <w:sz w:val="24"/>
          <w:szCs w:val="20"/>
          <w:highlight w:val="none"/>
          <w:lang w:val="en-US" w:eastAsia="zh-CN" w:bidi="ar-SA"/>
        </w:rPr>
      </w:pPr>
      <w:r>
        <w:rPr>
          <w:rFonts w:ascii="Times New Roman" w:hAnsi="Times New Roman" w:eastAsia="仿宋" w:cs="Times New Roman"/>
          <w:snapToGrid/>
          <w:color w:val="auto"/>
          <w:kern w:val="2"/>
          <w:sz w:val="24"/>
          <w:szCs w:val="20"/>
          <w:highlight w:val="none"/>
          <w:lang w:val="en-US" w:eastAsia="zh-CN" w:bidi="ar-SA"/>
        </w:rPr>
        <w:t>法定代表人或其委托代理人</w:t>
      </w:r>
      <w:r>
        <w:rPr>
          <w:rFonts w:hint="eastAsia" w:ascii="Times New Roman" w:hAnsi="Times New Roman" w:eastAsia="仿宋" w:cs="Times New Roman"/>
          <w:snapToGrid/>
          <w:color w:val="auto"/>
          <w:kern w:val="2"/>
          <w:sz w:val="24"/>
          <w:szCs w:val="20"/>
          <w:highlight w:val="none"/>
          <w:lang w:val="en-US" w:eastAsia="zh-CN" w:bidi="ar-SA"/>
        </w:rPr>
        <w:t>（签字或签章）</w:t>
      </w:r>
      <w:r>
        <w:rPr>
          <w:rFonts w:ascii="Times New Roman" w:hAnsi="Times New Roman" w:eastAsia="仿宋" w:cs="Times New Roman"/>
          <w:snapToGrid/>
          <w:color w:val="auto"/>
          <w:kern w:val="2"/>
          <w:sz w:val="24"/>
          <w:szCs w:val="20"/>
          <w:highlight w:val="none"/>
          <w:lang w:val="en-US" w:eastAsia="zh-CN" w:bidi="ar-SA"/>
        </w:rPr>
        <w:t>:</w:t>
      </w:r>
      <w:r>
        <w:rPr>
          <w:rFonts w:hint="eastAsia" w:ascii="Times New Roman" w:hAnsi="Times New Roman" w:eastAsia="仿宋" w:cs="Times New Roman"/>
          <w:snapToGrid/>
          <w:color w:val="auto"/>
          <w:kern w:val="2"/>
          <w:sz w:val="24"/>
          <w:szCs w:val="20"/>
          <w:highlight w:val="none"/>
          <w:u w:val="single"/>
          <w:lang w:val="en-US" w:eastAsia="zh-CN" w:bidi="ar-SA"/>
        </w:rPr>
        <w:t xml:space="preserve">             </w:t>
      </w:r>
    </w:p>
    <w:p w14:paraId="743B3AB1">
      <w:pPr>
        <w:widowControl w:val="0"/>
        <w:tabs>
          <w:tab w:val="left" w:pos="5370"/>
        </w:tabs>
        <w:kinsoku/>
        <w:autoSpaceDE/>
        <w:autoSpaceDN/>
        <w:adjustRightInd/>
        <w:snapToGrid/>
        <w:spacing w:line="360" w:lineRule="auto"/>
        <w:ind w:left="1080" w:leftChars="257" w:hanging="540"/>
        <w:jc w:val="both"/>
        <w:textAlignment w:val="auto"/>
        <w:rPr>
          <w:rFonts w:ascii="Times New Roman" w:hAnsi="Times New Roman" w:eastAsia="仿宋" w:cs="Times New Roman"/>
          <w:snapToGrid/>
          <w:color w:val="auto"/>
          <w:kern w:val="2"/>
          <w:sz w:val="24"/>
          <w:szCs w:val="20"/>
          <w:highlight w:val="none"/>
          <w:lang w:val="en-US" w:eastAsia="zh-CN" w:bidi="ar-SA"/>
        </w:rPr>
      </w:pPr>
      <w:r>
        <w:rPr>
          <w:rFonts w:ascii="Times New Roman" w:hAnsi="Times New Roman" w:eastAsia="仿宋" w:cs="Times New Roman"/>
          <w:snapToGrid/>
          <w:color w:val="auto"/>
          <w:kern w:val="2"/>
          <w:sz w:val="24"/>
          <w:szCs w:val="20"/>
          <w:highlight w:val="none"/>
          <w:lang w:val="en-US" w:eastAsia="zh-CN" w:bidi="ar-SA"/>
        </w:rPr>
        <w:t>投标人(盖单位章):</w:t>
      </w:r>
      <w:r>
        <w:rPr>
          <w:rFonts w:ascii="Times New Roman" w:hAnsi="Times New Roman" w:eastAsia="仿宋" w:cs="Times New Roman"/>
          <w:snapToGrid/>
          <w:color w:val="auto"/>
          <w:kern w:val="2"/>
          <w:sz w:val="24"/>
          <w:szCs w:val="20"/>
          <w:highlight w:val="none"/>
          <w:u w:val="single"/>
          <w:lang w:val="en-US" w:eastAsia="zh-CN" w:bidi="ar-SA"/>
        </w:rPr>
        <w:tab/>
      </w:r>
    </w:p>
    <w:p w14:paraId="7457D9DE">
      <w:pPr>
        <w:widowControl w:val="0"/>
        <w:kinsoku/>
        <w:autoSpaceDE/>
        <w:autoSpaceDN/>
        <w:adjustRightInd/>
        <w:snapToGrid/>
        <w:spacing w:line="360" w:lineRule="auto"/>
        <w:jc w:val="both"/>
        <w:textAlignment w:val="auto"/>
        <w:rPr>
          <w:rFonts w:ascii="Times New Roman" w:hAnsi="Times New Roman" w:eastAsia="仿宋" w:cs="Times New Roman"/>
          <w:snapToGrid/>
          <w:color w:val="auto"/>
          <w:kern w:val="2"/>
          <w:sz w:val="24"/>
          <w:szCs w:val="20"/>
          <w:highlight w:val="none"/>
          <w:lang w:val="en-US" w:eastAsia="zh-CN" w:bidi="ar-SA"/>
        </w:rPr>
      </w:pPr>
    </w:p>
    <w:p w14:paraId="69C2F7E9">
      <w:pPr>
        <w:widowControl w:val="0"/>
        <w:kinsoku/>
        <w:autoSpaceDE/>
        <w:autoSpaceDN/>
        <w:adjustRightInd/>
        <w:snapToGrid/>
        <w:spacing w:line="360" w:lineRule="auto"/>
        <w:ind w:left="1080" w:leftChars="257" w:hanging="540"/>
        <w:jc w:val="both"/>
        <w:textAlignment w:val="auto"/>
        <w:rPr>
          <w:rFonts w:ascii="Times New Roman" w:hAnsi="Times New Roman" w:eastAsia="仿宋" w:cs="Times New Roman"/>
          <w:b w:val="0"/>
          <w:bCs w:val="0"/>
          <w:snapToGrid/>
          <w:color w:val="auto"/>
          <w:kern w:val="2"/>
          <w:sz w:val="24"/>
          <w:szCs w:val="20"/>
          <w:highlight w:val="none"/>
          <w:lang w:val="en-US" w:eastAsia="zh-CN" w:bidi="ar-SA"/>
        </w:rPr>
      </w:pPr>
    </w:p>
    <w:p w14:paraId="384B51D5">
      <w:pPr>
        <w:widowControl w:val="0"/>
        <w:kinsoku/>
        <w:autoSpaceDE/>
        <w:autoSpaceDN/>
        <w:adjustRightInd/>
        <w:snapToGrid/>
        <w:spacing w:line="360" w:lineRule="auto"/>
        <w:jc w:val="both"/>
        <w:textAlignment w:val="auto"/>
        <w:rPr>
          <w:rFonts w:ascii="Times New Roman" w:hAnsi="Times New Roman" w:eastAsia="仿宋" w:cs="Times New Roman"/>
          <w:b w:val="0"/>
          <w:bCs w:val="0"/>
          <w:snapToGrid/>
          <w:color w:val="auto"/>
          <w:kern w:val="2"/>
          <w:sz w:val="24"/>
          <w:szCs w:val="20"/>
          <w:highlight w:val="none"/>
          <w:lang w:val="en-US" w:eastAsia="zh-CN" w:bidi="ar-SA"/>
        </w:rPr>
      </w:pPr>
      <w:r>
        <w:rPr>
          <w:rFonts w:hint="eastAsia" w:ascii="Times New Roman" w:hAnsi="Times New Roman" w:eastAsia="仿宋" w:cs="Times New Roman"/>
          <w:b w:val="0"/>
          <w:bCs w:val="0"/>
          <w:snapToGrid/>
          <w:color w:val="auto"/>
          <w:kern w:val="2"/>
          <w:sz w:val="24"/>
          <w:szCs w:val="20"/>
          <w:highlight w:val="none"/>
          <w:lang w:val="en-US" w:eastAsia="zh-CN" w:bidi="ar-SA"/>
        </w:rPr>
        <w:t>1.如果投标人认为需要，每种货物可填写一份该表。</w:t>
      </w:r>
    </w:p>
    <w:p w14:paraId="5776B20C">
      <w:pPr>
        <w:widowControl w:val="0"/>
        <w:kinsoku/>
        <w:autoSpaceDE/>
        <w:autoSpaceDN/>
        <w:adjustRightInd/>
        <w:snapToGrid/>
        <w:spacing w:line="360" w:lineRule="auto"/>
        <w:jc w:val="both"/>
        <w:textAlignment w:val="auto"/>
        <w:rPr>
          <w:rFonts w:ascii="Times New Roman" w:hAnsi="Times New Roman" w:eastAsia="仿宋" w:cs="Times New Roman"/>
          <w:b w:val="0"/>
          <w:bCs w:val="0"/>
          <w:snapToGrid/>
          <w:color w:val="auto"/>
          <w:kern w:val="2"/>
          <w:sz w:val="24"/>
          <w:szCs w:val="20"/>
          <w:highlight w:val="none"/>
          <w:lang w:val="en-US" w:eastAsia="zh-CN" w:bidi="ar-SA"/>
        </w:rPr>
      </w:pPr>
      <w:r>
        <w:rPr>
          <w:rFonts w:hint="eastAsia" w:ascii="Times New Roman" w:hAnsi="Times New Roman" w:eastAsia="仿宋" w:cs="Times New Roman"/>
          <w:b w:val="0"/>
          <w:bCs w:val="0"/>
          <w:snapToGrid/>
          <w:color w:val="auto"/>
          <w:kern w:val="2"/>
          <w:sz w:val="24"/>
          <w:szCs w:val="20"/>
          <w:highlight w:val="none"/>
          <w:lang w:val="en-US" w:eastAsia="zh-CN" w:bidi="ar-SA"/>
        </w:rPr>
        <w:t>2.如果按单价计算的结果与总价不一致,以单价为准修正总价。</w:t>
      </w:r>
    </w:p>
    <w:p w14:paraId="32AB7461">
      <w:pPr>
        <w:widowControl w:val="0"/>
        <w:kinsoku/>
        <w:autoSpaceDE/>
        <w:autoSpaceDN/>
        <w:adjustRightInd/>
        <w:snapToGrid/>
        <w:spacing w:line="360" w:lineRule="auto"/>
        <w:jc w:val="both"/>
        <w:textAlignment w:val="auto"/>
        <w:rPr>
          <w:rFonts w:ascii="Times New Roman" w:hAnsi="Times New Roman" w:eastAsia="仿宋" w:cs="Times New Roman"/>
          <w:b w:val="0"/>
          <w:bCs w:val="0"/>
          <w:snapToGrid/>
          <w:color w:val="auto"/>
          <w:kern w:val="2"/>
          <w:sz w:val="24"/>
          <w:szCs w:val="20"/>
          <w:highlight w:val="none"/>
          <w:lang w:val="en-US" w:eastAsia="zh-CN" w:bidi="ar-SA"/>
        </w:rPr>
      </w:pPr>
      <w:r>
        <w:rPr>
          <w:rFonts w:hint="eastAsia" w:ascii="Times New Roman" w:hAnsi="Times New Roman" w:eastAsia="仿宋" w:cs="Times New Roman"/>
          <w:b w:val="0"/>
          <w:bCs w:val="0"/>
          <w:snapToGrid/>
          <w:color w:val="auto"/>
          <w:kern w:val="2"/>
          <w:sz w:val="24"/>
          <w:szCs w:val="20"/>
          <w:highlight w:val="none"/>
          <w:lang w:val="en-US" w:eastAsia="zh-CN" w:bidi="ar-SA"/>
        </w:rPr>
        <w:t>3.如果不提供详细分项报价将视为没有实质性响应招标文件（名称、型号和规格、数量、制造商名称、单价、总价需全部完整填写）。</w:t>
      </w:r>
    </w:p>
    <w:p w14:paraId="4069D681">
      <w:pPr>
        <w:widowControl w:val="0"/>
        <w:kinsoku/>
        <w:autoSpaceDE/>
        <w:autoSpaceDN/>
        <w:adjustRightInd/>
        <w:snapToGrid/>
        <w:spacing w:line="360" w:lineRule="auto"/>
        <w:jc w:val="both"/>
        <w:textAlignment w:val="auto"/>
        <w:rPr>
          <w:rFonts w:ascii="Times New Roman" w:hAnsi="Times New Roman" w:eastAsia="仿宋" w:cs="Times New Roman"/>
          <w:b w:val="0"/>
          <w:bCs w:val="0"/>
          <w:snapToGrid/>
          <w:color w:val="auto"/>
          <w:kern w:val="2"/>
          <w:sz w:val="24"/>
          <w:szCs w:val="20"/>
          <w:highlight w:val="none"/>
          <w:lang w:val="en-US" w:eastAsia="zh-CN" w:bidi="ar-SA"/>
        </w:rPr>
      </w:pPr>
      <w:r>
        <w:rPr>
          <w:rFonts w:hint="eastAsia" w:ascii="Times New Roman" w:hAnsi="Times New Roman" w:eastAsia="仿宋" w:cs="Times New Roman"/>
          <w:b w:val="0"/>
          <w:bCs w:val="0"/>
          <w:snapToGrid/>
          <w:color w:val="auto"/>
          <w:kern w:val="2"/>
          <w:sz w:val="24"/>
          <w:szCs w:val="20"/>
          <w:highlight w:val="none"/>
          <w:lang w:val="en-US" w:eastAsia="zh-CN" w:bidi="ar-SA"/>
        </w:rPr>
        <w:t>4.如果投标人认为需要，可在不删减原表基础上新增其他内容或另页描述。</w:t>
      </w:r>
    </w:p>
    <w:p w14:paraId="40F85B5C">
      <w:pPr>
        <w:pStyle w:val="15"/>
        <w:rPr>
          <w:rFonts w:hint="eastAsia" w:ascii="仿宋" w:hAnsi="仿宋" w:eastAsia="仿宋" w:cs="仿宋"/>
          <w:b w:val="0"/>
          <w:bCs w:val="0"/>
          <w:color w:val="auto"/>
          <w:sz w:val="21"/>
          <w:highlight w:val="none"/>
        </w:rPr>
      </w:pPr>
      <w:r>
        <w:rPr>
          <w:rFonts w:hint="eastAsia" w:ascii="Times New Roman" w:hAnsi="Times New Roman" w:eastAsia="仿宋" w:cs="Times New Roman"/>
          <w:b w:val="0"/>
          <w:bCs w:val="0"/>
          <w:snapToGrid/>
          <w:color w:val="auto"/>
          <w:kern w:val="2"/>
          <w:sz w:val="24"/>
          <w:szCs w:val="24"/>
          <w:highlight w:val="none"/>
          <w:lang w:val="en-US" w:eastAsia="zh-CN" w:bidi="ar-SA"/>
        </w:rPr>
        <w:t>5.如果开标一览表（报价表）内容与投标文件中明细表内容不一致的，以开标一览表（报价表）内容为准。</w:t>
      </w:r>
    </w:p>
    <w:p w14:paraId="58C5A645">
      <w:pPr>
        <w:pStyle w:val="15"/>
        <w:rPr>
          <w:rFonts w:hint="eastAsia" w:ascii="仿宋" w:hAnsi="仿宋" w:eastAsia="仿宋" w:cs="仿宋"/>
          <w:b w:val="0"/>
          <w:bCs w:val="0"/>
          <w:color w:val="auto"/>
          <w:sz w:val="21"/>
          <w:highlight w:val="none"/>
        </w:rPr>
      </w:pPr>
    </w:p>
    <w:p w14:paraId="6F6DB361">
      <w:pPr>
        <w:spacing w:line="14" w:lineRule="auto"/>
        <w:rPr>
          <w:rFonts w:hint="eastAsia" w:ascii="仿宋" w:hAnsi="仿宋" w:eastAsia="仿宋" w:cs="仿宋"/>
          <w:color w:val="auto"/>
          <w:sz w:val="2"/>
          <w:highlight w:val="none"/>
        </w:rPr>
      </w:pPr>
      <w:r>
        <w:rPr>
          <w:rFonts w:hint="eastAsia" w:ascii="仿宋" w:hAnsi="仿宋" w:eastAsia="仿宋" w:cs="仿宋"/>
          <w:b w:val="0"/>
          <w:bCs w:val="0"/>
          <w:color w:val="auto"/>
          <w:sz w:val="2"/>
          <w:szCs w:val="2"/>
          <w:highlight w:val="none"/>
        </w:rPr>
        <w:br w:type="column"/>
      </w:r>
    </w:p>
    <w:p w14:paraId="6AB97731">
      <w:pPr>
        <w:pStyle w:val="8"/>
        <w:spacing w:before="48" w:line="226" w:lineRule="auto"/>
        <w:jc w:val="center"/>
        <w:outlineLvl w:val="2"/>
        <w:rPr>
          <w:rFonts w:hint="eastAsia" w:ascii="仿宋" w:hAnsi="仿宋" w:eastAsia="仿宋" w:cs="仿宋"/>
          <w:color w:val="auto"/>
          <w:sz w:val="24"/>
          <w:szCs w:val="24"/>
          <w:highlight w:val="none"/>
        </w:rPr>
      </w:pPr>
      <w:bookmarkStart w:id="186" w:name="bookmark64"/>
      <w:bookmarkEnd w:id="186"/>
      <w:bookmarkStart w:id="187" w:name="_Toc27984"/>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4货物说明一览表（投标文件格式八）</w:t>
      </w:r>
      <w:bookmarkEnd w:id="187"/>
    </w:p>
    <w:p w14:paraId="3F12D846">
      <w:pPr>
        <w:spacing w:line="314" w:lineRule="auto"/>
        <w:rPr>
          <w:rFonts w:hint="eastAsia" w:ascii="仿宋" w:hAnsi="仿宋" w:eastAsia="仿宋" w:cs="仿宋"/>
          <w:color w:val="auto"/>
          <w:sz w:val="21"/>
          <w:highlight w:val="none"/>
        </w:rPr>
      </w:pPr>
    </w:p>
    <w:p w14:paraId="548DA80E">
      <w:pPr>
        <w:spacing w:line="314" w:lineRule="auto"/>
        <w:rPr>
          <w:rFonts w:hint="eastAsia" w:ascii="仿宋" w:hAnsi="仿宋" w:eastAsia="仿宋" w:cs="仿宋"/>
          <w:color w:val="auto"/>
          <w:sz w:val="21"/>
          <w:highlight w:val="none"/>
        </w:rPr>
      </w:pPr>
    </w:p>
    <w:p w14:paraId="6836003B">
      <w:pPr>
        <w:pStyle w:val="8"/>
        <w:spacing w:before="78" w:line="360" w:lineRule="auto"/>
        <w:ind w:left="664"/>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项目名称:</w:t>
      </w:r>
    </w:p>
    <w:p w14:paraId="29AB071D">
      <w:pPr>
        <w:pStyle w:val="8"/>
        <w:spacing w:line="360" w:lineRule="auto"/>
        <w:ind w:left="666"/>
        <w:rPr>
          <w:rFonts w:hint="eastAsia" w:ascii="仿宋" w:hAnsi="仿宋" w:eastAsia="仿宋" w:cs="仿宋"/>
          <w:color w:val="auto"/>
          <w:sz w:val="21"/>
          <w:highlight w:val="none"/>
        </w:rPr>
      </w:pPr>
      <w:r>
        <w:rPr>
          <w:rFonts w:hint="eastAsia" w:ascii="仿宋" w:hAnsi="仿宋" w:eastAsia="仿宋" w:cs="仿宋"/>
          <w:color w:val="auto"/>
          <w:spacing w:val="-3"/>
          <w:sz w:val="24"/>
          <w:szCs w:val="24"/>
          <w:highlight w:val="none"/>
          <w:lang w:eastAsia="zh-CN"/>
        </w:rPr>
        <w:t>项目编号</w:t>
      </w:r>
      <w:r>
        <w:rPr>
          <w:rFonts w:hint="eastAsia" w:ascii="仿宋" w:hAnsi="仿宋" w:eastAsia="仿宋" w:cs="仿宋"/>
          <w:color w:val="auto"/>
          <w:spacing w:val="-3"/>
          <w:sz w:val="24"/>
          <w:szCs w:val="24"/>
          <w:highlight w:val="none"/>
        </w:rPr>
        <w:t>:</w:t>
      </w:r>
    </w:p>
    <w:p w14:paraId="0434C52D">
      <w:pPr>
        <w:pStyle w:val="8"/>
        <w:spacing w:before="78" w:line="360" w:lineRule="auto"/>
        <w:ind w:firstLine="672" w:firstLineChars="300"/>
        <w:rPr>
          <w:rFonts w:hint="eastAsia" w:ascii="仿宋" w:hAnsi="仿宋" w:eastAsia="仿宋" w:cs="仿宋"/>
          <w:color w:val="auto"/>
          <w:sz w:val="24"/>
          <w:szCs w:val="24"/>
          <w:highlight w:val="none"/>
        </w:rPr>
        <w:sectPr>
          <w:footerReference r:id="rId29" w:type="default"/>
          <w:type w:val="continuous"/>
          <w:pgSz w:w="11905" w:h="16838"/>
          <w:pgMar w:top="1440" w:right="1083" w:bottom="1440" w:left="1083" w:header="0" w:footer="1225" w:gutter="0"/>
          <w:pgNumType w:fmt="decimal"/>
          <w:cols w:space="0" w:num="1"/>
          <w:rtlGutter w:val="0"/>
          <w:docGrid w:linePitch="0" w:charSpace="0"/>
        </w:sectPr>
      </w:pPr>
      <w:r>
        <w:rPr>
          <w:rFonts w:hint="eastAsia" w:ascii="仿宋" w:hAnsi="仿宋" w:eastAsia="仿宋" w:cs="仿宋"/>
          <w:color w:val="auto"/>
          <w:spacing w:val="-8"/>
          <w:sz w:val="24"/>
          <w:szCs w:val="24"/>
          <w:highlight w:val="none"/>
          <w:lang w:eastAsia="zh-CN"/>
        </w:rPr>
        <w:t>标项</w:t>
      </w:r>
      <w:r>
        <w:rPr>
          <w:rFonts w:hint="eastAsia" w:ascii="仿宋" w:hAnsi="仿宋" w:eastAsia="仿宋" w:cs="仿宋"/>
          <w:color w:val="auto"/>
          <w:spacing w:val="-8"/>
          <w:sz w:val="24"/>
          <w:szCs w:val="24"/>
          <w:highlight w:val="none"/>
        </w:rPr>
        <w:t>:</w:t>
      </w:r>
    </w:p>
    <w:p w14:paraId="03A73E17">
      <w:pPr>
        <w:spacing w:before="240"/>
        <w:rPr>
          <w:rFonts w:hint="eastAsia" w:ascii="仿宋" w:hAnsi="仿宋" w:eastAsia="仿宋" w:cs="仿宋"/>
          <w:color w:val="auto"/>
          <w:highlight w:val="none"/>
        </w:rPr>
      </w:pPr>
    </w:p>
    <w:tbl>
      <w:tblPr>
        <w:tblStyle w:val="25"/>
        <w:tblW w:w="85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1548"/>
        <w:gridCol w:w="1406"/>
        <w:gridCol w:w="1268"/>
        <w:gridCol w:w="1688"/>
        <w:gridCol w:w="1554"/>
      </w:tblGrid>
      <w:tr w14:paraId="4B983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133" w:type="dxa"/>
            <w:vAlign w:val="top"/>
          </w:tcPr>
          <w:p w14:paraId="0304418D">
            <w:pPr>
              <w:spacing w:before="241" w:line="225" w:lineRule="auto"/>
              <w:ind w:left="246"/>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548" w:type="dxa"/>
            <w:vAlign w:val="top"/>
          </w:tcPr>
          <w:p w14:paraId="7537D58C">
            <w:pPr>
              <w:spacing w:before="241" w:line="226" w:lineRule="auto"/>
              <w:ind w:left="185"/>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货物名称</w:t>
            </w:r>
          </w:p>
        </w:tc>
        <w:tc>
          <w:tcPr>
            <w:tcW w:w="1406" w:type="dxa"/>
            <w:vAlign w:val="top"/>
          </w:tcPr>
          <w:p w14:paraId="5BA4F3CC">
            <w:pPr>
              <w:spacing w:before="241" w:line="228" w:lineRule="auto"/>
              <w:ind w:left="128"/>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主要规格</w:t>
            </w:r>
          </w:p>
        </w:tc>
        <w:tc>
          <w:tcPr>
            <w:tcW w:w="1268" w:type="dxa"/>
            <w:vAlign w:val="top"/>
          </w:tcPr>
          <w:p w14:paraId="4ACF5740">
            <w:pPr>
              <w:spacing w:before="242" w:line="234" w:lineRule="auto"/>
              <w:ind w:left="303"/>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数量</w:t>
            </w:r>
          </w:p>
        </w:tc>
        <w:tc>
          <w:tcPr>
            <w:tcW w:w="1688" w:type="dxa"/>
            <w:vAlign w:val="top"/>
          </w:tcPr>
          <w:p w14:paraId="33DE4773">
            <w:pPr>
              <w:spacing w:before="241" w:line="226" w:lineRule="auto"/>
              <w:ind w:left="252"/>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lang w:val="en-US" w:eastAsia="zh-CN"/>
              </w:rPr>
              <w:t>配送</w:t>
            </w:r>
            <w:r>
              <w:rPr>
                <w:rFonts w:hint="eastAsia" w:ascii="仿宋" w:hAnsi="仿宋" w:eastAsia="仿宋" w:cs="仿宋"/>
                <w:color w:val="auto"/>
                <w:spacing w:val="-5"/>
                <w:sz w:val="24"/>
                <w:szCs w:val="24"/>
                <w:highlight w:val="none"/>
              </w:rPr>
              <w:t>地点</w:t>
            </w:r>
          </w:p>
        </w:tc>
        <w:tc>
          <w:tcPr>
            <w:tcW w:w="1554" w:type="dxa"/>
            <w:vAlign w:val="top"/>
          </w:tcPr>
          <w:p w14:paraId="792A84CB">
            <w:pPr>
              <w:spacing w:before="241" w:line="225" w:lineRule="auto"/>
              <w:ind w:left="430"/>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其它</w:t>
            </w:r>
          </w:p>
        </w:tc>
      </w:tr>
      <w:tr w14:paraId="3FF28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1133" w:type="dxa"/>
            <w:vAlign w:val="top"/>
          </w:tcPr>
          <w:p w14:paraId="2E4A8655">
            <w:pPr>
              <w:pStyle w:val="26"/>
              <w:rPr>
                <w:rFonts w:hint="eastAsia" w:ascii="仿宋" w:hAnsi="仿宋" w:eastAsia="仿宋" w:cs="仿宋"/>
                <w:color w:val="auto"/>
                <w:highlight w:val="none"/>
              </w:rPr>
            </w:pPr>
          </w:p>
        </w:tc>
        <w:tc>
          <w:tcPr>
            <w:tcW w:w="1548" w:type="dxa"/>
            <w:vAlign w:val="top"/>
          </w:tcPr>
          <w:p w14:paraId="2D899DDB">
            <w:pPr>
              <w:pStyle w:val="26"/>
              <w:rPr>
                <w:rFonts w:hint="eastAsia" w:ascii="仿宋" w:hAnsi="仿宋" w:eastAsia="仿宋" w:cs="仿宋"/>
                <w:color w:val="auto"/>
                <w:highlight w:val="none"/>
              </w:rPr>
            </w:pPr>
          </w:p>
        </w:tc>
        <w:tc>
          <w:tcPr>
            <w:tcW w:w="1406" w:type="dxa"/>
            <w:vAlign w:val="top"/>
          </w:tcPr>
          <w:p w14:paraId="1C3DDC52">
            <w:pPr>
              <w:pStyle w:val="26"/>
              <w:rPr>
                <w:rFonts w:hint="eastAsia" w:ascii="仿宋" w:hAnsi="仿宋" w:eastAsia="仿宋" w:cs="仿宋"/>
                <w:color w:val="auto"/>
                <w:highlight w:val="none"/>
              </w:rPr>
            </w:pPr>
          </w:p>
        </w:tc>
        <w:tc>
          <w:tcPr>
            <w:tcW w:w="1268" w:type="dxa"/>
            <w:vAlign w:val="top"/>
          </w:tcPr>
          <w:p w14:paraId="12386E38">
            <w:pPr>
              <w:pStyle w:val="26"/>
              <w:rPr>
                <w:rFonts w:hint="eastAsia" w:ascii="仿宋" w:hAnsi="仿宋" w:eastAsia="仿宋" w:cs="仿宋"/>
                <w:color w:val="auto"/>
                <w:highlight w:val="none"/>
              </w:rPr>
            </w:pPr>
          </w:p>
        </w:tc>
        <w:tc>
          <w:tcPr>
            <w:tcW w:w="1688" w:type="dxa"/>
            <w:vAlign w:val="top"/>
          </w:tcPr>
          <w:p w14:paraId="4432E3DA">
            <w:pPr>
              <w:pStyle w:val="26"/>
              <w:rPr>
                <w:rFonts w:hint="eastAsia" w:ascii="仿宋" w:hAnsi="仿宋" w:eastAsia="仿宋" w:cs="仿宋"/>
                <w:color w:val="auto"/>
                <w:highlight w:val="none"/>
              </w:rPr>
            </w:pPr>
          </w:p>
        </w:tc>
        <w:tc>
          <w:tcPr>
            <w:tcW w:w="1554" w:type="dxa"/>
            <w:vAlign w:val="top"/>
          </w:tcPr>
          <w:p w14:paraId="4E417725">
            <w:pPr>
              <w:pStyle w:val="26"/>
              <w:rPr>
                <w:rFonts w:hint="eastAsia" w:ascii="仿宋" w:hAnsi="仿宋" w:eastAsia="仿宋" w:cs="仿宋"/>
                <w:color w:val="auto"/>
                <w:highlight w:val="none"/>
              </w:rPr>
            </w:pPr>
          </w:p>
        </w:tc>
      </w:tr>
      <w:tr w14:paraId="38C4C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Align w:val="top"/>
          </w:tcPr>
          <w:p w14:paraId="0B2E6FB3">
            <w:pPr>
              <w:pStyle w:val="26"/>
              <w:rPr>
                <w:rFonts w:hint="eastAsia" w:ascii="仿宋" w:hAnsi="仿宋" w:eastAsia="仿宋" w:cs="仿宋"/>
                <w:color w:val="auto"/>
                <w:highlight w:val="none"/>
              </w:rPr>
            </w:pPr>
          </w:p>
        </w:tc>
        <w:tc>
          <w:tcPr>
            <w:tcW w:w="1548" w:type="dxa"/>
            <w:vAlign w:val="top"/>
          </w:tcPr>
          <w:p w14:paraId="5B5E4116">
            <w:pPr>
              <w:pStyle w:val="26"/>
              <w:rPr>
                <w:rFonts w:hint="eastAsia" w:ascii="仿宋" w:hAnsi="仿宋" w:eastAsia="仿宋" w:cs="仿宋"/>
                <w:color w:val="auto"/>
                <w:highlight w:val="none"/>
              </w:rPr>
            </w:pPr>
          </w:p>
        </w:tc>
        <w:tc>
          <w:tcPr>
            <w:tcW w:w="1406" w:type="dxa"/>
            <w:vAlign w:val="top"/>
          </w:tcPr>
          <w:p w14:paraId="4C0DE8FC">
            <w:pPr>
              <w:pStyle w:val="26"/>
              <w:rPr>
                <w:rFonts w:hint="eastAsia" w:ascii="仿宋" w:hAnsi="仿宋" w:eastAsia="仿宋" w:cs="仿宋"/>
                <w:color w:val="auto"/>
                <w:highlight w:val="none"/>
              </w:rPr>
            </w:pPr>
          </w:p>
        </w:tc>
        <w:tc>
          <w:tcPr>
            <w:tcW w:w="1268" w:type="dxa"/>
            <w:vAlign w:val="top"/>
          </w:tcPr>
          <w:p w14:paraId="41E197F7">
            <w:pPr>
              <w:pStyle w:val="26"/>
              <w:rPr>
                <w:rFonts w:hint="eastAsia" w:ascii="仿宋" w:hAnsi="仿宋" w:eastAsia="仿宋" w:cs="仿宋"/>
                <w:color w:val="auto"/>
                <w:highlight w:val="none"/>
              </w:rPr>
            </w:pPr>
          </w:p>
        </w:tc>
        <w:tc>
          <w:tcPr>
            <w:tcW w:w="1688" w:type="dxa"/>
            <w:vAlign w:val="top"/>
          </w:tcPr>
          <w:p w14:paraId="3587E73C">
            <w:pPr>
              <w:pStyle w:val="26"/>
              <w:rPr>
                <w:rFonts w:hint="eastAsia" w:ascii="仿宋" w:hAnsi="仿宋" w:eastAsia="仿宋" w:cs="仿宋"/>
                <w:color w:val="auto"/>
                <w:highlight w:val="none"/>
              </w:rPr>
            </w:pPr>
          </w:p>
        </w:tc>
        <w:tc>
          <w:tcPr>
            <w:tcW w:w="1554" w:type="dxa"/>
            <w:vAlign w:val="top"/>
          </w:tcPr>
          <w:p w14:paraId="60803575">
            <w:pPr>
              <w:pStyle w:val="26"/>
              <w:rPr>
                <w:rFonts w:hint="eastAsia" w:ascii="仿宋" w:hAnsi="仿宋" w:eastAsia="仿宋" w:cs="仿宋"/>
                <w:color w:val="auto"/>
                <w:highlight w:val="none"/>
              </w:rPr>
            </w:pPr>
          </w:p>
        </w:tc>
      </w:tr>
      <w:tr w14:paraId="032EA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1133" w:type="dxa"/>
            <w:vAlign w:val="top"/>
          </w:tcPr>
          <w:p w14:paraId="618AD467">
            <w:pPr>
              <w:pStyle w:val="26"/>
              <w:rPr>
                <w:rFonts w:hint="eastAsia" w:ascii="仿宋" w:hAnsi="仿宋" w:eastAsia="仿宋" w:cs="仿宋"/>
                <w:color w:val="auto"/>
                <w:highlight w:val="none"/>
              </w:rPr>
            </w:pPr>
          </w:p>
        </w:tc>
        <w:tc>
          <w:tcPr>
            <w:tcW w:w="1548" w:type="dxa"/>
            <w:vAlign w:val="top"/>
          </w:tcPr>
          <w:p w14:paraId="5F0F6F49">
            <w:pPr>
              <w:pStyle w:val="26"/>
              <w:rPr>
                <w:rFonts w:hint="eastAsia" w:ascii="仿宋" w:hAnsi="仿宋" w:eastAsia="仿宋" w:cs="仿宋"/>
                <w:color w:val="auto"/>
                <w:highlight w:val="none"/>
              </w:rPr>
            </w:pPr>
          </w:p>
        </w:tc>
        <w:tc>
          <w:tcPr>
            <w:tcW w:w="1406" w:type="dxa"/>
            <w:vAlign w:val="top"/>
          </w:tcPr>
          <w:p w14:paraId="6C176CD6">
            <w:pPr>
              <w:pStyle w:val="26"/>
              <w:rPr>
                <w:rFonts w:hint="eastAsia" w:ascii="仿宋" w:hAnsi="仿宋" w:eastAsia="仿宋" w:cs="仿宋"/>
                <w:color w:val="auto"/>
                <w:highlight w:val="none"/>
              </w:rPr>
            </w:pPr>
          </w:p>
        </w:tc>
        <w:tc>
          <w:tcPr>
            <w:tcW w:w="1268" w:type="dxa"/>
            <w:vAlign w:val="top"/>
          </w:tcPr>
          <w:p w14:paraId="6E749ECA">
            <w:pPr>
              <w:pStyle w:val="26"/>
              <w:rPr>
                <w:rFonts w:hint="eastAsia" w:ascii="仿宋" w:hAnsi="仿宋" w:eastAsia="仿宋" w:cs="仿宋"/>
                <w:color w:val="auto"/>
                <w:highlight w:val="none"/>
              </w:rPr>
            </w:pPr>
          </w:p>
        </w:tc>
        <w:tc>
          <w:tcPr>
            <w:tcW w:w="1688" w:type="dxa"/>
            <w:vAlign w:val="top"/>
          </w:tcPr>
          <w:p w14:paraId="5F794D56">
            <w:pPr>
              <w:pStyle w:val="26"/>
              <w:rPr>
                <w:rFonts w:hint="eastAsia" w:ascii="仿宋" w:hAnsi="仿宋" w:eastAsia="仿宋" w:cs="仿宋"/>
                <w:color w:val="auto"/>
                <w:highlight w:val="none"/>
              </w:rPr>
            </w:pPr>
          </w:p>
        </w:tc>
        <w:tc>
          <w:tcPr>
            <w:tcW w:w="1554" w:type="dxa"/>
            <w:vAlign w:val="top"/>
          </w:tcPr>
          <w:p w14:paraId="1D37723F">
            <w:pPr>
              <w:pStyle w:val="26"/>
              <w:rPr>
                <w:rFonts w:hint="eastAsia" w:ascii="仿宋" w:hAnsi="仿宋" w:eastAsia="仿宋" w:cs="仿宋"/>
                <w:color w:val="auto"/>
                <w:highlight w:val="none"/>
              </w:rPr>
            </w:pPr>
          </w:p>
        </w:tc>
      </w:tr>
      <w:tr w14:paraId="01F31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33" w:type="dxa"/>
            <w:vAlign w:val="top"/>
          </w:tcPr>
          <w:p w14:paraId="0C995628">
            <w:pPr>
              <w:pStyle w:val="26"/>
              <w:rPr>
                <w:rFonts w:hint="eastAsia" w:ascii="仿宋" w:hAnsi="仿宋" w:eastAsia="仿宋" w:cs="仿宋"/>
                <w:color w:val="auto"/>
                <w:highlight w:val="none"/>
              </w:rPr>
            </w:pPr>
          </w:p>
        </w:tc>
        <w:tc>
          <w:tcPr>
            <w:tcW w:w="1548" w:type="dxa"/>
            <w:vAlign w:val="top"/>
          </w:tcPr>
          <w:p w14:paraId="7BFB54B0">
            <w:pPr>
              <w:pStyle w:val="26"/>
              <w:rPr>
                <w:rFonts w:hint="eastAsia" w:ascii="仿宋" w:hAnsi="仿宋" w:eastAsia="仿宋" w:cs="仿宋"/>
                <w:color w:val="auto"/>
                <w:highlight w:val="none"/>
              </w:rPr>
            </w:pPr>
          </w:p>
        </w:tc>
        <w:tc>
          <w:tcPr>
            <w:tcW w:w="1406" w:type="dxa"/>
            <w:vAlign w:val="top"/>
          </w:tcPr>
          <w:p w14:paraId="1E1E42B8">
            <w:pPr>
              <w:pStyle w:val="26"/>
              <w:rPr>
                <w:rFonts w:hint="eastAsia" w:ascii="仿宋" w:hAnsi="仿宋" w:eastAsia="仿宋" w:cs="仿宋"/>
                <w:color w:val="auto"/>
                <w:highlight w:val="none"/>
              </w:rPr>
            </w:pPr>
          </w:p>
        </w:tc>
        <w:tc>
          <w:tcPr>
            <w:tcW w:w="1268" w:type="dxa"/>
            <w:vAlign w:val="top"/>
          </w:tcPr>
          <w:p w14:paraId="2246718F">
            <w:pPr>
              <w:pStyle w:val="26"/>
              <w:rPr>
                <w:rFonts w:hint="eastAsia" w:ascii="仿宋" w:hAnsi="仿宋" w:eastAsia="仿宋" w:cs="仿宋"/>
                <w:color w:val="auto"/>
                <w:highlight w:val="none"/>
              </w:rPr>
            </w:pPr>
          </w:p>
        </w:tc>
        <w:tc>
          <w:tcPr>
            <w:tcW w:w="1688" w:type="dxa"/>
            <w:vAlign w:val="top"/>
          </w:tcPr>
          <w:p w14:paraId="65BF5E13">
            <w:pPr>
              <w:pStyle w:val="26"/>
              <w:rPr>
                <w:rFonts w:hint="eastAsia" w:ascii="仿宋" w:hAnsi="仿宋" w:eastAsia="仿宋" w:cs="仿宋"/>
                <w:color w:val="auto"/>
                <w:highlight w:val="none"/>
              </w:rPr>
            </w:pPr>
          </w:p>
        </w:tc>
        <w:tc>
          <w:tcPr>
            <w:tcW w:w="1554" w:type="dxa"/>
            <w:vAlign w:val="top"/>
          </w:tcPr>
          <w:p w14:paraId="2B446F8D">
            <w:pPr>
              <w:pStyle w:val="26"/>
              <w:rPr>
                <w:rFonts w:hint="eastAsia" w:ascii="仿宋" w:hAnsi="仿宋" w:eastAsia="仿宋" w:cs="仿宋"/>
                <w:color w:val="auto"/>
                <w:highlight w:val="none"/>
              </w:rPr>
            </w:pPr>
          </w:p>
        </w:tc>
      </w:tr>
      <w:tr w14:paraId="66663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jc w:val="center"/>
        </w:trPr>
        <w:tc>
          <w:tcPr>
            <w:tcW w:w="1133" w:type="dxa"/>
            <w:vAlign w:val="top"/>
          </w:tcPr>
          <w:p w14:paraId="4C1AE520">
            <w:pPr>
              <w:pStyle w:val="26"/>
              <w:rPr>
                <w:rFonts w:hint="eastAsia" w:ascii="仿宋" w:hAnsi="仿宋" w:eastAsia="仿宋" w:cs="仿宋"/>
                <w:color w:val="auto"/>
                <w:highlight w:val="none"/>
              </w:rPr>
            </w:pPr>
          </w:p>
        </w:tc>
        <w:tc>
          <w:tcPr>
            <w:tcW w:w="1548" w:type="dxa"/>
            <w:vAlign w:val="top"/>
          </w:tcPr>
          <w:p w14:paraId="71271AA5">
            <w:pPr>
              <w:pStyle w:val="26"/>
              <w:rPr>
                <w:rFonts w:hint="eastAsia" w:ascii="仿宋" w:hAnsi="仿宋" w:eastAsia="仿宋" w:cs="仿宋"/>
                <w:color w:val="auto"/>
                <w:highlight w:val="none"/>
              </w:rPr>
            </w:pPr>
          </w:p>
        </w:tc>
        <w:tc>
          <w:tcPr>
            <w:tcW w:w="1406" w:type="dxa"/>
            <w:vAlign w:val="top"/>
          </w:tcPr>
          <w:p w14:paraId="5884EC6A">
            <w:pPr>
              <w:pStyle w:val="26"/>
              <w:rPr>
                <w:rFonts w:hint="eastAsia" w:ascii="仿宋" w:hAnsi="仿宋" w:eastAsia="仿宋" w:cs="仿宋"/>
                <w:color w:val="auto"/>
                <w:highlight w:val="none"/>
              </w:rPr>
            </w:pPr>
          </w:p>
        </w:tc>
        <w:tc>
          <w:tcPr>
            <w:tcW w:w="1268" w:type="dxa"/>
            <w:vAlign w:val="top"/>
          </w:tcPr>
          <w:p w14:paraId="33956C3F">
            <w:pPr>
              <w:pStyle w:val="26"/>
              <w:rPr>
                <w:rFonts w:hint="eastAsia" w:ascii="仿宋" w:hAnsi="仿宋" w:eastAsia="仿宋" w:cs="仿宋"/>
                <w:color w:val="auto"/>
                <w:highlight w:val="none"/>
              </w:rPr>
            </w:pPr>
          </w:p>
        </w:tc>
        <w:tc>
          <w:tcPr>
            <w:tcW w:w="1688" w:type="dxa"/>
            <w:vAlign w:val="top"/>
          </w:tcPr>
          <w:p w14:paraId="67F164F2">
            <w:pPr>
              <w:pStyle w:val="26"/>
              <w:rPr>
                <w:rFonts w:hint="eastAsia" w:ascii="仿宋" w:hAnsi="仿宋" w:eastAsia="仿宋" w:cs="仿宋"/>
                <w:color w:val="auto"/>
                <w:highlight w:val="none"/>
              </w:rPr>
            </w:pPr>
          </w:p>
        </w:tc>
        <w:tc>
          <w:tcPr>
            <w:tcW w:w="1554" w:type="dxa"/>
            <w:vAlign w:val="top"/>
          </w:tcPr>
          <w:p w14:paraId="1093DEF5">
            <w:pPr>
              <w:pStyle w:val="26"/>
              <w:rPr>
                <w:rFonts w:hint="eastAsia" w:ascii="仿宋" w:hAnsi="仿宋" w:eastAsia="仿宋" w:cs="仿宋"/>
                <w:color w:val="auto"/>
                <w:highlight w:val="none"/>
              </w:rPr>
            </w:pPr>
          </w:p>
        </w:tc>
      </w:tr>
      <w:tr w14:paraId="68B04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Align w:val="top"/>
          </w:tcPr>
          <w:p w14:paraId="028C7135">
            <w:pPr>
              <w:pStyle w:val="26"/>
              <w:rPr>
                <w:rFonts w:hint="eastAsia" w:ascii="仿宋" w:hAnsi="仿宋" w:eastAsia="仿宋" w:cs="仿宋"/>
                <w:color w:val="auto"/>
                <w:highlight w:val="none"/>
              </w:rPr>
            </w:pPr>
          </w:p>
        </w:tc>
        <w:tc>
          <w:tcPr>
            <w:tcW w:w="1548" w:type="dxa"/>
            <w:vAlign w:val="top"/>
          </w:tcPr>
          <w:p w14:paraId="07879765">
            <w:pPr>
              <w:pStyle w:val="26"/>
              <w:rPr>
                <w:rFonts w:hint="eastAsia" w:ascii="仿宋" w:hAnsi="仿宋" w:eastAsia="仿宋" w:cs="仿宋"/>
                <w:color w:val="auto"/>
                <w:highlight w:val="none"/>
              </w:rPr>
            </w:pPr>
          </w:p>
        </w:tc>
        <w:tc>
          <w:tcPr>
            <w:tcW w:w="1406" w:type="dxa"/>
            <w:vAlign w:val="top"/>
          </w:tcPr>
          <w:p w14:paraId="60ABD1E4">
            <w:pPr>
              <w:pStyle w:val="26"/>
              <w:rPr>
                <w:rFonts w:hint="eastAsia" w:ascii="仿宋" w:hAnsi="仿宋" w:eastAsia="仿宋" w:cs="仿宋"/>
                <w:color w:val="auto"/>
                <w:highlight w:val="none"/>
              </w:rPr>
            </w:pPr>
          </w:p>
        </w:tc>
        <w:tc>
          <w:tcPr>
            <w:tcW w:w="1268" w:type="dxa"/>
            <w:vAlign w:val="top"/>
          </w:tcPr>
          <w:p w14:paraId="682DEF28">
            <w:pPr>
              <w:pStyle w:val="26"/>
              <w:rPr>
                <w:rFonts w:hint="eastAsia" w:ascii="仿宋" w:hAnsi="仿宋" w:eastAsia="仿宋" w:cs="仿宋"/>
                <w:color w:val="auto"/>
                <w:highlight w:val="none"/>
              </w:rPr>
            </w:pPr>
          </w:p>
        </w:tc>
        <w:tc>
          <w:tcPr>
            <w:tcW w:w="1688" w:type="dxa"/>
            <w:vAlign w:val="top"/>
          </w:tcPr>
          <w:p w14:paraId="69160CA2">
            <w:pPr>
              <w:pStyle w:val="26"/>
              <w:rPr>
                <w:rFonts w:hint="eastAsia" w:ascii="仿宋" w:hAnsi="仿宋" w:eastAsia="仿宋" w:cs="仿宋"/>
                <w:color w:val="auto"/>
                <w:highlight w:val="none"/>
              </w:rPr>
            </w:pPr>
          </w:p>
        </w:tc>
        <w:tc>
          <w:tcPr>
            <w:tcW w:w="1554" w:type="dxa"/>
            <w:vAlign w:val="top"/>
          </w:tcPr>
          <w:p w14:paraId="46798379">
            <w:pPr>
              <w:pStyle w:val="26"/>
              <w:rPr>
                <w:rFonts w:hint="eastAsia" w:ascii="仿宋" w:hAnsi="仿宋" w:eastAsia="仿宋" w:cs="仿宋"/>
                <w:color w:val="auto"/>
                <w:highlight w:val="none"/>
              </w:rPr>
            </w:pPr>
          </w:p>
        </w:tc>
      </w:tr>
      <w:tr w14:paraId="43809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33" w:type="dxa"/>
            <w:vAlign w:val="top"/>
          </w:tcPr>
          <w:p w14:paraId="33DEE139">
            <w:pPr>
              <w:pStyle w:val="26"/>
              <w:rPr>
                <w:rFonts w:hint="eastAsia" w:ascii="仿宋" w:hAnsi="仿宋" w:eastAsia="仿宋" w:cs="仿宋"/>
                <w:color w:val="auto"/>
                <w:highlight w:val="none"/>
              </w:rPr>
            </w:pPr>
          </w:p>
        </w:tc>
        <w:tc>
          <w:tcPr>
            <w:tcW w:w="1548" w:type="dxa"/>
            <w:vAlign w:val="top"/>
          </w:tcPr>
          <w:p w14:paraId="78EFD7D5">
            <w:pPr>
              <w:pStyle w:val="26"/>
              <w:rPr>
                <w:rFonts w:hint="eastAsia" w:ascii="仿宋" w:hAnsi="仿宋" w:eastAsia="仿宋" w:cs="仿宋"/>
                <w:color w:val="auto"/>
                <w:highlight w:val="none"/>
              </w:rPr>
            </w:pPr>
          </w:p>
        </w:tc>
        <w:tc>
          <w:tcPr>
            <w:tcW w:w="1406" w:type="dxa"/>
            <w:vAlign w:val="top"/>
          </w:tcPr>
          <w:p w14:paraId="45E807DB">
            <w:pPr>
              <w:pStyle w:val="26"/>
              <w:rPr>
                <w:rFonts w:hint="eastAsia" w:ascii="仿宋" w:hAnsi="仿宋" w:eastAsia="仿宋" w:cs="仿宋"/>
                <w:color w:val="auto"/>
                <w:highlight w:val="none"/>
              </w:rPr>
            </w:pPr>
          </w:p>
        </w:tc>
        <w:tc>
          <w:tcPr>
            <w:tcW w:w="1268" w:type="dxa"/>
            <w:vAlign w:val="top"/>
          </w:tcPr>
          <w:p w14:paraId="60C42860">
            <w:pPr>
              <w:pStyle w:val="26"/>
              <w:rPr>
                <w:rFonts w:hint="eastAsia" w:ascii="仿宋" w:hAnsi="仿宋" w:eastAsia="仿宋" w:cs="仿宋"/>
                <w:color w:val="auto"/>
                <w:highlight w:val="none"/>
              </w:rPr>
            </w:pPr>
          </w:p>
        </w:tc>
        <w:tc>
          <w:tcPr>
            <w:tcW w:w="1688" w:type="dxa"/>
            <w:vAlign w:val="top"/>
          </w:tcPr>
          <w:p w14:paraId="50A34AB5">
            <w:pPr>
              <w:pStyle w:val="26"/>
              <w:rPr>
                <w:rFonts w:hint="eastAsia" w:ascii="仿宋" w:hAnsi="仿宋" w:eastAsia="仿宋" w:cs="仿宋"/>
                <w:color w:val="auto"/>
                <w:highlight w:val="none"/>
              </w:rPr>
            </w:pPr>
          </w:p>
        </w:tc>
        <w:tc>
          <w:tcPr>
            <w:tcW w:w="1554" w:type="dxa"/>
            <w:vAlign w:val="top"/>
          </w:tcPr>
          <w:p w14:paraId="5040C398">
            <w:pPr>
              <w:pStyle w:val="26"/>
              <w:rPr>
                <w:rFonts w:hint="eastAsia" w:ascii="仿宋" w:hAnsi="仿宋" w:eastAsia="仿宋" w:cs="仿宋"/>
                <w:color w:val="auto"/>
                <w:highlight w:val="none"/>
              </w:rPr>
            </w:pPr>
          </w:p>
        </w:tc>
      </w:tr>
      <w:tr w14:paraId="61A5E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133" w:type="dxa"/>
            <w:vAlign w:val="top"/>
          </w:tcPr>
          <w:p w14:paraId="205130AF">
            <w:pPr>
              <w:pStyle w:val="26"/>
              <w:rPr>
                <w:rFonts w:hint="eastAsia" w:ascii="仿宋" w:hAnsi="仿宋" w:eastAsia="仿宋" w:cs="仿宋"/>
                <w:color w:val="auto"/>
                <w:highlight w:val="none"/>
              </w:rPr>
            </w:pPr>
          </w:p>
        </w:tc>
        <w:tc>
          <w:tcPr>
            <w:tcW w:w="1548" w:type="dxa"/>
            <w:vAlign w:val="top"/>
          </w:tcPr>
          <w:p w14:paraId="4F77EDDA">
            <w:pPr>
              <w:pStyle w:val="26"/>
              <w:rPr>
                <w:rFonts w:hint="eastAsia" w:ascii="仿宋" w:hAnsi="仿宋" w:eastAsia="仿宋" w:cs="仿宋"/>
                <w:color w:val="auto"/>
                <w:highlight w:val="none"/>
              </w:rPr>
            </w:pPr>
          </w:p>
        </w:tc>
        <w:tc>
          <w:tcPr>
            <w:tcW w:w="1406" w:type="dxa"/>
            <w:vAlign w:val="top"/>
          </w:tcPr>
          <w:p w14:paraId="5C88BA40">
            <w:pPr>
              <w:pStyle w:val="26"/>
              <w:rPr>
                <w:rFonts w:hint="eastAsia" w:ascii="仿宋" w:hAnsi="仿宋" w:eastAsia="仿宋" w:cs="仿宋"/>
                <w:color w:val="auto"/>
                <w:highlight w:val="none"/>
              </w:rPr>
            </w:pPr>
          </w:p>
        </w:tc>
        <w:tc>
          <w:tcPr>
            <w:tcW w:w="1268" w:type="dxa"/>
            <w:vAlign w:val="top"/>
          </w:tcPr>
          <w:p w14:paraId="69DC7600">
            <w:pPr>
              <w:pStyle w:val="26"/>
              <w:rPr>
                <w:rFonts w:hint="eastAsia" w:ascii="仿宋" w:hAnsi="仿宋" w:eastAsia="仿宋" w:cs="仿宋"/>
                <w:color w:val="auto"/>
                <w:highlight w:val="none"/>
              </w:rPr>
            </w:pPr>
          </w:p>
        </w:tc>
        <w:tc>
          <w:tcPr>
            <w:tcW w:w="1688" w:type="dxa"/>
            <w:vAlign w:val="top"/>
          </w:tcPr>
          <w:p w14:paraId="0DA24319">
            <w:pPr>
              <w:pStyle w:val="26"/>
              <w:rPr>
                <w:rFonts w:hint="eastAsia" w:ascii="仿宋" w:hAnsi="仿宋" w:eastAsia="仿宋" w:cs="仿宋"/>
                <w:color w:val="auto"/>
                <w:highlight w:val="none"/>
              </w:rPr>
            </w:pPr>
          </w:p>
        </w:tc>
        <w:tc>
          <w:tcPr>
            <w:tcW w:w="1554" w:type="dxa"/>
            <w:vAlign w:val="top"/>
          </w:tcPr>
          <w:p w14:paraId="680C1126">
            <w:pPr>
              <w:pStyle w:val="26"/>
              <w:rPr>
                <w:rFonts w:hint="eastAsia" w:ascii="仿宋" w:hAnsi="仿宋" w:eastAsia="仿宋" w:cs="仿宋"/>
                <w:color w:val="auto"/>
                <w:highlight w:val="none"/>
              </w:rPr>
            </w:pPr>
          </w:p>
        </w:tc>
      </w:tr>
    </w:tbl>
    <w:p w14:paraId="57135D74">
      <w:pPr>
        <w:spacing w:line="252" w:lineRule="auto"/>
        <w:rPr>
          <w:rFonts w:hint="eastAsia" w:ascii="仿宋" w:hAnsi="仿宋" w:eastAsia="仿宋" w:cs="仿宋"/>
          <w:color w:val="auto"/>
          <w:sz w:val="21"/>
          <w:highlight w:val="none"/>
        </w:rPr>
      </w:pPr>
    </w:p>
    <w:p w14:paraId="33BA6487">
      <w:pPr>
        <w:spacing w:line="252" w:lineRule="auto"/>
        <w:rPr>
          <w:rFonts w:hint="eastAsia" w:ascii="仿宋" w:hAnsi="仿宋" w:eastAsia="仿宋" w:cs="仿宋"/>
          <w:color w:val="auto"/>
          <w:sz w:val="21"/>
          <w:highlight w:val="none"/>
        </w:rPr>
      </w:pPr>
    </w:p>
    <w:p w14:paraId="3FB077C4">
      <w:pPr>
        <w:pStyle w:val="8"/>
        <w:spacing w:before="78" w:line="340" w:lineRule="auto"/>
        <w:ind w:left="6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法定代表人或其委托代理人签字:</w:t>
      </w:r>
    </w:p>
    <w:p w14:paraId="628E7575">
      <w:pPr>
        <w:pStyle w:val="8"/>
        <w:spacing w:line="225" w:lineRule="auto"/>
        <w:ind w:left="66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投标人(盖单位章):</w:t>
      </w:r>
    </w:p>
    <w:p w14:paraId="017BC055">
      <w:pPr>
        <w:spacing w:line="252" w:lineRule="auto"/>
        <w:rPr>
          <w:rFonts w:hint="eastAsia" w:ascii="仿宋" w:hAnsi="仿宋" w:eastAsia="仿宋" w:cs="仿宋"/>
          <w:color w:val="auto"/>
          <w:sz w:val="21"/>
          <w:highlight w:val="none"/>
        </w:rPr>
      </w:pPr>
    </w:p>
    <w:p w14:paraId="037072A3">
      <w:pPr>
        <w:spacing w:line="253" w:lineRule="auto"/>
        <w:rPr>
          <w:rFonts w:hint="eastAsia" w:ascii="仿宋" w:hAnsi="仿宋" w:eastAsia="仿宋" w:cs="仿宋"/>
          <w:color w:val="auto"/>
          <w:sz w:val="21"/>
          <w:highlight w:val="none"/>
        </w:rPr>
      </w:pPr>
    </w:p>
    <w:p w14:paraId="234B8ADF">
      <w:pPr>
        <w:pStyle w:val="8"/>
        <w:spacing w:before="78" w:line="192" w:lineRule="auto"/>
        <w:ind w:left="675"/>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注:各项货物详细技术性能应另页描述。</w:t>
      </w:r>
    </w:p>
    <w:p w14:paraId="5A4A5FB8">
      <w:pPr>
        <w:spacing w:line="192" w:lineRule="auto"/>
        <w:rPr>
          <w:rFonts w:hint="eastAsia" w:ascii="仿宋" w:hAnsi="仿宋" w:eastAsia="仿宋" w:cs="仿宋"/>
          <w:color w:val="auto"/>
          <w:sz w:val="24"/>
          <w:szCs w:val="24"/>
          <w:highlight w:val="none"/>
        </w:rPr>
        <w:sectPr>
          <w:type w:val="continuous"/>
          <w:pgSz w:w="11905" w:h="16838"/>
          <w:pgMar w:top="1440" w:right="1083" w:bottom="1440" w:left="1083" w:header="0" w:footer="1225" w:gutter="0"/>
          <w:pgNumType w:fmt="decimal"/>
          <w:cols w:space="0" w:num="1"/>
          <w:rtlGutter w:val="0"/>
          <w:docGrid w:linePitch="0" w:charSpace="0"/>
        </w:sectPr>
      </w:pPr>
    </w:p>
    <w:p w14:paraId="142C05CE">
      <w:pPr>
        <w:pStyle w:val="8"/>
        <w:spacing w:before="155" w:line="227" w:lineRule="auto"/>
        <w:jc w:val="center"/>
        <w:outlineLvl w:val="2"/>
        <w:rPr>
          <w:rFonts w:hint="eastAsia" w:ascii="仿宋" w:hAnsi="仿宋" w:eastAsia="仿宋" w:cs="仿宋"/>
          <w:color w:val="auto"/>
          <w:sz w:val="24"/>
          <w:szCs w:val="24"/>
          <w:highlight w:val="none"/>
        </w:rPr>
      </w:pPr>
      <w:bookmarkStart w:id="188" w:name="bookmark65"/>
      <w:bookmarkEnd w:id="188"/>
      <w:bookmarkStart w:id="189" w:name="_Toc17790"/>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5技术规格偏离表（投标文件格式九）</w:t>
      </w:r>
      <w:bookmarkEnd w:id="189"/>
    </w:p>
    <w:p w14:paraId="43B477A7">
      <w:pPr>
        <w:spacing w:before="25"/>
        <w:rPr>
          <w:rFonts w:hint="eastAsia" w:ascii="仿宋" w:hAnsi="仿宋" w:eastAsia="仿宋" w:cs="仿宋"/>
          <w:color w:val="auto"/>
          <w:highlight w:val="none"/>
        </w:rPr>
      </w:pPr>
    </w:p>
    <w:p w14:paraId="1DE18653">
      <w:pPr>
        <w:spacing w:before="25"/>
        <w:rPr>
          <w:rFonts w:hint="eastAsia" w:ascii="仿宋" w:hAnsi="仿宋" w:eastAsia="仿宋" w:cs="仿宋"/>
          <w:color w:val="auto"/>
          <w:highlight w:val="none"/>
        </w:rPr>
      </w:pPr>
    </w:p>
    <w:p w14:paraId="15B1C294">
      <w:pPr>
        <w:rPr>
          <w:rFonts w:hint="eastAsia" w:ascii="仿宋" w:hAnsi="仿宋" w:eastAsia="仿宋" w:cs="仿宋"/>
          <w:color w:val="auto"/>
          <w:highlight w:val="none"/>
        </w:rPr>
        <w:sectPr>
          <w:footerReference r:id="rId30" w:type="default"/>
          <w:pgSz w:w="11905" w:h="16838"/>
          <w:pgMar w:top="1440" w:right="1083" w:bottom="1440" w:left="1083" w:header="0" w:footer="1225" w:gutter="0"/>
          <w:pgNumType w:fmt="decimal"/>
          <w:cols w:space="0" w:num="1"/>
          <w:rtlGutter w:val="0"/>
          <w:docGrid w:linePitch="0" w:charSpace="0"/>
        </w:sectPr>
      </w:pPr>
    </w:p>
    <w:p w14:paraId="0C21047A">
      <w:pPr>
        <w:pStyle w:val="8"/>
        <w:spacing w:before="50" w:line="192" w:lineRule="auto"/>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项目名称:</w:t>
      </w:r>
    </w:p>
    <w:p w14:paraId="35B77BC3">
      <w:pPr>
        <w:pStyle w:val="8"/>
        <w:spacing w:before="49" w:line="192" w:lineRule="auto"/>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lang w:eastAsia="zh-CN"/>
        </w:rPr>
        <w:t>项目编号</w:t>
      </w:r>
      <w:r>
        <w:rPr>
          <w:rFonts w:hint="eastAsia" w:ascii="仿宋" w:hAnsi="仿宋" w:eastAsia="仿宋" w:cs="仿宋"/>
          <w:color w:val="auto"/>
          <w:spacing w:val="-3"/>
          <w:sz w:val="24"/>
          <w:szCs w:val="24"/>
          <w:highlight w:val="none"/>
        </w:rPr>
        <w:t>:</w:t>
      </w:r>
    </w:p>
    <w:p w14:paraId="4F71042E">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标项：</w:t>
      </w:r>
    </w:p>
    <w:p w14:paraId="07CB73C4">
      <w:pPr>
        <w:rPr>
          <w:rFonts w:hint="eastAsia" w:ascii="仿宋" w:hAnsi="仿宋" w:eastAsia="仿宋" w:cs="仿宋"/>
          <w:color w:val="auto"/>
          <w:highlight w:val="none"/>
        </w:rPr>
      </w:pPr>
    </w:p>
    <w:tbl>
      <w:tblPr>
        <w:tblStyle w:val="2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12723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2" w:type="dxa"/>
            <w:vAlign w:val="top"/>
          </w:tcPr>
          <w:p w14:paraId="45EF43B7">
            <w:pPr>
              <w:spacing w:before="192" w:line="225" w:lineRule="auto"/>
              <w:ind w:left="181"/>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259" w:type="dxa"/>
            <w:vAlign w:val="top"/>
          </w:tcPr>
          <w:p w14:paraId="4A5CA841">
            <w:pPr>
              <w:spacing w:before="192" w:line="226" w:lineRule="auto"/>
              <w:ind w:left="158"/>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货物名称</w:t>
            </w:r>
          </w:p>
        </w:tc>
        <w:tc>
          <w:tcPr>
            <w:tcW w:w="2339" w:type="dxa"/>
            <w:vAlign w:val="top"/>
          </w:tcPr>
          <w:p w14:paraId="39478F22">
            <w:pPr>
              <w:spacing w:before="192" w:line="224" w:lineRule="auto"/>
              <w:ind w:left="47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招标文件条款号</w:t>
            </w:r>
          </w:p>
        </w:tc>
        <w:tc>
          <w:tcPr>
            <w:tcW w:w="1259" w:type="dxa"/>
            <w:vAlign w:val="top"/>
          </w:tcPr>
          <w:p w14:paraId="32365EA4">
            <w:pPr>
              <w:spacing w:before="192" w:line="229" w:lineRule="auto"/>
              <w:ind w:left="160"/>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招标规格</w:t>
            </w:r>
          </w:p>
        </w:tc>
        <w:tc>
          <w:tcPr>
            <w:tcW w:w="1259" w:type="dxa"/>
            <w:vAlign w:val="top"/>
          </w:tcPr>
          <w:p w14:paraId="296B351A">
            <w:pPr>
              <w:spacing w:before="192" w:line="229" w:lineRule="auto"/>
              <w:ind w:left="15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投标规格</w:t>
            </w:r>
          </w:p>
        </w:tc>
        <w:tc>
          <w:tcPr>
            <w:tcW w:w="900" w:type="dxa"/>
            <w:vAlign w:val="top"/>
          </w:tcPr>
          <w:p w14:paraId="4A040069">
            <w:pPr>
              <w:spacing w:before="191" w:line="227" w:lineRule="auto"/>
              <w:ind w:left="21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偏离</w:t>
            </w:r>
          </w:p>
        </w:tc>
        <w:tc>
          <w:tcPr>
            <w:tcW w:w="904" w:type="dxa"/>
            <w:vAlign w:val="top"/>
          </w:tcPr>
          <w:p w14:paraId="0E033285">
            <w:pPr>
              <w:spacing w:before="192" w:line="232" w:lineRule="auto"/>
              <w:ind w:left="21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说明</w:t>
            </w:r>
          </w:p>
        </w:tc>
      </w:tr>
      <w:tr w14:paraId="2208F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5736EA91">
            <w:pPr>
              <w:pStyle w:val="26"/>
              <w:rPr>
                <w:rFonts w:hint="eastAsia" w:ascii="仿宋" w:hAnsi="仿宋" w:eastAsia="仿宋" w:cs="仿宋"/>
                <w:color w:val="auto"/>
                <w:highlight w:val="none"/>
              </w:rPr>
            </w:pPr>
          </w:p>
        </w:tc>
        <w:tc>
          <w:tcPr>
            <w:tcW w:w="1259" w:type="dxa"/>
            <w:vAlign w:val="top"/>
          </w:tcPr>
          <w:p w14:paraId="48CBE0AE">
            <w:pPr>
              <w:pStyle w:val="26"/>
              <w:rPr>
                <w:rFonts w:hint="eastAsia" w:ascii="仿宋" w:hAnsi="仿宋" w:eastAsia="仿宋" w:cs="仿宋"/>
                <w:color w:val="auto"/>
                <w:highlight w:val="none"/>
              </w:rPr>
            </w:pPr>
          </w:p>
        </w:tc>
        <w:tc>
          <w:tcPr>
            <w:tcW w:w="2339" w:type="dxa"/>
            <w:vAlign w:val="top"/>
          </w:tcPr>
          <w:p w14:paraId="79697259">
            <w:pPr>
              <w:pStyle w:val="26"/>
              <w:rPr>
                <w:rFonts w:hint="eastAsia" w:ascii="仿宋" w:hAnsi="仿宋" w:eastAsia="仿宋" w:cs="仿宋"/>
                <w:color w:val="auto"/>
                <w:highlight w:val="none"/>
              </w:rPr>
            </w:pPr>
          </w:p>
        </w:tc>
        <w:tc>
          <w:tcPr>
            <w:tcW w:w="1259" w:type="dxa"/>
            <w:vAlign w:val="top"/>
          </w:tcPr>
          <w:p w14:paraId="435CAC91">
            <w:pPr>
              <w:pStyle w:val="26"/>
              <w:rPr>
                <w:rFonts w:hint="eastAsia" w:ascii="仿宋" w:hAnsi="仿宋" w:eastAsia="仿宋" w:cs="仿宋"/>
                <w:color w:val="auto"/>
                <w:highlight w:val="none"/>
              </w:rPr>
            </w:pPr>
          </w:p>
        </w:tc>
        <w:tc>
          <w:tcPr>
            <w:tcW w:w="1259" w:type="dxa"/>
            <w:vAlign w:val="top"/>
          </w:tcPr>
          <w:p w14:paraId="1BB6471D">
            <w:pPr>
              <w:pStyle w:val="26"/>
              <w:rPr>
                <w:rFonts w:hint="eastAsia" w:ascii="仿宋" w:hAnsi="仿宋" w:eastAsia="仿宋" w:cs="仿宋"/>
                <w:color w:val="auto"/>
                <w:highlight w:val="none"/>
              </w:rPr>
            </w:pPr>
          </w:p>
        </w:tc>
        <w:tc>
          <w:tcPr>
            <w:tcW w:w="900" w:type="dxa"/>
            <w:vAlign w:val="top"/>
          </w:tcPr>
          <w:p w14:paraId="6C5E7E17">
            <w:pPr>
              <w:pStyle w:val="26"/>
              <w:rPr>
                <w:rFonts w:hint="eastAsia" w:ascii="仿宋" w:hAnsi="仿宋" w:eastAsia="仿宋" w:cs="仿宋"/>
                <w:color w:val="auto"/>
                <w:highlight w:val="none"/>
              </w:rPr>
            </w:pPr>
          </w:p>
        </w:tc>
        <w:tc>
          <w:tcPr>
            <w:tcW w:w="904" w:type="dxa"/>
            <w:vAlign w:val="top"/>
          </w:tcPr>
          <w:p w14:paraId="78783467">
            <w:pPr>
              <w:pStyle w:val="26"/>
              <w:rPr>
                <w:rFonts w:hint="eastAsia" w:ascii="仿宋" w:hAnsi="仿宋" w:eastAsia="仿宋" w:cs="仿宋"/>
                <w:color w:val="auto"/>
                <w:highlight w:val="none"/>
              </w:rPr>
            </w:pPr>
          </w:p>
        </w:tc>
      </w:tr>
      <w:tr w14:paraId="02825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E53E80C">
            <w:pPr>
              <w:pStyle w:val="26"/>
              <w:rPr>
                <w:rFonts w:hint="eastAsia" w:ascii="仿宋" w:hAnsi="仿宋" w:eastAsia="仿宋" w:cs="仿宋"/>
                <w:color w:val="auto"/>
                <w:highlight w:val="none"/>
              </w:rPr>
            </w:pPr>
          </w:p>
        </w:tc>
        <w:tc>
          <w:tcPr>
            <w:tcW w:w="1259" w:type="dxa"/>
            <w:vAlign w:val="top"/>
          </w:tcPr>
          <w:p w14:paraId="4E4EE62B">
            <w:pPr>
              <w:pStyle w:val="26"/>
              <w:rPr>
                <w:rFonts w:hint="eastAsia" w:ascii="仿宋" w:hAnsi="仿宋" w:eastAsia="仿宋" w:cs="仿宋"/>
                <w:color w:val="auto"/>
                <w:highlight w:val="none"/>
              </w:rPr>
            </w:pPr>
          </w:p>
        </w:tc>
        <w:tc>
          <w:tcPr>
            <w:tcW w:w="2339" w:type="dxa"/>
            <w:vAlign w:val="top"/>
          </w:tcPr>
          <w:p w14:paraId="0B633247">
            <w:pPr>
              <w:pStyle w:val="26"/>
              <w:rPr>
                <w:rFonts w:hint="eastAsia" w:ascii="仿宋" w:hAnsi="仿宋" w:eastAsia="仿宋" w:cs="仿宋"/>
                <w:color w:val="auto"/>
                <w:highlight w:val="none"/>
              </w:rPr>
            </w:pPr>
          </w:p>
        </w:tc>
        <w:tc>
          <w:tcPr>
            <w:tcW w:w="1259" w:type="dxa"/>
            <w:vAlign w:val="top"/>
          </w:tcPr>
          <w:p w14:paraId="6BFE5079">
            <w:pPr>
              <w:pStyle w:val="26"/>
              <w:rPr>
                <w:rFonts w:hint="eastAsia" w:ascii="仿宋" w:hAnsi="仿宋" w:eastAsia="仿宋" w:cs="仿宋"/>
                <w:color w:val="auto"/>
                <w:highlight w:val="none"/>
              </w:rPr>
            </w:pPr>
          </w:p>
        </w:tc>
        <w:tc>
          <w:tcPr>
            <w:tcW w:w="1259" w:type="dxa"/>
            <w:vAlign w:val="top"/>
          </w:tcPr>
          <w:p w14:paraId="123165CA">
            <w:pPr>
              <w:pStyle w:val="26"/>
              <w:rPr>
                <w:rFonts w:hint="eastAsia" w:ascii="仿宋" w:hAnsi="仿宋" w:eastAsia="仿宋" w:cs="仿宋"/>
                <w:color w:val="auto"/>
                <w:highlight w:val="none"/>
              </w:rPr>
            </w:pPr>
          </w:p>
        </w:tc>
        <w:tc>
          <w:tcPr>
            <w:tcW w:w="900" w:type="dxa"/>
            <w:vAlign w:val="top"/>
          </w:tcPr>
          <w:p w14:paraId="7E0F81CE">
            <w:pPr>
              <w:pStyle w:val="26"/>
              <w:rPr>
                <w:rFonts w:hint="eastAsia" w:ascii="仿宋" w:hAnsi="仿宋" w:eastAsia="仿宋" w:cs="仿宋"/>
                <w:color w:val="auto"/>
                <w:highlight w:val="none"/>
              </w:rPr>
            </w:pPr>
          </w:p>
        </w:tc>
        <w:tc>
          <w:tcPr>
            <w:tcW w:w="904" w:type="dxa"/>
            <w:vAlign w:val="top"/>
          </w:tcPr>
          <w:p w14:paraId="24B69D0E">
            <w:pPr>
              <w:pStyle w:val="26"/>
              <w:rPr>
                <w:rFonts w:hint="eastAsia" w:ascii="仿宋" w:hAnsi="仿宋" w:eastAsia="仿宋" w:cs="仿宋"/>
                <w:color w:val="auto"/>
                <w:highlight w:val="none"/>
              </w:rPr>
            </w:pPr>
          </w:p>
        </w:tc>
      </w:tr>
      <w:tr w14:paraId="4B27B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3FB2CCA">
            <w:pPr>
              <w:pStyle w:val="26"/>
              <w:rPr>
                <w:rFonts w:hint="eastAsia" w:ascii="仿宋" w:hAnsi="仿宋" w:eastAsia="仿宋" w:cs="仿宋"/>
                <w:color w:val="auto"/>
                <w:highlight w:val="none"/>
              </w:rPr>
            </w:pPr>
          </w:p>
        </w:tc>
        <w:tc>
          <w:tcPr>
            <w:tcW w:w="1259" w:type="dxa"/>
            <w:vAlign w:val="top"/>
          </w:tcPr>
          <w:p w14:paraId="3F2A503F">
            <w:pPr>
              <w:pStyle w:val="26"/>
              <w:rPr>
                <w:rFonts w:hint="eastAsia" w:ascii="仿宋" w:hAnsi="仿宋" w:eastAsia="仿宋" w:cs="仿宋"/>
                <w:color w:val="auto"/>
                <w:highlight w:val="none"/>
              </w:rPr>
            </w:pPr>
          </w:p>
        </w:tc>
        <w:tc>
          <w:tcPr>
            <w:tcW w:w="2339" w:type="dxa"/>
            <w:vAlign w:val="top"/>
          </w:tcPr>
          <w:p w14:paraId="06984F16">
            <w:pPr>
              <w:pStyle w:val="26"/>
              <w:rPr>
                <w:rFonts w:hint="eastAsia" w:ascii="仿宋" w:hAnsi="仿宋" w:eastAsia="仿宋" w:cs="仿宋"/>
                <w:color w:val="auto"/>
                <w:highlight w:val="none"/>
              </w:rPr>
            </w:pPr>
          </w:p>
        </w:tc>
        <w:tc>
          <w:tcPr>
            <w:tcW w:w="1259" w:type="dxa"/>
            <w:vAlign w:val="top"/>
          </w:tcPr>
          <w:p w14:paraId="5D2A0014">
            <w:pPr>
              <w:pStyle w:val="26"/>
              <w:rPr>
                <w:rFonts w:hint="eastAsia" w:ascii="仿宋" w:hAnsi="仿宋" w:eastAsia="仿宋" w:cs="仿宋"/>
                <w:color w:val="auto"/>
                <w:highlight w:val="none"/>
              </w:rPr>
            </w:pPr>
          </w:p>
        </w:tc>
        <w:tc>
          <w:tcPr>
            <w:tcW w:w="1259" w:type="dxa"/>
            <w:vAlign w:val="top"/>
          </w:tcPr>
          <w:p w14:paraId="11E1500E">
            <w:pPr>
              <w:pStyle w:val="26"/>
              <w:rPr>
                <w:rFonts w:hint="eastAsia" w:ascii="仿宋" w:hAnsi="仿宋" w:eastAsia="仿宋" w:cs="仿宋"/>
                <w:color w:val="auto"/>
                <w:highlight w:val="none"/>
              </w:rPr>
            </w:pPr>
          </w:p>
        </w:tc>
        <w:tc>
          <w:tcPr>
            <w:tcW w:w="900" w:type="dxa"/>
            <w:vAlign w:val="top"/>
          </w:tcPr>
          <w:p w14:paraId="6D79BE24">
            <w:pPr>
              <w:pStyle w:val="26"/>
              <w:rPr>
                <w:rFonts w:hint="eastAsia" w:ascii="仿宋" w:hAnsi="仿宋" w:eastAsia="仿宋" w:cs="仿宋"/>
                <w:color w:val="auto"/>
                <w:highlight w:val="none"/>
              </w:rPr>
            </w:pPr>
          </w:p>
        </w:tc>
        <w:tc>
          <w:tcPr>
            <w:tcW w:w="904" w:type="dxa"/>
            <w:vAlign w:val="top"/>
          </w:tcPr>
          <w:p w14:paraId="4A8050E6">
            <w:pPr>
              <w:pStyle w:val="26"/>
              <w:rPr>
                <w:rFonts w:hint="eastAsia" w:ascii="仿宋" w:hAnsi="仿宋" w:eastAsia="仿宋" w:cs="仿宋"/>
                <w:color w:val="auto"/>
                <w:highlight w:val="none"/>
              </w:rPr>
            </w:pPr>
          </w:p>
        </w:tc>
      </w:tr>
      <w:tr w14:paraId="22F8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7FE1A6E8">
            <w:pPr>
              <w:pStyle w:val="26"/>
              <w:rPr>
                <w:rFonts w:hint="eastAsia" w:ascii="仿宋" w:hAnsi="仿宋" w:eastAsia="仿宋" w:cs="仿宋"/>
                <w:color w:val="auto"/>
                <w:highlight w:val="none"/>
              </w:rPr>
            </w:pPr>
          </w:p>
        </w:tc>
        <w:tc>
          <w:tcPr>
            <w:tcW w:w="1259" w:type="dxa"/>
            <w:vAlign w:val="top"/>
          </w:tcPr>
          <w:p w14:paraId="11D011E8">
            <w:pPr>
              <w:pStyle w:val="26"/>
              <w:rPr>
                <w:rFonts w:hint="eastAsia" w:ascii="仿宋" w:hAnsi="仿宋" w:eastAsia="仿宋" w:cs="仿宋"/>
                <w:color w:val="auto"/>
                <w:highlight w:val="none"/>
              </w:rPr>
            </w:pPr>
          </w:p>
        </w:tc>
        <w:tc>
          <w:tcPr>
            <w:tcW w:w="2339" w:type="dxa"/>
            <w:vAlign w:val="top"/>
          </w:tcPr>
          <w:p w14:paraId="6AD6C291">
            <w:pPr>
              <w:pStyle w:val="26"/>
              <w:rPr>
                <w:rFonts w:hint="eastAsia" w:ascii="仿宋" w:hAnsi="仿宋" w:eastAsia="仿宋" w:cs="仿宋"/>
                <w:color w:val="auto"/>
                <w:highlight w:val="none"/>
              </w:rPr>
            </w:pPr>
          </w:p>
        </w:tc>
        <w:tc>
          <w:tcPr>
            <w:tcW w:w="1259" w:type="dxa"/>
            <w:vAlign w:val="top"/>
          </w:tcPr>
          <w:p w14:paraId="6832D707">
            <w:pPr>
              <w:pStyle w:val="26"/>
              <w:rPr>
                <w:rFonts w:hint="eastAsia" w:ascii="仿宋" w:hAnsi="仿宋" w:eastAsia="仿宋" w:cs="仿宋"/>
                <w:color w:val="auto"/>
                <w:highlight w:val="none"/>
              </w:rPr>
            </w:pPr>
          </w:p>
        </w:tc>
        <w:tc>
          <w:tcPr>
            <w:tcW w:w="1259" w:type="dxa"/>
            <w:vAlign w:val="top"/>
          </w:tcPr>
          <w:p w14:paraId="37740687">
            <w:pPr>
              <w:pStyle w:val="26"/>
              <w:rPr>
                <w:rFonts w:hint="eastAsia" w:ascii="仿宋" w:hAnsi="仿宋" w:eastAsia="仿宋" w:cs="仿宋"/>
                <w:color w:val="auto"/>
                <w:highlight w:val="none"/>
              </w:rPr>
            </w:pPr>
          </w:p>
        </w:tc>
        <w:tc>
          <w:tcPr>
            <w:tcW w:w="900" w:type="dxa"/>
            <w:vAlign w:val="top"/>
          </w:tcPr>
          <w:p w14:paraId="7368C2DB">
            <w:pPr>
              <w:pStyle w:val="26"/>
              <w:rPr>
                <w:rFonts w:hint="eastAsia" w:ascii="仿宋" w:hAnsi="仿宋" w:eastAsia="仿宋" w:cs="仿宋"/>
                <w:color w:val="auto"/>
                <w:highlight w:val="none"/>
              </w:rPr>
            </w:pPr>
          </w:p>
        </w:tc>
        <w:tc>
          <w:tcPr>
            <w:tcW w:w="904" w:type="dxa"/>
            <w:vAlign w:val="top"/>
          </w:tcPr>
          <w:p w14:paraId="5EB73528">
            <w:pPr>
              <w:pStyle w:val="26"/>
              <w:rPr>
                <w:rFonts w:hint="eastAsia" w:ascii="仿宋" w:hAnsi="仿宋" w:eastAsia="仿宋" w:cs="仿宋"/>
                <w:color w:val="auto"/>
                <w:highlight w:val="none"/>
              </w:rPr>
            </w:pPr>
          </w:p>
        </w:tc>
      </w:tr>
      <w:tr w14:paraId="7818B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1A8E33E2">
            <w:pPr>
              <w:pStyle w:val="26"/>
              <w:rPr>
                <w:rFonts w:hint="eastAsia" w:ascii="仿宋" w:hAnsi="仿宋" w:eastAsia="仿宋" w:cs="仿宋"/>
                <w:color w:val="auto"/>
                <w:highlight w:val="none"/>
              </w:rPr>
            </w:pPr>
          </w:p>
        </w:tc>
        <w:tc>
          <w:tcPr>
            <w:tcW w:w="1259" w:type="dxa"/>
            <w:vAlign w:val="top"/>
          </w:tcPr>
          <w:p w14:paraId="0C37A167">
            <w:pPr>
              <w:pStyle w:val="26"/>
              <w:rPr>
                <w:rFonts w:hint="eastAsia" w:ascii="仿宋" w:hAnsi="仿宋" w:eastAsia="仿宋" w:cs="仿宋"/>
                <w:color w:val="auto"/>
                <w:highlight w:val="none"/>
              </w:rPr>
            </w:pPr>
          </w:p>
        </w:tc>
        <w:tc>
          <w:tcPr>
            <w:tcW w:w="2339" w:type="dxa"/>
            <w:vAlign w:val="top"/>
          </w:tcPr>
          <w:p w14:paraId="7C64D4B8">
            <w:pPr>
              <w:pStyle w:val="26"/>
              <w:rPr>
                <w:rFonts w:hint="eastAsia" w:ascii="仿宋" w:hAnsi="仿宋" w:eastAsia="仿宋" w:cs="仿宋"/>
                <w:color w:val="auto"/>
                <w:highlight w:val="none"/>
              </w:rPr>
            </w:pPr>
          </w:p>
        </w:tc>
        <w:tc>
          <w:tcPr>
            <w:tcW w:w="1259" w:type="dxa"/>
            <w:vAlign w:val="top"/>
          </w:tcPr>
          <w:p w14:paraId="5CCA0DF6">
            <w:pPr>
              <w:pStyle w:val="26"/>
              <w:rPr>
                <w:rFonts w:hint="eastAsia" w:ascii="仿宋" w:hAnsi="仿宋" w:eastAsia="仿宋" w:cs="仿宋"/>
                <w:color w:val="auto"/>
                <w:highlight w:val="none"/>
              </w:rPr>
            </w:pPr>
          </w:p>
        </w:tc>
        <w:tc>
          <w:tcPr>
            <w:tcW w:w="1259" w:type="dxa"/>
            <w:vAlign w:val="top"/>
          </w:tcPr>
          <w:p w14:paraId="38D664C5">
            <w:pPr>
              <w:pStyle w:val="26"/>
              <w:rPr>
                <w:rFonts w:hint="eastAsia" w:ascii="仿宋" w:hAnsi="仿宋" w:eastAsia="仿宋" w:cs="仿宋"/>
                <w:color w:val="auto"/>
                <w:highlight w:val="none"/>
              </w:rPr>
            </w:pPr>
          </w:p>
        </w:tc>
        <w:tc>
          <w:tcPr>
            <w:tcW w:w="900" w:type="dxa"/>
            <w:vAlign w:val="top"/>
          </w:tcPr>
          <w:p w14:paraId="39CADF74">
            <w:pPr>
              <w:pStyle w:val="26"/>
              <w:rPr>
                <w:rFonts w:hint="eastAsia" w:ascii="仿宋" w:hAnsi="仿宋" w:eastAsia="仿宋" w:cs="仿宋"/>
                <w:color w:val="auto"/>
                <w:highlight w:val="none"/>
              </w:rPr>
            </w:pPr>
          </w:p>
        </w:tc>
        <w:tc>
          <w:tcPr>
            <w:tcW w:w="904" w:type="dxa"/>
            <w:vAlign w:val="top"/>
          </w:tcPr>
          <w:p w14:paraId="3146FAC2">
            <w:pPr>
              <w:pStyle w:val="26"/>
              <w:rPr>
                <w:rFonts w:hint="eastAsia" w:ascii="仿宋" w:hAnsi="仿宋" w:eastAsia="仿宋" w:cs="仿宋"/>
                <w:color w:val="auto"/>
                <w:highlight w:val="none"/>
              </w:rPr>
            </w:pPr>
          </w:p>
        </w:tc>
      </w:tr>
      <w:tr w14:paraId="41D64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6CB1EAE7">
            <w:pPr>
              <w:pStyle w:val="26"/>
              <w:rPr>
                <w:rFonts w:hint="eastAsia" w:ascii="仿宋" w:hAnsi="仿宋" w:eastAsia="仿宋" w:cs="仿宋"/>
                <w:color w:val="auto"/>
                <w:highlight w:val="none"/>
              </w:rPr>
            </w:pPr>
          </w:p>
        </w:tc>
        <w:tc>
          <w:tcPr>
            <w:tcW w:w="1259" w:type="dxa"/>
            <w:vAlign w:val="top"/>
          </w:tcPr>
          <w:p w14:paraId="7C0E377A">
            <w:pPr>
              <w:pStyle w:val="26"/>
              <w:rPr>
                <w:rFonts w:hint="eastAsia" w:ascii="仿宋" w:hAnsi="仿宋" w:eastAsia="仿宋" w:cs="仿宋"/>
                <w:color w:val="auto"/>
                <w:highlight w:val="none"/>
              </w:rPr>
            </w:pPr>
          </w:p>
        </w:tc>
        <w:tc>
          <w:tcPr>
            <w:tcW w:w="2339" w:type="dxa"/>
            <w:vAlign w:val="top"/>
          </w:tcPr>
          <w:p w14:paraId="26A10C6D">
            <w:pPr>
              <w:pStyle w:val="26"/>
              <w:rPr>
                <w:rFonts w:hint="eastAsia" w:ascii="仿宋" w:hAnsi="仿宋" w:eastAsia="仿宋" w:cs="仿宋"/>
                <w:color w:val="auto"/>
                <w:highlight w:val="none"/>
              </w:rPr>
            </w:pPr>
          </w:p>
        </w:tc>
        <w:tc>
          <w:tcPr>
            <w:tcW w:w="1259" w:type="dxa"/>
            <w:vAlign w:val="top"/>
          </w:tcPr>
          <w:p w14:paraId="038B73CF">
            <w:pPr>
              <w:pStyle w:val="26"/>
              <w:rPr>
                <w:rFonts w:hint="eastAsia" w:ascii="仿宋" w:hAnsi="仿宋" w:eastAsia="仿宋" w:cs="仿宋"/>
                <w:color w:val="auto"/>
                <w:highlight w:val="none"/>
              </w:rPr>
            </w:pPr>
          </w:p>
        </w:tc>
        <w:tc>
          <w:tcPr>
            <w:tcW w:w="1259" w:type="dxa"/>
            <w:vAlign w:val="top"/>
          </w:tcPr>
          <w:p w14:paraId="4E7833C6">
            <w:pPr>
              <w:pStyle w:val="26"/>
              <w:rPr>
                <w:rFonts w:hint="eastAsia" w:ascii="仿宋" w:hAnsi="仿宋" w:eastAsia="仿宋" w:cs="仿宋"/>
                <w:color w:val="auto"/>
                <w:highlight w:val="none"/>
              </w:rPr>
            </w:pPr>
          </w:p>
        </w:tc>
        <w:tc>
          <w:tcPr>
            <w:tcW w:w="900" w:type="dxa"/>
            <w:vAlign w:val="top"/>
          </w:tcPr>
          <w:p w14:paraId="0820004A">
            <w:pPr>
              <w:pStyle w:val="26"/>
              <w:rPr>
                <w:rFonts w:hint="eastAsia" w:ascii="仿宋" w:hAnsi="仿宋" w:eastAsia="仿宋" w:cs="仿宋"/>
                <w:color w:val="auto"/>
                <w:highlight w:val="none"/>
              </w:rPr>
            </w:pPr>
          </w:p>
        </w:tc>
        <w:tc>
          <w:tcPr>
            <w:tcW w:w="904" w:type="dxa"/>
            <w:vAlign w:val="top"/>
          </w:tcPr>
          <w:p w14:paraId="6A15CA12">
            <w:pPr>
              <w:pStyle w:val="26"/>
              <w:rPr>
                <w:rFonts w:hint="eastAsia" w:ascii="仿宋" w:hAnsi="仿宋" w:eastAsia="仿宋" w:cs="仿宋"/>
                <w:color w:val="auto"/>
                <w:highlight w:val="none"/>
              </w:rPr>
            </w:pPr>
          </w:p>
        </w:tc>
      </w:tr>
      <w:tr w14:paraId="47EA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383CBF6">
            <w:pPr>
              <w:pStyle w:val="26"/>
              <w:rPr>
                <w:rFonts w:hint="eastAsia" w:ascii="仿宋" w:hAnsi="仿宋" w:eastAsia="仿宋" w:cs="仿宋"/>
                <w:color w:val="auto"/>
                <w:highlight w:val="none"/>
              </w:rPr>
            </w:pPr>
          </w:p>
        </w:tc>
        <w:tc>
          <w:tcPr>
            <w:tcW w:w="1259" w:type="dxa"/>
            <w:vAlign w:val="top"/>
          </w:tcPr>
          <w:p w14:paraId="2B4C79C5">
            <w:pPr>
              <w:pStyle w:val="26"/>
              <w:rPr>
                <w:rFonts w:hint="eastAsia" w:ascii="仿宋" w:hAnsi="仿宋" w:eastAsia="仿宋" w:cs="仿宋"/>
                <w:color w:val="auto"/>
                <w:highlight w:val="none"/>
              </w:rPr>
            </w:pPr>
          </w:p>
        </w:tc>
        <w:tc>
          <w:tcPr>
            <w:tcW w:w="2339" w:type="dxa"/>
            <w:vAlign w:val="top"/>
          </w:tcPr>
          <w:p w14:paraId="6FBB765F">
            <w:pPr>
              <w:pStyle w:val="26"/>
              <w:rPr>
                <w:rFonts w:hint="eastAsia" w:ascii="仿宋" w:hAnsi="仿宋" w:eastAsia="仿宋" w:cs="仿宋"/>
                <w:color w:val="auto"/>
                <w:highlight w:val="none"/>
              </w:rPr>
            </w:pPr>
          </w:p>
        </w:tc>
        <w:tc>
          <w:tcPr>
            <w:tcW w:w="1259" w:type="dxa"/>
            <w:vAlign w:val="top"/>
          </w:tcPr>
          <w:p w14:paraId="6A90EC09">
            <w:pPr>
              <w:pStyle w:val="26"/>
              <w:rPr>
                <w:rFonts w:hint="eastAsia" w:ascii="仿宋" w:hAnsi="仿宋" w:eastAsia="仿宋" w:cs="仿宋"/>
                <w:color w:val="auto"/>
                <w:highlight w:val="none"/>
              </w:rPr>
            </w:pPr>
          </w:p>
        </w:tc>
        <w:tc>
          <w:tcPr>
            <w:tcW w:w="1259" w:type="dxa"/>
            <w:vAlign w:val="top"/>
          </w:tcPr>
          <w:p w14:paraId="5B71B067">
            <w:pPr>
              <w:pStyle w:val="26"/>
              <w:rPr>
                <w:rFonts w:hint="eastAsia" w:ascii="仿宋" w:hAnsi="仿宋" w:eastAsia="仿宋" w:cs="仿宋"/>
                <w:color w:val="auto"/>
                <w:highlight w:val="none"/>
              </w:rPr>
            </w:pPr>
          </w:p>
        </w:tc>
        <w:tc>
          <w:tcPr>
            <w:tcW w:w="900" w:type="dxa"/>
            <w:vAlign w:val="top"/>
          </w:tcPr>
          <w:p w14:paraId="6077CF49">
            <w:pPr>
              <w:pStyle w:val="26"/>
              <w:rPr>
                <w:rFonts w:hint="eastAsia" w:ascii="仿宋" w:hAnsi="仿宋" w:eastAsia="仿宋" w:cs="仿宋"/>
                <w:color w:val="auto"/>
                <w:highlight w:val="none"/>
              </w:rPr>
            </w:pPr>
          </w:p>
        </w:tc>
        <w:tc>
          <w:tcPr>
            <w:tcW w:w="904" w:type="dxa"/>
            <w:vAlign w:val="top"/>
          </w:tcPr>
          <w:p w14:paraId="630B4755">
            <w:pPr>
              <w:pStyle w:val="26"/>
              <w:rPr>
                <w:rFonts w:hint="eastAsia" w:ascii="仿宋" w:hAnsi="仿宋" w:eastAsia="仿宋" w:cs="仿宋"/>
                <w:color w:val="auto"/>
                <w:highlight w:val="none"/>
              </w:rPr>
            </w:pPr>
          </w:p>
        </w:tc>
      </w:tr>
      <w:tr w14:paraId="0EEFF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9A0215B">
            <w:pPr>
              <w:pStyle w:val="26"/>
              <w:rPr>
                <w:rFonts w:hint="eastAsia" w:ascii="仿宋" w:hAnsi="仿宋" w:eastAsia="仿宋" w:cs="仿宋"/>
                <w:color w:val="auto"/>
                <w:highlight w:val="none"/>
              </w:rPr>
            </w:pPr>
          </w:p>
        </w:tc>
        <w:tc>
          <w:tcPr>
            <w:tcW w:w="1259" w:type="dxa"/>
            <w:vAlign w:val="top"/>
          </w:tcPr>
          <w:p w14:paraId="31845210">
            <w:pPr>
              <w:pStyle w:val="26"/>
              <w:rPr>
                <w:rFonts w:hint="eastAsia" w:ascii="仿宋" w:hAnsi="仿宋" w:eastAsia="仿宋" w:cs="仿宋"/>
                <w:color w:val="auto"/>
                <w:highlight w:val="none"/>
              </w:rPr>
            </w:pPr>
          </w:p>
        </w:tc>
        <w:tc>
          <w:tcPr>
            <w:tcW w:w="2339" w:type="dxa"/>
            <w:vAlign w:val="top"/>
          </w:tcPr>
          <w:p w14:paraId="7A82188C">
            <w:pPr>
              <w:pStyle w:val="26"/>
              <w:rPr>
                <w:rFonts w:hint="eastAsia" w:ascii="仿宋" w:hAnsi="仿宋" w:eastAsia="仿宋" w:cs="仿宋"/>
                <w:color w:val="auto"/>
                <w:highlight w:val="none"/>
              </w:rPr>
            </w:pPr>
          </w:p>
        </w:tc>
        <w:tc>
          <w:tcPr>
            <w:tcW w:w="1259" w:type="dxa"/>
            <w:vAlign w:val="top"/>
          </w:tcPr>
          <w:p w14:paraId="0E381830">
            <w:pPr>
              <w:pStyle w:val="26"/>
              <w:rPr>
                <w:rFonts w:hint="eastAsia" w:ascii="仿宋" w:hAnsi="仿宋" w:eastAsia="仿宋" w:cs="仿宋"/>
                <w:color w:val="auto"/>
                <w:highlight w:val="none"/>
              </w:rPr>
            </w:pPr>
          </w:p>
        </w:tc>
        <w:tc>
          <w:tcPr>
            <w:tcW w:w="1259" w:type="dxa"/>
            <w:vAlign w:val="top"/>
          </w:tcPr>
          <w:p w14:paraId="33063274">
            <w:pPr>
              <w:pStyle w:val="26"/>
              <w:rPr>
                <w:rFonts w:hint="eastAsia" w:ascii="仿宋" w:hAnsi="仿宋" w:eastAsia="仿宋" w:cs="仿宋"/>
                <w:color w:val="auto"/>
                <w:highlight w:val="none"/>
              </w:rPr>
            </w:pPr>
          </w:p>
        </w:tc>
        <w:tc>
          <w:tcPr>
            <w:tcW w:w="900" w:type="dxa"/>
            <w:vAlign w:val="top"/>
          </w:tcPr>
          <w:p w14:paraId="51DB6C1F">
            <w:pPr>
              <w:pStyle w:val="26"/>
              <w:rPr>
                <w:rFonts w:hint="eastAsia" w:ascii="仿宋" w:hAnsi="仿宋" w:eastAsia="仿宋" w:cs="仿宋"/>
                <w:color w:val="auto"/>
                <w:highlight w:val="none"/>
              </w:rPr>
            </w:pPr>
          </w:p>
        </w:tc>
        <w:tc>
          <w:tcPr>
            <w:tcW w:w="904" w:type="dxa"/>
            <w:vAlign w:val="top"/>
          </w:tcPr>
          <w:p w14:paraId="526CC76D">
            <w:pPr>
              <w:pStyle w:val="26"/>
              <w:rPr>
                <w:rFonts w:hint="eastAsia" w:ascii="仿宋" w:hAnsi="仿宋" w:eastAsia="仿宋" w:cs="仿宋"/>
                <w:color w:val="auto"/>
                <w:highlight w:val="none"/>
              </w:rPr>
            </w:pPr>
          </w:p>
        </w:tc>
      </w:tr>
      <w:tr w14:paraId="1014F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3649F389">
            <w:pPr>
              <w:pStyle w:val="26"/>
              <w:rPr>
                <w:rFonts w:hint="eastAsia" w:ascii="仿宋" w:hAnsi="仿宋" w:eastAsia="仿宋" w:cs="仿宋"/>
                <w:color w:val="auto"/>
                <w:highlight w:val="none"/>
              </w:rPr>
            </w:pPr>
          </w:p>
        </w:tc>
        <w:tc>
          <w:tcPr>
            <w:tcW w:w="1259" w:type="dxa"/>
            <w:vAlign w:val="top"/>
          </w:tcPr>
          <w:p w14:paraId="5A01E154">
            <w:pPr>
              <w:pStyle w:val="26"/>
              <w:rPr>
                <w:rFonts w:hint="eastAsia" w:ascii="仿宋" w:hAnsi="仿宋" w:eastAsia="仿宋" w:cs="仿宋"/>
                <w:color w:val="auto"/>
                <w:highlight w:val="none"/>
              </w:rPr>
            </w:pPr>
          </w:p>
        </w:tc>
        <w:tc>
          <w:tcPr>
            <w:tcW w:w="2339" w:type="dxa"/>
            <w:vAlign w:val="top"/>
          </w:tcPr>
          <w:p w14:paraId="2AF4E477">
            <w:pPr>
              <w:pStyle w:val="26"/>
              <w:rPr>
                <w:rFonts w:hint="eastAsia" w:ascii="仿宋" w:hAnsi="仿宋" w:eastAsia="仿宋" w:cs="仿宋"/>
                <w:color w:val="auto"/>
                <w:highlight w:val="none"/>
              </w:rPr>
            </w:pPr>
          </w:p>
        </w:tc>
        <w:tc>
          <w:tcPr>
            <w:tcW w:w="1259" w:type="dxa"/>
            <w:vAlign w:val="top"/>
          </w:tcPr>
          <w:p w14:paraId="0CDFF2C4">
            <w:pPr>
              <w:pStyle w:val="26"/>
              <w:rPr>
                <w:rFonts w:hint="eastAsia" w:ascii="仿宋" w:hAnsi="仿宋" w:eastAsia="仿宋" w:cs="仿宋"/>
                <w:color w:val="auto"/>
                <w:highlight w:val="none"/>
              </w:rPr>
            </w:pPr>
          </w:p>
        </w:tc>
        <w:tc>
          <w:tcPr>
            <w:tcW w:w="1259" w:type="dxa"/>
            <w:vAlign w:val="top"/>
          </w:tcPr>
          <w:p w14:paraId="391CD320">
            <w:pPr>
              <w:pStyle w:val="26"/>
              <w:rPr>
                <w:rFonts w:hint="eastAsia" w:ascii="仿宋" w:hAnsi="仿宋" w:eastAsia="仿宋" w:cs="仿宋"/>
                <w:color w:val="auto"/>
                <w:highlight w:val="none"/>
              </w:rPr>
            </w:pPr>
          </w:p>
        </w:tc>
        <w:tc>
          <w:tcPr>
            <w:tcW w:w="900" w:type="dxa"/>
            <w:vAlign w:val="top"/>
          </w:tcPr>
          <w:p w14:paraId="1466D048">
            <w:pPr>
              <w:pStyle w:val="26"/>
              <w:rPr>
                <w:rFonts w:hint="eastAsia" w:ascii="仿宋" w:hAnsi="仿宋" w:eastAsia="仿宋" w:cs="仿宋"/>
                <w:color w:val="auto"/>
                <w:highlight w:val="none"/>
              </w:rPr>
            </w:pPr>
          </w:p>
        </w:tc>
        <w:tc>
          <w:tcPr>
            <w:tcW w:w="904" w:type="dxa"/>
            <w:vAlign w:val="top"/>
          </w:tcPr>
          <w:p w14:paraId="26E8A247">
            <w:pPr>
              <w:pStyle w:val="26"/>
              <w:rPr>
                <w:rFonts w:hint="eastAsia" w:ascii="仿宋" w:hAnsi="仿宋" w:eastAsia="仿宋" w:cs="仿宋"/>
                <w:color w:val="auto"/>
                <w:highlight w:val="none"/>
              </w:rPr>
            </w:pPr>
          </w:p>
        </w:tc>
      </w:tr>
      <w:tr w14:paraId="37D0A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4D764C66">
            <w:pPr>
              <w:pStyle w:val="26"/>
              <w:rPr>
                <w:rFonts w:hint="eastAsia" w:ascii="仿宋" w:hAnsi="仿宋" w:eastAsia="仿宋" w:cs="仿宋"/>
                <w:color w:val="auto"/>
                <w:highlight w:val="none"/>
              </w:rPr>
            </w:pPr>
          </w:p>
        </w:tc>
        <w:tc>
          <w:tcPr>
            <w:tcW w:w="1259" w:type="dxa"/>
            <w:vAlign w:val="top"/>
          </w:tcPr>
          <w:p w14:paraId="6CA69943">
            <w:pPr>
              <w:pStyle w:val="26"/>
              <w:rPr>
                <w:rFonts w:hint="eastAsia" w:ascii="仿宋" w:hAnsi="仿宋" w:eastAsia="仿宋" w:cs="仿宋"/>
                <w:color w:val="auto"/>
                <w:highlight w:val="none"/>
              </w:rPr>
            </w:pPr>
          </w:p>
        </w:tc>
        <w:tc>
          <w:tcPr>
            <w:tcW w:w="2339" w:type="dxa"/>
            <w:vAlign w:val="top"/>
          </w:tcPr>
          <w:p w14:paraId="0DFAA2CD">
            <w:pPr>
              <w:pStyle w:val="26"/>
              <w:rPr>
                <w:rFonts w:hint="eastAsia" w:ascii="仿宋" w:hAnsi="仿宋" w:eastAsia="仿宋" w:cs="仿宋"/>
                <w:color w:val="auto"/>
                <w:highlight w:val="none"/>
              </w:rPr>
            </w:pPr>
          </w:p>
        </w:tc>
        <w:tc>
          <w:tcPr>
            <w:tcW w:w="1259" w:type="dxa"/>
            <w:vAlign w:val="top"/>
          </w:tcPr>
          <w:p w14:paraId="2C93685C">
            <w:pPr>
              <w:pStyle w:val="26"/>
              <w:rPr>
                <w:rFonts w:hint="eastAsia" w:ascii="仿宋" w:hAnsi="仿宋" w:eastAsia="仿宋" w:cs="仿宋"/>
                <w:color w:val="auto"/>
                <w:highlight w:val="none"/>
              </w:rPr>
            </w:pPr>
          </w:p>
        </w:tc>
        <w:tc>
          <w:tcPr>
            <w:tcW w:w="1259" w:type="dxa"/>
            <w:vAlign w:val="top"/>
          </w:tcPr>
          <w:p w14:paraId="211D499B">
            <w:pPr>
              <w:pStyle w:val="26"/>
              <w:rPr>
                <w:rFonts w:hint="eastAsia" w:ascii="仿宋" w:hAnsi="仿宋" w:eastAsia="仿宋" w:cs="仿宋"/>
                <w:color w:val="auto"/>
                <w:highlight w:val="none"/>
              </w:rPr>
            </w:pPr>
          </w:p>
        </w:tc>
        <w:tc>
          <w:tcPr>
            <w:tcW w:w="900" w:type="dxa"/>
            <w:vAlign w:val="top"/>
          </w:tcPr>
          <w:p w14:paraId="5648EEF7">
            <w:pPr>
              <w:pStyle w:val="26"/>
              <w:rPr>
                <w:rFonts w:hint="eastAsia" w:ascii="仿宋" w:hAnsi="仿宋" w:eastAsia="仿宋" w:cs="仿宋"/>
                <w:color w:val="auto"/>
                <w:highlight w:val="none"/>
              </w:rPr>
            </w:pPr>
          </w:p>
        </w:tc>
        <w:tc>
          <w:tcPr>
            <w:tcW w:w="904" w:type="dxa"/>
            <w:vAlign w:val="top"/>
          </w:tcPr>
          <w:p w14:paraId="29D65008">
            <w:pPr>
              <w:pStyle w:val="26"/>
              <w:rPr>
                <w:rFonts w:hint="eastAsia" w:ascii="仿宋" w:hAnsi="仿宋" w:eastAsia="仿宋" w:cs="仿宋"/>
                <w:color w:val="auto"/>
                <w:highlight w:val="none"/>
              </w:rPr>
            </w:pPr>
          </w:p>
        </w:tc>
      </w:tr>
      <w:tr w14:paraId="2AC65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8BE67E7">
            <w:pPr>
              <w:pStyle w:val="26"/>
              <w:rPr>
                <w:rFonts w:hint="eastAsia" w:ascii="仿宋" w:hAnsi="仿宋" w:eastAsia="仿宋" w:cs="仿宋"/>
                <w:color w:val="auto"/>
                <w:highlight w:val="none"/>
              </w:rPr>
            </w:pPr>
          </w:p>
        </w:tc>
        <w:tc>
          <w:tcPr>
            <w:tcW w:w="1259" w:type="dxa"/>
            <w:vAlign w:val="top"/>
          </w:tcPr>
          <w:p w14:paraId="6A4912E7">
            <w:pPr>
              <w:pStyle w:val="26"/>
              <w:rPr>
                <w:rFonts w:hint="eastAsia" w:ascii="仿宋" w:hAnsi="仿宋" w:eastAsia="仿宋" w:cs="仿宋"/>
                <w:color w:val="auto"/>
                <w:highlight w:val="none"/>
              </w:rPr>
            </w:pPr>
          </w:p>
        </w:tc>
        <w:tc>
          <w:tcPr>
            <w:tcW w:w="2339" w:type="dxa"/>
            <w:vAlign w:val="top"/>
          </w:tcPr>
          <w:p w14:paraId="750C6354">
            <w:pPr>
              <w:pStyle w:val="26"/>
              <w:rPr>
                <w:rFonts w:hint="eastAsia" w:ascii="仿宋" w:hAnsi="仿宋" w:eastAsia="仿宋" w:cs="仿宋"/>
                <w:color w:val="auto"/>
                <w:highlight w:val="none"/>
              </w:rPr>
            </w:pPr>
          </w:p>
        </w:tc>
        <w:tc>
          <w:tcPr>
            <w:tcW w:w="1259" w:type="dxa"/>
            <w:vAlign w:val="top"/>
          </w:tcPr>
          <w:p w14:paraId="58850DA8">
            <w:pPr>
              <w:pStyle w:val="26"/>
              <w:rPr>
                <w:rFonts w:hint="eastAsia" w:ascii="仿宋" w:hAnsi="仿宋" w:eastAsia="仿宋" w:cs="仿宋"/>
                <w:color w:val="auto"/>
                <w:highlight w:val="none"/>
              </w:rPr>
            </w:pPr>
          </w:p>
        </w:tc>
        <w:tc>
          <w:tcPr>
            <w:tcW w:w="1259" w:type="dxa"/>
            <w:vAlign w:val="top"/>
          </w:tcPr>
          <w:p w14:paraId="5F737632">
            <w:pPr>
              <w:pStyle w:val="26"/>
              <w:rPr>
                <w:rFonts w:hint="eastAsia" w:ascii="仿宋" w:hAnsi="仿宋" w:eastAsia="仿宋" w:cs="仿宋"/>
                <w:color w:val="auto"/>
                <w:highlight w:val="none"/>
              </w:rPr>
            </w:pPr>
          </w:p>
        </w:tc>
        <w:tc>
          <w:tcPr>
            <w:tcW w:w="900" w:type="dxa"/>
            <w:vAlign w:val="top"/>
          </w:tcPr>
          <w:p w14:paraId="509793A8">
            <w:pPr>
              <w:pStyle w:val="26"/>
              <w:rPr>
                <w:rFonts w:hint="eastAsia" w:ascii="仿宋" w:hAnsi="仿宋" w:eastAsia="仿宋" w:cs="仿宋"/>
                <w:color w:val="auto"/>
                <w:highlight w:val="none"/>
              </w:rPr>
            </w:pPr>
          </w:p>
        </w:tc>
        <w:tc>
          <w:tcPr>
            <w:tcW w:w="904" w:type="dxa"/>
            <w:vAlign w:val="top"/>
          </w:tcPr>
          <w:p w14:paraId="6980CFA2">
            <w:pPr>
              <w:pStyle w:val="26"/>
              <w:rPr>
                <w:rFonts w:hint="eastAsia" w:ascii="仿宋" w:hAnsi="仿宋" w:eastAsia="仿宋" w:cs="仿宋"/>
                <w:color w:val="auto"/>
                <w:highlight w:val="none"/>
              </w:rPr>
            </w:pPr>
          </w:p>
        </w:tc>
      </w:tr>
      <w:tr w14:paraId="4923E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59129448">
            <w:pPr>
              <w:pStyle w:val="26"/>
              <w:rPr>
                <w:rFonts w:hint="eastAsia" w:ascii="仿宋" w:hAnsi="仿宋" w:eastAsia="仿宋" w:cs="仿宋"/>
                <w:color w:val="auto"/>
                <w:highlight w:val="none"/>
              </w:rPr>
            </w:pPr>
          </w:p>
        </w:tc>
        <w:tc>
          <w:tcPr>
            <w:tcW w:w="1259" w:type="dxa"/>
            <w:vAlign w:val="top"/>
          </w:tcPr>
          <w:p w14:paraId="0B6BEA39">
            <w:pPr>
              <w:pStyle w:val="26"/>
              <w:rPr>
                <w:rFonts w:hint="eastAsia" w:ascii="仿宋" w:hAnsi="仿宋" w:eastAsia="仿宋" w:cs="仿宋"/>
                <w:color w:val="auto"/>
                <w:highlight w:val="none"/>
              </w:rPr>
            </w:pPr>
          </w:p>
        </w:tc>
        <w:tc>
          <w:tcPr>
            <w:tcW w:w="2339" w:type="dxa"/>
            <w:vAlign w:val="top"/>
          </w:tcPr>
          <w:p w14:paraId="1C4E44E2">
            <w:pPr>
              <w:pStyle w:val="26"/>
              <w:rPr>
                <w:rFonts w:hint="eastAsia" w:ascii="仿宋" w:hAnsi="仿宋" w:eastAsia="仿宋" w:cs="仿宋"/>
                <w:color w:val="auto"/>
                <w:highlight w:val="none"/>
              </w:rPr>
            </w:pPr>
          </w:p>
        </w:tc>
        <w:tc>
          <w:tcPr>
            <w:tcW w:w="1259" w:type="dxa"/>
            <w:vAlign w:val="top"/>
          </w:tcPr>
          <w:p w14:paraId="7FCFE5FE">
            <w:pPr>
              <w:pStyle w:val="26"/>
              <w:rPr>
                <w:rFonts w:hint="eastAsia" w:ascii="仿宋" w:hAnsi="仿宋" w:eastAsia="仿宋" w:cs="仿宋"/>
                <w:color w:val="auto"/>
                <w:highlight w:val="none"/>
              </w:rPr>
            </w:pPr>
          </w:p>
        </w:tc>
        <w:tc>
          <w:tcPr>
            <w:tcW w:w="1259" w:type="dxa"/>
            <w:vAlign w:val="top"/>
          </w:tcPr>
          <w:p w14:paraId="7464AF9B">
            <w:pPr>
              <w:pStyle w:val="26"/>
              <w:rPr>
                <w:rFonts w:hint="eastAsia" w:ascii="仿宋" w:hAnsi="仿宋" w:eastAsia="仿宋" w:cs="仿宋"/>
                <w:color w:val="auto"/>
                <w:highlight w:val="none"/>
              </w:rPr>
            </w:pPr>
          </w:p>
        </w:tc>
        <w:tc>
          <w:tcPr>
            <w:tcW w:w="900" w:type="dxa"/>
            <w:vAlign w:val="top"/>
          </w:tcPr>
          <w:p w14:paraId="66B05F1E">
            <w:pPr>
              <w:pStyle w:val="26"/>
              <w:rPr>
                <w:rFonts w:hint="eastAsia" w:ascii="仿宋" w:hAnsi="仿宋" w:eastAsia="仿宋" w:cs="仿宋"/>
                <w:color w:val="auto"/>
                <w:highlight w:val="none"/>
              </w:rPr>
            </w:pPr>
          </w:p>
        </w:tc>
        <w:tc>
          <w:tcPr>
            <w:tcW w:w="904" w:type="dxa"/>
            <w:vAlign w:val="top"/>
          </w:tcPr>
          <w:p w14:paraId="4642678A">
            <w:pPr>
              <w:pStyle w:val="26"/>
              <w:rPr>
                <w:rFonts w:hint="eastAsia" w:ascii="仿宋" w:hAnsi="仿宋" w:eastAsia="仿宋" w:cs="仿宋"/>
                <w:color w:val="auto"/>
                <w:highlight w:val="none"/>
              </w:rPr>
            </w:pPr>
          </w:p>
        </w:tc>
      </w:tr>
      <w:tr w14:paraId="38C29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F49C1F5">
            <w:pPr>
              <w:pStyle w:val="26"/>
              <w:rPr>
                <w:rFonts w:hint="eastAsia" w:ascii="仿宋" w:hAnsi="仿宋" w:eastAsia="仿宋" w:cs="仿宋"/>
                <w:color w:val="auto"/>
                <w:highlight w:val="none"/>
              </w:rPr>
            </w:pPr>
          </w:p>
        </w:tc>
        <w:tc>
          <w:tcPr>
            <w:tcW w:w="1259" w:type="dxa"/>
            <w:vAlign w:val="top"/>
          </w:tcPr>
          <w:p w14:paraId="314F8DA6">
            <w:pPr>
              <w:pStyle w:val="26"/>
              <w:rPr>
                <w:rFonts w:hint="eastAsia" w:ascii="仿宋" w:hAnsi="仿宋" w:eastAsia="仿宋" w:cs="仿宋"/>
                <w:color w:val="auto"/>
                <w:highlight w:val="none"/>
              </w:rPr>
            </w:pPr>
          </w:p>
        </w:tc>
        <w:tc>
          <w:tcPr>
            <w:tcW w:w="2339" w:type="dxa"/>
            <w:vAlign w:val="top"/>
          </w:tcPr>
          <w:p w14:paraId="5A0F12C9">
            <w:pPr>
              <w:pStyle w:val="26"/>
              <w:rPr>
                <w:rFonts w:hint="eastAsia" w:ascii="仿宋" w:hAnsi="仿宋" w:eastAsia="仿宋" w:cs="仿宋"/>
                <w:color w:val="auto"/>
                <w:highlight w:val="none"/>
              </w:rPr>
            </w:pPr>
          </w:p>
        </w:tc>
        <w:tc>
          <w:tcPr>
            <w:tcW w:w="1259" w:type="dxa"/>
            <w:vAlign w:val="top"/>
          </w:tcPr>
          <w:p w14:paraId="6C721C88">
            <w:pPr>
              <w:pStyle w:val="26"/>
              <w:rPr>
                <w:rFonts w:hint="eastAsia" w:ascii="仿宋" w:hAnsi="仿宋" w:eastAsia="仿宋" w:cs="仿宋"/>
                <w:color w:val="auto"/>
                <w:highlight w:val="none"/>
              </w:rPr>
            </w:pPr>
          </w:p>
        </w:tc>
        <w:tc>
          <w:tcPr>
            <w:tcW w:w="1259" w:type="dxa"/>
            <w:vAlign w:val="top"/>
          </w:tcPr>
          <w:p w14:paraId="79321062">
            <w:pPr>
              <w:pStyle w:val="26"/>
              <w:rPr>
                <w:rFonts w:hint="eastAsia" w:ascii="仿宋" w:hAnsi="仿宋" w:eastAsia="仿宋" w:cs="仿宋"/>
                <w:color w:val="auto"/>
                <w:highlight w:val="none"/>
              </w:rPr>
            </w:pPr>
          </w:p>
        </w:tc>
        <w:tc>
          <w:tcPr>
            <w:tcW w:w="900" w:type="dxa"/>
            <w:vAlign w:val="top"/>
          </w:tcPr>
          <w:p w14:paraId="3086D04D">
            <w:pPr>
              <w:pStyle w:val="26"/>
              <w:rPr>
                <w:rFonts w:hint="eastAsia" w:ascii="仿宋" w:hAnsi="仿宋" w:eastAsia="仿宋" w:cs="仿宋"/>
                <w:color w:val="auto"/>
                <w:highlight w:val="none"/>
              </w:rPr>
            </w:pPr>
          </w:p>
        </w:tc>
        <w:tc>
          <w:tcPr>
            <w:tcW w:w="904" w:type="dxa"/>
            <w:vAlign w:val="top"/>
          </w:tcPr>
          <w:p w14:paraId="6F267B70">
            <w:pPr>
              <w:pStyle w:val="26"/>
              <w:rPr>
                <w:rFonts w:hint="eastAsia" w:ascii="仿宋" w:hAnsi="仿宋" w:eastAsia="仿宋" w:cs="仿宋"/>
                <w:color w:val="auto"/>
                <w:highlight w:val="none"/>
              </w:rPr>
            </w:pPr>
          </w:p>
        </w:tc>
      </w:tr>
      <w:tr w14:paraId="4CF6B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3C625AC">
            <w:pPr>
              <w:pStyle w:val="26"/>
              <w:rPr>
                <w:rFonts w:hint="eastAsia" w:ascii="仿宋" w:hAnsi="仿宋" w:eastAsia="仿宋" w:cs="仿宋"/>
                <w:color w:val="auto"/>
                <w:highlight w:val="none"/>
              </w:rPr>
            </w:pPr>
          </w:p>
        </w:tc>
        <w:tc>
          <w:tcPr>
            <w:tcW w:w="1259" w:type="dxa"/>
            <w:vAlign w:val="top"/>
          </w:tcPr>
          <w:p w14:paraId="4EF27428">
            <w:pPr>
              <w:pStyle w:val="26"/>
              <w:rPr>
                <w:rFonts w:hint="eastAsia" w:ascii="仿宋" w:hAnsi="仿宋" w:eastAsia="仿宋" w:cs="仿宋"/>
                <w:color w:val="auto"/>
                <w:highlight w:val="none"/>
              </w:rPr>
            </w:pPr>
          </w:p>
        </w:tc>
        <w:tc>
          <w:tcPr>
            <w:tcW w:w="2339" w:type="dxa"/>
            <w:vAlign w:val="top"/>
          </w:tcPr>
          <w:p w14:paraId="765E1F26">
            <w:pPr>
              <w:pStyle w:val="26"/>
              <w:rPr>
                <w:rFonts w:hint="eastAsia" w:ascii="仿宋" w:hAnsi="仿宋" w:eastAsia="仿宋" w:cs="仿宋"/>
                <w:color w:val="auto"/>
                <w:highlight w:val="none"/>
              </w:rPr>
            </w:pPr>
          </w:p>
        </w:tc>
        <w:tc>
          <w:tcPr>
            <w:tcW w:w="1259" w:type="dxa"/>
            <w:vAlign w:val="top"/>
          </w:tcPr>
          <w:p w14:paraId="1F651EA0">
            <w:pPr>
              <w:pStyle w:val="26"/>
              <w:rPr>
                <w:rFonts w:hint="eastAsia" w:ascii="仿宋" w:hAnsi="仿宋" w:eastAsia="仿宋" w:cs="仿宋"/>
                <w:color w:val="auto"/>
                <w:highlight w:val="none"/>
              </w:rPr>
            </w:pPr>
          </w:p>
        </w:tc>
        <w:tc>
          <w:tcPr>
            <w:tcW w:w="1259" w:type="dxa"/>
            <w:vAlign w:val="top"/>
          </w:tcPr>
          <w:p w14:paraId="6A22B782">
            <w:pPr>
              <w:pStyle w:val="26"/>
              <w:rPr>
                <w:rFonts w:hint="eastAsia" w:ascii="仿宋" w:hAnsi="仿宋" w:eastAsia="仿宋" w:cs="仿宋"/>
                <w:color w:val="auto"/>
                <w:highlight w:val="none"/>
              </w:rPr>
            </w:pPr>
          </w:p>
        </w:tc>
        <w:tc>
          <w:tcPr>
            <w:tcW w:w="900" w:type="dxa"/>
            <w:vAlign w:val="top"/>
          </w:tcPr>
          <w:p w14:paraId="1287C1C9">
            <w:pPr>
              <w:pStyle w:val="26"/>
              <w:rPr>
                <w:rFonts w:hint="eastAsia" w:ascii="仿宋" w:hAnsi="仿宋" w:eastAsia="仿宋" w:cs="仿宋"/>
                <w:color w:val="auto"/>
                <w:highlight w:val="none"/>
              </w:rPr>
            </w:pPr>
          </w:p>
        </w:tc>
        <w:tc>
          <w:tcPr>
            <w:tcW w:w="904" w:type="dxa"/>
            <w:vAlign w:val="top"/>
          </w:tcPr>
          <w:p w14:paraId="39F4FD11">
            <w:pPr>
              <w:pStyle w:val="26"/>
              <w:rPr>
                <w:rFonts w:hint="eastAsia" w:ascii="仿宋" w:hAnsi="仿宋" w:eastAsia="仿宋" w:cs="仿宋"/>
                <w:color w:val="auto"/>
                <w:highlight w:val="none"/>
              </w:rPr>
            </w:pPr>
          </w:p>
        </w:tc>
      </w:tr>
      <w:tr w14:paraId="3AA00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138A9CCC">
            <w:pPr>
              <w:pStyle w:val="26"/>
              <w:rPr>
                <w:rFonts w:hint="eastAsia" w:ascii="仿宋" w:hAnsi="仿宋" w:eastAsia="仿宋" w:cs="仿宋"/>
                <w:color w:val="auto"/>
                <w:highlight w:val="none"/>
              </w:rPr>
            </w:pPr>
          </w:p>
        </w:tc>
        <w:tc>
          <w:tcPr>
            <w:tcW w:w="1259" w:type="dxa"/>
            <w:vAlign w:val="top"/>
          </w:tcPr>
          <w:p w14:paraId="4D500E04">
            <w:pPr>
              <w:pStyle w:val="26"/>
              <w:rPr>
                <w:rFonts w:hint="eastAsia" w:ascii="仿宋" w:hAnsi="仿宋" w:eastAsia="仿宋" w:cs="仿宋"/>
                <w:color w:val="auto"/>
                <w:highlight w:val="none"/>
              </w:rPr>
            </w:pPr>
          </w:p>
        </w:tc>
        <w:tc>
          <w:tcPr>
            <w:tcW w:w="2339" w:type="dxa"/>
            <w:vAlign w:val="top"/>
          </w:tcPr>
          <w:p w14:paraId="3B06681C">
            <w:pPr>
              <w:pStyle w:val="26"/>
              <w:rPr>
                <w:rFonts w:hint="eastAsia" w:ascii="仿宋" w:hAnsi="仿宋" w:eastAsia="仿宋" w:cs="仿宋"/>
                <w:color w:val="auto"/>
                <w:highlight w:val="none"/>
              </w:rPr>
            </w:pPr>
          </w:p>
        </w:tc>
        <w:tc>
          <w:tcPr>
            <w:tcW w:w="1259" w:type="dxa"/>
            <w:vAlign w:val="top"/>
          </w:tcPr>
          <w:p w14:paraId="141156AA">
            <w:pPr>
              <w:pStyle w:val="26"/>
              <w:rPr>
                <w:rFonts w:hint="eastAsia" w:ascii="仿宋" w:hAnsi="仿宋" w:eastAsia="仿宋" w:cs="仿宋"/>
                <w:color w:val="auto"/>
                <w:highlight w:val="none"/>
              </w:rPr>
            </w:pPr>
          </w:p>
        </w:tc>
        <w:tc>
          <w:tcPr>
            <w:tcW w:w="1259" w:type="dxa"/>
            <w:vAlign w:val="top"/>
          </w:tcPr>
          <w:p w14:paraId="5C42D064">
            <w:pPr>
              <w:pStyle w:val="26"/>
              <w:rPr>
                <w:rFonts w:hint="eastAsia" w:ascii="仿宋" w:hAnsi="仿宋" w:eastAsia="仿宋" w:cs="仿宋"/>
                <w:color w:val="auto"/>
                <w:highlight w:val="none"/>
              </w:rPr>
            </w:pPr>
          </w:p>
        </w:tc>
        <w:tc>
          <w:tcPr>
            <w:tcW w:w="900" w:type="dxa"/>
            <w:vAlign w:val="top"/>
          </w:tcPr>
          <w:p w14:paraId="02128BBD">
            <w:pPr>
              <w:pStyle w:val="26"/>
              <w:rPr>
                <w:rFonts w:hint="eastAsia" w:ascii="仿宋" w:hAnsi="仿宋" w:eastAsia="仿宋" w:cs="仿宋"/>
                <w:color w:val="auto"/>
                <w:highlight w:val="none"/>
              </w:rPr>
            </w:pPr>
          </w:p>
        </w:tc>
        <w:tc>
          <w:tcPr>
            <w:tcW w:w="904" w:type="dxa"/>
            <w:vAlign w:val="top"/>
          </w:tcPr>
          <w:p w14:paraId="184E065D">
            <w:pPr>
              <w:pStyle w:val="26"/>
              <w:rPr>
                <w:rFonts w:hint="eastAsia" w:ascii="仿宋" w:hAnsi="仿宋" w:eastAsia="仿宋" w:cs="仿宋"/>
                <w:color w:val="auto"/>
                <w:highlight w:val="none"/>
              </w:rPr>
            </w:pPr>
          </w:p>
        </w:tc>
      </w:tr>
      <w:tr w14:paraId="426AE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2" w:type="dxa"/>
            <w:vAlign w:val="top"/>
          </w:tcPr>
          <w:p w14:paraId="26A1CBDC">
            <w:pPr>
              <w:pStyle w:val="26"/>
              <w:rPr>
                <w:rFonts w:hint="eastAsia" w:ascii="仿宋" w:hAnsi="仿宋" w:eastAsia="仿宋" w:cs="仿宋"/>
                <w:color w:val="auto"/>
                <w:highlight w:val="none"/>
              </w:rPr>
            </w:pPr>
          </w:p>
        </w:tc>
        <w:tc>
          <w:tcPr>
            <w:tcW w:w="1259" w:type="dxa"/>
            <w:vAlign w:val="top"/>
          </w:tcPr>
          <w:p w14:paraId="4EDA584A">
            <w:pPr>
              <w:pStyle w:val="26"/>
              <w:rPr>
                <w:rFonts w:hint="eastAsia" w:ascii="仿宋" w:hAnsi="仿宋" w:eastAsia="仿宋" w:cs="仿宋"/>
                <w:color w:val="auto"/>
                <w:highlight w:val="none"/>
              </w:rPr>
            </w:pPr>
          </w:p>
        </w:tc>
        <w:tc>
          <w:tcPr>
            <w:tcW w:w="2339" w:type="dxa"/>
            <w:vAlign w:val="top"/>
          </w:tcPr>
          <w:p w14:paraId="53C12032">
            <w:pPr>
              <w:pStyle w:val="26"/>
              <w:rPr>
                <w:rFonts w:hint="eastAsia" w:ascii="仿宋" w:hAnsi="仿宋" w:eastAsia="仿宋" w:cs="仿宋"/>
                <w:color w:val="auto"/>
                <w:highlight w:val="none"/>
              </w:rPr>
            </w:pPr>
          </w:p>
        </w:tc>
        <w:tc>
          <w:tcPr>
            <w:tcW w:w="1259" w:type="dxa"/>
            <w:vAlign w:val="top"/>
          </w:tcPr>
          <w:p w14:paraId="0741D8AD">
            <w:pPr>
              <w:pStyle w:val="26"/>
              <w:rPr>
                <w:rFonts w:hint="eastAsia" w:ascii="仿宋" w:hAnsi="仿宋" w:eastAsia="仿宋" w:cs="仿宋"/>
                <w:color w:val="auto"/>
                <w:highlight w:val="none"/>
              </w:rPr>
            </w:pPr>
          </w:p>
        </w:tc>
        <w:tc>
          <w:tcPr>
            <w:tcW w:w="1259" w:type="dxa"/>
            <w:vAlign w:val="top"/>
          </w:tcPr>
          <w:p w14:paraId="501AB937">
            <w:pPr>
              <w:pStyle w:val="26"/>
              <w:rPr>
                <w:rFonts w:hint="eastAsia" w:ascii="仿宋" w:hAnsi="仿宋" w:eastAsia="仿宋" w:cs="仿宋"/>
                <w:color w:val="auto"/>
                <w:highlight w:val="none"/>
              </w:rPr>
            </w:pPr>
          </w:p>
        </w:tc>
        <w:tc>
          <w:tcPr>
            <w:tcW w:w="900" w:type="dxa"/>
            <w:vAlign w:val="top"/>
          </w:tcPr>
          <w:p w14:paraId="0CACF06F">
            <w:pPr>
              <w:pStyle w:val="26"/>
              <w:rPr>
                <w:rFonts w:hint="eastAsia" w:ascii="仿宋" w:hAnsi="仿宋" w:eastAsia="仿宋" w:cs="仿宋"/>
                <w:color w:val="auto"/>
                <w:highlight w:val="none"/>
              </w:rPr>
            </w:pPr>
          </w:p>
        </w:tc>
        <w:tc>
          <w:tcPr>
            <w:tcW w:w="904" w:type="dxa"/>
            <w:vAlign w:val="top"/>
          </w:tcPr>
          <w:p w14:paraId="76191650">
            <w:pPr>
              <w:pStyle w:val="26"/>
              <w:rPr>
                <w:rFonts w:hint="eastAsia" w:ascii="仿宋" w:hAnsi="仿宋" w:eastAsia="仿宋" w:cs="仿宋"/>
                <w:color w:val="auto"/>
                <w:highlight w:val="none"/>
              </w:rPr>
            </w:pPr>
          </w:p>
        </w:tc>
      </w:tr>
      <w:tr w14:paraId="4389B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32" w:type="dxa"/>
            <w:vAlign w:val="top"/>
          </w:tcPr>
          <w:p w14:paraId="2203E71A">
            <w:pPr>
              <w:pStyle w:val="26"/>
              <w:rPr>
                <w:rFonts w:hint="eastAsia" w:ascii="仿宋" w:hAnsi="仿宋" w:eastAsia="仿宋" w:cs="仿宋"/>
                <w:color w:val="auto"/>
                <w:highlight w:val="none"/>
              </w:rPr>
            </w:pPr>
          </w:p>
        </w:tc>
        <w:tc>
          <w:tcPr>
            <w:tcW w:w="1259" w:type="dxa"/>
            <w:vAlign w:val="top"/>
          </w:tcPr>
          <w:p w14:paraId="0E8F0C8A">
            <w:pPr>
              <w:pStyle w:val="26"/>
              <w:rPr>
                <w:rFonts w:hint="eastAsia" w:ascii="仿宋" w:hAnsi="仿宋" w:eastAsia="仿宋" w:cs="仿宋"/>
                <w:color w:val="auto"/>
                <w:highlight w:val="none"/>
              </w:rPr>
            </w:pPr>
          </w:p>
        </w:tc>
        <w:tc>
          <w:tcPr>
            <w:tcW w:w="2339" w:type="dxa"/>
            <w:vAlign w:val="top"/>
          </w:tcPr>
          <w:p w14:paraId="69A37A58">
            <w:pPr>
              <w:pStyle w:val="26"/>
              <w:rPr>
                <w:rFonts w:hint="eastAsia" w:ascii="仿宋" w:hAnsi="仿宋" w:eastAsia="仿宋" w:cs="仿宋"/>
                <w:color w:val="auto"/>
                <w:highlight w:val="none"/>
              </w:rPr>
            </w:pPr>
          </w:p>
        </w:tc>
        <w:tc>
          <w:tcPr>
            <w:tcW w:w="1259" w:type="dxa"/>
            <w:vAlign w:val="top"/>
          </w:tcPr>
          <w:p w14:paraId="0E9C4F57">
            <w:pPr>
              <w:pStyle w:val="26"/>
              <w:rPr>
                <w:rFonts w:hint="eastAsia" w:ascii="仿宋" w:hAnsi="仿宋" w:eastAsia="仿宋" w:cs="仿宋"/>
                <w:color w:val="auto"/>
                <w:highlight w:val="none"/>
              </w:rPr>
            </w:pPr>
          </w:p>
        </w:tc>
        <w:tc>
          <w:tcPr>
            <w:tcW w:w="1259" w:type="dxa"/>
            <w:vAlign w:val="top"/>
          </w:tcPr>
          <w:p w14:paraId="6020374E">
            <w:pPr>
              <w:pStyle w:val="26"/>
              <w:rPr>
                <w:rFonts w:hint="eastAsia" w:ascii="仿宋" w:hAnsi="仿宋" w:eastAsia="仿宋" w:cs="仿宋"/>
                <w:color w:val="auto"/>
                <w:highlight w:val="none"/>
              </w:rPr>
            </w:pPr>
          </w:p>
        </w:tc>
        <w:tc>
          <w:tcPr>
            <w:tcW w:w="900" w:type="dxa"/>
            <w:vAlign w:val="top"/>
          </w:tcPr>
          <w:p w14:paraId="239F7CDA">
            <w:pPr>
              <w:pStyle w:val="26"/>
              <w:rPr>
                <w:rFonts w:hint="eastAsia" w:ascii="仿宋" w:hAnsi="仿宋" w:eastAsia="仿宋" w:cs="仿宋"/>
                <w:color w:val="auto"/>
                <w:highlight w:val="none"/>
              </w:rPr>
            </w:pPr>
          </w:p>
        </w:tc>
        <w:tc>
          <w:tcPr>
            <w:tcW w:w="904" w:type="dxa"/>
            <w:vAlign w:val="top"/>
          </w:tcPr>
          <w:p w14:paraId="1ADE8A4C">
            <w:pPr>
              <w:pStyle w:val="26"/>
              <w:rPr>
                <w:rFonts w:hint="eastAsia" w:ascii="仿宋" w:hAnsi="仿宋" w:eastAsia="仿宋" w:cs="仿宋"/>
                <w:color w:val="auto"/>
                <w:highlight w:val="none"/>
              </w:rPr>
            </w:pPr>
          </w:p>
        </w:tc>
      </w:tr>
    </w:tbl>
    <w:p w14:paraId="56108BAD">
      <w:pPr>
        <w:spacing w:line="314" w:lineRule="auto"/>
        <w:rPr>
          <w:rFonts w:hint="eastAsia" w:ascii="仿宋" w:hAnsi="仿宋" w:eastAsia="仿宋" w:cs="仿宋"/>
          <w:color w:val="auto"/>
          <w:sz w:val="21"/>
          <w:highlight w:val="none"/>
        </w:rPr>
      </w:pPr>
      <w:r>
        <w:rPr>
          <w:rFonts w:hint="eastAsia" w:ascii="仿宋" w:hAnsi="仿宋" w:eastAsia="仿宋" w:cs="仿宋"/>
          <w:color w:val="auto"/>
          <w:sz w:val="21"/>
          <w:highlight w:val="none"/>
        </w:rPr>
        <w:t>投标人不允许完全复制粘贴招标文件中给出的参数，需逐一列明投标人所投产品的既定参数，否则视为未实质性响应招标文件。</w:t>
      </w:r>
    </w:p>
    <w:p w14:paraId="722A365F">
      <w:pPr>
        <w:spacing w:line="314" w:lineRule="auto"/>
        <w:rPr>
          <w:rFonts w:hint="eastAsia" w:ascii="仿宋" w:hAnsi="仿宋" w:eastAsia="仿宋" w:cs="仿宋"/>
          <w:color w:val="auto"/>
          <w:sz w:val="21"/>
          <w:highlight w:val="none"/>
        </w:rPr>
      </w:pPr>
    </w:p>
    <w:p w14:paraId="1B0CEFD3">
      <w:pPr>
        <w:spacing w:line="314" w:lineRule="auto"/>
        <w:rPr>
          <w:rFonts w:hint="eastAsia" w:ascii="仿宋" w:hAnsi="仿宋" w:eastAsia="仿宋" w:cs="仿宋"/>
          <w:color w:val="auto"/>
          <w:sz w:val="21"/>
          <w:highlight w:val="none"/>
        </w:rPr>
      </w:pPr>
    </w:p>
    <w:p w14:paraId="068A3CE8">
      <w:pPr>
        <w:pStyle w:val="8"/>
        <w:spacing w:before="78" w:line="340" w:lineRule="auto"/>
        <w:ind w:left="7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法定代表人或其委托代理人签字:</w:t>
      </w:r>
    </w:p>
    <w:p w14:paraId="6A1F108C">
      <w:pPr>
        <w:pStyle w:val="8"/>
        <w:spacing w:before="1" w:line="192" w:lineRule="auto"/>
        <w:ind w:left="77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投标人(盖单位章):</w:t>
      </w:r>
    </w:p>
    <w:p w14:paraId="3BB3CF8B">
      <w:pPr>
        <w:spacing w:line="192" w:lineRule="auto"/>
        <w:rPr>
          <w:rFonts w:hint="eastAsia" w:ascii="仿宋" w:hAnsi="仿宋" w:eastAsia="仿宋" w:cs="仿宋"/>
          <w:color w:val="auto"/>
          <w:sz w:val="24"/>
          <w:szCs w:val="24"/>
          <w:highlight w:val="none"/>
        </w:rPr>
        <w:sectPr>
          <w:type w:val="continuous"/>
          <w:pgSz w:w="11905" w:h="16838"/>
          <w:pgMar w:top="1440" w:right="1083" w:bottom="1440" w:left="1083" w:header="0" w:footer="1225" w:gutter="0"/>
          <w:pgNumType w:fmt="decimal"/>
          <w:cols w:space="0" w:num="1"/>
          <w:rtlGutter w:val="0"/>
          <w:docGrid w:linePitch="0" w:charSpace="0"/>
        </w:sectPr>
      </w:pPr>
    </w:p>
    <w:p w14:paraId="0DE1852B">
      <w:pP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bookmarkStart w:id="190" w:name="bookmark66"/>
      <w:bookmarkEnd w:id="190"/>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br w:type="page"/>
      </w:r>
    </w:p>
    <w:p w14:paraId="32DBE341">
      <w:pPr>
        <w:pStyle w:val="8"/>
        <w:spacing w:before="156" w:line="224" w:lineRule="auto"/>
        <w:jc w:val="center"/>
        <w:outlineLvl w:val="2"/>
        <w:rPr>
          <w:rFonts w:hint="eastAsia" w:ascii="仿宋" w:hAnsi="仿宋" w:eastAsia="仿宋" w:cs="仿宋"/>
          <w:color w:val="auto"/>
          <w:sz w:val="24"/>
          <w:szCs w:val="24"/>
          <w:highlight w:val="none"/>
        </w:rPr>
      </w:pPr>
      <w:bookmarkStart w:id="191" w:name="_Toc7330"/>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6商务条款偏离表（投标文件格式十）</w:t>
      </w:r>
      <w:bookmarkEnd w:id="191"/>
    </w:p>
    <w:p w14:paraId="68A867A9">
      <w:pPr>
        <w:pStyle w:val="8"/>
        <w:spacing w:before="50" w:line="439" w:lineRule="exact"/>
        <w:ind w:left="864"/>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项目名称:</w:t>
      </w:r>
    </w:p>
    <w:p w14:paraId="4C7A322B">
      <w:pPr>
        <w:pStyle w:val="8"/>
        <w:spacing w:before="50" w:line="439" w:lineRule="exact"/>
        <w:ind w:left="864"/>
        <w:rPr>
          <w:rFonts w:hint="eastAsia" w:ascii="仿宋" w:hAnsi="仿宋" w:eastAsia="仿宋" w:cs="仿宋"/>
          <w:color w:val="auto"/>
          <w:spacing w:val="-3"/>
          <w:position w:val="14"/>
          <w:sz w:val="24"/>
          <w:szCs w:val="24"/>
          <w:highlight w:val="none"/>
        </w:rPr>
      </w:pPr>
      <w:r>
        <w:rPr>
          <w:rFonts w:hint="eastAsia" w:ascii="仿宋" w:hAnsi="仿宋" w:eastAsia="仿宋" w:cs="仿宋"/>
          <w:color w:val="auto"/>
          <w:spacing w:val="-3"/>
          <w:position w:val="14"/>
          <w:sz w:val="24"/>
          <w:szCs w:val="24"/>
          <w:highlight w:val="none"/>
          <w:lang w:eastAsia="zh-CN"/>
        </w:rPr>
        <w:t>项目编号</w:t>
      </w:r>
      <w:r>
        <w:rPr>
          <w:rFonts w:hint="eastAsia" w:ascii="仿宋" w:hAnsi="仿宋" w:eastAsia="仿宋" w:cs="仿宋"/>
          <w:color w:val="auto"/>
          <w:spacing w:val="-3"/>
          <w:position w:val="14"/>
          <w:sz w:val="24"/>
          <w:szCs w:val="24"/>
          <w:highlight w:val="none"/>
        </w:rPr>
        <w:t>:</w:t>
      </w:r>
    </w:p>
    <w:p w14:paraId="1CCE02F7">
      <w:pPr>
        <w:pStyle w:val="8"/>
        <w:spacing w:before="50" w:line="439" w:lineRule="exact"/>
        <w:ind w:left="864"/>
        <w:rPr>
          <w:rFonts w:hint="eastAsia" w:ascii="仿宋" w:hAnsi="仿宋" w:eastAsia="仿宋" w:cs="仿宋"/>
          <w:color w:val="auto"/>
          <w:spacing w:val="-3"/>
          <w:position w:val="14"/>
          <w:sz w:val="24"/>
          <w:szCs w:val="24"/>
          <w:highlight w:val="none"/>
        </w:rPr>
      </w:pPr>
      <w:r>
        <w:rPr>
          <w:rFonts w:hint="eastAsia" w:ascii="仿宋" w:hAnsi="仿宋" w:eastAsia="仿宋" w:cs="仿宋"/>
          <w:color w:val="auto"/>
          <w:spacing w:val="-3"/>
          <w:position w:val="14"/>
          <w:sz w:val="24"/>
          <w:szCs w:val="24"/>
          <w:highlight w:val="none"/>
          <w:lang w:eastAsia="zh-CN"/>
        </w:rPr>
        <w:t>标项</w:t>
      </w:r>
      <w:r>
        <w:rPr>
          <w:rFonts w:hint="eastAsia" w:ascii="仿宋" w:hAnsi="仿宋" w:eastAsia="仿宋" w:cs="仿宋"/>
          <w:color w:val="auto"/>
          <w:spacing w:val="-3"/>
          <w:position w:val="14"/>
          <w:sz w:val="24"/>
          <w:szCs w:val="24"/>
          <w:highlight w:val="none"/>
        </w:rPr>
        <w:t>:</w:t>
      </w:r>
    </w:p>
    <w:p w14:paraId="45071BE3">
      <w:pPr>
        <w:rPr>
          <w:rFonts w:hint="eastAsia" w:ascii="仿宋" w:hAnsi="仿宋" w:eastAsia="仿宋" w:cs="仿宋"/>
          <w:color w:val="auto"/>
          <w:highlight w:val="none"/>
        </w:rPr>
      </w:pPr>
    </w:p>
    <w:tbl>
      <w:tblPr>
        <w:tblStyle w:val="25"/>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66626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00C56463">
            <w:pPr>
              <w:spacing w:before="152" w:line="225" w:lineRule="auto"/>
              <w:ind w:left="242"/>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2039" w:type="dxa"/>
            <w:vAlign w:val="top"/>
          </w:tcPr>
          <w:p w14:paraId="55C9FAEB">
            <w:pPr>
              <w:spacing w:before="152" w:line="224" w:lineRule="auto"/>
              <w:ind w:left="18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招标文件条款号</w:t>
            </w:r>
          </w:p>
        </w:tc>
        <w:tc>
          <w:tcPr>
            <w:tcW w:w="2518" w:type="dxa"/>
            <w:vAlign w:val="top"/>
          </w:tcPr>
          <w:p w14:paraId="64A12323">
            <w:pPr>
              <w:spacing w:before="152" w:line="224" w:lineRule="auto"/>
              <w:ind w:left="18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招标文件的商务条款</w:t>
            </w:r>
          </w:p>
        </w:tc>
        <w:tc>
          <w:tcPr>
            <w:tcW w:w="2519" w:type="dxa"/>
            <w:vAlign w:val="top"/>
          </w:tcPr>
          <w:p w14:paraId="446E868D">
            <w:pPr>
              <w:spacing w:before="152" w:line="224" w:lineRule="auto"/>
              <w:ind w:left="18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投标文件的商务条款</w:t>
            </w:r>
          </w:p>
        </w:tc>
        <w:tc>
          <w:tcPr>
            <w:tcW w:w="904" w:type="dxa"/>
            <w:vAlign w:val="top"/>
          </w:tcPr>
          <w:p w14:paraId="59261DA6">
            <w:pPr>
              <w:spacing w:before="152" w:line="232" w:lineRule="auto"/>
              <w:ind w:left="215"/>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说明</w:t>
            </w:r>
          </w:p>
        </w:tc>
      </w:tr>
      <w:tr w14:paraId="1819F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604AC389">
            <w:pPr>
              <w:pStyle w:val="26"/>
              <w:rPr>
                <w:rFonts w:hint="eastAsia" w:ascii="仿宋" w:hAnsi="仿宋" w:eastAsia="仿宋" w:cs="仿宋"/>
                <w:color w:val="auto"/>
                <w:highlight w:val="none"/>
              </w:rPr>
            </w:pPr>
          </w:p>
        </w:tc>
        <w:tc>
          <w:tcPr>
            <w:tcW w:w="2039" w:type="dxa"/>
            <w:vAlign w:val="top"/>
          </w:tcPr>
          <w:p w14:paraId="185397DD">
            <w:pPr>
              <w:pStyle w:val="26"/>
              <w:rPr>
                <w:rFonts w:hint="eastAsia" w:ascii="仿宋" w:hAnsi="仿宋" w:eastAsia="仿宋" w:cs="仿宋"/>
                <w:color w:val="auto"/>
                <w:highlight w:val="none"/>
              </w:rPr>
            </w:pPr>
          </w:p>
        </w:tc>
        <w:tc>
          <w:tcPr>
            <w:tcW w:w="2518" w:type="dxa"/>
            <w:vAlign w:val="top"/>
          </w:tcPr>
          <w:p w14:paraId="33D3AFC3">
            <w:pPr>
              <w:pStyle w:val="26"/>
              <w:rPr>
                <w:rFonts w:hint="eastAsia" w:ascii="仿宋" w:hAnsi="仿宋" w:eastAsia="仿宋" w:cs="仿宋"/>
                <w:color w:val="auto"/>
                <w:highlight w:val="none"/>
              </w:rPr>
            </w:pPr>
          </w:p>
        </w:tc>
        <w:tc>
          <w:tcPr>
            <w:tcW w:w="2519" w:type="dxa"/>
            <w:vAlign w:val="top"/>
          </w:tcPr>
          <w:p w14:paraId="1ACCB12D">
            <w:pPr>
              <w:pStyle w:val="26"/>
              <w:rPr>
                <w:rFonts w:hint="eastAsia" w:ascii="仿宋" w:hAnsi="仿宋" w:eastAsia="仿宋" w:cs="仿宋"/>
                <w:color w:val="auto"/>
                <w:highlight w:val="none"/>
              </w:rPr>
            </w:pPr>
          </w:p>
        </w:tc>
        <w:tc>
          <w:tcPr>
            <w:tcW w:w="904" w:type="dxa"/>
            <w:vAlign w:val="top"/>
          </w:tcPr>
          <w:p w14:paraId="61B57527">
            <w:pPr>
              <w:pStyle w:val="26"/>
              <w:rPr>
                <w:rFonts w:hint="eastAsia" w:ascii="仿宋" w:hAnsi="仿宋" w:eastAsia="仿宋" w:cs="仿宋"/>
                <w:color w:val="auto"/>
                <w:highlight w:val="none"/>
              </w:rPr>
            </w:pPr>
          </w:p>
        </w:tc>
      </w:tr>
      <w:tr w14:paraId="24DBC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204C93F5">
            <w:pPr>
              <w:pStyle w:val="26"/>
              <w:rPr>
                <w:rFonts w:hint="eastAsia" w:ascii="仿宋" w:hAnsi="仿宋" w:eastAsia="仿宋" w:cs="仿宋"/>
                <w:color w:val="auto"/>
                <w:highlight w:val="none"/>
              </w:rPr>
            </w:pPr>
          </w:p>
        </w:tc>
        <w:tc>
          <w:tcPr>
            <w:tcW w:w="2039" w:type="dxa"/>
            <w:vAlign w:val="top"/>
          </w:tcPr>
          <w:p w14:paraId="35D516CE">
            <w:pPr>
              <w:pStyle w:val="26"/>
              <w:rPr>
                <w:rFonts w:hint="eastAsia" w:ascii="仿宋" w:hAnsi="仿宋" w:eastAsia="仿宋" w:cs="仿宋"/>
                <w:color w:val="auto"/>
                <w:highlight w:val="none"/>
              </w:rPr>
            </w:pPr>
          </w:p>
        </w:tc>
        <w:tc>
          <w:tcPr>
            <w:tcW w:w="2518" w:type="dxa"/>
            <w:vAlign w:val="top"/>
          </w:tcPr>
          <w:p w14:paraId="08E25EF3">
            <w:pPr>
              <w:pStyle w:val="26"/>
              <w:rPr>
                <w:rFonts w:hint="eastAsia" w:ascii="仿宋" w:hAnsi="仿宋" w:eastAsia="仿宋" w:cs="仿宋"/>
                <w:color w:val="auto"/>
                <w:highlight w:val="none"/>
              </w:rPr>
            </w:pPr>
          </w:p>
        </w:tc>
        <w:tc>
          <w:tcPr>
            <w:tcW w:w="2519" w:type="dxa"/>
            <w:vAlign w:val="top"/>
          </w:tcPr>
          <w:p w14:paraId="2C030A78">
            <w:pPr>
              <w:pStyle w:val="26"/>
              <w:rPr>
                <w:rFonts w:hint="eastAsia" w:ascii="仿宋" w:hAnsi="仿宋" w:eastAsia="仿宋" w:cs="仿宋"/>
                <w:color w:val="auto"/>
                <w:highlight w:val="none"/>
              </w:rPr>
            </w:pPr>
          </w:p>
        </w:tc>
        <w:tc>
          <w:tcPr>
            <w:tcW w:w="904" w:type="dxa"/>
            <w:vAlign w:val="top"/>
          </w:tcPr>
          <w:p w14:paraId="238DA672">
            <w:pPr>
              <w:pStyle w:val="26"/>
              <w:rPr>
                <w:rFonts w:hint="eastAsia" w:ascii="仿宋" w:hAnsi="仿宋" w:eastAsia="仿宋" w:cs="仿宋"/>
                <w:color w:val="auto"/>
                <w:highlight w:val="none"/>
              </w:rPr>
            </w:pPr>
          </w:p>
        </w:tc>
      </w:tr>
      <w:tr w14:paraId="034ED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BEDADB6">
            <w:pPr>
              <w:pStyle w:val="26"/>
              <w:rPr>
                <w:rFonts w:hint="eastAsia" w:ascii="仿宋" w:hAnsi="仿宋" w:eastAsia="仿宋" w:cs="仿宋"/>
                <w:color w:val="auto"/>
                <w:highlight w:val="none"/>
              </w:rPr>
            </w:pPr>
          </w:p>
        </w:tc>
        <w:tc>
          <w:tcPr>
            <w:tcW w:w="2039" w:type="dxa"/>
            <w:vAlign w:val="top"/>
          </w:tcPr>
          <w:p w14:paraId="27EFA613">
            <w:pPr>
              <w:pStyle w:val="26"/>
              <w:rPr>
                <w:rFonts w:hint="eastAsia" w:ascii="仿宋" w:hAnsi="仿宋" w:eastAsia="仿宋" w:cs="仿宋"/>
                <w:color w:val="auto"/>
                <w:highlight w:val="none"/>
              </w:rPr>
            </w:pPr>
          </w:p>
        </w:tc>
        <w:tc>
          <w:tcPr>
            <w:tcW w:w="2518" w:type="dxa"/>
            <w:vAlign w:val="top"/>
          </w:tcPr>
          <w:p w14:paraId="5824C9E4">
            <w:pPr>
              <w:pStyle w:val="26"/>
              <w:rPr>
                <w:rFonts w:hint="eastAsia" w:ascii="仿宋" w:hAnsi="仿宋" w:eastAsia="仿宋" w:cs="仿宋"/>
                <w:color w:val="auto"/>
                <w:highlight w:val="none"/>
              </w:rPr>
            </w:pPr>
          </w:p>
        </w:tc>
        <w:tc>
          <w:tcPr>
            <w:tcW w:w="2519" w:type="dxa"/>
            <w:vAlign w:val="top"/>
          </w:tcPr>
          <w:p w14:paraId="034FF1BC">
            <w:pPr>
              <w:pStyle w:val="26"/>
              <w:rPr>
                <w:rFonts w:hint="eastAsia" w:ascii="仿宋" w:hAnsi="仿宋" w:eastAsia="仿宋" w:cs="仿宋"/>
                <w:color w:val="auto"/>
                <w:highlight w:val="none"/>
              </w:rPr>
            </w:pPr>
          </w:p>
        </w:tc>
        <w:tc>
          <w:tcPr>
            <w:tcW w:w="904" w:type="dxa"/>
            <w:vAlign w:val="top"/>
          </w:tcPr>
          <w:p w14:paraId="539005E5">
            <w:pPr>
              <w:pStyle w:val="26"/>
              <w:rPr>
                <w:rFonts w:hint="eastAsia" w:ascii="仿宋" w:hAnsi="仿宋" w:eastAsia="仿宋" w:cs="仿宋"/>
                <w:color w:val="auto"/>
                <w:highlight w:val="none"/>
              </w:rPr>
            </w:pPr>
          </w:p>
        </w:tc>
      </w:tr>
      <w:tr w14:paraId="11E74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0CA868D">
            <w:pPr>
              <w:pStyle w:val="26"/>
              <w:rPr>
                <w:rFonts w:hint="eastAsia" w:ascii="仿宋" w:hAnsi="仿宋" w:eastAsia="仿宋" w:cs="仿宋"/>
                <w:color w:val="auto"/>
                <w:highlight w:val="none"/>
              </w:rPr>
            </w:pPr>
          </w:p>
        </w:tc>
        <w:tc>
          <w:tcPr>
            <w:tcW w:w="2039" w:type="dxa"/>
            <w:vAlign w:val="top"/>
          </w:tcPr>
          <w:p w14:paraId="0673ED4F">
            <w:pPr>
              <w:pStyle w:val="26"/>
              <w:rPr>
                <w:rFonts w:hint="eastAsia" w:ascii="仿宋" w:hAnsi="仿宋" w:eastAsia="仿宋" w:cs="仿宋"/>
                <w:color w:val="auto"/>
                <w:highlight w:val="none"/>
              </w:rPr>
            </w:pPr>
          </w:p>
        </w:tc>
        <w:tc>
          <w:tcPr>
            <w:tcW w:w="2518" w:type="dxa"/>
            <w:vAlign w:val="top"/>
          </w:tcPr>
          <w:p w14:paraId="51C61B33">
            <w:pPr>
              <w:pStyle w:val="26"/>
              <w:rPr>
                <w:rFonts w:hint="eastAsia" w:ascii="仿宋" w:hAnsi="仿宋" w:eastAsia="仿宋" w:cs="仿宋"/>
                <w:color w:val="auto"/>
                <w:highlight w:val="none"/>
              </w:rPr>
            </w:pPr>
          </w:p>
        </w:tc>
        <w:tc>
          <w:tcPr>
            <w:tcW w:w="2519" w:type="dxa"/>
            <w:vAlign w:val="top"/>
          </w:tcPr>
          <w:p w14:paraId="5F1B46C8">
            <w:pPr>
              <w:pStyle w:val="26"/>
              <w:rPr>
                <w:rFonts w:hint="eastAsia" w:ascii="仿宋" w:hAnsi="仿宋" w:eastAsia="仿宋" w:cs="仿宋"/>
                <w:color w:val="auto"/>
                <w:highlight w:val="none"/>
              </w:rPr>
            </w:pPr>
          </w:p>
        </w:tc>
        <w:tc>
          <w:tcPr>
            <w:tcW w:w="904" w:type="dxa"/>
            <w:vAlign w:val="top"/>
          </w:tcPr>
          <w:p w14:paraId="41647782">
            <w:pPr>
              <w:pStyle w:val="26"/>
              <w:rPr>
                <w:rFonts w:hint="eastAsia" w:ascii="仿宋" w:hAnsi="仿宋" w:eastAsia="仿宋" w:cs="仿宋"/>
                <w:color w:val="auto"/>
                <w:highlight w:val="none"/>
              </w:rPr>
            </w:pPr>
          </w:p>
        </w:tc>
      </w:tr>
      <w:tr w14:paraId="27B3C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0A5B57F">
            <w:pPr>
              <w:pStyle w:val="26"/>
              <w:rPr>
                <w:rFonts w:hint="eastAsia" w:ascii="仿宋" w:hAnsi="仿宋" w:eastAsia="仿宋" w:cs="仿宋"/>
                <w:color w:val="auto"/>
                <w:highlight w:val="none"/>
              </w:rPr>
            </w:pPr>
          </w:p>
        </w:tc>
        <w:tc>
          <w:tcPr>
            <w:tcW w:w="2039" w:type="dxa"/>
            <w:vAlign w:val="top"/>
          </w:tcPr>
          <w:p w14:paraId="4BAA3C01">
            <w:pPr>
              <w:pStyle w:val="26"/>
              <w:rPr>
                <w:rFonts w:hint="eastAsia" w:ascii="仿宋" w:hAnsi="仿宋" w:eastAsia="仿宋" w:cs="仿宋"/>
                <w:color w:val="auto"/>
                <w:highlight w:val="none"/>
              </w:rPr>
            </w:pPr>
          </w:p>
        </w:tc>
        <w:tc>
          <w:tcPr>
            <w:tcW w:w="2518" w:type="dxa"/>
            <w:vAlign w:val="top"/>
          </w:tcPr>
          <w:p w14:paraId="5892FFD9">
            <w:pPr>
              <w:pStyle w:val="26"/>
              <w:rPr>
                <w:rFonts w:hint="eastAsia" w:ascii="仿宋" w:hAnsi="仿宋" w:eastAsia="仿宋" w:cs="仿宋"/>
                <w:color w:val="auto"/>
                <w:highlight w:val="none"/>
              </w:rPr>
            </w:pPr>
          </w:p>
        </w:tc>
        <w:tc>
          <w:tcPr>
            <w:tcW w:w="2519" w:type="dxa"/>
            <w:vAlign w:val="top"/>
          </w:tcPr>
          <w:p w14:paraId="00D3EA43">
            <w:pPr>
              <w:pStyle w:val="26"/>
              <w:rPr>
                <w:rFonts w:hint="eastAsia" w:ascii="仿宋" w:hAnsi="仿宋" w:eastAsia="仿宋" w:cs="仿宋"/>
                <w:color w:val="auto"/>
                <w:highlight w:val="none"/>
              </w:rPr>
            </w:pPr>
          </w:p>
        </w:tc>
        <w:tc>
          <w:tcPr>
            <w:tcW w:w="904" w:type="dxa"/>
            <w:vAlign w:val="top"/>
          </w:tcPr>
          <w:p w14:paraId="490AFBBE">
            <w:pPr>
              <w:pStyle w:val="26"/>
              <w:rPr>
                <w:rFonts w:hint="eastAsia" w:ascii="仿宋" w:hAnsi="仿宋" w:eastAsia="仿宋" w:cs="仿宋"/>
                <w:color w:val="auto"/>
                <w:highlight w:val="none"/>
              </w:rPr>
            </w:pPr>
          </w:p>
        </w:tc>
      </w:tr>
      <w:tr w14:paraId="48C03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3E9BDE2F">
            <w:pPr>
              <w:pStyle w:val="26"/>
              <w:rPr>
                <w:rFonts w:hint="eastAsia" w:ascii="仿宋" w:hAnsi="仿宋" w:eastAsia="仿宋" w:cs="仿宋"/>
                <w:color w:val="auto"/>
                <w:highlight w:val="none"/>
              </w:rPr>
            </w:pPr>
          </w:p>
        </w:tc>
        <w:tc>
          <w:tcPr>
            <w:tcW w:w="2039" w:type="dxa"/>
            <w:vAlign w:val="top"/>
          </w:tcPr>
          <w:p w14:paraId="64BA2204">
            <w:pPr>
              <w:pStyle w:val="26"/>
              <w:rPr>
                <w:rFonts w:hint="eastAsia" w:ascii="仿宋" w:hAnsi="仿宋" w:eastAsia="仿宋" w:cs="仿宋"/>
                <w:color w:val="auto"/>
                <w:highlight w:val="none"/>
              </w:rPr>
            </w:pPr>
          </w:p>
        </w:tc>
        <w:tc>
          <w:tcPr>
            <w:tcW w:w="2518" w:type="dxa"/>
            <w:vAlign w:val="top"/>
          </w:tcPr>
          <w:p w14:paraId="56E36674">
            <w:pPr>
              <w:pStyle w:val="26"/>
              <w:rPr>
                <w:rFonts w:hint="eastAsia" w:ascii="仿宋" w:hAnsi="仿宋" w:eastAsia="仿宋" w:cs="仿宋"/>
                <w:color w:val="auto"/>
                <w:highlight w:val="none"/>
              </w:rPr>
            </w:pPr>
          </w:p>
        </w:tc>
        <w:tc>
          <w:tcPr>
            <w:tcW w:w="2519" w:type="dxa"/>
            <w:vAlign w:val="top"/>
          </w:tcPr>
          <w:p w14:paraId="32F64AF4">
            <w:pPr>
              <w:pStyle w:val="26"/>
              <w:rPr>
                <w:rFonts w:hint="eastAsia" w:ascii="仿宋" w:hAnsi="仿宋" w:eastAsia="仿宋" w:cs="仿宋"/>
                <w:color w:val="auto"/>
                <w:highlight w:val="none"/>
              </w:rPr>
            </w:pPr>
          </w:p>
        </w:tc>
        <w:tc>
          <w:tcPr>
            <w:tcW w:w="904" w:type="dxa"/>
            <w:vAlign w:val="top"/>
          </w:tcPr>
          <w:p w14:paraId="63A985B3">
            <w:pPr>
              <w:pStyle w:val="26"/>
              <w:rPr>
                <w:rFonts w:hint="eastAsia" w:ascii="仿宋" w:hAnsi="仿宋" w:eastAsia="仿宋" w:cs="仿宋"/>
                <w:color w:val="auto"/>
                <w:highlight w:val="none"/>
              </w:rPr>
            </w:pPr>
          </w:p>
        </w:tc>
      </w:tr>
      <w:tr w14:paraId="7DE2A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9BD4484">
            <w:pPr>
              <w:pStyle w:val="26"/>
              <w:rPr>
                <w:rFonts w:hint="eastAsia" w:ascii="仿宋" w:hAnsi="仿宋" w:eastAsia="仿宋" w:cs="仿宋"/>
                <w:color w:val="auto"/>
                <w:highlight w:val="none"/>
              </w:rPr>
            </w:pPr>
          </w:p>
        </w:tc>
        <w:tc>
          <w:tcPr>
            <w:tcW w:w="2039" w:type="dxa"/>
            <w:vAlign w:val="top"/>
          </w:tcPr>
          <w:p w14:paraId="199F2C7A">
            <w:pPr>
              <w:pStyle w:val="26"/>
              <w:rPr>
                <w:rFonts w:hint="eastAsia" w:ascii="仿宋" w:hAnsi="仿宋" w:eastAsia="仿宋" w:cs="仿宋"/>
                <w:color w:val="auto"/>
                <w:highlight w:val="none"/>
              </w:rPr>
            </w:pPr>
          </w:p>
        </w:tc>
        <w:tc>
          <w:tcPr>
            <w:tcW w:w="2518" w:type="dxa"/>
            <w:vAlign w:val="top"/>
          </w:tcPr>
          <w:p w14:paraId="33B582D5">
            <w:pPr>
              <w:pStyle w:val="26"/>
              <w:rPr>
                <w:rFonts w:hint="eastAsia" w:ascii="仿宋" w:hAnsi="仿宋" w:eastAsia="仿宋" w:cs="仿宋"/>
                <w:color w:val="auto"/>
                <w:highlight w:val="none"/>
              </w:rPr>
            </w:pPr>
          </w:p>
        </w:tc>
        <w:tc>
          <w:tcPr>
            <w:tcW w:w="2519" w:type="dxa"/>
            <w:vAlign w:val="top"/>
          </w:tcPr>
          <w:p w14:paraId="10C0FDD4">
            <w:pPr>
              <w:pStyle w:val="26"/>
              <w:rPr>
                <w:rFonts w:hint="eastAsia" w:ascii="仿宋" w:hAnsi="仿宋" w:eastAsia="仿宋" w:cs="仿宋"/>
                <w:color w:val="auto"/>
                <w:highlight w:val="none"/>
              </w:rPr>
            </w:pPr>
          </w:p>
        </w:tc>
        <w:tc>
          <w:tcPr>
            <w:tcW w:w="904" w:type="dxa"/>
            <w:vAlign w:val="top"/>
          </w:tcPr>
          <w:p w14:paraId="3A89E967">
            <w:pPr>
              <w:pStyle w:val="26"/>
              <w:rPr>
                <w:rFonts w:hint="eastAsia" w:ascii="仿宋" w:hAnsi="仿宋" w:eastAsia="仿宋" w:cs="仿宋"/>
                <w:color w:val="auto"/>
                <w:highlight w:val="none"/>
              </w:rPr>
            </w:pPr>
          </w:p>
        </w:tc>
      </w:tr>
      <w:tr w14:paraId="51965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13BAB852">
            <w:pPr>
              <w:pStyle w:val="26"/>
              <w:rPr>
                <w:rFonts w:hint="eastAsia" w:ascii="仿宋" w:hAnsi="仿宋" w:eastAsia="仿宋" w:cs="仿宋"/>
                <w:color w:val="auto"/>
                <w:highlight w:val="none"/>
              </w:rPr>
            </w:pPr>
          </w:p>
        </w:tc>
        <w:tc>
          <w:tcPr>
            <w:tcW w:w="2039" w:type="dxa"/>
            <w:vAlign w:val="top"/>
          </w:tcPr>
          <w:p w14:paraId="4C64AAA0">
            <w:pPr>
              <w:pStyle w:val="26"/>
              <w:rPr>
                <w:rFonts w:hint="eastAsia" w:ascii="仿宋" w:hAnsi="仿宋" w:eastAsia="仿宋" w:cs="仿宋"/>
                <w:color w:val="auto"/>
                <w:highlight w:val="none"/>
              </w:rPr>
            </w:pPr>
          </w:p>
        </w:tc>
        <w:tc>
          <w:tcPr>
            <w:tcW w:w="2518" w:type="dxa"/>
            <w:vAlign w:val="top"/>
          </w:tcPr>
          <w:p w14:paraId="70068CFC">
            <w:pPr>
              <w:pStyle w:val="26"/>
              <w:rPr>
                <w:rFonts w:hint="eastAsia" w:ascii="仿宋" w:hAnsi="仿宋" w:eastAsia="仿宋" w:cs="仿宋"/>
                <w:color w:val="auto"/>
                <w:highlight w:val="none"/>
              </w:rPr>
            </w:pPr>
          </w:p>
        </w:tc>
        <w:tc>
          <w:tcPr>
            <w:tcW w:w="2519" w:type="dxa"/>
            <w:vAlign w:val="top"/>
          </w:tcPr>
          <w:p w14:paraId="2BE7A7D9">
            <w:pPr>
              <w:pStyle w:val="26"/>
              <w:rPr>
                <w:rFonts w:hint="eastAsia" w:ascii="仿宋" w:hAnsi="仿宋" w:eastAsia="仿宋" w:cs="仿宋"/>
                <w:color w:val="auto"/>
                <w:highlight w:val="none"/>
              </w:rPr>
            </w:pPr>
          </w:p>
        </w:tc>
        <w:tc>
          <w:tcPr>
            <w:tcW w:w="904" w:type="dxa"/>
            <w:vAlign w:val="top"/>
          </w:tcPr>
          <w:p w14:paraId="53B997E3">
            <w:pPr>
              <w:pStyle w:val="26"/>
              <w:rPr>
                <w:rFonts w:hint="eastAsia" w:ascii="仿宋" w:hAnsi="仿宋" w:eastAsia="仿宋" w:cs="仿宋"/>
                <w:color w:val="auto"/>
                <w:highlight w:val="none"/>
              </w:rPr>
            </w:pPr>
          </w:p>
        </w:tc>
      </w:tr>
      <w:tr w14:paraId="74B6B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3EFCC2A">
            <w:pPr>
              <w:pStyle w:val="26"/>
              <w:rPr>
                <w:rFonts w:hint="eastAsia" w:ascii="仿宋" w:hAnsi="仿宋" w:eastAsia="仿宋" w:cs="仿宋"/>
                <w:color w:val="auto"/>
                <w:highlight w:val="none"/>
              </w:rPr>
            </w:pPr>
          </w:p>
        </w:tc>
        <w:tc>
          <w:tcPr>
            <w:tcW w:w="2039" w:type="dxa"/>
            <w:vAlign w:val="top"/>
          </w:tcPr>
          <w:p w14:paraId="3F34FF03">
            <w:pPr>
              <w:pStyle w:val="26"/>
              <w:rPr>
                <w:rFonts w:hint="eastAsia" w:ascii="仿宋" w:hAnsi="仿宋" w:eastAsia="仿宋" w:cs="仿宋"/>
                <w:color w:val="auto"/>
                <w:highlight w:val="none"/>
              </w:rPr>
            </w:pPr>
          </w:p>
        </w:tc>
        <w:tc>
          <w:tcPr>
            <w:tcW w:w="2518" w:type="dxa"/>
            <w:vAlign w:val="top"/>
          </w:tcPr>
          <w:p w14:paraId="27E67DAC">
            <w:pPr>
              <w:pStyle w:val="26"/>
              <w:rPr>
                <w:rFonts w:hint="eastAsia" w:ascii="仿宋" w:hAnsi="仿宋" w:eastAsia="仿宋" w:cs="仿宋"/>
                <w:color w:val="auto"/>
                <w:highlight w:val="none"/>
              </w:rPr>
            </w:pPr>
          </w:p>
        </w:tc>
        <w:tc>
          <w:tcPr>
            <w:tcW w:w="2519" w:type="dxa"/>
            <w:vAlign w:val="top"/>
          </w:tcPr>
          <w:p w14:paraId="4F361BA6">
            <w:pPr>
              <w:pStyle w:val="26"/>
              <w:rPr>
                <w:rFonts w:hint="eastAsia" w:ascii="仿宋" w:hAnsi="仿宋" w:eastAsia="仿宋" w:cs="仿宋"/>
                <w:color w:val="auto"/>
                <w:highlight w:val="none"/>
              </w:rPr>
            </w:pPr>
          </w:p>
        </w:tc>
        <w:tc>
          <w:tcPr>
            <w:tcW w:w="904" w:type="dxa"/>
            <w:vAlign w:val="top"/>
          </w:tcPr>
          <w:p w14:paraId="53C6BAA0">
            <w:pPr>
              <w:pStyle w:val="26"/>
              <w:rPr>
                <w:rFonts w:hint="eastAsia" w:ascii="仿宋" w:hAnsi="仿宋" w:eastAsia="仿宋" w:cs="仿宋"/>
                <w:color w:val="auto"/>
                <w:highlight w:val="none"/>
              </w:rPr>
            </w:pPr>
          </w:p>
        </w:tc>
      </w:tr>
      <w:tr w14:paraId="4D196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4E8F7EAA">
            <w:pPr>
              <w:pStyle w:val="26"/>
              <w:rPr>
                <w:rFonts w:hint="eastAsia" w:ascii="仿宋" w:hAnsi="仿宋" w:eastAsia="仿宋" w:cs="仿宋"/>
                <w:color w:val="auto"/>
                <w:highlight w:val="none"/>
              </w:rPr>
            </w:pPr>
          </w:p>
        </w:tc>
        <w:tc>
          <w:tcPr>
            <w:tcW w:w="2039" w:type="dxa"/>
            <w:vAlign w:val="top"/>
          </w:tcPr>
          <w:p w14:paraId="59601CF7">
            <w:pPr>
              <w:pStyle w:val="26"/>
              <w:rPr>
                <w:rFonts w:hint="eastAsia" w:ascii="仿宋" w:hAnsi="仿宋" w:eastAsia="仿宋" w:cs="仿宋"/>
                <w:color w:val="auto"/>
                <w:highlight w:val="none"/>
              </w:rPr>
            </w:pPr>
          </w:p>
        </w:tc>
        <w:tc>
          <w:tcPr>
            <w:tcW w:w="2518" w:type="dxa"/>
            <w:vAlign w:val="top"/>
          </w:tcPr>
          <w:p w14:paraId="5CDC2AEF">
            <w:pPr>
              <w:pStyle w:val="26"/>
              <w:rPr>
                <w:rFonts w:hint="eastAsia" w:ascii="仿宋" w:hAnsi="仿宋" w:eastAsia="仿宋" w:cs="仿宋"/>
                <w:color w:val="auto"/>
                <w:highlight w:val="none"/>
              </w:rPr>
            </w:pPr>
          </w:p>
        </w:tc>
        <w:tc>
          <w:tcPr>
            <w:tcW w:w="2519" w:type="dxa"/>
            <w:vAlign w:val="top"/>
          </w:tcPr>
          <w:p w14:paraId="15468A96">
            <w:pPr>
              <w:pStyle w:val="26"/>
              <w:rPr>
                <w:rFonts w:hint="eastAsia" w:ascii="仿宋" w:hAnsi="仿宋" w:eastAsia="仿宋" w:cs="仿宋"/>
                <w:color w:val="auto"/>
                <w:highlight w:val="none"/>
              </w:rPr>
            </w:pPr>
          </w:p>
        </w:tc>
        <w:tc>
          <w:tcPr>
            <w:tcW w:w="904" w:type="dxa"/>
            <w:vAlign w:val="top"/>
          </w:tcPr>
          <w:p w14:paraId="17EC3A05">
            <w:pPr>
              <w:pStyle w:val="26"/>
              <w:rPr>
                <w:rFonts w:hint="eastAsia" w:ascii="仿宋" w:hAnsi="仿宋" w:eastAsia="仿宋" w:cs="仿宋"/>
                <w:color w:val="auto"/>
                <w:highlight w:val="none"/>
              </w:rPr>
            </w:pPr>
          </w:p>
        </w:tc>
      </w:tr>
      <w:tr w14:paraId="0BD2D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5D02404B">
            <w:pPr>
              <w:pStyle w:val="26"/>
              <w:rPr>
                <w:rFonts w:hint="eastAsia" w:ascii="仿宋" w:hAnsi="仿宋" w:eastAsia="仿宋" w:cs="仿宋"/>
                <w:color w:val="auto"/>
                <w:highlight w:val="none"/>
              </w:rPr>
            </w:pPr>
          </w:p>
        </w:tc>
        <w:tc>
          <w:tcPr>
            <w:tcW w:w="2039" w:type="dxa"/>
            <w:vAlign w:val="top"/>
          </w:tcPr>
          <w:p w14:paraId="6ABC0B52">
            <w:pPr>
              <w:pStyle w:val="26"/>
              <w:rPr>
                <w:rFonts w:hint="eastAsia" w:ascii="仿宋" w:hAnsi="仿宋" w:eastAsia="仿宋" w:cs="仿宋"/>
                <w:color w:val="auto"/>
                <w:highlight w:val="none"/>
              </w:rPr>
            </w:pPr>
          </w:p>
        </w:tc>
        <w:tc>
          <w:tcPr>
            <w:tcW w:w="2518" w:type="dxa"/>
            <w:vAlign w:val="top"/>
          </w:tcPr>
          <w:p w14:paraId="303F19E0">
            <w:pPr>
              <w:pStyle w:val="26"/>
              <w:rPr>
                <w:rFonts w:hint="eastAsia" w:ascii="仿宋" w:hAnsi="仿宋" w:eastAsia="仿宋" w:cs="仿宋"/>
                <w:color w:val="auto"/>
                <w:highlight w:val="none"/>
              </w:rPr>
            </w:pPr>
          </w:p>
        </w:tc>
        <w:tc>
          <w:tcPr>
            <w:tcW w:w="2519" w:type="dxa"/>
            <w:vAlign w:val="top"/>
          </w:tcPr>
          <w:p w14:paraId="008BAD77">
            <w:pPr>
              <w:pStyle w:val="26"/>
              <w:rPr>
                <w:rFonts w:hint="eastAsia" w:ascii="仿宋" w:hAnsi="仿宋" w:eastAsia="仿宋" w:cs="仿宋"/>
                <w:color w:val="auto"/>
                <w:highlight w:val="none"/>
              </w:rPr>
            </w:pPr>
          </w:p>
        </w:tc>
        <w:tc>
          <w:tcPr>
            <w:tcW w:w="904" w:type="dxa"/>
            <w:vAlign w:val="top"/>
          </w:tcPr>
          <w:p w14:paraId="2C83C8AB">
            <w:pPr>
              <w:pStyle w:val="26"/>
              <w:rPr>
                <w:rFonts w:hint="eastAsia" w:ascii="仿宋" w:hAnsi="仿宋" w:eastAsia="仿宋" w:cs="仿宋"/>
                <w:color w:val="auto"/>
                <w:highlight w:val="none"/>
              </w:rPr>
            </w:pPr>
          </w:p>
        </w:tc>
      </w:tr>
      <w:tr w14:paraId="67BBD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180FFB9D">
            <w:pPr>
              <w:pStyle w:val="26"/>
              <w:rPr>
                <w:rFonts w:hint="eastAsia" w:ascii="仿宋" w:hAnsi="仿宋" w:eastAsia="仿宋" w:cs="仿宋"/>
                <w:color w:val="auto"/>
                <w:highlight w:val="none"/>
              </w:rPr>
            </w:pPr>
          </w:p>
        </w:tc>
        <w:tc>
          <w:tcPr>
            <w:tcW w:w="2039" w:type="dxa"/>
            <w:vAlign w:val="top"/>
          </w:tcPr>
          <w:p w14:paraId="19AD872F">
            <w:pPr>
              <w:pStyle w:val="26"/>
              <w:rPr>
                <w:rFonts w:hint="eastAsia" w:ascii="仿宋" w:hAnsi="仿宋" w:eastAsia="仿宋" w:cs="仿宋"/>
                <w:color w:val="auto"/>
                <w:highlight w:val="none"/>
              </w:rPr>
            </w:pPr>
          </w:p>
        </w:tc>
        <w:tc>
          <w:tcPr>
            <w:tcW w:w="2518" w:type="dxa"/>
            <w:vAlign w:val="top"/>
          </w:tcPr>
          <w:p w14:paraId="0787995B">
            <w:pPr>
              <w:pStyle w:val="26"/>
              <w:rPr>
                <w:rFonts w:hint="eastAsia" w:ascii="仿宋" w:hAnsi="仿宋" w:eastAsia="仿宋" w:cs="仿宋"/>
                <w:color w:val="auto"/>
                <w:highlight w:val="none"/>
              </w:rPr>
            </w:pPr>
          </w:p>
        </w:tc>
        <w:tc>
          <w:tcPr>
            <w:tcW w:w="2519" w:type="dxa"/>
            <w:vAlign w:val="top"/>
          </w:tcPr>
          <w:p w14:paraId="2B9A26A4">
            <w:pPr>
              <w:pStyle w:val="26"/>
              <w:rPr>
                <w:rFonts w:hint="eastAsia" w:ascii="仿宋" w:hAnsi="仿宋" w:eastAsia="仿宋" w:cs="仿宋"/>
                <w:color w:val="auto"/>
                <w:highlight w:val="none"/>
              </w:rPr>
            </w:pPr>
          </w:p>
        </w:tc>
        <w:tc>
          <w:tcPr>
            <w:tcW w:w="904" w:type="dxa"/>
            <w:vAlign w:val="top"/>
          </w:tcPr>
          <w:p w14:paraId="74AE83D4">
            <w:pPr>
              <w:pStyle w:val="26"/>
              <w:rPr>
                <w:rFonts w:hint="eastAsia" w:ascii="仿宋" w:hAnsi="仿宋" w:eastAsia="仿宋" w:cs="仿宋"/>
                <w:color w:val="auto"/>
                <w:highlight w:val="none"/>
              </w:rPr>
            </w:pPr>
          </w:p>
        </w:tc>
      </w:tr>
      <w:tr w14:paraId="207AB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vAlign w:val="top"/>
          </w:tcPr>
          <w:p w14:paraId="0A7C2CCE">
            <w:pPr>
              <w:pStyle w:val="26"/>
              <w:rPr>
                <w:rFonts w:hint="eastAsia" w:ascii="仿宋" w:hAnsi="仿宋" w:eastAsia="仿宋" w:cs="仿宋"/>
                <w:color w:val="auto"/>
                <w:highlight w:val="none"/>
              </w:rPr>
            </w:pPr>
          </w:p>
        </w:tc>
        <w:tc>
          <w:tcPr>
            <w:tcW w:w="2039" w:type="dxa"/>
            <w:vAlign w:val="top"/>
          </w:tcPr>
          <w:p w14:paraId="23868092">
            <w:pPr>
              <w:pStyle w:val="26"/>
              <w:rPr>
                <w:rFonts w:hint="eastAsia" w:ascii="仿宋" w:hAnsi="仿宋" w:eastAsia="仿宋" w:cs="仿宋"/>
                <w:color w:val="auto"/>
                <w:highlight w:val="none"/>
              </w:rPr>
            </w:pPr>
          </w:p>
        </w:tc>
        <w:tc>
          <w:tcPr>
            <w:tcW w:w="2518" w:type="dxa"/>
            <w:vAlign w:val="top"/>
          </w:tcPr>
          <w:p w14:paraId="618CC848">
            <w:pPr>
              <w:pStyle w:val="26"/>
              <w:rPr>
                <w:rFonts w:hint="eastAsia" w:ascii="仿宋" w:hAnsi="仿宋" w:eastAsia="仿宋" w:cs="仿宋"/>
                <w:color w:val="auto"/>
                <w:highlight w:val="none"/>
              </w:rPr>
            </w:pPr>
          </w:p>
        </w:tc>
        <w:tc>
          <w:tcPr>
            <w:tcW w:w="2519" w:type="dxa"/>
            <w:vAlign w:val="top"/>
          </w:tcPr>
          <w:p w14:paraId="71E61C99">
            <w:pPr>
              <w:pStyle w:val="26"/>
              <w:rPr>
                <w:rFonts w:hint="eastAsia" w:ascii="仿宋" w:hAnsi="仿宋" w:eastAsia="仿宋" w:cs="仿宋"/>
                <w:color w:val="auto"/>
                <w:highlight w:val="none"/>
              </w:rPr>
            </w:pPr>
          </w:p>
        </w:tc>
        <w:tc>
          <w:tcPr>
            <w:tcW w:w="904" w:type="dxa"/>
            <w:vAlign w:val="top"/>
          </w:tcPr>
          <w:p w14:paraId="05A39F13">
            <w:pPr>
              <w:pStyle w:val="26"/>
              <w:rPr>
                <w:rFonts w:hint="eastAsia" w:ascii="仿宋" w:hAnsi="仿宋" w:eastAsia="仿宋" w:cs="仿宋"/>
                <w:color w:val="auto"/>
                <w:highlight w:val="none"/>
              </w:rPr>
            </w:pPr>
          </w:p>
        </w:tc>
      </w:tr>
      <w:tr w14:paraId="6B438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vAlign w:val="top"/>
          </w:tcPr>
          <w:p w14:paraId="0FC20A29">
            <w:pPr>
              <w:pStyle w:val="26"/>
              <w:rPr>
                <w:rFonts w:hint="eastAsia" w:ascii="仿宋" w:hAnsi="仿宋" w:eastAsia="仿宋" w:cs="仿宋"/>
                <w:color w:val="auto"/>
                <w:highlight w:val="none"/>
              </w:rPr>
            </w:pPr>
          </w:p>
        </w:tc>
        <w:tc>
          <w:tcPr>
            <w:tcW w:w="2039" w:type="dxa"/>
            <w:vAlign w:val="top"/>
          </w:tcPr>
          <w:p w14:paraId="4544C2C8">
            <w:pPr>
              <w:pStyle w:val="26"/>
              <w:rPr>
                <w:rFonts w:hint="eastAsia" w:ascii="仿宋" w:hAnsi="仿宋" w:eastAsia="仿宋" w:cs="仿宋"/>
                <w:color w:val="auto"/>
                <w:highlight w:val="none"/>
              </w:rPr>
            </w:pPr>
          </w:p>
        </w:tc>
        <w:tc>
          <w:tcPr>
            <w:tcW w:w="2518" w:type="dxa"/>
            <w:vAlign w:val="top"/>
          </w:tcPr>
          <w:p w14:paraId="5BB561B7">
            <w:pPr>
              <w:pStyle w:val="26"/>
              <w:rPr>
                <w:rFonts w:hint="eastAsia" w:ascii="仿宋" w:hAnsi="仿宋" w:eastAsia="仿宋" w:cs="仿宋"/>
                <w:color w:val="auto"/>
                <w:highlight w:val="none"/>
              </w:rPr>
            </w:pPr>
          </w:p>
        </w:tc>
        <w:tc>
          <w:tcPr>
            <w:tcW w:w="2519" w:type="dxa"/>
            <w:vAlign w:val="top"/>
          </w:tcPr>
          <w:p w14:paraId="22031221">
            <w:pPr>
              <w:pStyle w:val="26"/>
              <w:rPr>
                <w:rFonts w:hint="eastAsia" w:ascii="仿宋" w:hAnsi="仿宋" w:eastAsia="仿宋" w:cs="仿宋"/>
                <w:color w:val="auto"/>
                <w:highlight w:val="none"/>
              </w:rPr>
            </w:pPr>
          </w:p>
        </w:tc>
        <w:tc>
          <w:tcPr>
            <w:tcW w:w="904" w:type="dxa"/>
            <w:vAlign w:val="top"/>
          </w:tcPr>
          <w:p w14:paraId="51B8C9DB">
            <w:pPr>
              <w:pStyle w:val="26"/>
              <w:rPr>
                <w:rFonts w:hint="eastAsia" w:ascii="仿宋" w:hAnsi="仿宋" w:eastAsia="仿宋" w:cs="仿宋"/>
                <w:color w:val="auto"/>
                <w:highlight w:val="none"/>
              </w:rPr>
            </w:pPr>
          </w:p>
        </w:tc>
      </w:tr>
      <w:tr w14:paraId="0D9A3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vAlign w:val="top"/>
          </w:tcPr>
          <w:p w14:paraId="2D12F22D">
            <w:pPr>
              <w:pStyle w:val="26"/>
              <w:rPr>
                <w:rFonts w:hint="eastAsia" w:ascii="仿宋" w:hAnsi="仿宋" w:eastAsia="仿宋" w:cs="仿宋"/>
                <w:color w:val="auto"/>
                <w:highlight w:val="none"/>
              </w:rPr>
            </w:pPr>
          </w:p>
        </w:tc>
        <w:tc>
          <w:tcPr>
            <w:tcW w:w="2039" w:type="dxa"/>
            <w:vAlign w:val="top"/>
          </w:tcPr>
          <w:p w14:paraId="36BF1FEF">
            <w:pPr>
              <w:pStyle w:val="26"/>
              <w:rPr>
                <w:rFonts w:hint="eastAsia" w:ascii="仿宋" w:hAnsi="仿宋" w:eastAsia="仿宋" w:cs="仿宋"/>
                <w:color w:val="auto"/>
                <w:highlight w:val="none"/>
              </w:rPr>
            </w:pPr>
          </w:p>
        </w:tc>
        <w:tc>
          <w:tcPr>
            <w:tcW w:w="2518" w:type="dxa"/>
            <w:vAlign w:val="top"/>
          </w:tcPr>
          <w:p w14:paraId="78168B49">
            <w:pPr>
              <w:pStyle w:val="26"/>
              <w:rPr>
                <w:rFonts w:hint="eastAsia" w:ascii="仿宋" w:hAnsi="仿宋" w:eastAsia="仿宋" w:cs="仿宋"/>
                <w:color w:val="auto"/>
                <w:highlight w:val="none"/>
              </w:rPr>
            </w:pPr>
          </w:p>
        </w:tc>
        <w:tc>
          <w:tcPr>
            <w:tcW w:w="2519" w:type="dxa"/>
            <w:vAlign w:val="top"/>
          </w:tcPr>
          <w:p w14:paraId="6DF9BF3C">
            <w:pPr>
              <w:pStyle w:val="26"/>
              <w:rPr>
                <w:rFonts w:hint="eastAsia" w:ascii="仿宋" w:hAnsi="仿宋" w:eastAsia="仿宋" w:cs="仿宋"/>
                <w:color w:val="auto"/>
                <w:highlight w:val="none"/>
              </w:rPr>
            </w:pPr>
          </w:p>
        </w:tc>
        <w:tc>
          <w:tcPr>
            <w:tcW w:w="904" w:type="dxa"/>
            <w:vAlign w:val="top"/>
          </w:tcPr>
          <w:p w14:paraId="3DF240C5">
            <w:pPr>
              <w:pStyle w:val="26"/>
              <w:rPr>
                <w:rFonts w:hint="eastAsia" w:ascii="仿宋" w:hAnsi="仿宋" w:eastAsia="仿宋" w:cs="仿宋"/>
                <w:color w:val="auto"/>
                <w:highlight w:val="none"/>
              </w:rPr>
            </w:pPr>
          </w:p>
        </w:tc>
      </w:tr>
    </w:tbl>
    <w:p w14:paraId="672605A4">
      <w:pPr>
        <w:spacing w:line="313" w:lineRule="auto"/>
        <w:rPr>
          <w:rFonts w:hint="eastAsia" w:ascii="仿宋" w:hAnsi="仿宋" w:eastAsia="仿宋" w:cs="仿宋"/>
          <w:color w:val="auto"/>
          <w:sz w:val="21"/>
          <w:highlight w:val="none"/>
        </w:rPr>
      </w:pPr>
    </w:p>
    <w:p w14:paraId="287A8F51">
      <w:pPr>
        <w:spacing w:line="314" w:lineRule="auto"/>
        <w:rPr>
          <w:rFonts w:hint="eastAsia" w:ascii="仿宋" w:hAnsi="仿宋" w:eastAsia="仿宋" w:cs="仿宋"/>
          <w:color w:val="auto"/>
          <w:sz w:val="21"/>
          <w:highlight w:val="none"/>
        </w:rPr>
      </w:pPr>
    </w:p>
    <w:p w14:paraId="5BDAE2F7">
      <w:pPr>
        <w:spacing w:line="314" w:lineRule="auto"/>
        <w:rPr>
          <w:rFonts w:hint="eastAsia" w:ascii="仿宋" w:hAnsi="仿宋" w:eastAsia="仿宋" w:cs="仿宋"/>
          <w:color w:val="auto"/>
          <w:sz w:val="21"/>
          <w:highlight w:val="none"/>
        </w:rPr>
      </w:pPr>
    </w:p>
    <w:p w14:paraId="1FE77B2F">
      <w:pPr>
        <w:pStyle w:val="8"/>
        <w:spacing w:before="78" w:line="340" w:lineRule="auto"/>
        <w:ind w:left="8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法定代表人或其委托代理人签字:</w:t>
      </w:r>
    </w:p>
    <w:p w14:paraId="4749C78D">
      <w:pPr>
        <w:pStyle w:val="8"/>
        <w:spacing w:before="1" w:line="192" w:lineRule="auto"/>
        <w:ind w:left="86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投标人(盖单位章):</w:t>
      </w:r>
    </w:p>
    <w:p w14:paraId="069F95A5">
      <w:pPr>
        <w:spacing w:line="192" w:lineRule="auto"/>
        <w:rPr>
          <w:rFonts w:hint="eastAsia" w:ascii="仿宋" w:hAnsi="仿宋" w:eastAsia="仿宋" w:cs="仿宋"/>
          <w:color w:val="auto"/>
          <w:sz w:val="24"/>
          <w:szCs w:val="24"/>
          <w:highlight w:val="none"/>
        </w:rPr>
        <w:sectPr>
          <w:footerReference r:id="rId31" w:type="default"/>
          <w:type w:val="continuous"/>
          <w:pgSz w:w="11905" w:h="16838"/>
          <w:pgMar w:top="1440" w:right="1083" w:bottom="1440" w:left="1083" w:header="0" w:footer="1225" w:gutter="0"/>
          <w:pgNumType w:fmt="decimal"/>
          <w:cols w:space="0" w:num="1"/>
          <w:rtlGutter w:val="0"/>
          <w:docGrid w:linePitch="0" w:charSpace="0"/>
        </w:sectPr>
      </w:pPr>
    </w:p>
    <w:p w14:paraId="2EC0D7DC">
      <w:pPr>
        <w:keepNext w:val="0"/>
        <w:keepLines w:val="0"/>
        <w:widowControl/>
        <w:suppressLineNumbers w:val="0"/>
        <w:ind w:firstLine="2574" w:firstLineChars="1100"/>
        <w:jc w:val="left"/>
        <w:rPr>
          <w:rFonts w:hint="eastAsia" w:ascii="仿宋" w:hAnsi="仿宋" w:eastAsia="仿宋" w:cs="仿宋"/>
          <w:snapToGrid w:val="0"/>
          <w:color w:val="auto"/>
          <w:spacing w:val="-3"/>
          <w:kern w:val="0"/>
          <w:sz w:val="24"/>
          <w:szCs w:val="24"/>
          <w:highlight w:val="none"/>
          <w:lang w:val="en-US" w:eastAsia="en-US" w:bidi="ar-SA"/>
        </w:rPr>
      </w:pPr>
      <w:bookmarkStart w:id="192" w:name="bookmark67"/>
      <w:bookmarkEnd w:id="192"/>
      <w:bookmarkStart w:id="193" w:name="bookmark70"/>
      <w:bookmarkEnd w:id="193"/>
      <w:bookmarkStart w:id="194" w:name="bookmark69"/>
      <w:bookmarkEnd w:id="194"/>
      <w:bookmarkStart w:id="195" w:name="bookmark68"/>
      <w:bookmarkEnd w:id="195"/>
      <w:r>
        <w:rPr>
          <w:rFonts w:hint="eastAsia" w:ascii="仿宋" w:hAnsi="仿宋" w:eastAsia="仿宋" w:cs="仿宋"/>
          <w:snapToGrid w:val="0"/>
          <w:color w:val="auto"/>
          <w:spacing w:val="-3"/>
          <w:kern w:val="0"/>
          <w:sz w:val="24"/>
          <w:szCs w:val="24"/>
          <w:highlight w:val="none"/>
          <w:lang w:val="en-US" w:eastAsia="zh-CN" w:bidi="ar-SA"/>
        </w:rPr>
        <w:t>7.1中小企业声明函（投标文件格式十一）</w:t>
      </w:r>
    </w:p>
    <w:p w14:paraId="17844D3A">
      <w:pPr>
        <w:keepNext w:val="0"/>
        <w:keepLines w:val="0"/>
        <w:widowControl/>
        <w:suppressLineNumbers w:val="0"/>
        <w:ind w:firstLine="2574" w:firstLineChars="1100"/>
        <w:jc w:val="left"/>
        <w:rPr>
          <w:rFonts w:hint="eastAsia" w:ascii="仿宋" w:hAnsi="仿宋" w:eastAsia="仿宋" w:cs="仿宋"/>
          <w:snapToGrid w:val="0"/>
          <w:color w:val="auto"/>
          <w:spacing w:val="-3"/>
          <w:kern w:val="0"/>
          <w:sz w:val="24"/>
          <w:szCs w:val="24"/>
          <w:highlight w:val="none"/>
          <w:lang w:val="en-US" w:eastAsia="zh-CN" w:bidi="ar-SA"/>
        </w:rPr>
      </w:pPr>
    </w:p>
    <w:p w14:paraId="76FF099D">
      <w:pPr>
        <w:keepNext w:val="0"/>
        <w:keepLines w:val="0"/>
        <w:widowControl/>
        <w:suppressLineNumbers w:val="0"/>
        <w:ind w:firstLine="3276" w:firstLineChars="140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中小企业声明函（货物）</w:t>
      </w:r>
    </w:p>
    <w:p w14:paraId="42D67F1A">
      <w:pPr>
        <w:keepNext w:val="0"/>
        <w:keepLines w:val="0"/>
        <w:widowControl/>
        <w:suppressLineNumbers w:val="0"/>
        <w:ind w:firstLine="468" w:firstLineChars="200"/>
        <w:jc w:val="left"/>
        <w:rPr>
          <w:rFonts w:hint="eastAsia" w:ascii="仿宋" w:hAnsi="仿宋" w:eastAsia="仿宋" w:cs="仿宋"/>
          <w:snapToGrid w:val="0"/>
          <w:color w:val="auto"/>
          <w:spacing w:val="-3"/>
          <w:kern w:val="0"/>
          <w:sz w:val="24"/>
          <w:szCs w:val="24"/>
          <w:highlight w:val="none"/>
          <w:lang w:val="en-US" w:eastAsia="zh-CN" w:bidi="ar-SA"/>
        </w:rPr>
      </w:pPr>
    </w:p>
    <w:p w14:paraId="7F74E038">
      <w:pPr>
        <w:keepNext w:val="0"/>
        <w:keepLines w:val="0"/>
        <w:widowControl/>
        <w:suppressLineNumbers w:val="0"/>
        <w:ind w:firstLine="468" w:firstLineChars="200"/>
        <w:jc w:val="left"/>
        <w:rPr>
          <w:rFonts w:hint="eastAsia" w:ascii="仿宋" w:hAnsi="仿宋" w:eastAsia="仿宋" w:cs="仿宋"/>
          <w:snapToGrid w:val="0"/>
          <w:color w:val="auto"/>
          <w:spacing w:val="-3"/>
          <w:kern w:val="0"/>
          <w:sz w:val="24"/>
          <w:szCs w:val="24"/>
          <w:highlight w:val="none"/>
          <w:lang w:val="en-US" w:eastAsia="zh-CN" w:bidi="ar-SA"/>
        </w:rPr>
      </w:pPr>
      <w:r>
        <w:rPr>
          <w:rFonts w:hint="eastAsia" w:ascii="仿宋" w:hAnsi="仿宋" w:eastAsia="仿宋" w:cs="仿宋"/>
          <w:snapToGrid w:val="0"/>
          <w:color w:val="auto"/>
          <w:spacing w:val="-3"/>
          <w:kern w:val="0"/>
          <w:sz w:val="24"/>
          <w:szCs w:val="24"/>
          <w:highlight w:val="none"/>
          <w:lang w:val="en-US" w:eastAsia="zh-CN" w:bidi="ar-SA"/>
        </w:rPr>
        <w:t>本公司（企业名称）郑重声明，根据《政府采购促进中小企业发展管理办法》（财库〔2020〕46号）的规定，本公司（企业名称）参加（采购单位名称）的（项目名称）采购活动，提供的货物全部由符合政策要求的中小企业制造（或提供）。相关企业（含联合体中的中小企业、签订分包意向协议的中小企业）的具体情况如下：</w:t>
      </w:r>
    </w:p>
    <w:p w14:paraId="1A91EB43">
      <w:pPr>
        <w:keepNext w:val="0"/>
        <w:keepLines w:val="0"/>
        <w:widowControl/>
        <w:suppressLineNumbers w:val="0"/>
        <w:ind w:firstLine="468" w:firstLineChars="200"/>
        <w:jc w:val="left"/>
        <w:rPr>
          <w:rFonts w:hint="eastAsia" w:ascii="仿宋" w:hAnsi="仿宋" w:eastAsia="仿宋" w:cs="仿宋"/>
          <w:snapToGrid w:val="0"/>
          <w:color w:val="auto"/>
          <w:spacing w:val="-3"/>
          <w:kern w:val="0"/>
          <w:sz w:val="24"/>
          <w:szCs w:val="24"/>
          <w:highlight w:val="none"/>
          <w:lang w:val="en-US" w:eastAsia="en-US" w:bidi="ar-SA"/>
        </w:rPr>
      </w:pPr>
    </w:p>
    <w:p w14:paraId="4ECFC3F9">
      <w:pPr>
        <w:keepNext w:val="0"/>
        <w:keepLines w:val="0"/>
        <w:widowControl/>
        <w:numPr>
          <w:ilvl w:val="0"/>
          <w:numId w:val="0"/>
        </w:numPr>
        <w:suppressLineNumbers w:val="0"/>
        <w:ind w:left="468" w:hanging="468" w:hangingChars="20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1.</w:t>
      </w:r>
      <w:r>
        <w:rPr>
          <w:rFonts w:hint="eastAsia" w:ascii="仿宋" w:hAnsi="仿宋" w:eastAsia="仿宋" w:cs="仿宋"/>
          <w:snapToGrid w:val="0"/>
          <w:color w:val="auto"/>
          <w:spacing w:val="-3"/>
          <w:kern w:val="0"/>
          <w:sz w:val="24"/>
          <w:szCs w:val="24"/>
          <w:highlight w:val="none"/>
          <w:u w:val="single"/>
          <w:lang w:val="en-US" w:eastAsia="zh-CN" w:bidi="ar-SA"/>
        </w:rPr>
        <w:t>（标的名称）</w:t>
      </w:r>
      <w:r>
        <w:rPr>
          <w:rFonts w:hint="eastAsia" w:ascii="仿宋" w:hAnsi="仿宋" w:eastAsia="仿宋" w:cs="仿宋"/>
          <w:snapToGrid w:val="0"/>
          <w:color w:val="auto"/>
          <w:spacing w:val="-3"/>
          <w:kern w:val="0"/>
          <w:sz w:val="24"/>
          <w:szCs w:val="24"/>
          <w:highlight w:val="none"/>
          <w:lang w:val="en-US" w:eastAsia="zh-CN" w:bidi="ar-SA"/>
        </w:rPr>
        <w:t>，属于</w:t>
      </w:r>
      <w:r>
        <w:rPr>
          <w:rFonts w:hint="eastAsia" w:ascii="仿宋" w:hAnsi="仿宋" w:eastAsia="仿宋" w:cs="仿宋"/>
          <w:snapToGrid w:val="0"/>
          <w:color w:val="auto"/>
          <w:spacing w:val="-3"/>
          <w:kern w:val="0"/>
          <w:sz w:val="24"/>
          <w:szCs w:val="24"/>
          <w:highlight w:val="none"/>
          <w:u w:val="single"/>
          <w:lang w:val="en-US" w:eastAsia="zh-CN" w:bidi="ar-SA"/>
        </w:rPr>
        <w:t>（采购文件中明确的所属行业）</w:t>
      </w:r>
      <w:r>
        <w:rPr>
          <w:rFonts w:hint="eastAsia" w:ascii="仿宋" w:hAnsi="仿宋" w:eastAsia="仿宋" w:cs="仿宋"/>
          <w:snapToGrid w:val="0"/>
          <w:color w:val="auto"/>
          <w:spacing w:val="-3"/>
          <w:kern w:val="0"/>
          <w:sz w:val="24"/>
          <w:szCs w:val="24"/>
          <w:highlight w:val="none"/>
          <w:lang w:val="en-US" w:eastAsia="zh-CN" w:bidi="ar-SA"/>
        </w:rPr>
        <w:t>；制造商为</w:t>
      </w:r>
      <w:r>
        <w:rPr>
          <w:rFonts w:hint="eastAsia" w:ascii="仿宋" w:hAnsi="仿宋" w:eastAsia="仿宋" w:cs="仿宋"/>
          <w:snapToGrid w:val="0"/>
          <w:color w:val="auto"/>
          <w:spacing w:val="-3"/>
          <w:kern w:val="0"/>
          <w:sz w:val="24"/>
          <w:szCs w:val="24"/>
          <w:highlight w:val="none"/>
          <w:u w:val="single"/>
          <w:lang w:val="en-US" w:eastAsia="zh-CN" w:bidi="ar-SA"/>
        </w:rPr>
        <w:t>（企业名称）</w:t>
      </w:r>
      <w:r>
        <w:rPr>
          <w:rFonts w:hint="eastAsia" w:ascii="仿宋" w:hAnsi="仿宋" w:eastAsia="仿宋" w:cs="仿宋"/>
          <w:snapToGrid w:val="0"/>
          <w:color w:val="auto"/>
          <w:spacing w:val="-3"/>
          <w:kern w:val="0"/>
          <w:sz w:val="24"/>
          <w:szCs w:val="24"/>
          <w:highlight w:val="none"/>
          <w:lang w:val="en-US" w:eastAsia="zh-CN" w:bidi="ar-SA"/>
        </w:rPr>
        <w:t>，从业人员人，营业收入为万元，资产总额为万元，属于（中型企业、小型企业、微型企业）；</w:t>
      </w:r>
    </w:p>
    <w:p w14:paraId="5FBFD18E">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zh-CN" w:bidi="ar-SA"/>
        </w:rPr>
      </w:pPr>
    </w:p>
    <w:p w14:paraId="2D4E9B24">
      <w:pPr>
        <w:keepNext w:val="0"/>
        <w:keepLines w:val="0"/>
        <w:widowControl/>
        <w:numPr>
          <w:ilvl w:val="0"/>
          <w:numId w:val="0"/>
        </w:numPr>
        <w:suppressLineNumbers w:val="0"/>
        <w:ind w:left="702" w:hanging="702" w:hangingChars="30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2.</w:t>
      </w:r>
      <w:r>
        <w:rPr>
          <w:rFonts w:hint="eastAsia" w:ascii="仿宋" w:hAnsi="仿宋" w:eastAsia="仿宋" w:cs="仿宋"/>
          <w:snapToGrid w:val="0"/>
          <w:color w:val="auto"/>
          <w:spacing w:val="-3"/>
          <w:kern w:val="0"/>
          <w:sz w:val="24"/>
          <w:szCs w:val="24"/>
          <w:highlight w:val="none"/>
          <w:u w:val="single"/>
          <w:lang w:val="en-US" w:eastAsia="zh-CN" w:bidi="ar-SA"/>
        </w:rPr>
        <w:t>（标的名称）</w:t>
      </w:r>
      <w:r>
        <w:rPr>
          <w:rFonts w:hint="eastAsia" w:ascii="仿宋" w:hAnsi="仿宋" w:eastAsia="仿宋" w:cs="仿宋"/>
          <w:snapToGrid w:val="0"/>
          <w:color w:val="auto"/>
          <w:spacing w:val="-3"/>
          <w:kern w:val="0"/>
          <w:sz w:val="24"/>
          <w:szCs w:val="24"/>
          <w:highlight w:val="none"/>
          <w:lang w:val="en-US" w:eastAsia="zh-CN" w:bidi="ar-SA"/>
        </w:rPr>
        <w:t>，属于</w:t>
      </w:r>
      <w:r>
        <w:rPr>
          <w:rFonts w:hint="eastAsia" w:ascii="仿宋" w:hAnsi="仿宋" w:eastAsia="仿宋" w:cs="仿宋"/>
          <w:snapToGrid w:val="0"/>
          <w:color w:val="auto"/>
          <w:spacing w:val="-3"/>
          <w:kern w:val="0"/>
          <w:sz w:val="24"/>
          <w:szCs w:val="24"/>
          <w:highlight w:val="none"/>
          <w:u w:val="single"/>
          <w:lang w:val="en-US" w:eastAsia="zh-CN" w:bidi="ar-SA"/>
        </w:rPr>
        <w:t>（采购文件中明确的所属行业）</w:t>
      </w:r>
      <w:r>
        <w:rPr>
          <w:rFonts w:hint="eastAsia" w:ascii="仿宋" w:hAnsi="仿宋" w:eastAsia="仿宋" w:cs="仿宋"/>
          <w:snapToGrid w:val="0"/>
          <w:color w:val="auto"/>
          <w:spacing w:val="-3"/>
          <w:kern w:val="0"/>
          <w:sz w:val="24"/>
          <w:szCs w:val="24"/>
          <w:highlight w:val="none"/>
          <w:lang w:val="en-US" w:eastAsia="zh-CN" w:bidi="ar-SA"/>
        </w:rPr>
        <w:t>；制造商为</w:t>
      </w:r>
      <w:r>
        <w:rPr>
          <w:rFonts w:hint="eastAsia" w:ascii="仿宋" w:hAnsi="仿宋" w:eastAsia="仿宋" w:cs="仿宋"/>
          <w:snapToGrid w:val="0"/>
          <w:color w:val="auto"/>
          <w:spacing w:val="-3"/>
          <w:kern w:val="0"/>
          <w:sz w:val="24"/>
          <w:szCs w:val="24"/>
          <w:highlight w:val="none"/>
          <w:u w:val="single"/>
          <w:lang w:val="en-US" w:eastAsia="zh-CN" w:bidi="ar-SA"/>
        </w:rPr>
        <w:t>（企业名称）</w:t>
      </w:r>
      <w:r>
        <w:rPr>
          <w:rFonts w:hint="eastAsia" w:ascii="仿宋" w:hAnsi="仿宋" w:eastAsia="仿宋" w:cs="仿宋"/>
          <w:snapToGrid w:val="0"/>
          <w:color w:val="auto"/>
          <w:spacing w:val="-3"/>
          <w:kern w:val="0"/>
          <w:sz w:val="24"/>
          <w:szCs w:val="24"/>
          <w:highlight w:val="none"/>
          <w:lang w:val="en-US" w:eastAsia="zh-CN" w:bidi="ar-SA"/>
        </w:rPr>
        <w:t>，从业人员人，营业收入为万元，资产总额为万元，属于（中型企业、小型企业、微型企业）；</w:t>
      </w:r>
    </w:p>
    <w:p w14:paraId="2E08D832">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p>
    <w:p w14:paraId="17F0E538">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w:t>
      </w:r>
    </w:p>
    <w:p w14:paraId="7476FF2B">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zh-CN" w:bidi="ar-SA"/>
        </w:rPr>
      </w:pPr>
    </w:p>
    <w:p w14:paraId="0C84F69B">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以上企业，不属于大企业的分支机构，不存在控股股东为大企业的情形，也不存在与大</w:t>
      </w:r>
    </w:p>
    <w:p w14:paraId="2189643F">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企业的负责人为同一人的情形。</w:t>
      </w:r>
    </w:p>
    <w:p w14:paraId="39F19A2C">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本企业对上述声明内容的真实性负责。如有虚假，将依法承担相应责任。</w:t>
      </w:r>
    </w:p>
    <w:p w14:paraId="7ABB0A54">
      <w:pPr>
        <w:keepNext w:val="0"/>
        <w:keepLines w:val="0"/>
        <w:widowControl/>
        <w:suppressLineNumbers w:val="0"/>
        <w:ind w:firstLine="2574" w:firstLineChars="1100"/>
        <w:jc w:val="left"/>
        <w:rPr>
          <w:rFonts w:hint="eastAsia" w:ascii="仿宋" w:hAnsi="仿宋" w:eastAsia="仿宋" w:cs="仿宋"/>
          <w:snapToGrid w:val="0"/>
          <w:color w:val="auto"/>
          <w:spacing w:val="-3"/>
          <w:kern w:val="0"/>
          <w:sz w:val="24"/>
          <w:szCs w:val="24"/>
          <w:highlight w:val="none"/>
          <w:lang w:val="en-US" w:eastAsia="zh-CN" w:bidi="ar-SA"/>
        </w:rPr>
      </w:pPr>
    </w:p>
    <w:p w14:paraId="07713C07">
      <w:pPr>
        <w:keepNext w:val="0"/>
        <w:keepLines w:val="0"/>
        <w:widowControl/>
        <w:suppressLineNumbers w:val="0"/>
        <w:ind w:firstLine="2574" w:firstLineChars="1100"/>
        <w:jc w:val="left"/>
        <w:rPr>
          <w:rFonts w:hint="eastAsia" w:ascii="仿宋" w:hAnsi="仿宋" w:eastAsia="仿宋" w:cs="仿宋"/>
          <w:snapToGrid w:val="0"/>
          <w:color w:val="auto"/>
          <w:spacing w:val="-3"/>
          <w:kern w:val="0"/>
          <w:sz w:val="24"/>
          <w:szCs w:val="24"/>
          <w:highlight w:val="none"/>
          <w:lang w:val="en-US" w:eastAsia="zh-CN" w:bidi="ar-SA"/>
        </w:rPr>
      </w:pPr>
    </w:p>
    <w:p w14:paraId="0C6DEBFD">
      <w:pPr>
        <w:keepNext w:val="0"/>
        <w:keepLines w:val="0"/>
        <w:widowControl/>
        <w:suppressLineNumbers w:val="0"/>
        <w:ind w:firstLine="3744" w:firstLineChars="1600"/>
        <w:jc w:val="left"/>
        <w:rPr>
          <w:rFonts w:hint="eastAsia" w:ascii="仿宋" w:hAnsi="仿宋" w:eastAsia="仿宋" w:cs="仿宋"/>
          <w:snapToGrid w:val="0"/>
          <w:color w:val="auto"/>
          <w:spacing w:val="-3"/>
          <w:kern w:val="0"/>
          <w:sz w:val="24"/>
          <w:szCs w:val="24"/>
          <w:highlight w:val="none"/>
          <w:lang w:val="en-US" w:eastAsia="zh-CN" w:bidi="ar-SA"/>
        </w:rPr>
      </w:pPr>
    </w:p>
    <w:p w14:paraId="5584B23D">
      <w:pPr>
        <w:keepNext w:val="0"/>
        <w:keepLines w:val="0"/>
        <w:widowControl/>
        <w:suppressLineNumbers w:val="0"/>
        <w:ind w:firstLine="3744" w:firstLineChars="160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供应商名称（盖章）：</w:t>
      </w:r>
    </w:p>
    <w:p w14:paraId="6231BB0F">
      <w:pPr>
        <w:keepNext w:val="0"/>
        <w:keepLines w:val="0"/>
        <w:widowControl/>
        <w:suppressLineNumbers w:val="0"/>
        <w:ind w:firstLine="3744" w:firstLineChars="1600"/>
        <w:jc w:val="left"/>
        <w:rPr>
          <w:rFonts w:hint="eastAsia" w:ascii="仿宋" w:hAnsi="仿宋" w:eastAsia="仿宋" w:cs="仿宋"/>
          <w:snapToGrid w:val="0"/>
          <w:color w:val="auto"/>
          <w:spacing w:val="-3"/>
          <w:kern w:val="0"/>
          <w:sz w:val="24"/>
          <w:szCs w:val="24"/>
          <w:highlight w:val="none"/>
          <w:lang w:val="en-US" w:eastAsia="zh-CN" w:bidi="ar-SA"/>
        </w:rPr>
      </w:pPr>
    </w:p>
    <w:p w14:paraId="50DFA0EA">
      <w:pPr>
        <w:keepNext w:val="0"/>
        <w:keepLines w:val="0"/>
        <w:widowControl/>
        <w:suppressLineNumbers w:val="0"/>
        <w:ind w:firstLine="3744" w:firstLineChars="160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日期：</w:t>
      </w:r>
    </w:p>
    <w:p w14:paraId="5BCB40ED">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zh-CN" w:bidi="ar-SA"/>
        </w:rPr>
      </w:pPr>
    </w:p>
    <w:p w14:paraId="4E3C8BB2">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注：从业人员、营业收入、资产总额填报上一年度数据，无上一年度数据的新成立企</w:t>
      </w:r>
    </w:p>
    <w:p w14:paraId="08A9A098">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业可不填报。潜在投标企业属于中小微企业的，请在投标文件中提供“中小企业声明函”，</w:t>
      </w:r>
    </w:p>
    <w:p w14:paraId="4F961AED">
      <w:pPr>
        <w:keepNext w:val="0"/>
        <w:keepLines w:val="0"/>
        <w:widowControl/>
        <w:suppressLineNumbers w:val="0"/>
        <w:jc w:val="left"/>
        <w:rPr>
          <w:rFonts w:hint="eastAsia" w:ascii="仿宋" w:hAnsi="仿宋" w:eastAsia="仿宋" w:cs="仿宋"/>
          <w:snapToGrid w:val="0"/>
          <w:color w:val="auto"/>
          <w:spacing w:val="-3"/>
          <w:kern w:val="0"/>
          <w:sz w:val="24"/>
          <w:szCs w:val="24"/>
          <w:highlight w:val="none"/>
          <w:lang w:val="en-US" w:eastAsia="en-US" w:bidi="ar-SA"/>
        </w:rPr>
      </w:pPr>
      <w:r>
        <w:rPr>
          <w:rFonts w:hint="eastAsia" w:ascii="仿宋" w:hAnsi="仿宋" w:eastAsia="仿宋" w:cs="仿宋"/>
          <w:snapToGrid w:val="0"/>
          <w:color w:val="auto"/>
          <w:spacing w:val="-3"/>
          <w:kern w:val="0"/>
          <w:sz w:val="24"/>
          <w:szCs w:val="24"/>
          <w:highlight w:val="none"/>
          <w:lang w:val="en-US" w:eastAsia="zh-CN" w:bidi="ar-SA"/>
        </w:rPr>
        <w:t>如果未提供或提供虚假的“中小企业声明函”，投标企业将承担由此造成的一切不利后果</w:t>
      </w:r>
    </w:p>
    <w:p w14:paraId="1E3570AA">
      <w:pPr>
        <w:pStyle w:val="8"/>
        <w:spacing w:before="156" w:line="225" w:lineRule="auto"/>
        <w:outlineLvl w:val="9"/>
        <w:rPr>
          <w:rFonts w:hint="eastAsia" w:ascii="仿宋" w:hAnsi="仿宋" w:eastAsia="仿宋" w:cs="仿宋"/>
          <w:snapToGrid w:val="0"/>
          <w:color w:val="auto"/>
          <w:spacing w:val="-3"/>
          <w:kern w:val="0"/>
          <w:sz w:val="24"/>
          <w:szCs w:val="24"/>
          <w:highlight w:val="none"/>
          <w:lang w:val="en-US" w:eastAsia="en-US" w:bidi="ar-SA"/>
        </w:rPr>
      </w:pPr>
    </w:p>
    <w:p w14:paraId="0DCCCB72">
      <w:pPr>
        <w:pStyle w:val="8"/>
        <w:spacing w:before="156" w:line="225" w:lineRule="auto"/>
        <w:outlineLvl w:val="9"/>
        <w:rPr>
          <w:rFonts w:hint="eastAsia" w:ascii="仿宋" w:hAnsi="仿宋" w:eastAsia="仿宋" w:cs="仿宋"/>
          <w:snapToGrid w:val="0"/>
          <w:color w:val="auto"/>
          <w:spacing w:val="-3"/>
          <w:kern w:val="0"/>
          <w:sz w:val="24"/>
          <w:szCs w:val="24"/>
          <w:highlight w:val="none"/>
          <w:lang w:val="en-US" w:eastAsia="en-US" w:bidi="ar-SA"/>
        </w:rPr>
      </w:pPr>
    </w:p>
    <w:p w14:paraId="07D7C475">
      <w:pPr>
        <w:pStyle w:val="8"/>
        <w:spacing w:before="156" w:line="225" w:lineRule="auto"/>
        <w:outlineLvl w:val="9"/>
        <w:rPr>
          <w:rFonts w:hint="eastAsia" w:ascii="仿宋" w:hAnsi="仿宋" w:eastAsia="仿宋" w:cs="仿宋"/>
          <w:snapToGrid w:val="0"/>
          <w:color w:val="auto"/>
          <w:spacing w:val="-3"/>
          <w:kern w:val="0"/>
          <w:sz w:val="24"/>
          <w:szCs w:val="24"/>
          <w:highlight w:val="none"/>
          <w:lang w:val="en-US" w:eastAsia="en-US" w:bidi="ar-SA"/>
        </w:rPr>
      </w:pPr>
    </w:p>
    <w:p w14:paraId="5B442A36">
      <w:pPr>
        <w:pStyle w:val="8"/>
        <w:spacing w:before="156" w:line="225" w:lineRule="auto"/>
        <w:outlineLvl w:val="9"/>
        <w:rPr>
          <w:rFonts w:hint="eastAsia" w:ascii="仿宋" w:hAnsi="仿宋" w:eastAsia="仿宋" w:cs="仿宋"/>
          <w:snapToGrid w:val="0"/>
          <w:color w:val="auto"/>
          <w:spacing w:val="-3"/>
          <w:kern w:val="0"/>
          <w:sz w:val="24"/>
          <w:szCs w:val="24"/>
          <w:highlight w:val="none"/>
          <w:lang w:val="en-US" w:eastAsia="en-US" w:bidi="ar-SA"/>
        </w:rPr>
      </w:pPr>
    </w:p>
    <w:p w14:paraId="02C28A62">
      <w:pPr>
        <w:pStyle w:val="8"/>
        <w:spacing w:before="156" w:line="225" w:lineRule="auto"/>
        <w:outlineLvl w:val="9"/>
        <w:rPr>
          <w:rFonts w:hint="eastAsia" w:ascii="仿宋" w:hAnsi="仿宋" w:eastAsia="仿宋" w:cs="仿宋"/>
          <w:snapToGrid w:val="0"/>
          <w:color w:val="auto"/>
          <w:spacing w:val="-3"/>
          <w:kern w:val="0"/>
          <w:sz w:val="24"/>
          <w:szCs w:val="24"/>
          <w:highlight w:val="none"/>
          <w:lang w:val="en-US" w:eastAsia="en-US" w:bidi="ar-SA"/>
        </w:rPr>
      </w:pPr>
    </w:p>
    <w:p w14:paraId="35F576CE">
      <w:pPr>
        <w:pStyle w:val="8"/>
        <w:spacing w:before="156" w:line="225" w:lineRule="auto"/>
        <w:outlineLvl w:val="9"/>
        <w:rPr>
          <w:rFonts w:hint="eastAsia" w:ascii="仿宋" w:hAnsi="仿宋" w:eastAsia="仿宋" w:cs="仿宋"/>
          <w:snapToGrid w:val="0"/>
          <w:color w:val="auto"/>
          <w:spacing w:val="-3"/>
          <w:kern w:val="0"/>
          <w:sz w:val="24"/>
          <w:szCs w:val="24"/>
          <w:highlight w:val="none"/>
          <w:lang w:val="en-US" w:eastAsia="en-US" w:bidi="ar-SA"/>
        </w:rPr>
      </w:pPr>
    </w:p>
    <w:p w14:paraId="4FC7413F">
      <w:pPr>
        <w:pStyle w:val="8"/>
        <w:spacing w:before="156" w:line="225" w:lineRule="auto"/>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6531657B">
      <w:pPr>
        <w:pStyle w:val="8"/>
        <w:spacing w:before="156" w:line="225" w:lineRule="auto"/>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06D80445">
      <w:pPr>
        <w:pStyle w:val="8"/>
        <w:spacing w:before="156" w:line="225" w:lineRule="auto"/>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38F1C3E4">
      <w:pPr>
        <w:pStyle w:val="8"/>
        <w:spacing w:before="156" w:line="225" w:lineRule="auto"/>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444D7D7E">
      <w:pPr>
        <w:pStyle w:val="8"/>
        <w:spacing w:before="156" w:line="225" w:lineRule="auto"/>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1CA8BBB0">
      <w:pPr>
        <w:pStyle w:val="8"/>
        <w:spacing w:before="156" w:line="225" w:lineRule="auto"/>
        <w:jc w:val="center"/>
        <w:outlineLvl w:val="2"/>
        <w:rPr>
          <w:rFonts w:hint="eastAsia" w:ascii="仿宋" w:hAnsi="仿宋" w:eastAsia="仿宋" w:cs="仿宋"/>
          <w:color w:val="auto"/>
          <w:sz w:val="24"/>
          <w:szCs w:val="24"/>
          <w:highlight w:val="none"/>
        </w:rPr>
      </w:pPr>
      <w:bookmarkStart w:id="196" w:name="_Toc2271"/>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7-</w:t>
      </w:r>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2</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残疾人福利性单位声明函（投标文件格式十</w:t>
      </w:r>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一</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w:t>
      </w:r>
      <w:bookmarkEnd w:id="196"/>
    </w:p>
    <w:p w14:paraId="715D0885">
      <w:pPr>
        <w:spacing w:line="254" w:lineRule="auto"/>
        <w:rPr>
          <w:rFonts w:hint="eastAsia" w:ascii="仿宋" w:hAnsi="仿宋" w:eastAsia="仿宋" w:cs="仿宋"/>
          <w:color w:val="auto"/>
          <w:sz w:val="21"/>
          <w:highlight w:val="none"/>
        </w:rPr>
      </w:pPr>
    </w:p>
    <w:p w14:paraId="6CEC2336">
      <w:pPr>
        <w:spacing w:line="254" w:lineRule="auto"/>
        <w:rPr>
          <w:rFonts w:hint="eastAsia" w:ascii="仿宋" w:hAnsi="仿宋" w:eastAsia="仿宋" w:cs="仿宋"/>
          <w:color w:val="auto"/>
          <w:sz w:val="21"/>
          <w:highlight w:val="none"/>
        </w:rPr>
      </w:pPr>
    </w:p>
    <w:p w14:paraId="5E269E90">
      <w:pPr>
        <w:pStyle w:val="8"/>
        <w:spacing w:before="78" w:line="338" w:lineRule="auto"/>
        <w:ind w:left="15" w:right="11" w:firstLine="580"/>
        <w:jc w:val="both"/>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本单位郑重声明，根据《财政部民政部中国残疾人联合</w:t>
      </w:r>
      <w:r>
        <w:rPr>
          <w:rFonts w:hint="eastAsia" w:ascii="仿宋" w:hAnsi="仿宋" w:eastAsia="仿宋" w:cs="仿宋"/>
          <w:color w:val="auto"/>
          <w:spacing w:val="-2"/>
          <w:sz w:val="24"/>
          <w:szCs w:val="24"/>
          <w:highlight w:val="none"/>
        </w:rPr>
        <w:t>会关于促进残疾</w:t>
      </w:r>
      <w:r>
        <w:rPr>
          <w:rFonts w:hint="eastAsia" w:ascii="仿宋" w:hAnsi="仿宋" w:eastAsia="仿宋" w:cs="仿宋"/>
          <w:color w:val="auto"/>
          <w:spacing w:val="-1"/>
          <w:sz w:val="24"/>
          <w:szCs w:val="24"/>
          <w:highlight w:val="none"/>
        </w:rPr>
        <w:t>人就业政府采购政策的通知》（财库〔2017〕141号）的</w:t>
      </w:r>
      <w:r>
        <w:rPr>
          <w:rFonts w:hint="eastAsia" w:ascii="仿宋" w:hAnsi="仿宋" w:eastAsia="仿宋" w:cs="仿宋"/>
          <w:color w:val="auto"/>
          <w:spacing w:val="-2"/>
          <w:sz w:val="24"/>
          <w:szCs w:val="24"/>
          <w:highlight w:val="none"/>
        </w:rPr>
        <w:t>规定，本单位为符合条</w:t>
      </w:r>
      <w:r>
        <w:rPr>
          <w:rFonts w:hint="eastAsia" w:ascii="仿宋" w:hAnsi="仿宋" w:eastAsia="仿宋" w:cs="仿宋"/>
          <w:color w:val="auto"/>
          <w:spacing w:val="-3"/>
          <w:sz w:val="24"/>
          <w:szCs w:val="24"/>
          <w:highlight w:val="none"/>
        </w:rPr>
        <w:t>件的残疾人福利性单位，且本单位参加单位的</w:t>
      </w:r>
      <w:r>
        <w:rPr>
          <w:rFonts w:hint="eastAsia" w:ascii="仿宋" w:hAnsi="仿宋" w:eastAsia="仿宋" w:cs="仿宋"/>
          <w:color w:val="auto"/>
          <w:spacing w:val="-4"/>
          <w:sz w:val="24"/>
          <w:szCs w:val="24"/>
          <w:highlight w:val="none"/>
        </w:rPr>
        <w:t>项目采购活动提供本</w:t>
      </w:r>
      <w:r>
        <w:rPr>
          <w:rFonts w:hint="eastAsia" w:ascii="仿宋" w:hAnsi="仿宋" w:eastAsia="仿宋" w:cs="仿宋"/>
          <w:color w:val="auto"/>
          <w:spacing w:val="-3"/>
          <w:sz w:val="24"/>
          <w:szCs w:val="24"/>
          <w:highlight w:val="none"/>
        </w:rPr>
        <w:t>单位制造的货物，或者提供其他残疾人福利性单位制造的货物（不包括使用非残</w:t>
      </w:r>
      <w:r>
        <w:rPr>
          <w:rFonts w:hint="eastAsia" w:ascii="仿宋" w:hAnsi="仿宋" w:eastAsia="仿宋" w:cs="仿宋"/>
          <w:color w:val="auto"/>
          <w:spacing w:val="-1"/>
          <w:sz w:val="24"/>
          <w:szCs w:val="24"/>
          <w:highlight w:val="none"/>
        </w:rPr>
        <w:t>疾人福利性单位注册商标的货物）。</w:t>
      </w:r>
    </w:p>
    <w:p w14:paraId="6432A133">
      <w:pPr>
        <w:pStyle w:val="8"/>
        <w:spacing w:before="147" w:line="220" w:lineRule="auto"/>
        <w:ind w:left="56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本单位对上述声明的真实性负责。如有虚假，将依法承担相应责任。</w:t>
      </w:r>
    </w:p>
    <w:p w14:paraId="1F331CA6">
      <w:pPr>
        <w:spacing w:line="316" w:lineRule="auto"/>
        <w:rPr>
          <w:rFonts w:hint="eastAsia" w:ascii="仿宋" w:hAnsi="仿宋" w:eastAsia="仿宋" w:cs="仿宋"/>
          <w:color w:val="auto"/>
          <w:sz w:val="21"/>
          <w:highlight w:val="none"/>
        </w:rPr>
      </w:pPr>
    </w:p>
    <w:p w14:paraId="7C43625C">
      <w:pPr>
        <w:spacing w:line="316" w:lineRule="auto"/>
        <w:rPr>
          <w:rFonts w:hint="eastAsia" w:ascii="仿宋" w:hAnsi="仿宋" w:eastAsia="仿宋" w:cs="仿宋"/>
          <w:color w:val="auto"/>
          <w:sz w:val="21"/>
          <w:highlight w:val="none"/>
        </w:rPr>
      </w:pPr>
    </w:p>
    <w:p w14:paraId="1549BC16">
      <w:pPr>
        <w:spacing w:line="317" w:lineRule="auto"/>
        <w:rPr>
          <w:rFonts w:hint="eastAsia" w:ascii="仿宋" w:hAnsi="仿宋" w:eastAsia="仿宋" w:cs="仿宋"/>
          <w:color w:val="auto"/>
          <w:sz w:val="21"/>
          <w:highlight w:val="none"/>
        </w:rPr>
      </w:pPr>
    </w:p>
    <w:p w14:paraId="3CB357FA">
      <w:pPr>
        <w:pStyle w:val="8"/>
        <w:spacing w:before="79" w:line="340" w:lineRule="auto"/>
        <w:ind w:left="240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残疾人福利性单位名称（盖单位章</w:t>
      </w:r>
      <w:r>
        <w:rPr>
          <w:rFonts w:hint="eastAsia" w:ascii="仿宋" w:hAnsi="仿宋" w:eastAsia="仿宋" w:cs="仿宋"/>
          <w:color w:val="auto"/>
          <w:spacing w:val="4"/>
          <w:sz w:val="24"/>
          <w:szCs w:val="24"/>
          <w:highlight w:val="none"/>
        </w:rPr>
        <w:t>）：</w:t>
      </w:r>
    </w:p>
    <w:p w14:paraId="5D4728EA">
      <w:pPr>
        <w:pStyle w:val="8"/>
        <w:spacing w:before="1" w:line="224" w:lineRule="auto"/>
        <w:ind w:left="275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4"/>
          <w:sz w:val="24"/>
          <w:szCs w:val="24"/>
          <w:highlight w:val="none"/>
        </w:rPr>
        <w:t>日期：</w:t>
      </w:r>
    </w:p>
    <w:p w14:paraId="144B0F34">
      <w:pPr>
        <w:spacing w:line="259" w:lineRule="auto"/>
        <w:rPr>
          <w:rFonts w:hint="eastAsia" w:ascii="仿宋" w:hAnsi="仿宋" w:eastAsia="仿宋" w:cs="仿宋"/>
          <w:color w:val="auto"/>
          <w:sz w:val="21"/>
          <w:highlight w:val="none"/>
        </w:rPr>
      </w:pPr>
    </w:p>
    <w:p w14:paraId="599EECD7">
      <w:pPr>
        <w:spacing w:line="259" w:lineRule="auto"/>
        <w:rPr>
          <w:rFonts w:hint="eastAsia" w:ascii="仿宋" w:hAnsi="仿宋" w:eastAsia="仿宋" w:cs="仿宋"/>
          <w:color w:val="auto"/>
          <w:sz w:val="21"/>
          <w:highlight w:val="none"/>
        </w:rPr>
      </w:pPr>
    </w:p>
    <w:p w14:paraId="3B41AEF5">
      <w:pPr>
        <w:spacing w:line="259" w:lineRule="auto"/>
        <w:rPr>
          <w:rFonts w:hint="eastAsia" w:ascii="仿宋" w:hAnsi="仿宋" w:eastAsia="仿宋" w:cs="仿宋"/>
          <w:color w:val="auto"/>
          <w:sz w:val="21"/>
          <w:highlight w:val="none"/>
        </w:rPr>
      </w:pPr>
    </w:p>
    <w:p w14:paraId="385C62B2">
      <w:pPr>
        <w:spacing w:line="260" w:lineRule="auto"/>
        <w:rPr>
          <w:rFonts w:hint="eastAsia" w:ascii="仿宋" w:hAnsi="仿宋" w:eastAsia="仿宋" w:cs="仿宋"/>
          <w:color w:val="auto"/>
          <w:sz w:val="21"/>
          <w:highlight w:val="none"/>
        </w:rPr>
      </w:pPr>
    </w:p>
    <w:p w14:paraId="280DCD56">
      <w:pPr>
        <w:spacing w:line="260" w:lineRule="auto"/>
        <w:rPr>
          <w:rFonts w:hint="eastAsia" w:ascii="仿宋" w:hAnsi="仿宋" w:eastAsia="仿宋" w:cs="仿宋"/>
          <w:color w:val="auto"/>
          <w:sz w:val="21"/>
          <w:highlight w:val="none"/>
        </w:rPr>
      </w:pPr>
    </w:p>
    <w:p w14:paraId="150B8F55">
      <w:pPr>
        <w:rPr>
          <w:rFonts w:hint="eastAsia" w:ascii="仿宋" w:hAnsi="仿宋" w:eastAsia="仿宋" w:cs="仿宋"/>
          <w:color w:val="auto"/>
          <w:sz w:val="21"/>
          <w:highlight w:val="none"/>
        </w:rPr>
      </w:pPr>
      <w:r>
        <w:rPr>
          <w:rFonts w:hint="eastAsia" w:ascii="仿宋" w:hAnsi="仿宋" w:eastAsia="仿宋" w:cs="仿宋"/>
          <w:color w:val="auto"/>
          <w:sz w:val="21"/>
          <w:highlight w:val="none"/>
        </w:rPr>
        <w:br w:type="page"/>
      </w:r>
    </w:p>
    <w:p w14:paraId="4940F0A6">
      <w:pPr>
        <w:pStyle w:val="15"/>
        <w:rPr>
          <w:rFonts w:hint="eastAsia" w:ascii="仿宋" w:hAnsi="仿宋" w:eastAsia="仿宋" w:cs="仿宋"/>
          <w:color w:val="auto"/>
          <w:highlight w:val="none"/>
        </w:rPr>
      </w:pPr>
    </w:p>
    <w:p w14:paraId="3BECE387">
      <w:pPr>
        <w:spacing w:line="260" w:lineRule="auto"/>
        <w:rPr>
          <w:rFonts w:hint="eastAsia" w:ascii="仿宋" w:hAnsi="仿宋" w:eastAsia="仿宋" w:cs="仿宋"/>
          <w:color w:val="auto"/>
          <w:sz w:val="21"/>
          <w:highlight w:val="none"/>
        </w:rPr>
      </w:pPr>
    </w:p>
    <w:p w14:paraId="709B893B">
      <w:pPr>
        <w:pStyle w:val="8"/>
        <w:spacing w:before="78" w:line="225" w:lineRule="auto"/>
        <w:jc w:val="center"/>
        <w:outlineLvl w:val="2"/>
        <w:rPr>
          <w:rFonts w:hint="eastAsia" w:ascii="仿宋" w:hAnsi="仿宋" w:eastAsia="仿宋" w:cs="仿宋"/>
          <w:color w:val="auto"/>
          <w:sz w:val="24"/>
          <w:szCs w:val="24"/>
          <w:highlight w:val="none"/>
        </w:rPr>
      </w:pPr>
      <w:bookmarkStart w:id="197" w:name="_Toc32024"/>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8投标人关联单位的说明</w:t>
      </w:r>
      <w:bookmarkEnd w:id="197"/>
    </w:p>
    <w:p w14:paraId="64F6AE22">
      <w:pPr>
        <w:spacing w:line="253" w:lineRule="auto"/>
        <w:rPr>
          <w:rFonts w:hint="eastAsia" w:ascii="仿宋" w:hAnsi="仿宋" w:eastAsia="仿宋" w:cs="仿宋"/>
          <w:color w:val="auto"/>
          <w:sz w:val="21"/>
          <w:highlight w:val="none"/>
        </w:rPr>
      </w:pPr>
    </w:p>
    <w:p w14:paraId="4AC41FA3">
      <w:pPr>
        <w:spacing w:line="254" w:lineRule="auto"/>
        <w:rPr>
          <w:rFonts w:hint="eastAsia" w:ascii="仿宋" w:hAnsi="仿宋" w:eastAsia="仿宋" w:cs="仿宋"/>
          <w:color w:val="auto"/>
          <w:sz w:val="21"/>
          <w:highlight w:val="none"/>
        </w:rPr>
      </w:pPr>
    </w:p>
    <w:p w14:paraId="429BFBB1">
      <w:pPr>
        <w:pStyle w:val="8"/>
        <w:spacing w:before="78" w:line="439" w:lineRule="exact"/>
        <w:ind w:left="497"/>
        <w:rPr>
          <w:rFonts w:hint="eastAsia" w:ascii="仿宋" w:hAnsi="仿宋" w:eastAsia="仿宋" w:cs="仿宋"/>
          <w:color w:val="auto"/>
          <w:sz w:val="24"/>
          <w:szCs w:val="24"/>
          <w:highlight w:val="none"/>
        </w:rPr>
      </w:pPr>
      <w:r>
        <w:rPr>
          <w:rFonts w:hint="eastAsia" w:ascii="仿宋" w:hAnsi="仿宋" w:eastAsia="仿宋" w:cs="仿宋"/>
          <w:color w:val="auto"/>
          <w:position w:val="14"/>
          <w:sz w:val="24"/>
          <w:szCs w:val="24"/>
          <w:highlight w:val="none"/>
        </w:rPr>
        <w:t>说明：投标人应当如实披露与本单位存在下列关联关</w:t>
      </w:r>
      <w:r>
        <w:rPr>
          <w:rFonts w:hint="eastAsia" w:ascii="仿宋" w:hAnsi="仿宋" w:eastAsia="仿宋" w:cs="仿宋"/>
          <w:color w:val="auto"/>
          <w:spacing w:val="-1"/>
          <w:position w:val="14"/>
          <w:sz w:val="24"/>
          <w:szCs w:val="24"/>
          <w:highlight w:val="none"/>
        </w:rPr>
        <w:t>系的单位名称：</w:t>
      </w:r>
    </w:p>
    <w:p w14:paraId="458D2AD3">
      <w:pPr>
        <w:pStyle w:val="8"/>
        <w:spacing w:before="2" w:line="222" w:lineRule="auto"/>
        <w:ind w:left="521"/>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（1）与投标人单位负责人为同一人的其他单位；</w:t>
      </w:r>
    </w:p>
    <w:p w14:paraId="00F7902D">
      <w:pPr>
        <w:pStyle w:val="8"/>
        <w:spacing w:before="2" w:line="222" w:lineRule="auto"/>
        <w:ind w:left="521"/>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（2）与投标人存在直接控股、管理关系的其他单位。</w:t>
      </w:r>
    </w:p>
    <w:p w14:paraId="089ECECE">
      <w:pPr>
        <w:pStyle w:val="8"/>
        <w:spacing w:before="2" w:line="222" w:lineRule="auto"/>
        <w:ind w:left="521"/>
        <w:rPr>
          <w:rFonts w:hint="eastAsia" w:ascii="仿宋" w:hAnsi="仿宋" w:eastAsia="仿宋" w:cs="仿宋"/>
          <w:color w:val="auto"/>
          <w:spacing w:val="-2"/>
          <w:sz w:val="24"/>
          <w:szCs w:val="24"/>
          <w:highlight w:val="none"/>
        </w:rPr>
      </w:pPr>
    </w:p>
    <w:p w14:paraId="7552D4C0">
      <w:pPr>
        <w:spacing w:line="260" w:lineRule="auto"/>
        <w:rPr>
          <w:rFonts w:hint="eastAsia" w:ascii="仿宋" w:hAnsi="仿宋" w:eastAsia="仿宋" w:cs="仿宋"/>
          <w:color w:val="auto"/>
          <w:sz w:val="21"/>
          <w:highlight w:val="none"/>
        </w:rPr>
      </w:pPr>
    </w:p>
    <w:p w14:paraId="388BB624">
      <w:pPr>
        <w:spacing w:line="260" w:lineRule="auto"/>
        <w:rPr>
          <w:rFonts w:hint="eastAsia" w:ascii="仿宋" w:hAnsi="仿宋" w:eastAsia="仿宋" w:cs="仿宋"/>
          <w:color w:val="auto"/>
          <w:sz w:val="21"/>
          <w:highlight w:val="none"/>
        </w:rPr>
      </w:pPr>
    </w:p>
    <w:p w14:paraId="64916D9B">
      <w:pPr>
        <w:spacing w:line="260" w:lineRule="auto"/>
        <w:rPr>
          <w:rFonts w:hint="eastAsia" w:ascii="仿宋" w:hAnsi="仿宋" w:eastAsia="仿宋" w:cs="仿宋"/>
          <w:color w:val="auto"/>
          <w:sz w:val="21"/>
          <w:highlight w:val="none"/>
        </w:rPr>
      </w:pPr>
    </w:p>
    <w:p w14:paraId="173E7A7A">
      <w:pPr>
        <w:spacing w:line="260" w:lineRule="auto"/>
        <w:rPr>
          <w:rFonts w:hint="eastAsia" w:ascii="仿宋" w:hAnsi="仿宋" w:eastAsia="仿宋" w:cs="仿宋"/>
          <w:color w:val="auto"/>
          <w:sz w:val="21"/>
          <w:highlight w:val="none"/>
        </w:rPr>
      </w:pPr>
    </w:p>
    <w:p w14:paraId="1BD7B63C">
      <w:pPr>
        <w:spacing w:line="260" w:lineRule="auto"/>
        <w:rPr>
          <w:rFonts w:hint="eastAsia" w:ascii="仿宋" w:hAnsi="仿宋" w:eastAsia="仿宋" w:cs="仿宋"/>
          <w:color w:val="auto"/>
          <w:sz w:val="21"/>
          <w:highlight w:val="none"/>
        </w:rPr>
      </w:pPr>
    </w:p>
    <w:p w14:paraId="3A677E78">
      <w:pPr>
        <w:spacing w:line="260" w:lineRule="auto"/>
        <w:rPr>
          <w:rFonts w:hint="eastAsia" w:ascii="仿宋" w:hAnsi="仿宋" w:eastAsia="仿宋" w:cs="仿宋"/>
          <w:color w:val="auto"/>
          <w:sz w:val="21"/>
          <w:highlight w:val="none"/>
        </w:rPr>
      </w:pPr>
    </w:p>
    <w:p w14:paraId="483E84E5">
      <w:pPr>
        <w:pStyle w:val="8"/>
        <w:spacing w:before="79" w:line="225" w:lineRule="auto"/>
        <w:ind w:left="1519"/>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7DFBA0ED">
      <w:pPr>
        <w:pStyle w:val="8"/>
        <w:spacing w:before="79" w:line="225" w:lineRule="auto"/>
        <w:ind w:left="1519"/>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5062FAA2">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128624C6">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59E29C2D">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11A2A780">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2DE413E7">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570FB2D0">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p>
    <w:p w14:paraId="37D0528E">
      <w:pPr>
        <w:keepNext w:val="0"/>
        <w:keepLines w:val="0"/>
        <w:widowControl/>
        <w:suppressLineNumbers w:val="0"/>
        <w:ind w:firstLine="2650" w:firstLineChars="1100"/>
        <w:jc w:val="left"/>
        <w:rPr>
          <w:rFonts w:hint="eastAsia" w:ascii="仿宋" w:hAnsi="仿宋" w:eastAsia="仿宋" w:cs="仿宋"/>
          <w:b/>
          <w:bCs/>
          <w:snapToGrid w:val="0"/>
          <w:color w:val="auto"/>
          <w:kern w:val="0"/>
          <w:sz w:val="24"/>
          <w:szCs w:val="24"/>
          <w:highlight w:val="none"/>
          <w:lang w:val="en-US" w:eastAsia="zh-CN" w:bidi="ar"/>
        </w:rPr>
      </w:pPr>
    </w:p>
    <w:p w14:paraId="44121BF3">
      <w:pPr>
        <w:keepNext w:val="0"/>
        <w:keepLines w:val="0"/>
        <w:widowControl/>
        <w:suppressLineNumbers w:val="0"/>
        <w:ind w:firstLine="2650" w:firstLineChars="1100"/>
        <w:jc w:val="left"/>
        <w:rPr>
          <w:rFonts w:hint="eastAsia" w:ascii="仿宋" w:hAnsi="仿宋" w:eastAsia="仿宋" w:cs="仿宋"/>
          <w:b/>
          <w:bCs/>
          <w:snapToGrid w:val="0"/>
          <w:color w:val="auto"/>
          <w:kern w:val="0"/>
          <w:sz w:val="24"/>
          <w:szCs w:val="24"/>
          <w:highlight w:val="none"/>
          <w:lang w:val="en-US" w:eastAsia="zh-CN" w:bidi="ar"/>
        </w:rPr>
      </w:pPr>
    </w:p>
    <w:p w14:paraId="6423BE44">
      <w:pPr>
        <w:keepNext w:val="0"/>
        <w:keepLines w:val="0"/>
        <w:widowControl/>
        <w:suppressLineNumbers w:val="0"/>
        <w:ind w:firstLine="2650" w:firstLineChars="1100"/>
        <w:jc w:val="left"/>
        <w:rPr>
          <w:rFonts w:hint="eastAsia" w:ascii="仿宋" w:hAnsi="仿宋" w:eastAsia="仿宋" w:cs="仿宋"/>
          <w:b/>
          <w:bCs/>
          <w:snapToGrid w:val="0"/>
          <w:color w:val="auto"/>
          <w:kern w:val="0"/>
          <w:sz w:val="24"/>
          <w:szCs w:val="24"/>
          <w:highlight w:val="none"/>
          <w:lang w:val="en-US" w:eastAsia="zh-CN" w:bidi="ar"/>
        </w:rPr>
      </w:pPr>
    </w:p>
    <w:p w14:paraId="3EB6B2A7">
      <w:pPr>
        <w:keepNext w:val="0"/>
        <w:keepLines w:val="0"/>
        <w:widowControl/>
        <w:suppressLineNumbers w:val="0"/>
        <w:ind w:firstLine="2650" w:firstLineChars="1100"/>
        <w:jc w:val="left"/>
        <w:rPr>
          <w:rFonts w:hint="eastAsia" w:ascii="仿宋" w:hAnsi="仿宋" w:eastAsia="仿宋" w:cs="仿宋"/>
          <w:b/>
          <w:bCs/>
          <w:snapToGrid w:val="0"/>
          <w:color w:val="auto"/>
          <w:kern w:val="0"/>
          <w:sz w:val="24"/>
          <w:szCs w:val="24"/>
          <w:highlight w:val="none"/>
          <w:lang w:val="en-US" w:eastAsia="zh-CN" w:bidi="ar"/>
        </w:rPr>
      </w:pPr>
    </w:p>
    <w:p w14:paraId="67B9E204">
      <w:pPr>
        <w:rPr>
          <w:rFonts w:hint="eastAsia" w:ascii="仿宋" w:hAnsi="仿宋" w:eastAsia="仿宋" w:cs="仿宋"/>
          <w:snapToGrid w:val="0"/>
          <w:color w:val="auto"/>
          <w:kern w:val="0"/>
          <w:sz w:val="24"/>
          <w:szCs w:val="24"/>
          <w:highlight w:val="none"/>
          <w:lang w:val="en-US" w:eastAsia="zh-CN" w:bidi="ar-SA"/>
          <w14:textOutline w14:w="4358" w14:cap="sq" w14:cmpd="sng">
            <w14:solidFill>
              <w14:srgbClr w14:val="000000"/>
            </w14:solidFill>
            <w14:prstDash w14:val="solid"/>
            <w14:bevel/>
          </w14:textOutline>
        </w:rPr>
      </w:pPr>
      <w:r>
        <w:rPr>
          <w:rFonts w:hint="eastAsia" w:ascii="仿宋" w:hAnsi="仿宋" w:eastAsia="仿宋" w:cs="仿宋"/>
          <w:snapToGrid w:val="0"/>
          <w:color w:val="auto"/>
          <w:kern w:val="0"/>
          <w:sz w:val="24"/>
          <w:szCs w:val="24"/>
          <w:highlight w:val="none"/>
          <w:lang w:val="en-US" w:eastAsia="zh-CN" w:bidi="ar-SA"/>
          <w14:textOutline w14:w="4358" w14:cap="sq" w14:cmpd="sng">
            <w14:solidFill>
              <w14:srgbClr w14:val="000000"/>
            </w14:solidFill>
            <w14:prstDash w14:val="solid"/>
            <w14:bevel/>
          </w14:textOutline>
        </w:rPr>
        <w:br w:type="page"/>
      </w:r>
    </w:p>
    <w:p w14:paraId="222729F2">
      <w:pPr>
        <w:keepNext w:val="0"/>
        <w:keepLines w:val="0"/>
        <w:widowControl/>
        <w:suppressLineNumbers w:val="0"/>
        <w:jc w:val="center"/>
        <w:outlineLvl w:val="2"/>
        <w:rPr>
          <w:rFonts w:hint="eastAsia" w:ascii="仿宋" w:hAnsi="仿宋" w:eastAsia="仿宋" w:cs="仿宋"/>
          <w:snapToGrid w:val="0"/>
          <w:color w:val="auto"/>
          <w:kern w:val="0"/>
          <w:sz w:val="24"/>
          <w:szCs w:val="24"/>
          <w:highlight w:val="none"/>
          <w:lang w:val="en-US" w:eastAsia="zh-CN" w:bidi="ar-SA"/>
          <w14:textOutline w14:w="4358" w14:cap="sq" w14:cmpd="sng">
            <w14:solidFill>
              <w14:srgbClr w14:val="000000"/>
            </w14:solidFill>
            <w14:prstDash w14:val="solid"/>
            <w14:bevel/>
          </w14:textOutline>
        </w:rPr>
      </w:pPr>
      <w:bookmarkStart w:id="198" w:name="_Toc3022"/>
      <w:r>
        <w:rPr>
          <w:rFonts w:hint="eastAsia" w:ascii="仿宋" w:hAnsi="仿宋" w:eastAsia="仿宋" w:cs="仿宋"/>
          <w:snapToGrid w:val="0"/>
          <w:color w:val="auto"/>
          <w:kern w:val="0"/>
          <w:sz w:val="24"/>
          <w:szCs w:val="24"/>
          <w:highlight w:val="none"/>
          <w:lang w:val="en-US" w:eastAsia="zh-CN" w:bidi="ar-SA"/>
          <w14:textOutline w14:w="4358" w14:cap="sq" w14:cmpd="sng">
            <w14:solidFill>
              <w14:srgbClr w14:val="000000"/>
            </w14:solidFill>
            <w14:prstDash w14:val="solid"/>
            <w14:bevel/>
          </w14:textOutline>
        </w:rPr>
        <w:t>9.人员配备一览表</w:t>
      </w:r>
      <w:bookmarkEnd w:id="198"/>
    </w:p>
    <w:p w14:paraId="3FF83C90">
      <w:pPr>
        <w:pStyle w:val="15"/>
        <w:rPr>
          <w:rFonts w:hint="eastAsia" w:ascii="仿宋" w:hAnsi="仿宋" w:eastAsia="仿宋" w:cs="仿宋"/>
          <w:color w:val="auto"/>
          <w:highlight w:val="none"/>
        </w:rPr>
      </w:pPr>
    </w:p>
    <w:p w14:paraId="377C0F0F">
      <w:pPr>
        <w:keepNext w:val="0"/>
        <w:keepLines w:val="0"/>
        <w:widowControl/>
        <w:suppressLineNumbers w:val="0"/>
        <w:ind w:firstLine="630" w:firstLineChars="300"/>
        <w:jc w:val="left"/>
        <w:rPr>
          <w:rFonts w:hint="eastAsia" w:ascii="仿宋" w:hAnsi="仿宋" w:eastAsia="仿宋" w:cs="仿宋"/>
          <w:color w:val="auto"/>
          <w:highlight w:val="none"/>
        </w:rPr>
      </w:pPr>
    </w:p>
    <w:p w14:paraId="0024D659">
      <w:pPr>
        <w:keepNext w:val="0"/>
        <w:keepLines w:val="0"/>
        <w:widowControl/>
        <w:suppressLineNumbers w:val="0"/>
        <w:jc w:val="left"/>
        <w:rPr>
          <w:rFonts w:hint="eastAsia" w:ascii="仿宋" w:hAnsi="仿宋" w:eastAsia="仿宋" w:cs="仿宋"/>
          <w:b/>
          <w:bCs/>
          <w:snapToGrid w:val="0"/>
          <w:color w:val="auto"/>
          <w:kern w:val="0"/>
          <w:sz w:val="24"/>
          <w:szCs w:val="24"/>
          <w:highlight w:val="none"/>
          <w:lang w:val="en-US" w:eastAsia="zh-CN" w:bidi="ar"/>
        </w:rPr>
      </w:pPr>
      <w:r>
        <w:rPr>
          <w:rFonts w:hint="eastAsia" w:ascii="仿宋" w:hAnsi="仿宋" w:eastAsia="仿宋" w:cs="仿宋"/>
          <w:snapToGrid w:val="0"/>
          <w:color w:val="auto"/>
          <w:kern w:val="0"/>
          <w:sz w:val="24"/>
          <w:szCs w:val="24"/>
          <w:highlight w:val="none"/>
          <w:lang w:val="en-US" w:eastAsia="zh-CN" w:bidi="ar"/>
        </w:rPr>
        <w:t>说明：评分标准需要的相关内容需制作在投标文件中，格式自拟。</w:t>
      </w:r>
    </w:p>
    <w:p w14:paraId="1090D395">
      <w:pPr>
        <w:pStyle w:val="15"/>
        <w:rPr>
          <w:rFonts w:hint="eastAsia" w:ascii="仿宋" w:hAnsi="仿宋" w:eastAsia="仿宋" w:cs="仿宋"/>
          <w:color w:val="auto"/>
          <w:highlight w:val="none"/>
        </w:rPr>
      </w:pPr>
    </w:p>
    <w:p w14:paraId="3B472077">
      <w:pPr>
        <w:rPr>
          <w:rFonts w:hint="eastAsia" w:ascii="仿宋" w:hAnsi="仿宋" w:eastAsia="仿宋" w:cs="仿宋"/>
          <w:color w:val="auto"/>
          <w:highlight w:val="none"/>
        </w:rPr>
      </w:pPr>
    </w:p>
    <w:tbl>
      <w:tblPr>
        <w:tblStyle w:val="25"/>
        <w:tblW w:w="94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6"/>
        <w:gridCol w:w="1760"/>
        <w:gridCol w:w="2567"/>
        <w:gridCol w:w="1741"/>
        <w:gridCol w:w="2403"/>
      </w:tblGrid>
      <w:tr w14:paraId="4D670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986" w:type="dxa"/>
            <w:vAlign w:val="top"/>
          </w:tcPr>
          <w:p w14:paraId="4D2FD437">
            <w:pPr>
              <w:spacing w:before="152" w:line="225" w:lineRule="auto"/>
              <w:ind w:left="242"/>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760" w:type="dxa"/>
            <w:vAlign w:val="top"/>
          </w:tcPr>
          <w:p w14:paraId="49A6D2C6">
            <w:pPr>
              <w:spacing w:before="152" w:line="224" w:lineRule="auto"/>
              <w:ind w:firstLine="236"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val="en-US" w:eastAsia="zh-CN"/>
              </w:rPr>
              <w:t>姓名</w:t>
            </w:r>
          </w:p>
        </w:tc>
        <w:tc>
          <w:tcPr>
            <w:tcW w:w="2567" w:type="dxa"/>
            <w:vAlign w:val="top"/>
          </w:tcPr>
          <w:p w14:paraId="5D74C7B1">
            <w:pPr>
              <w:spacing w:before="152" w:line="224" w:lineRule="auto"/>
              <w:ind w:firstLine="236"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2"/>
                <w:sz w:val="24"/>
                <w:szCs w:val="24"/>
                <w:highlight w:val="none"/>
                <w:lang w:val="en-US" w:eastAsia="zh-CN"/>
              </w:rPr>
              <w:t>身份证号码</w:t>
            </w:r>
          </w:p>
        </w:tc>
        <w:tc>
          <w:tcPr>
            <w:tcW w:w="1741" w:type="dxa"/>
            <w:vAlign w:val="top"/>
          </w:tcPr>
          <w:p w14:paraId="6137B760">
            <w:pPr>
              <w:spacing w:before="152" w:line="232" w:lineRule="auto"/>
              <w:ind w:left="215"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w:t>
            </w:r>
          </w:p>
        </w:tc>
        <w:tc>
          <w:tcPr>
            <w:tcW w:w="2403" w:type="dxa"/>
            <w:vAlign w:val="top"/>
          </w:tcPr>
          <w:p w14:paraId="3A196FB6">
            <w:pPr>
              <w:spacing w:before="152" w:line="232" w:lineRule="auto"/>
              <w:ind w:left="215"/>
              <w:rPr>
                <w:rFonts w:hint="eastAsia" w:ascii="仿宋" w:hAnsi="仿宋" w:eastAsia="仿宋" w:cs="仿宋"/>
                <w:color w:val="auto"/>
                <w:spacing w:val="-3"/>
                <w:sz w:val="24"/>
                <w:szCs w:val="24"/>
                <w:highlight w:val="none"/>
                <w:lang w:val="en-US" w:eastAsia="zh-CN"/>
              </w:rPr>
            </w:pPr>
            <w:r>
              <w:rPr>
                <w:rFonts w:hint="eastAsia" w:ascii="仿宋" w:hAnsi="仿宋" w:eastAsia="仿宋" w:cs="仿宋"/>
                <w:color w:val="auto"/>
                <w:spacing w:val="-3"/>
                <w:sz w:val="24"/>
                <w:szCs w:val="24"/>
                <w:highlight w:val="none"/>
                <w:lang w:val="en-US" w:eastAsia="zh-CN"/>
              </w:rPr>
              <w:t>备注</w:t>
            </w:r>
          </w:p>
        </w:tc>
      </w:tr>
      <w:tr w14:paraId="6F083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86" w:type="dxa"/>
            <w:vAlign w:val="top"/>
          </w:tcPr>
          <w:p w14:paraId="1782D0CA">
            <w:pPr>
              <w:pStyle w:val="26"/>
              <w:rPr>
                <w:rFonts w:hint="eastAsia" w:ascii="仿宋" w:hAnsi="仿宋" w:eastAsia="仿宋" w:cs="仿宋"/>
                <w:color w:val="auto"/>
                <w:highlight w:val="none"/>
              </w:rPr>
            </w:pPr>
          </w:p>
        </w:tc>
        <w:tc>
          <w:tcPr>
            <w:tcW w:w="1760" w:type="dxa"/>
            <w:vAlign w:val="top"/>
          </w:tcPr>
          <w:p w14:paraId="76E35A11">
            <w:pPr>
              <w:pStyle w:val="26"/>
              <w:rPr>
                <w:rFonts w:hint="eastAsia" w:ascii="仿宋" w:hAnsi="仿宋" w:eastAsia="仿宋" w:cs="仿宋"/>
                <w:color w:val="auto"/>
                <w:highlight w:val="none"/>
              </w:rPr>
            </w:pPr>
          </w:p>
        </w:tc>
        <w:tc>
          <w:tcPr>
            <w:tcW w:w="2567" w:type="dxa"/>
            <w:vAlign w:val="top"/>
          </w:tcPr>
          <w:p w14:paraId="10BCD4CD">
            <w:pPr>
              <w:pStyle w:val="26"/>
              <w:rPr>
                <w:rFonts w:hint="eastAsia" w:ascii="仿宋" w:hAnsi="仿宋" w:eastAsia="仿宋" w:cs="仿宋"/>
                <w:color w:val="auto"/>
                <w:highlight w:val="none"/>
              </w:rPr>
            </w:pPr>
          </w:p>
        </w:tc>
        <w:tc>
          <w:tcPr>
            <w:tcW w:w="1741" w:type="dxa"/>
            <w:vAlign w:val="top"/>
          </w:tcPr>
          <w:p w14:paraId="4BDAA102">
            <w:pPr>
              <w:pStyle w:val="26"/>
              <w:rPr>
                <w:rFonts w:hint="eastAsia" w:ascii="仿宋" w:hAnsi="仿宋" w:eastAsia="仿宋" w:cs="仿宋"/>
                <w:color w:val="auto"/>
                <w:highlight w:val="none"/>
              </w:rPr>
            </w:pPr>
          </w:p>
        </w:tc>
        <w:tc>
          <w:tcPr>
            <w:tcW w:w="2403" w:type="dxa"/>
            <w:vAlign w:val="top"/>
          </w:tcPr>
          <w:p w14:paraId="3531D29A">
            <w:pPr>
              <w:pStyle w:val="26"/>
              <w:rPr>
                <w:rFonts w:hint="eastAsia" w:ascii="仿宋" w:hAnsi="仿宋" w:eastAsia="仿宋" w:cs="仿宋"/>
                <w:color w:val="auto"/>
                <w:highlight w:val="none"/>
              </w:rPr>
            </w:pPr>
          </w:p>
        </w:tc>
      </w:tr>
      <w:tr w14:paraId="3DF06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86" w:type="dxa"/>
            <w:vAlign w:val="top"/>
          </w:tcPr>
          <w:p w14:paraId="501BEB9B">
            <w:pPr>
              <w:pStyle w:val="26"/>
              <w:rPr>
                <w:rFonts w:hint="eastAsia" w:ascii="仿宋" w:hAnsi="仿宋" w:eastAsia="仿宋" w:cs="仿宋"/>
                <w:color w:val="auto"/>
                <w:highlight w:val="none"/>
              </w:rPr>
            </w:pPr>
          </w:p>
        </w:tc>
        <w:tc>
          <w:tcPr>
            <w:tcW w:w="1760" w:type="dxa"/>
            <w:vAlign w:val="top"/>
          </w:tcPr>
          <w:p w14:paraId="534DC215">
            <w:pPr>
              <w:pStyle w:val="26"/>
              <w:rPr>
                <w:rFonts w:hint="eastAsia" w:ascii="仿宋" w:hAnsi="仿宋" w:eastAsia="仿宋" w:cs="仿宋"/>
                <w:color w:val="auto"/>
                <w:highlight w:val="none"/>
              </w:rPr>
            </w:pPr>
          </w:p>
        </w:tc>
        <w:tc>
          <w:tcPr>
            <w:tcW w:w="2567" w:type="dxa"/>
            <w:vAlign w:val="top"/>
          </w:tcPr>
          <w:p w14:paraId="526FC485">
            <w:pPr>
              <w:pStyle w:val="26"/>
              <w:rPr>
                <w:rFonts w:hint="eastAsia" w:ascii="仿宋" w:hAnsi="仿宋" w:eastAsia="仿宋" w:cs="仿宋"/>
                <w:color w:val="auto"/>
                <w:highlight w:val="none"/>
              </w:rPr>
            </w:pPr>
          </w:p>
        </w:tc>
        <w:tc>
          <w:tcPr>
            <w:tcW w:w="1741" w:type="dxa"/>
            <w:vAlign w:val="top"/>
          </w:tcPr>
          <w:p w14:paraId="0D44C1FF">
            <w:pPr>
              <w:pStyle w:val="26"/>
              <w:rPr>
                <w:rFonts w:hint="eastAsia" w:ascii="仿宋" w:hAnsi="仿宋" w:eastAsia="仿宋" w:cs="仿宋"/>
                <w:color w:val="auto"/>
                <w:highlight w:val="none"/>
              </w:rPr>
            </w:pPr>
          </w:p>
        </w:tc>
        <w:tc>
          <w:tcPr>
            <w:tcW w:w="2403" w:type="dxa"/>
            <w:vAlign w:val="top"/>
          </w:tcPr>
          <w:p w14:paraId="23A730F3">
            <w:pPr>
              <w:pStyle w:val="26"/>
              <w:rPr>
                <w:rFonts w:hint="eastAsia" w:ascii="仿宋" w:hAnsi="仿宋" w:eastAsia="仿宋" w:cs="仿宋"/>
                <w:color w:val="auto"/>
                <w:highlight w:val="none"/>
              </w:rPr>
            </w:pPr>
          </w:p>
        </w:tc>
      </w:tr>
      <w:tr w14:paraId="07775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86" w:type="dxa"/>
            <w:vAlign w:val="top"/>
          </w:tcPr>
          <w:p w14:paraId="05CDB438">
            <w:pPr>
              <w:pStyle w:val="26"/>
              <w:rPr>
                <w:rFonts w:hint="eastAsia" w:ascii="仿宋" w:hAnsi="仿宋" w:eastAsia="仿宋" w:cs="仿宋"/>
                <w:color w:val="auto"/>
                <w:highlight w:val="none"/>
              </w:rPr>
            </w:pPr>
          </w:p>
        </w:tc>
        <w:tc>
          <w:tcPr>
            <w:tcW w:w="1760" w:type="dxa"/>
            <w:vAlign w:val="top"/>
          </w:tcPr>
          <w:p w14:paraId="3394081A">
            <w:pPr>
              <w:pStyle w:val="26"/>
              <w:rPr>
                <w:rFonts w:hint="eastAsia" w:ascii="仿宋" w:hAnsi="仿宋" w:eastAsia="仿宋" w:cs="仿宋"/>
                <w:color w:val="auto"/>
                <w:highlight w:val="none"/>
              </w:rPr>
            </w:pPr>
          </w:p>
        </w:tc>
        <w:tc>
          <w:tcPr>
            <w:tcW w:w="2567" w:type="dxa"/>
            <w:vAlign w:val="top"/>
          </w:tcPr>
          <w:p w14:paraId="198527AA">
            <w:pPr>
              <w:pStyle w:val="26"/>
              <w:rPr>
                <w:rFonts w:hint="eastAsia" w:ascii="仿宋" w:hAnsi="仿宋" w:eastAsia="仿宋" w:cs="仿宋"/>
                <w:color w:val="auto"/>
                <w:highlight w:val="none"/>
              </w:rPr>
            </w:pPr>
          </w:p>
        </w:tc>
        <w:tc>
          <w:tcPr>
            <w:tcW w:w="1741" w:type="dxa"/>
            <w:vAlign w:val="top"/>
          </w:tcPr>
          <w:p w14:paraId="22C795C8">
            <w:pPr>
              <w:pStyle w:val="26"/>
              <w:rPr>
                <w:rFonts w:hint="eastAsia" w:ascii="仿宋" w:hAnsi="仿宋" w:eastAsia="仿宋" w:cs="仿宋"/>
                <w:color w:val="auto"/>
                <w:highlight w:val="none"/>
              </w:rPr>
            </w:pPr>
          </w:p>
        </w:tc>
        <w:tc>
          <w:tcPr>
            <w:tcW w:w="2403" w:type="dxa"/>
            <w:vAlign w:val="top"/>
          </w:tcPr>
          <w:p w14:paraId="35A378CD">
            <w:pPr>
              <w:pStyle w:val="26"/>
              <w:rPr>
                <w:rFonts w:hint="eastAsia" w:ascii="仿宋" w:hAnsi="仿宋" w:eastAsia="仿宋" w:cs="仿宋"/>
                <w:color w:val="auto"/>
                <w:highlight w:val="none"/>
              </w:rPr>
            </w:pPr>
          </w:p>
        </w:tc>
      </w:tr>
      <w:tr w14:paraId="49059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86" w:type="dxa"/>
            <w:vAlign w:val="top"/>
          </w:tcPr>
          <w:p w14:paraId="2D41BCB9">
            <w:pPr>
              <w:pStyle w:val="26"/>
              <w:rPr>
                <w:rFonts w:hint="eastAsia" w:ascii="仿宋" w:hAnsi="仿宋" w:eastAsia="仿宋" w:cs="仿宋"/>
                <w:color w:val="auto"/>
                <w:highlight w:val="none"/>
              </w:rPr>
            </w:pPr>
          </w:p>
        </w:tc>
        <w:tc>
          <w:tcPr>
            <w:tcW w:w="1760" w:type="dxa"/>
            <w:vAlign w:val="top"/>
          </w:tcPr>
          <w:p w14:paraId="2E2EC9D3">
            <w:pPr>
              <w:pStyle w:val="26"/>
              <w:rPr>
                <w:rFonts w:hint="eastAsia" w:ascii="仿宋" w:hAnsi="仿宋" w:eastAsia="仿宋" w:cs="仿宋"/>
                <w:color w:val="auto"/>
                <w:highlight w:val="none"/>
              </w:rPr>
            </w:pPr>
          </w:p>
        </w:tc>
        <w:tc>
          <w:tcPr>
            <w:tcW w:w="2567" w:type="dxa"/>
            <w:vAlign w:val="top"/>
          </w:tcPr>
          <w:p w14:paraId="737E8C02">
            <w:pPr>
              <w:pStyle w:val="26"/>
              <w:rPr>
                <w:rFonts w:hint="eastAsia" w:ascii="仿宋" w:hAnsi="仿宋" w:eastAsia="仿宋" w:cs="仿宋"/>
                <w:color w:val="auto"/>
                <w:highlight w:val="none"/>
              </w:rPr>
            </w:pPr>
          </w:p>
        </w:tc>
        <w:tc>
          <w:tcPr>
            <w:tcW w:w="1741" w:type="dxa"/>
            <w:vAlign w:val="top"/>
          </w:tcPr>
          <w:p w14:paraId="5DAF5FFE">
            <w:pPr>
              <w:pStyle w:val="26"/>
              <w:rPr>
                <w:rFonts w:hint="eastAsia" w:ascii="仿宋" w:hAnsi="仿宋" w:eastAsia="仿宋" w:cs="仿宋"/>
                <w:color w:val="auto"/>
                <w:highlight w:val="none"/>
              </w:rPr>
            </w:pPr>
          </w:p>
        </w:tc>
        <w:tc>
          <w:tcPr>
            <w:tcW w:w="2403" w:type="dxa"/>
            <w:vAlign w:val="top"/>
          </w:tcPr>
          <w:p w14:paraId="0B5DAA36">
            <w:pPr>
              <w:pStyle w:val="26"/>
              <w:rPr>
                <w:rFonts w:hint="eastAsia" w:ascii="仿宋" w:hAnsi="仿宋" w:eastAsia="仿宋" w:cs="仿宋"/>
                <w:color w:val="auto"/>
                <w:highlight w:val="none"/>
              </w:rPr>
            </w:pPr>
          </w:p>
        </w:tc>
      </w:tr>
      <w:tr w14:paraId="7E2C0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86" w:type="dxa"/>
            <w:vAlign w:val="top"/>
          </w:tcPr>
          <w:p w14:paraId="764CE8E3">
            <w:pPr>
              <w:pStyle w:val="26"/>
              <w:rPr>
                <w:rFonts w:hint="eastAsia" w:ascii="仿宋" w:hAnsi="仿宋" w:eastAsia="仿宋" w:cs="仿宋"/>
                <w:color w:val="auto"/>
                <w:highlight w:val="none"/>
              </w:rPr>
            </w:pPr>
          </w:p>
        </w:tc>
        <w:tc>
          <w:tcPr>
            <w:tcW w:w="1760" w:type="dxa"/>
            <w:vAlign w:val="top"/>
          </w:tcPr>
          <w:p w14:paraId="16840B5D">
            <w:pPr>
              <w:pStyle w:val="26"/>
              <w:rPr>
                <w:rFonts w:hint="eastAsia" w:ascii="仿宋" w:hAnsi="仿宋" w:eastAsia="仿宋" w:cs="仿宋"/>
                <w:color w:val="auto"/>
                <w:highlight w:val="none"/>
              </w:rPr>
            </w:pPr>
          </w:p>
        </w:tc>
        <w:tc>
          <w:tcPr>
            <w:tcW w:w="2567" w:type="dxa"/>
            <w:vAlign w:val="top"/>
          </w:tcPr>
          <w:p w14:paraId="03AF0C11">
            <w:pPr>
              <w:pStyle w:val="26"/>
              <w:rPr>
                <w:rFonts w:hint="eastAsia" w:ascii="仿宋" w:hAnsi="仿宋" w:eastAsia="仿宋" w:cs="仿宋"/>
                <w:color w:val="auto"/>
                <w:highlight w:val="none"/>
              </w:rPr>
            </w:pPr>
          </w:p>
        </w:tc>
        <w:tc>
          <w:tcPr>
            <w:tcW w:w="1741" w:type="dxa"/>
            <w:vAlign w:val="top"/>
          </w:tcPr>
          <w:p w14:paraId="095AAEFD">
            <w:pPr>
              <w:pStyle w:val="26"/>
              <w:rPr>
                <w:rFonts w:hint="eastAsia" w:ascii="仿宋" w:hAnsi="仿宋" w:eastAsia="仿宋" w:cs="仿宋"/>
                <w:color w:val="auto"/>
                <w:highlight w:val="none"/>
              </w:rPr>
            </w:pPr>
          </w:p>
        </w:tc>
        <w:tc>
          <w:tcPr>
            <w:tcW w:w="2403" w:type="dxa"/>
            <w:vAlign w:val="top"/>
          </w:tcPr>
          <w:p w14:paraId="4C797C9E">
            <w:pPr>
              <w:pStyle w:val="26"/>
              <w:rPr>
                <w:rFonts w:hint="eastAsia" w:ascii="仿宋" w:hAnsi="仿宋" w:eastAsia="仿宋" w:cs="仿宋"/>
                <w:color w:val="auto"/>
                <w:highlight w:val="none"/>
              </w:rPr>
            </w:pPr>
          </w:p>
        </w:tc>
      </w:tr>
    </w:tbl>
    <w:p w14:paraId="167C75DE">
      <w:pPr>
        <w:keepNext w:val="0"/>
        <w:keepLines w:val="0"/>
        <w:widowControl/>
        <w:suppressLineNumbers w:val="0"/>
        <w:jc w:val="left"/>
        <w:rPr>
          <w:rFonts w:hint="eastAsia" w:ascii="仿宋" w:hAnsi="仿宋" w:eastAsia="仿宋" w:cs="仿宋"/>
          <w:color w:val="auto"/>
          <w:highlight w:val="none"/>
        </w:rPr>
      </w:pPr>
    </w:p>
    <w:p w14:paraId="2CC8407C">
      <w:pPr>
        <w:pStyle w:val="8"/>
        <w:spacing w:before="79" w:line="225" w:lineRule="auto"/>
        <w:ind w:left="1519"/>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107EDEF6">
      <w:pP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br w:type="page"/>
      </w:r>
    </w:p>
    <w:p w14:paraId="278DC9F5">
      <w:pPr>
        <w:pStyle w:val="8"/>
        <w:spacing w:before="79" w:line="225" w:lineRule="auto"/>
        <w:outlineLvl w:val="9"/>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pPr>
    </w:p>
    <w:p w14:paraId="74CBCB45">
      <w:pPr>
        <w:pStyle w:val="8"/>
        <w:spacing w:before="79" w:line="225" w:lineRule="auto"/>
        <w:jc w:val="center"/>
        <w:outlineLvl w:val="2"/>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pPr>
      <w:bookmarkStart w:id="199" w:name="_Toc6906"/>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10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投标文件还应包括投标人须知的所有技术文</w:t>
      </w:r>
      <w:bookmarkStart w:id="200" w:name="bookmark71"/>
      <w:bookmarkEnd w:id="200"/>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t>件</w:t>
      </w:r>
      <w:bookmarkEnd w:id="199"/>
    </w:p>
    <w:p w14:paraId="4C26E642">
      <w:pP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br w:type="page"/>
      </w:r>
    </w:p>
    <w:p w14:paraId="31170641">
      <w:pPr>
        <w:pStyle w:val="8"/>
        <w:spacing w:before="79" w:line="225" w:lineRule="auto"/>
        <w:ind w:left="1519"/>
        <w:outlineLvl w:val="9"/>
        <w:rPr>
          <w:rFonts w:hint="eastAsia" w:ascii="仿宋" w:hAnsi="仿宋" w:eastAsia="仿宋" w:cs="仿宋"/>
          <w:color w:val="auto"/>
          <w:sz w:val="24"/>
          <w:szCs w:val="24"/>
          <w:highlight w:val="none"/>
          <w:lang w:val="en-US" w:eastAsia="zh-CN"/>
          <w14:textOutline w14:w="4358" w14:cap="sq" w14:cmpd="sng">
            <w14:solidFill>
              <w14:srgbClr w14:val="000000"/>
            </w14:solidFill>
            <w14:prstDash w14:val="solid"/>
            <w14:bevel/>
          </w14:textOutline>
        </w:rPr>
      </w:pPr>
    </w:p>
    <w:p w14:paraId="34A42B6B">
      <w:pPr>
        <w:spacing w:before="198"/>
        <w:rPr>
          <w:rFonts w:hint="eastAsia" w:ascii="仿宋" w:hAnsi="仿宋" w:eastAsia="仿宋" w:cs="仿宋"/>
          <w:color w:val="auto"/>
          <w:highlight w:val="none"/>
        </w:rPr>
      </w:pPr>
    </w:p>
    <w:tbl>
      <w:tblPr>
        <w:tblStyle w:val="25"/>
        <w:tblW w:w="942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423"/>
      </w:tblGrid>
      <w:tr w14:paraId="6EB7BD0A">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2570" w:hRule="atLeast"/>
        </w:trPr>
        <w:tc>
          <w:tcPr>
            <w:tcW w:w="9423" w:type="dxa"/>
            <w:shd w:val="clear" w:color="auto" w:fill="FCFEEA"/>
            <w:vAlign w:val="top"/>
          </w:tcPr>
          <w:p w14:paraId="3E888B42">
            <w:pPr>
              <w:spacing w:before="292" w:line="225" w:lineRule="auto"/>
              <w:ind w:left="6846"/>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（正本/副本）</w:t>
            </w:r>
          </w:p>
          <w:p w14:paraId="2E1E9FEA">
            <w:pPr>
              <w:pStyle w:val="26"/>
              <w:spacing w:line="265" w:lineRule="auto"/>
              <w:rPr>
                <w:rFonts w:hint="eastAsia" w:ascii="仿宋" w:hAnsi="仿宋" w:eastAsia="仿宋" w:cs="仿宋"/>
                <w:color w:val="auto"/>
                <w:highlight w:val="none"/>
              </w:rPr>
            </w:pPr>
          </w:p>
          <w:p w14:paraId="6874FF4A">
            <w:pPr>
              <w:pStyle w:val="26"/>
              <w:spacing w:line="265" w:lineRule="auto"/>
              <w:rPr>
                <w:rFonts w:hint="eastAsia" w:ascii="仿宋" w:hAnsi="仿宋" w:eastAsia="仿宋" w:cs="仿宋"/>
                <w:color w:val="auto"/>
                <w:highlight w:val="none"/>
              </w:rPr>
            </w:pPr>
          </w:p>
          <w:p w14:paraId="06FA24D4">
            <w:pPr>
              <w:pStyle w:val="26"/>
              <w:spacing w:line="265" w:lineRule="auto"/>
              <w:rPr>
                <w:rFonts w:hint="eastAsia" w:ascii="仿宋" w:hAnsi="仿宋" w:eastAsia="仿宋" w:cs="仿宋"/>
                <w:color w:val="auto"/>
                <w:highlight w:val="none"/>
              </w:rPr>
            </w:pPr>
          </w:p>
          <w:p w14:paraId="2215AD2C">
            <w:pPr>
              <w:pStyle w:val="26"/>
              <w:spacing w:line="265" w:lineRule="auto"/>
              <w:rPr>
                <w:rFonts w:hint="eastAsia" w:ascii="仿宋" w:hAnsi="仿宋" w:eastAsia="仿宋" w:cs="仿宋"/>
                <w:color w:val="auto"/>
                <w:highlight w:val="none"/>
              </w:rPr>
            </w:pPr>
          </w:p>
          <w:p w14:paraId="24ED6868">
            <w:pPr>
              <w:pStyle w:val="26"/>
              <w:spacing w:line="265" w:lineRule="auto"/>
              <w:rPr>
                <w:rFonts w:hint="eastAsia" w:ascii="仿宋" w:hAnsi="仿宋" w:eastAsia="仿宋" w:cs="仿宋"/>
                <w:color w:val="auto"/>
                <w:highlight w:val="none"/>
              </w:rPr>
            </w:pPr>
          </w:p>
          <w:p w14:paraId="51055547">
            <w:pPr>
              <w:pStyle w:val="26"/>
              <w:spacing w:line="266" w:lineRule="auto"/>
              <w:rPr>
                <w:rFonts w:hint="eastAsia" w:ascii="仿宋" w:hAnsi="仿宋" w:eastAsia="仿宋" w:cs="仿宋"/>
                <w:color w:val="auto"/>
                <w:highlight w:val="none"/>
              </w:rPr>
            </w:pPr>
          </w:p>
          <w:p w14:paraId="0364C2FB">
            <w:pPr>
              <w:pStyle w:val="26"/>
              <w:spacing w:line="266" w:lineRule="auto"/>
              <w:rPr>
                <w:rFonts w:hint="eastAsia" w:ascii="仿宋" w:hAnsi="仿宋" w:eastAsia="仿宋" w:cs="仿宋"/>
                <w:color w:val="auto"/>
                <w:highlight w:val="none"/>
              </w:rPr>
            </w:pPr>
          </w:p>
          <w:p w14:paraId="4F737B8B">
            <w:pPr>
              <w:spacing w:before="78" w:line="235" w:lineRule="auto"/>
              <w:ind w:left="228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*****************项目</w:t>
            </w:r>
          </w:p>
          <w:p w14:paraId="24D6CBD3">
            <w:pPr>
              <w:pStyle w:val="26"/>
              <w:spacing w:line="244" w:lineRule="auto"/>
              <w:rPr>
                <w:rFonts w:hint="eastAsia" w:ascii="仿宋" w:hAnsi="仿宋" w:eastAsia="仿宋" w:cs="仿宋"/>
                <w:color w:val="auto"/>
                <w:highlight w:val="none"/>
              </w:rPr>
            </w:pPr>
          </w:p>
          <w:p w14:paraId="77421CA9">
            <w:pPr>
              <w:pStyle w:val="26"/>
              <w:spacing w:line="244" w:lineRule="auto"/>
              <w:rPr>
                <w:rFonts w:hint="eastAsia" w:ascii="仿宋" w:hAnsi="仿宋" w:eastAsia="仿宋" w:cs="仿宋"/>
                <w:color w:val="auto"/>
                <w:highlight w:val="none"/>
              </w:rPr>
            </w:pPr>
          </w:p>
          <w:p w14:paraId="50FFBBD7">
            <w:pPr>
              <w:pStyle w:val="26"/>
              <w:spacing w:line="244" w:lineRule="auto"/>
              <w:rPr>
                <w:rFonts w:hint="eastAsia" w:ascii="仿宋" w:hAnsi="仿宋" w:eastAsia="仿宋" w:cs="仿宋"/>
                <w:color w:val="auto"/>
                <w:highlight w:val="none"/>
              </w:rPr>
            </w:pPr>
          </w:p>
          <w:p w14:paraId="3FC0F45B">
            <w:pPr>
              <w:spacing w:before="78" w:line="225" w:lineRule="auto"/>
              <w:ind w:left="3731"/>
              <w:rPr>
                <w:rFonts w:hint="eastAsia" w:ascii="仿宋" w:hAnsi="仿宋" w:eastAsia="仿宋" w:cs="仿宋"/>
                <w:color w:val="auto"/>
                <w:sz w:val="24"/>
                <w:szCs w:val="24"/>
                <w:highlight w:val="none"/>
              </w:rPr>
            </w:pPr>
            <w:r>
              <w:rPr>
                <w:rFonts w:hint="eastAsia" w:ascii="仿宋" w:hAnsi="仿宋" w:eastAsia="仿宋" w:cs="仿宋"/>
                <w:color w:val="auto"/>
                <w:spacing w:val="35"/>
                <w:w w:val="110"/>
                <w:sz w:val="24"/>
                <w:szCs w:val="24"/>
                <w:highlight w:val="none"/>
                <w:lang w:val="en-US" w:eastAsia="zh-CN"/>
                <w14:textOutline w14:w="4358" w14:cap="sq" w14:cmpd="sng">
                  <w14:solidFill>
                    <w14:srgbClr w14:val="000000"/>
                  </w14:solidFill>
                  <w14:prstDash w14:val="solid"/>
                  <w14:bevel/>
                </w14:textOutline>
              </w:rPr>
              <w:t>项目</w:t>
            </w:r>
            <w:r>
              <w:rPr>
                <w:rFonts w:hint="eastAsia" w:ascii="仿宋" w:hAnsi="仿宋" w:eastAsia="仿宋" w:cs="仿宋"/>
                <w:color w:val="auto"/>
                <w:spacing w:val="35"/>
                <w:w w:val="110"/>
                <w:sz w:val="24"/>
                <w:szCs w:val="24"/>
                <w:highlight w:val="none"/>
                <w14:textOutline w14:w="4358" w14:cap="sq" w14:cmpd="sng">
                  <w14:solidFill>
                    <w14:srgbClr w14:val="000000"/>
                  </w14:solidFill>
                  <w14:prstDash w14:val="solid"/>
                  <w14:bevel/>
                </w14:textOutline>
              </w:rPr>
              <w:t>编号***</w:t>
            </w:r>
          </w:p>
          <w:p w14:paraId="72AF9A1C">
            <w:pPr>
              <w:pStyle w:val="26"/>
              <w:spacing w:line="247" w:lineRule="auto"/>
              <w:rPr>
                <w:rFonts w:hint="eastAsia" w:ascii="仿宋" w:hAnsi="仿宋" w:eastAsia="仿宋" w:cs="仿宋"/>
                <w:color w:val="auto"/>
                <w:highlight w:val="none"/>
              </w:rPr>
            </w:pPr>
          </w:p>
          <w:p w14:paraId="6D1D4963">
            <w:pPr>
              <w:pStyle w:val="26"/>
              <w:spacing w:line="248" w:lineRule="auto"/>
              <w:rPr>
                <w:rFonts w:hint="eastAsia" w:ascii="仿宋" w:hAnsi="仿宋" w:eastAsia="仿宋" w:cs="仿宋"/>
                <w:color w:val="auto"/>
                <w:highlight w:val="none"/>
              </w:rPr>
            </w:pPr>
          </w:p>
          <w:p w14:paraId="2B381697">
            <w:pPr>
              <w:pStyle w:val="26"/>
              <w:spacing w:line="248" w:lineRule="auto"/>
              <w:rPr>
                <w:rFonts w:hint="eastAsia" w:ascii="仿宋" w:hAnsi="仿宋" w:eastAsia="仿宋" w:cs="仿宋"/>
                <w:color w:val="auto"/>
                <w:highlight w:val="none"/>
              </w:rPr>
            </w:pPr>
          </w:p>
          <w:p w14:paraId="0D7EEB11">
            <w:pPr>
              <w:spacing w:before="78" w:line="227" w:lineRule="auto"/>
              <w:ind w:left="4058"/>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14:textOutline w14:w="4358" w14:cap="sq" w14:cmpd="sng">
                  <w14:solidFill>
                    <w14:srgbClr w14:val="000000"/>
                  </w14:solidFill>
                  <w14:prstDash w14:val="solid"/>
                  <w14:bevel/>
                </w14:textOutline>
              </w:rPr>
              <w:t>投标文件</w:t>
            </w:r>
          </w:p>
          <w:p w14:paraId="6678F833">
            <w:pPr>
              <w:pStyle w:val="26"/>
              <w:spacing w:line="250" w:lineRule="auto"/>
              <w:rPr>
                <w:rFonts w:hint="eastAsia" w:ascii="仿宋" w:hAnsi="仿宋" w:eastAsia="仿宋" w:cs="仿宋"/>
                <w:color w:val="auto"/>
                <w:highlight w:val="none"/>
              </w:rPr>
            </w:pPr>
          </w:p>
          <w:p w14:paraId="3A648286">
            <w:pPr>
              <w:pStyle w:val="26"/>
              <w:spacing w:line="250" w:lineRule="auto"/>
              <w:rPr>
                <w:rFonts w:hint="eastAsia" w:ascii="仿宋" w:hAnsi="仿宋" w:eastAsia="仿宋" w:cs="仿宋"/>
                <w:color w:val="auto"/>
                <w:highlight w:val="none"/>
              </w:rPr>
            </w:pPr>
          </w:p>
          <w:p w14:paraId="33742EF6">
            <w:pPr>
              <w:pStyle w:val="26"/>
              <w:spacing w:line="250" w:lineRule="auto"/>
              <w:rPr>
                <w:rFonts w:hint="eastAsia" w:ascii="仿宋" w:hAnsi="仿宋" w:eastAsia="仿宋" w:cs="仿宋"/>
                <w:color w:val="auto"/>
                <w:highlight w:val="none"/>
              </w:rPr>
            </w:pPr>
          </w:p>
          <w:p w14:paraId="27FEC162">
            <w:pPr>
              <w:pStyle w:val="26"/>
              <w:spacing w:line="250" w:lineRule="auto"/>
              <w:rPr>
                <w:rFonts w:hint="eastAsia" w:ascii="仿宋" w:hAnsi="仿宋" w:eastAsia="仿宋" w:cs="仿宋"/>
                <w:color w:val="auto"/>
                <w:highlight w:val="none"/>
              </w:rPr>
            </w:pPr>
          </w:p>
          <w:p w14:paraId="0C826184">
            <w:pPr>
              <w:pStyle w:val="26"/>
              <w:spacing w:line="250" w:lineRule="auto"/>
              <w:rPr>
                <w:rFonts w:hint="eastAsia" w:ascii="仿宋" w:hAnsi="仿宋" w:eastAsia="仿宋" w:cs="仿宋"/>
                <w:color w:val="auto"/>
                <w:highlight w:val="none"/>
              </w:rPr>
            </w:pPr>
          </w:p>
          <w:p w14:paraId="57880B12">
            <w:pPr>
              <w:pStyle w:val="26"/>
              <w:spacing w:line="250" w:lineRule="auto"/>
              <w:rPr>
                <w:rFonts w:hint="eastAsia" w:ascii="仿宋" w:hAnsi="仿宋" w:eastAsia="仿宋" w:cs="仿宋"/>
                <w:color w:val="auto"/>
                <w:highlight w:val="none"/>
              </w:rPr>
            </w:pPr>
          </w:p>
          <w:p w14:paraId="1ADD9807">
            <w:pPr>
              <w:pStyle w:val="26"/>
              <w:spacing w:line="250" w:lineRule="auto"/>
              <w:rPr>
                <w:rFonts w:hint="eastAsia" w:ascii="仿宋" w:hAnsi="仿宋" w:eastAsia="仿宋" w:cs="仿宋"/>
                <w:color w:val="auto"/>
                <w:highlight w:val="none"/>
              </w:rPr>
            </w:pPr>
          </w:p>
          <w:p w14:paraId="698465FF">
            <w:pPr>
              <w:pStyle w:val="26"/>
              <w:spacing w:line="251" w:lineRule="auto"/>
              <w:rPr>
                <w:rFonts w:hint="eastAsia" w:ascii="仿宋" w:hAnsi="仿宋" w:eastAsia="仿宋" w:cs="仿宋"/>
                <w:color w:val="auto"/>
                <w:highlight w:val="none"/>
              </w:rPr>
            </w:pPr>
          </w:p>
          <w:p w14:paraId="698D0EBC">
            <w:pPr>
              <w:pStyle w:val="26"/>
              <w:spacing w:line="251" w:lineRule="auto"/>
              <w:rPr>
                <w:rFonts w:hint="eastAsia" w:ascii="仿宋" w:hAnsi="仿宋" w:eastAsia="仿宋" w:cs="仿宋"/>
                <w:color w:val="auto"/>
                <w:highlight w:val="none"/>
              </w:rPr>
            </w:pPr>
          </w:p>
          <w:p w14:paraId="04EC19DE">
            <w:pPr>
              <w:spacing w:before="78" w:line="225" w:lineRule="auto"/>
              <w:ind w:left="1264"/>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投标单位</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2"/>
                <w:sz w:val="24"/>
                <w:szCs w:val="24"/>
                <w:highlight w:val="none"/>
              </w:rPr>
              <w:t>公章）</w:t>
            </w:r>
          </w:p>
          <w:p w14:paraId="779B6498">
            <w:pPr>
              <w:spacing w:before="149" w:line="235" w:lineRule="auto"/>
              <w:ind w:left="126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项目名称：</w:t>
            </w:r>
          </w:p>
          <w:p w14:paraId="5C882DEA">
            <w:pPr>
              <w:spacing w:before="134" w:line="225" w:lineRule="auto"/>
              <w:ind w:left="126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项目编号：</w:t>
            </w:r>
          </w:p>
          <w:p w14:paraId="1C935993">
            <w:pPr>
              <w:spacing w:before="147" w:line="223" w:lineRule="auto"/>
              <w:ind w:left="126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rPr>
              <w:t>联系人：</w:t>
            </w:r>
          </w:p>
          <w:p w14:paraId="46BFB1B6">
            <w:pPr>
              <w:spacing w:before="152" w:line="237" w:lineRule="auto"/>
              <w:ind w:left="12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5"/>
                <w:sz w:val="24"/>
                <w:szCs w:val="24"/>
                <w:highlight w:val="none"/>
              </w:rPr>
              <w:t>电话：</w:t>
            </w:r>
          </w:p>
          <w:p w14:paraId="539B2F19">
            <w:pPr>
              <w:spacing w:before="130" w:line="244" w:lineRule="auto"/>
              <w:ind w:left="126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rPr>
              <w:t>地址：</w:t>
            </w:r>
          </w:p>
          <w:p w14:paraId="00189EC6">
            <w:pPr>
              <w:pStyle w:val="26"/>
              <w:spacing w:line="256" w:lineRule="auto"/>
              <w:rPr>
                <w:rFonts w:hint="eastAsia" w:ascii="仿宋" w:hAnsi="仿宋" w:eastAsia="仿宋" w:cs="仿宋"/>
                <w:color w:val="auto"/>
                <w:highlight w:val="none"/>
              </w:rPr>
            </w:pPr>
          </w:p>
          <w:p w14:paraId="6BFFA6A5">
            <w:pPr>
              <w:pStyle w:val="26"/>
              <w:spacing w:line="256" w:lineRule="auto"/>
              <w:rPr>
                <w:rFonts w:hint="eastAsia" w:ascii="仿宋" w:hAnsi="仿宋" w:eastAsia="仿宋" w:cs="仿宋"/>
                <w:color w:val="auto"/>
                <w:highlight w:val="none"/>
              </w:rPr>
            </w:pPr>
          </w:p>
          <w:p w14:paraId="0CD5F070">
            <w:pPr>
              <w:pStyle w:val="26"/>
              <w:spacing w:line="256" w:lineRule="auto"/>
              <w:rPr>
                <w:rFonts w:hint="eastAsia" w:ascii="仿宋" w:hAnsi="仿宋" w:eastAsia="仿宋" w:cs="仿宋"/>
                <w:color w:val="auto"/>
                <w:highlight w:val="none"/>
              </w:rPr>
            </w:pPr>
          </w:p>
          <w:p w14:paraId="10E06011">
            <w:pPr>
              <w:pStyle w:val="26"/>
              <w:spacing w:line="256" w:lineRule="auto"/>
              <w:rPr>
                <w:rFonts w:hint="eastAsia" w:ascii="仿宋" w:hAnsi="仿宋" w:eastAsia="仿宋" w:cs="仿宋"/>
                <w:color w:val="auto"/>
                <w:highlight w:val="none"/>
              </w:rPr>
            </w:pPr>
          </w:p>
          <w:p w14:paraId="5EBCBA20">
            <w:pPr>
              <w:pStyle w:val="26"/>
              <w:spacing w:line="257" w:lineRule="auto"/>
              <w:rPr>
                <w:rFonts w:hint="eastAsia" w:ascii="仿宋" w:hAnsi="仿宋" w:eastAsia="仿宋" w:cs="仿宋"/>
                <w:color w:val="auto"/>
                <w:highlight w:val="none"/>
              </w:rPr>
            </w:pPr>
          </w:p>
          <w:p w14:paraId="3FC0AA7E">
            <w:pPr>
              <w:pStyle w:val="26"/>
              <w:spacing w:line="257" w:lineRule="auto"/>
              <w:rPr>
                <w:rFonts w:hint="eastAsia" w:ascii="仿宋" w:hAnsi="仿宋" w:eastAsia="仿宋" w:cs="仿宋"/>
                <w:color w:val="auto"/>
                <w:highlight w:val="none"/>
              </w:rPr>
            </w:pPr>
          </w:p>
          <w:p w14:paraId="1C91F451">
            <w:pPr>
              <w:pStyle w:val="26"/>
              <w:spacing w:line="257" w:lineRule="auto"/>
              <w:rPr>
                <w:rFonts w:hint="eastAsia" w:ascii="仿宋" w:hAnsi="仿宋" w:eastAsia="仿宋" w:cs="仿宋"/>
                <w:color w:val="auto"/>
                <w:highlight w:val="none"/>
              </w:rPr>
            </w:pPr>
          </w:p>
          <w:p w14:paraId="416C0947">
            <w:pPr>
              <w:spacing w:before="78" w:line="224" w:lineRule="auto"/>
              <w:ind w:left="217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注：在202X年月日</w:t>
            </w:r>
            <w:r>
              <w:rPr>
                <w:rFonts w:hint="eastAsia" w:ascii="仿宋" w:hAnsi="仿宋" w:eastAsia="仿宋" w:cs="仿宋"/>
                <w:color w:val="auto"/>
                <w:spacing w:val="-6"/>
                <w:sz w:val="24"/>
                <w:szCs w:val="24"/>
                <w:highlight w:val="none"/>
              </w:rPr>
              <w:t>XX</w:t>
            </w: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之前不得启封</w:t>
            </w:r>
          </w:p>
        </w:tc>
      </w:tr>
    </w:tbl>
    <w:p w14:paraId="74AF0E0F">
      <w:pPr>
        <w:rPr>
          <w:rFonts w:hint="eastAsia" w:ascii="仿宋" w:hAnsi="仿宋" w:eastAsia="仿宋" w:cs="仿宋"/>
          <w:color w:val="auto"/>
          <w:sz w:val="21"/>
          <w:highlight w:val="none"/>
        </w:rPr>
      </w:pPr>
    </w:p>
    <w:p w14:paraId="218A1CD8">
      <w:pPr>
        <w:jc w:val="center"/>
        <w:rPr>
          <w:rFonts w:hint="eastAsia" w:ascii="仿宋" w:hAnsi="仿宋" w:eastAsia="仿宋" w:cs="仿宋"/>
          <w:b/>
          <w:bCs/>
          <w:color w:val="auto"/>
          <w:sz w:val="50"/>
          <w:szCs w:val="50"/>
          <w:highlight w:val="none"/>
          <w:lang w:eastAsia="zh-CN"/>
        </w:rPr>
      </w:pPr>
      <w:bookmarkStart w:id="201" w:name="bookmark72"/>
      <w:bookmarkEnd w:id="201"/>
      <w:r>
        <w:rPr>
          <w:rFonts w:hint="eastAsia" w:ascii="仿宋" w:hAnsi="仿宋" w:eastAsia="仿宋" w:cs="仿宋"/>
          <w:b/>
          <w:bCs/>
          <w:color w:val="auto"/>
          <w:sz w:val="50"/>
          <w:szCs w:val="50"/>
          <w:highlight w:val="none"/>
          <w:lang w:eastAsia="zh-CN"/>
        </w:rPr>
        <w:t>喀什地区麦盖提县人民医院综合能力提升设备更新项目县人民医院十四五、十五五等级医院中长期发展规划医疗设备采购第三标段</w:t>
      </w:r>
    </w:p>
    <w:p w14:paraId="4EDB67AC">
      <w:pPr>
        <w:pStyle w:val="8"/>
        <w:spacing w:before="1" w:line="187" w:lineRule="auto"/>
        <w:ind w:left="3451"/>
        <w:rPr>
          <w:rFonts w:hint="eastAsia" w:ascii="仿宋" w:hAnsi="仿宋" w:eastAsia="仿宋" w:cs="仿宋"/>
          <w:color w:val="auto"/>
          <w:sz w:val="47"/>
          <w:szCs w:val="47"/>
          <w:highlight w:val="none"/>
        </w:rPr>
      </w:pPr>
    </w:p>
    <w:p w14:paraId="0798002D">
      <w:pPr>
        <w:pStyle w:val="8"/>
        <w:spacing w:before="1" w:line="225" w:lineRule="auto"/>
        <w:jc w:val="center"/>
        <w:outlineLvl w:val="0"/>
        <w:rPr>
          <w:rFonts w:hint="eastAsia" w:ascii="仿宋" w:hAnsi="仿宋" w:eastAsia="仿宋" w:cs="仿宋"/>
          <w:color w:val="auto"/>
          <w:sz w:val="40"/>
          <w:szCs w:val="40"/>
          <w:highlight w:val="none"/>
          <w:lang w:eastAsia="zh-CN"/>
        </w:rPr>
      </w:pPr>
      <w:bookmarkStart w:id="202" w:name="_Toc829"/>
      <w:r>
        <w:rPr>
          <w:rFonts w:hint="eastAsia" w:ascii="仿宋" w:hAnsi="仿宋" w:eastAsia="仿宋" w:cs="仿宋"/>
          <w:color w:val="auto"/>
          <w:spacing w:val="1"/>
          <w:sz w:val="40"/>
          <w:szCs w:val="40"/>
          <w:highlight w:val="none"/>
          <w14:textOutline w14:w="7282" w14:cap="sq" w14:cmpd="sng">
            <w14:solidFill>
              <w14:srgbClr w14:val="000000"/>
            </w14:solidFill>
            <w14:prstDash w14:val="solid"/>
            <w14:bevel/>
          </w14:textOutline>
        </w:rPr>
        <w:t>项目编号：</w:t>
      </w:r>
      <w:bookmarkEnd w:id="202"/>
      <w:r>
        <w:rPr>
          <w:rFonts w:hint="eastAsia" w:ascii="仿宋" w:hAnsi="仿宋" w:eastAsia="仿宋" w:cs="仿宋"/>
          <w:color w:val="auto"/>
          <w:sz w:val="40"/>
          <w:szCs w:val="40"/>
          <w:highlight w:val="none"/>
          <w:lang w:eastAsia="zh-CN"/>
          <w14:textOutline w14:w="7282" w14:cap="sq" w14:cmpd="sng">
            <w14:solidFill>
              <w14:srgbClr w14:val="000000"/>
            </w14:solidFill>
            <w14:prstDash w14:val="solid"/>
            <w14:bevel/>
          </w14:textOutline>
        </w:rPr>
        <w:t>SJX-2025-375</w:t>
      </w:r>
    </w:p>
    <w:p w14:paraId="309878EB">
      <w:pPr>
        <w:spacing w:line="315" w:lineRule="auto"/>
        <w:rPr>
          <w:rFonts w:hint="eastAsia" w:ascii="仿宋" w:hAnsi="仿宋" w:eastAsia="仿宋" w:cs="仿宋"/>
          <w:color w:val="auto"/>
          <w:sz w:val="21"/>
          <w:highlight w:val="none"/>
        </w:rPr>
      </w:pPr>
    </w:p>
    <w:p w14:paraId="76EE50B9">
      <w:pPr>
        <w:spacing w:line="315" w:lineRule="auto"/>
        <w:rPr>
          <w:rFonts w:hint="eastAsia" w:ascii="仿宋" w:hAnsi="仿宋" w:eastAsia="仿宋" w:cs="仿宋"/>
          <w:color w:val="auto"/>
          <w:sz w:val="21"/>
          <w:highlight w:val="none"/>
        </w:rPr>
      </w:pPr>
    </w:p>
    <w:p w14:paraId="479B7B59">
      <w:pPr>
        <w:spacing w:line="315" w:lineRule="auto"/>
        <w:rPr>
          <w:rFonts w:hint="eastAsia" w:ascii="仿宋" w:hAnsi="仿宋" w:eastAsia="仿宋" w:cs="仿宋"/>
          <w:color w:val="auto"/>
          <w:sz w:val="21"/>
          <w:highlight w:val="none"/>
        </w:rPr>
      </w:pPr>
    </w:p>
    <w:p w14:paraId="618BC62E">
      <w:pPr>
        <w:pStyle w:val="8"/>
        <w:spacing w:before="153" w:line="227" w:lineRule="auto"/>
        <w:ind w:left="1422"/>
        <w:jc w:val="center"/>
        <w:rPr>
          <w:rFonts w:hint="eastAsia" w:ascii="仿宋" w:hAnsi="仿宋" w:eastAsia="仿宋" w:cs="仿宋"/>
          <w:color w:val="auto"/>
          <w:sz w:val="47"/>
          <w:szCs w:val="47"/>
          <w:highlight w:val="none"/>
        </w:rPr>
      </w:pPr>
      <w:r>
        <w:rPr>
          <w:rFonts w:hint="eastAsia" w:ascii="仿宋" w:hAnsi="仿宋" w:eastAsia="仿宋" w:cs="仿宋"/>
          <w:color w:val="auto"/>
          <w:spacing w:val="2"/>
          <w:sz w:val="47"/>
          <w:szCs w:val="47"/>
          <w:highlight w:val="none"/>
          <w14:textOutline w14:w="8717" w14:cap="sq" w14:cmpd="sng">
            <w14:solidFill>
              <w14:srgbClr w14:val="000000"/>
            </w14:solidFill>
            <w14:prstDash w14:val="solid"/>
            <w14:bevel/>
          </w14:textOutline>
        </w:rPr>
        <w:t>招标文件（电子评标）</w:t>
      </w:r>
    </w:p>
    <w:p w14:paraId="1B191737">
      <w:pPr>
        <w:spacing w:line="354" w:lineRule="auto"/>
        <w:rPr>
          <w:rFonts w:hint="eastAsia" w:ascii="仿宋" w:hAnsi="仿宋" w:eastAsia="仿宋" w:cs="仿宋"/>
          <w:color w:val="auto"/>
          <w:sz w:val="21"/>
          <w:highlight w:val="none"/>
        </w:rPr>
      </w:pPr>
    </w:p>
    <w:p w14:paraId="5C89EEAD">
      <w:pPr>
        <w:spacing w:line="355" w:lineRule="auto"/>
        <w:rPr>
          <w:rFonts w:hint="eastAsia" w:ascii="仿宋" w:hAnsi="仿宋" w:eastAsia="仿宋" w:cs="仿宋"/>
          <w:color w:val="auto"/>
          <w:sz w:val="21"/>
          <w:highlight w:val="none"/>
        </w:rPr>
      </w:pPr>
    </w:p>
    <w:p w14:paraId="4CF054B3">
      <w:pPr>
        <w:pStyle w:val="8"/>
        <w:spacing w:before="92" w:line="225" w:lineRule="auto"/>
        <w:ind w:left="3764"/>
        <w:jc w:val="both"/>
        <w:rPr>
          <w:rFonts w:hint="eastAsia" w:ascii="仿宋" w:hAnsi="仿宋" w:eastAsia="仿宋" w:cs="仿宋"/>
          <w:color w:val="auto"/>
          <w:highlight w:val="none"/>
        </w:rPr>
      </w:pPr>
      <w:r>
        <w:rPr>
          <w:rFonts w:hint="eastAsia" w:ascii="仿宋" w:hAnsi="仿宋" w:eastAsia="仿宋" w:cs="仿宋"/>
          <w:color w:val="auto"/>
          <w:spacing w:val="-6"/>
          <w:highlight w:val="none"/>
          <w14:textOutline w14:w="5103" w14:cap="sq" w14:cmpd="sng">
            <w14:solidFill>
              <w14:srgbClr w14:val="000000"/>
            </w14:solidFill>
            <w14:prstDash w14:val="solid"/>
            <w14:bevel/>
          </w14:textOutline>
        </w:rPr>
        <w:t>（第二册）</w:t>
      </w:r>
    </w:p>
    <w:p w14:paraId="3FD07AAA">
      <w:pPr>
        <w:spacing w:line="276" w:lineRule="auto"/>
        <w:rPr>
          <w:rFonts w:hint="eastAsia" w:ascii="仿宋" w:hAnsi="仿宋" w:eastAsia="仿宋" w:cs="仿宋"/>
          <w:color w:val="auto"/>
          <w:sz w:val="21"/>
          <w:highlight w:val="none"/>
        </w:rPr>
      </w:pPr>
    </w:p>
    <w:p w14:paraId="2FEF2702">
      <w:pPr>
        <w:spacing w:line="277" w:lineRule="auto"/>
        <w:rPr>
          <w:rFonts w:hint="eastAsia" w:ascii="仿宋" w:hAnsi="仿宋" w:eastAsia="仿宋" w:cs="仿宋"/>
          <w:color w:val="auto"/>
          <w:sz w:val="21"/>
          <w:highlight w:val="none"/>
        </w:rPr>
      </w:pPr>
    </w:p>
    <w:p w14:paraId="462E7CD8">
      <w:pPr>
        <w:spacing w:line="277" w:lineRule="auto"/>
        <w:rPr>
          <w:rFonts w:hint="eastAsia" w:ascii="仿宋" w:hAnsi="仿宋" w:eastAsia="仿宋" w:cs="仿宋"/>
          <w:color w:val="auto"/>
          <w:sz w:val="21"/>
          <w:highlight w:val="none"/>
        </w:rPr>
      </w:pPr>
    </w:p>
    <w:p w14:paraId="243CE43F">
      <w:pPr>
        <w:spacing w:line="277" w:lineRule="auto"/>
        <w:rPr>
          <w:rFonts w:hint="eastAsia" w:ascii="仿宋" w:hAnsi="仿宋" w:eastAsia="仿宋" w:cs="仿宋"/>
          <w:color w:val="auto"/>
          <w:sz w:val="21"/>
          <w:highlight w:val="none"/>
        </w:rPr>
      </w:pPr>
    </w:p>
    <w:p w14:paraId="70F76B91">
      <w:pPr>
        <w:pStyle w:val="8"/>
        <w:tabs>
          <w:tab w:val="left" w:pos="7477"/>
        </w:tabs>
        <w:spacing w:before="78" w:line="598" w:lineRule="auto"/>
        <w:ind w:left="498" w:right="856" w:hanging="2"/>
        <w:jc w:val="both"/>
        <w:rPr>
          <w:rFonts w:hint="eastAsia" w:ascii="仿宋" w:hAnsi="仿宋" w:eastAsia="仿宋" w:cs="仿宋"/>
          <w:color w:val="auto"/>
          <w:sz w:val="24"/>
          <w:szCs w:val="24"/>
          <w:highlight w:val="none"/>
          <w:u w:val="single" w:color="auto"/>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采购单位名称：</w:t>
      </w:r>
      <w:r>
        <w:rPr>
          <w:rFonts w:hint="eastAsia" w:ascii="仿宋" w:hAnsi="仿宋" w:eastAsia="仿宋" w:cs="仿宋"/>
          <w:color w:val="auto"/>
          <w:sz w:val="24"/>
          <w:szCs w:val="24"/>
          <w:highlight w:val="none"/>
          <w:u w:val="single" w:color="000000"/>
          <w:lang w:eastAsia="zh-CN"/>
          <w14:textOutline w14:w="4358" w14:cap="sq" w14:cmpd="sng">
            <w14:solidFill>
              <w14:srgbClr w14:val="000000"/>
            </w14:solidFill>
            <w14:prstDash w14:val="solid"/>
            <w14:bevel/>
          </w14:textOutline>
        </w:rPr>
        <w:t>麦盖提县人民医院</w:t>
      </w:r>
    </w:p>
    <w:p w14:paraId="6EDE860E">
      <w:pPr>
        <w:pStyle w:val="8"/>
        <w:tabs>
          <w:tab w:val="left" w:pos="7477"/>
        </w:tabs>
        <w:spacing w:before="78" w:line="598" w:lineRule="auto"/>
        <w:ind w:left="498" w:right="856" w:hanging="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联系人：</w:t>
      </w:r>
      <w:r>
        <w:rPr>
          <w:rFonts w:hint="eastAsia" w:ascii="仿宋" w:hAnsi="仿宋" w:eastAsia="仿宋" w:cs="仿宋"/>
          <w:color w:val="auto"/>
          <w:spacing w:val="-6"/>
          <w:sz w:val="24"/>
          <w:szCs w:val="24"/>
          <w:highlight w:val="none"/>
          <w:u w:val="single" w:color="000000"/>
          <w:lang w:eastAsia="zh-CN"/>
          <w14:textOutline w14:w="4358" w14:cap="sq" w14:cmpd="sng">
            <w14:solidFill>
              <w14:srgbClr w14:val="000000"/>
            </w14:solidFill>
            <w14:prstDash w14:val="solid"/>
            <w14:bevel/>
          </w14:textOutline>
        </w:rPr>
        <w:t>吐尔洪江</w:t>
      </w:r>
    </w:p>
    <w:p w14:paraId="30BD8988">
      <w:pPr>
        <w:pStyle w:val="8"/>
        <w:spacing w:before="1"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联系电话：</w:t>
      </w:r>
      <w:r>
        <w:rPr>
          <w:rFonts w:hint="eastAsia" w:ascii="仿宋" w:hAnsi="仿宋" w:eastAsia="仿宋" w:cs="仿宋"/>
          <w:color w:val="auto"/>
          <w:spacing w:val="-5"/>
          <w:sz w:val="24"/>
          <w:szCs w:val="24"/>
          <w:highlight w:val="none"/>
          <w:u w:val="single" w:color="000000"/>
          <w:lang w:eastAsia="zh-CN"/>
          <w14:textOutline w14:w="4358" w14:cap="sq" w14:cmpd="sng">
            <w14:solidFill>
              <w14:srgbClr w14:val="000000"/>
            </w14:solidFill>
            <w14:prstDash w14:val="solid"/>
            <w14:bevel/>
          </w14:textOutline>
        </w:rPr>
        <w:t>19190008850</w:t>
      </w:r>
    </w:p>
    <w:p w14:paraId="1199F422">
      <w:pPr>
        <w:spacing w:line="265" w:lineRule="auto"/>
        <w:rPr>
          <w:rFonts w:hint="eastAsia" w:ascii="仿宋" w:hAnsi="仿宋" w:eastAsia="仿宋" w:cs="仿宋"/>
          <w:color w:val="auto"/>
          <w:sz w:val="21"/>
          <w:highlight w:val="none"/>
        </w:rPr>
      </w:pPr>
    </w:p>
    <w:p w14:paraId="7F3B67CC">
      <w:pPr>
        <w:spacing w:line="266" w:lineRule="auto"/>
        <w:rPr>
          <w:rFonts w:hint="eastAsia" w:ascii="仿宋" w:hAnsi="仿宋" w:eastAsia="仿宋" w:cs="仿宋"/>
          <w:color w:val="auto"/>
          <w:sz w:val="21"/>
          <w:highlight w:val="none"/>
        </w:rPr>
      </w:pPr>
    </w:p>
    <w:p w14:paraId="58251BFB">
      <w:pPr>
        <w:pStyle w:val="8"/>
        <w:tabs>
          <w:tab w:val="left" w:pos="7477"/>
        </w:tabs>
        <w:spacing w:before="78" w:line="599" w:lineRule="auto"/>
        <w:ind w:left="499" w:right="856" w:firstLine="4"/>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代理机构名称：</w:t>
      </w:r>
      <w:r>
        <w:rPr>
          <w:rFonts w:hint="eastAsia" w:ascii="仿宋" w:hAnsi="仿宋" w:eastAsia="仿宋" w:cs="仿宋"/>
          <w:color w:val="auto"/>
          <w:sz w:val="24"/>
          <w:szCs w:val="24"/>
          <w:highlight w:val="none"/>
          <w:u w:val="single" w:color="000000"/>
          <w:lang w:eastAsia="zh-CN"/>
          <w14:textOutline w14:w="4358" w14:cap="sq" w14:cmpd="sng">
            <w14:solidFill>
              <w14:srgbClr w14:val="000000"/>
            </w14:solidFill>
            <w14:prstDash w14:val="solid"/>
            <w14:bevel/>
          </w14:textOutline>
        </w:rPr>
        <w:t>新疆世纪星工程咨询有限公司</w:t>
      </w:r>
    </w:p>
    <w:p w14:paraId="2E2B080C">
      <w:pPr>
        <w:pStyle w:val="8"/>
        <w:tabs>
          <w:tab w:val="left" w:pos="7477"/>
        </w:tabs>
        <w:spacing w:before="78" w:line="599" w:lineRule="auto"/>
        <w:ind w:left="499" w:right="856" w:firstLine="4"/>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联系人：</w:t>
      </w:r>
      <w:r>
        <w:rPr>
          <w:rFonts w:hint="eastAsia" w:ascii="仿宋" w:hAnsi="仿宋" w:eastAsia="仿宋" w:cs="仿宋"/>
          <w:color w:val="auto"/>
          <w:spacing w:val="-6"/>
          <w:sz w:val="24"/>
          <w:szCs w:val="24"/>
          <w:highlight w:val="none"/>
          <w:u w:val="single" w:color="000000"/>
          <w:lang w:eastAsia="zh-CN"/>
          <w14:textOutline w14:w="4358" w14:cap="sq" w14:cmpd="sng">
            <w14:solidFill>
              <w14:srgbClr w14:val="000000"/>
            </w14:solidFill>
            <w14:prstDash w14:val="solid"/>
            <w14:bevel/>
          </w14:textOutline>
        </w:rPr>
        <w:t>訾王贝、李航、范艳娥</w:t>
      </w:r>
    </w:p>
    <w:p w14:paraId="1B220559">
      <w:pPr>
        <w:pStyle w:val="8"/>
        <w:spacing w:before="2"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联系电话：</w:t>
      </w:r>
      <w:r>
        <w:rPr>
          <w:rFonts w:hint="eastAsia" w:ascii="仿宋" w:hAnsi="仿宋" w:eastAsia="仿宋" w:cs="仿宋"/>
          <w:color w:val="auto"/>
          <w:spacing w:val="-4"/>
          <w:sz w:val="24"/>
          <w:szCs w:val="24"/>
          <w:highlight w:val="none"/>
          <w:u w:val="single" w:color="000000"/>
          <w:lang w:eastAsia="zh-CN"/>
          <w14:textOutline w14:w="4358" w14:cap="sq" w14:cmpd="sng">
            <w14:solidFill>
              <w14:srgbClr w14:val="000000"/>
            </w14:solidFill>
            <w14:prstDash w14:val="solid"/>
            <w14:bevel/>
          </w14:textOutline>
        </w:rPr>
        <w:t>0991-3678303、18690987103、18090815646</w:t>
      </w:r>
    </w:p>
    <w:p w14:paraId="1C3BA9D8">
      <w:pPr>
        <w:spacing w:line="285" w:lineRule="auto"/>
        <w:rPr>
          <w:rFonts w:hint="eastAsia" w:ascii="仿宋" w:hAnsi="仿宋" w:eastAsia="仿宋" w:cs="仿宋"/>
          <w:color w:val="auto"/>
          <w:sz w:val="21"/>
          <w:highlight w:val="none"/>
        </w:rPr>
      </w:pPr>
    </w:p>
    <w:p w14:paraId="72403335">
      <w:pPr>
        <w:spacing w:line="285" w:lineRule="auto"/>
        <w:rPr>
          <w:rFonts w:hint="eastAsia" w:ascii="仿宋" w:hAnsi="仿宋" w:eastAsia="仿宋" w:cs="仿宋"/>
          <w:color w:val="auto"/>
          <w:sz w:val="21"/>
          <w:highlight w:val="none"/>
        </w:rPr>
      </w:pPr>
    </w:p>
    <w:p w14:paraId="18469C51">
      <w:pPr>
        <w:spacing w:line="286" w:lineRule="auto"/>
        <w:rPr>
          <w:rFonts w:hint="eastAsia" w:ascii="仿宋" w:hAnsi="仿宋" w:eastAsia="仿宋" w:cs="仿宋"/>
          <w:color w:val="auto"/>
          <w:sz w:val="21"/>
          <w:highlight w:val="none"/>
        </w:rPr>
      </w:pPr>
    </w:p>
    <w:p w14:paraId="3989F51D">
      <w:pPr>
        <w:spacing w:line="286" w:lineRule="auto"/>
        <w:rPr>
          <w:rFonts w:hint="eastAsia" w:ascii="仿宋" w:hAnsi="仿宋" w:eastAsia="仿宋" w:cs="仿宋"/>
          <w:color w:val="auto"/>
          <w:sz w:val="21"/>
          <w:highlight w:val="none"/>
        </w:rPr>
      </w:pPr>
    </w:p>
    <w:p w14:paraId="0554BE21">
      <w:pPr>
        <w:pStyle w:val="8"/>
        <w:spacing w:before="78" w:line="224" w:lineRule="auto"/>
        <w:ind w:left="3141"/>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日期：202</w:t>
      </w:r>
      <w:r>
        <w:rPr>
          <w:rFonts w:hint="eastAsia" w:ascii="仿宋" w:hAnsi="仿宋" w:eastAsia="仿宋" w:cs="仿宋"/>
          <w:color w:val="auto"/>
          <w:spacing w:val="-6"/>
          <w:sz w:val="24"/>
          <w:szCs w:val="24"/>
          <w:highlight w:val="none"/>
          <w:lang w:val="en-US" w:eastAsia="zh-CN"/>
          <w14:textOutline w14:w="4358" w14:cap="sq" w14:cmpd="sng">
            <w14:solidFill>
              <w14:srgbClr w14:val="000000"/>
            </w14:solidFill>
            <w14:prstDash w14:val="solid"/>
            <w14:bevel/>
          </w14:textOutline>
        </w:rPr>
        <w:t>5</w:t>
      </w: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年</w:t>
      </w:r>
      <w:r>
        <w:rPr>
          <w:rFonts w:hint="eastAsia" w:ascii="仿宋" w:hAnsi="仿宋" w:eastAsia="仿宋" w:cs="仿宋"/>
          <w:color w:val="auto"/>
          <w:spacing w:val="-6"/>
          <w:sz w:val="24"/>
          <w:szCs w:val="24"/>
          <w:highlight w:val="none"/>
          <w:lang w:val="en-US" w:eastAsia="zh-CN"/>
          <w14:textOutline w14:w="4358" w14:cap="sq" w14:cmpd="sng">
            <w14:solidFill>
              <w14:srgbClr w14:val="000000"/>
            </w14:solidFill>
            <w14:prstDash w14:val="solid"/>
            <w14:bevel/>
          </w14:textOutline>
        </w:rPr>
        <w:t>07</w:t>
      </w:r>
      <w:r>
        <w:rPr>
          <w:rFonts w:hint="eastAsia" w:ascii="仿宋" w:hAnsi="仿宋" w:eastAsia="仿宋" w:cs="仿宋"/>
          <w:color w:val="auto"/>
          <w:spacing w:val="-6"/>
          <w:sz w:val="24"/>
          <w:szCs w:val="24"/>
          <w:highlight w:val="none"/>
          <w14:textOutline w14:w="4358" w14:cap="sq" w14:cmpd="sng">
            <w14:solidFill>
              <w14:srgbClr w14:val="000000"/>
            </w14:solidFill>
            <w14:prstDash w14:val="solid"/>
            <w14:bevel/>
          </w14:textOutline>
        </w:rPr>
        <w:t>月</w:t>
      </w:r>
    </w:p>
    <w:p w14:paraId="3DF6FB6D">
      <w:pPr>
        <w:spacing w:line="224" w:lineRule="auto"/>
        <w:rPr>
          <w:rFonts w:hint="eastAsia" w:ascii="仿宋" w:hAnsi="仿宋" w:eastAsia="仿宋" w:cs="仿宋"/>
          <w:color w:val="auto"/>
          <w:sz w:val="24"/>
          <w:szCs w:val="24"/>
          <w:highlight w:val="none"/>
        </w:rPr>
        <w:sectPr>
          <w:footerReference r:id="rId32" w:type="default"/>
          <w:pgSz w:w="11905" w:h="16838"/>
          <w:pgMar w:top="1440" w:right="1083" w:bottom="1440" w:left="1083" w:header="0" w:footer="1225" w:gutter="0"/>
          <w:pgNumType w:fmt="decimal"/>
          <w:cols w:space="0" w:num="1"/>
          <w:rtlGutter w:val="0"/>
          <w:docGrid w:linePitch="0" w:charSpace="0"/>
        </w:sectPr>
      </w:pPr>
    </w:p>
    <w:p w14:paraId="60CED126">
      <w:pPr>
        <w:pStyle w:val="8"/>
        <w:spacing w:before="74" w:line="230" w:lineRule="auto"/>
        <w:ind w:left="3724"/>
        <w:outlineLvl w:val="0"/>
        <w:rPr>
          <w:rFonts w:hint="eastAsia" w:ascii="仿宋" w:hAnsi="仿宋" w:eastAsia="仿宋" w:cs="仿宋"/>
          <w:color w:val="auto"/>
          <w:sz w:val="35"/>
          <w:szCs w:val="35"/>
          <w:highlight w:val="none"/>
        </w:rPr>
      </w:pPr>
      <w:bookmarkStart w:id="203" w:name="_Toc29202"/>
      <w:r>
        <w:rPr>
          <w:rFonts w:hint="eastAsia" w:ascii="仿宋" w:hAnsi="仿宋" w:eastAsia="仿宋" w:cs="仿宋"/>
          <w:color w:val="auto"/>
          <w:spacing w:val="5"/>
          <w:sz w:val="35"/>
          <w:szCs w:val="35"/>
          <w:highlight w:val="none"/>
          <w14:textOutline w14:w="6537" w14:cap="sq" w14:cmpd="sng">
            <w14:solidFill>
              <w14:srgbClr w14:val="000000"/>
            </w14:solidFill>
            <w14:prstDash w14:val="solid"/>
            <w14:bevel/>
          </w14:textOutline>
        </w:rPr>
        <w:t>第3章投标邀请</w:t>
      </w:r>
      <w:bookmarkEnd w:id="203"/>
    </w:p>
    <w:p w14:paraId="0F0818F7">
      <w:pPr>
        <w:widowControl w:val="0"/>
        <w:kinsoku w:val="0"/>
        <w:autoSpaceDE w:val="0"/>
        <w:autoSpaceDN w:val="0"/>
        <w:adjustRightInd w:val="0"/>
        <w:snapToGrid w:val="0"/>
        <w:spacing w:before="1" w:line="232" w:lineRule="auto"/>
        <w:jc w:val="center"/>
        <w:textAlignment w:val="baseline"/>
        <w:rPr>
          <w:rFonts w:hint="eastAsia" w:ascii="仿宋" w:hAnsi="仿宋" w:eastAsia="仿宋" w:cs="仿宋"/>
          <w:snapToGrid w:val="0"/>
          <w:color w:val="auto"/>
          <w:spacing w:val="10"/>
          <w:kern w:val="0"/>
          <w:sz w:val="28"/>
          <w:szCs w:val="28"/>
          <w:highlight w:val="none"/>
          <w:lang w:val="en-US" w:eastAsia="zh-CN" w:bidi="ar-SA"/>
          <w14:textOutline w14:w="6537" w14:cap="sq" w14:cmpd="sng">
            <w14:solidFill>
              <w14:srgbClr w14:val="000000"/>
            </w14:solidFill>
            <w14:prstDash w14:val="solid"/>
            <w14:bevel/>
          </w14:textOutline>
        </w:rPr>
      </w:pPr>
      <w:r>
        <w:rPr>
          <w:rFonts w:hint="eastAsia" w:ascii="仿宋" w:hAnsi="仿宋" w:eastAsia="仿宋" w:cs="仿宋"/>
          <w:snapToGrid w:val="0"/>
          <w:color w:val="auto"/>
          <w:spacing w:val="10"/>
          <w:kern w:val="0"/>
          <w:sz w:val="28"/>
          <w:szCs w:val="28"/>
          <w:highlight w:val="none"/>
          <w:lang w:val="en-US" w:eastAsia="zh-CN" w:bidi="ar-SA"/>
          <w14:textOutline w14:w="6537" w14:cap="sq" w14:cmpd="sng">
            <w14:solidFill>
              <w14:srgbClr w14:val="000000"/>
            </w14:solidFill>
            <w14:prstDash w14:val="solid"/>
            <w14:bevel/>
          </w14:textOutline>
        </w:rPr>
        <w:t>喀什地区麦盖提县人民医院综合能力提升设备更新项目县人民医院十四五、十五五等级医院中长期发展规划医疗设备采购第三标段</w:t>
      </w:r>
    </w:p>
    <w:p w14:paraId="326269F6">
      <w:pPr>
        <w:widowControl w:val="0"/>
        <w:kinsoku w:val="0"/>
        <w:autoSpaceDE w:val="0"/>
        <w:autoSpaceDN w:val="0"/>
        <w:adjustRightInd w:val="0"/>
        <w:snapToGrid w:val="0"/>
        <w:spacing w:before="1" w:line="232" w:lineRule="auto"/>
        <w:jc w:val="center"/>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0"/>
          <w:kern w:val="0"/>
          <w:sz w:val="28"/>
          <w:szCs w:val="28"/>
          <w:highlight w:val="none"/>
          <w:lang w:val="en-US" w:eastAsia="en-US" w:bidi="ar-SA"/>
          <w14:textOutline w14:w="6537" w14:cap="sq" w14:cmpd="sng">
            <w14:solidFill>
              <w14:srgbClr w14:val="000000"/>
            </w14:solidFill>
            <w14:prstDash w14:val="solid"/>
            <w14:bevel/>
          </w14:textOutline>
        </w:rPr>
        <w:t>公开招标公告</w:t>
      </w:r>
    </w:p>
    <w:p w14:paraId="5B4F242B">
      <w:pPr>
        <w:widowControl/>
        <w:kinsoku w:val="0"/>
        <w:autoSpaceDE w:val="0"/>
        <w:autoSpaceDN w:val="0"/>
        <w:adjustRightInd w:val="0"/>
        <w:snapToGrid w:val="0"/>
        <w:spacing w:line="159" w:lineRule="exact"/>
        <w:jc w:val="left"/>
        <w:textAlignment w:val="baseline"/>
        <w:rPr>
          <w:rFonts w:hint="eastAsia" w:ascii="仿宋" w:hAnsi="仿宋" w:eastAsia="仿宋" w:cs="仿宋"/>
          <w:snapToGrid w:val="0"/>
          <w:color w:val="auto"/>
          <w:kern w:val="0"/>
          <w:sz w:val="21"/>
          <w:szCs w:val="21"/>
          <w:highlight w:val="none"/>
          <w:lang w:eastAsia="en-US"/>
        </w:rPr>
      </w:pPr>
    </w:p>
    <w:tbl>
      <w:tblPr>
        <w:tblStyle w:val="25"/>
        <w:tblW w:w="96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20"/>
      </w:tblGrid>
      <w:tr w14:paraId="3FD0D89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7" w:hRule="atLeast"/>
          <w:jc w:val="center"/>
        </w:trPr>
        <w:tc>
          <w:tcPr>
            <w:tcW w:w="9620" w:type="dxa"/>
            <w:vAlign w:val="top"/>
          </w:tcPr>
          <w:p w14:paraId="4E9854FC">
            <w:pPr>
              <w:widowControl/>
              <w:kinsoku w:val="0"/>
              <w:autoSpaceDE w:val="0"/>
              <w:autoSpaceDN w:val="0"/>
              <w:adjustRightInd w:val="0"/>
              <w:snapToGrid w:val="0"/>
              <w:spacing w:before="56" w:line="232" w:lineRule="auto"/>
              <w:ind w:left="95"/>
              <w:jc w:val="left"/>
              <w:textAlignment w:val="baseline"/>
              <w:rPr>
                <w:rFonts w:hint="eastAsia" w:ascii="仿宋" w:hAnsi="仿宋" w:eastAsia="仿宋" w:cs="仿宋"/>
                <w:snapToGrid w:val="0"/>
                <w:color w:val="auto"/>
                <w:spacing w:val="-1"/>
                <w:kern w:val="0"/>
                <w:position w:val="14"/>
                <w:sz w:val="24"/>
                <w:szCs w:val="24"/>
                <w:highlight w:val="none"/>
                <w:lang w:val="en-US" w:eastAsia="zh-CN" w:bidi="ar-SA"/>
              </w:rPr>
            </w:pPr>
            <w:r>
              <w:rPr>
                <w:rFonts w:hint="eastAsia" w:ascii="仿宋" w:hAnsi="仿宋" w:eastAsia="仿宋" w:cs="仿宋"/>
                <w:snapToGrid w:val="0"/>
                <w:color w:val="auto"/>
                <w:spacing w:val="-1"/>
                <w:kern w:val="0"/>
                <w:position w:val="14"/>
                <w:sz w:val="24"/>
                <w:szCs w:val="24"/>
                <w:highlight w:val="none"/>
                <w:lang w:val="en-US" w:eastAsia="zh-CN" w:bidi="ar-SA"/>
              </w:rPr>
              <w:t>项目概况：</w:t>
            </w:r>
          </w:p>
          <w:p w14:paraId="4B8E58E9">
            <w:pPr>
              <w:widowControl/>
              <w:kinsoku w:val="0"/>
              <w:autoSpaceDE w:val="0"/>
              <w:autoSpaceDN w:val="0"/>
              <w:adjustRightInd w:val="0"/>
              <w:snapToGrid w:val="0"/>
              <w:spacing w:before="153" w:line="358" w:lineRule="auto"/>
              <w:ind w:left="90" w:right="83" w:firstLine="454"/>
              <w:jc w:val="both"/>
              <w:textAlignment w:val="baseline"/>
              <w:rPr>
                <w:rFonts w:hint="eastAsia" w:ascii="仿宋" w:hAnsi="仿宋" w:eastAsia="仿宋" w:cs="仿宋"/>
                <w:snapToGrid w:val="0"/>
                <w:color w:val="auto"/>
                <w:kern w:val="0"/>
                <w:sz w:val="22"/>
                <w:szCs w:val="22"/>
                <w:highlight w:val="none"/>
                <w:lang w:eastAsia="en-US"/>
              </w:rPr>
            </w:pPr>
            <w:r>
              <w:rPr>
                <w:rFonts w:hint="eastAsia" w:ascii="仿宋" w:hAnsi="仿宋" w:eastAsia="仿宋" w:cs="仿宋"/>
                <w:snapToGrid w:val="0"/>
                <w:color w:val="auto"/>
                <w:spacing w:val="-1"/>
                <w:kern w:val="0"/>
                <w:position w:val="14"/>
                <w:sz w:val="24"/>
                <w:szCs w:val="24"/>
                <w:highlight w:val="none"/>
                <w:u w:val="single"/>
                <w:lang w:val="en-US" w:eastAsia="zh-CN" w:bidi="ar-SA"/>
              </w:rPr>
              <w:t>喀什地区麦盖提县人民医院综合能力提升设备更新项目县人民医院十四五、十五五等级医院中长期发展规划医疗设备采购第三标段</w:t>
            </w:r>
            <w:r>
              <w:rPr>
                <w:rFonts w:hint="eastAsia" w:ascii="仿宋" w:hAnsi="仿宋" w:eastAsia="仿宋" w:cs="仿宋"/>
                <w:snapToGrid w:val="0"/>
                <w:color w:val="auto"/>
                <w:spacing w:val="-1"/>
                <w:kern w:val="0"/>
                <w:position w:val="14"/>
                <w:sz w:val="24"/>
                <w:szCs w:val="24"/>
                <w:highlight w:val="none"/>
                <w:lang w:val="en-US" w:eastAsia="zh-CN" w:bidi="ar-SA"/>
              </w:rPr>
              <w:t>招标项目的潜在投标人应在登录</w:t>
            </w:r>
            <w:r>
              <w:rPr>
                <w:rFonts w:hint="eastAsia" w:ascii="仿宋" w:hAnsi="仿宋" w:eastAsia="仿宋" w:cs="仿宋"/>
                <w:snapToGrid w:val="0"/>
                <w:color w:val="auto"/>
                <w:spacing w:val="-1"/>
                <w:kern w:val="0"/>
                <w:position w:val="14"/>
                <w:sz w:val="24"/>
                <w:szCs w:val="24"/>
                <w:highlight w:val="none"/>
                <w:u w:val="single"/>
                <w:lang w:val="en-US" w:eastAsia="zh-CN" w:bidi="ar-SA"/>
              </w:rPr>
              <w:t>新疆政府采购网政采云线上</w:t>
            </w:r>
            <w:r>
              <w:rPr>
                <w:rFonts w:hint="eastAsia" w:ascii="仿宋" w:hAnsi="仿宋" w:eastAsia="仿宋" w:cs="仿宋"/>
                <w:snapToGrid w:val="0"/>
                <w:color w:val="auto"/>
                <w:spacing w:val="-1"/>
                <w:kern w:val="0"/>
                <w:position w:val="14"/>
                <w:sz w:val="24"/>
                <w:szCs w:val="24"/>
                <w:highlight w:val="none"/>
                <w:lang w:val="en-US" w:eastAsia="zh-CN" w:bidi="ar-SA"/>
              </w:rPr>
              <w:t>获取招标文件，并于</w:t>
            </w:r>
            <w:r>
              <w:rPr>
                <w:rFonts w:hint="eastAsia" w:ascii="仿宋" w:hAnsi="仿宋" w:eastAsia="仿宋" w:cs="仿宋"/>
                <w:snapToGrid w:val="0"/>
                <w:color w:val="auto"/>
                <w:spacing w:val="-1"/>
                <w:kern w:val="0"/>
                <w:position w:val="14"/>
                <w:sz w:val="24"/>
                <w:szCs w:val="24"/>
                <w:highlight w:val="none"/>
                <w:u w:val="single"/>
                <w:lang w:val="en-US" w:eastAsia="zh-CN" w:bidi="ar-SA"/>
              </w:rPr>
              <w:t>2025年07月22日11点00分</w:t>
            </w:r>
            <w:r>
              <w:rPr>
                <w:rFonts w:hint="eastAsia" w:ascii="仿宋" w:hAnsi="仿宋" w:eastAsia="仿宋" w:cs="仿宋"/>
                <w:snapToGrid w:val="0"/>
                <w:color w:val="auto"/>
                <w:spacing w:val="-1"/>
                <w:kern w:val="0"/>
                <w:position w:val="14"/>
                <w:sz w:val="24"/>
                <w:szCs w:val="24"/>
                <w:highlight w:val="none"/>
                <w:lang w:val="en-US" w:eastAsia="zh-CN" w:bidi="ar-SA"/>
              </w:rPr>
              <w:t>（北京时间）前递交投标文件。</w:t>
            </w:r>
          </w:p>
        </w:tc>
      </w:tr>
    </w:tbl>
    <w:p w14:paraId="1A85BD85">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spacing w:val="-1"/>
          <w:kern w:val="0"/>
          <w:sz w:val="24"/>
          <w:szCs w:val="24"/>
          <w:highlight w:val="none"/>
          <w:lang w:val="en-US" w:eastAsia="en-US" w:bidi="ar-SA"/>
          <w14:textOutline w14:w="4358" w14:cap="sq" w14:cmpd="sng">
            <w14:solidFill>
              <w14:srgbClr w14:val="000000"/>
            </w14:solidFill>
            <w14:prstDash w14:val="solid"/>
            <w14:bevel/>
          </w14:textOutline>
        </w:rPr>
        <w:t>一、项目基本情况</w:t>
      </w:r>
    </w:p>
    <w:p w14:paraId="6A81EBC5">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项目编号：SJX-2025-375</w:t>
      </w:r>
    </w:p>
    <w:p w14:paraId="0ED4B2B8">
      <w:pPr>
        <w:keepNext w:val="0"/>
        <w:keepLines w:val="0"/>
        <w:pageBreakBefore w:val="0"/>
        <w:widowControl w:val="0"/>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项目名称：喀什地区麦盖提县人民医院综合能力提升设备更新项目县人民医院十四五、十五五等级医院中长期发展规划医疗设备采购第三标段</w:t>
      </w:r>
    </w:p>
    <w:p w14:paraId="220643D6">
      <w:pPr>
        <w:keepNext w:val="0"/>
        <w:keepLines w:val="0"/>
        <w:pageBreakBefore w:val="0"/>
        <w:widowControl w:val="0"/>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采购方式：公开招标</w:t>
      </w:r>
    </w:p>
    <w:p w14:paraId="3A668624">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预算金额（元）：9500000.00元（标项1）；2800000.00（标项2）；2433000.00（标项3）；</w:t>
      </w:r>
    </w:p>
    <w:p w14:paraId="6D310F0B">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采购需求：</w:t>
      </w:r>
    </w:p>
    <w:p w14:paraId="57E37C92">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标项名称:标项1</w:t>
      </w:r>
    </w:p>
    <w:p w14:paraId="4DA941A8">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数量:1批</w:t>
      </w:r>
    </w:p>
    <w:p w14:paraId="781660BE">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预算金额（元）:9500000.00元</w:t>
      </w:r>
    </w:p>
    <w:p w14:paraId="52D4206E">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简要规格描述或项目基本概况介绍、用途：数字减影血管造影系统（DSA）、多道生理记录仪</w:t>
      </w:r>
    </w:p>
    <w:p w14:paraId="210C5A05">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、血管内超声系统；具体内容详见招标文件。</w:t>
      </w:r>
    </w:p>
    <w:p w14:paraId="4CB892F2">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备注：/</w:t>
      </w:r>
    </w:p>
    <w:p w14:paraId="4C01A77E">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p>
    <w:p w14:paraId="321825DE">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标项名称:标项2</w:t>
      </w:r>
    </w:p>
    <w:p w14:paraId="418C0017">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数量:1批</w:t>
      </w:r>
    </w:p>
    <w:p w14:paraId="140B05EC">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预算金额（元）:2800000.00元</w:t>
      </w:r>
    </w:p>
    <w:p w14:paraId="7E315035">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简要规格描述或项目基本概况介绍、用途：过氧化氢低温等离子体灭菌器</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脉动真空灭菌器</w:t>
      </w:r>
    </w:p>
    <w:p w14:paraId="7CF24799">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脉动真空清洗消毒器</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超声波清洗机</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医用干燥柜</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污物清洗槽</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平板货架</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全自动切割机</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多功能台</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器械检查打包台</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干燥物品打包台</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包布检查打包台</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医用除锈仪</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医用纯水机</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蒸汽发生器</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空气压缩机</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0.5小时极速生物阅读器</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辅料柜</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具体内容详见招标文件。</w:t>
      </w:r>
    </w:p>
    <w:p w14:paraId="0721D644">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备注：/</w:t>
      </w:r>
    </w:p>
    <w:p w14:paraId="41B33A6B">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p>
    <w:p w14:paraId="437BD8AB">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标项名称:标项3</w:t>
      </w:r>
    </w:p>
    <w:p w14:paraId="6A8C24E7">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数量:1批</w:t>
      </w:r>
    </w:p>
    <w:p w14:paraId="4FE129DA">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预算金额（元）:2433000.00元；</w:t>
      </w:r>
    </w:p>
    <w:p w14:paraId="002D5DA8">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简要规格描述或项目基本概况介绍、用途：腹腔镜分屏显示器（套）</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全自动洗胃机</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单剂量摆药机</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胎心监护仪</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胎心监护仪（一拖4）</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振动排痰仪（马甲式）</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裂隙灯</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眼压计</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成人输尿管镜（1套）</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输尿管软镜</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高流量呼吸湿化治疗仪</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气动式高频振荡排痰系统</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物理降温仪</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婴儿培养箱</w:t>
      </w:r>
      <w:r>
        <w:rPr>
          <w:rFonts w:hint="eastAsia" w:ascii="仿宋" w:hAnsi="仿宋" w:eastAsia="仿宋" w:cs="仿宋"/>
          <w:snapToGrid w:val="0"/>
          <w:color w:val="auto"/>
          <w:spacing w:val="-1"/>
          <w:kern w:val="0"/>
          <w:position w:val="14"/>
          <w:sz w:val="24"/>
          <w:szCs w:val="24"/>
          <w:highlight w:val="none"/>
          <w:u w:val="none"/>
          <w:lang w:val="en-US" w:eastAsia="zh-CN" w:bidi="ar-SA"/>
        </w:rPr>
        <w:t>；</w:t>
      </w:r>
      <w:r>
        <w:rPr>
          <w:rFonts w:hint="default" w:ascii="仿宋" w:hAnsi="仿宋" w:eastAsia="仿宋" w:cs="仿宋"/>
          <w:snapToGrid w:val="0"/>
          <w:color w:val="auto"/>
          <w:spacing w:val="-1"/>
          <w:kern w:val="0"/>
          <w:position w:val="14"/>
          <w:sz w:val="24"/>
          <w:szCs w:val="24"/>
          <w:highlight w:val="none"/>
          <w:u w:val="none"/>
          <w:lang w:val="en-US" w:eastAsia="zh-CN" w:bidi="ar-SA"/>
        </w:rPr>
        <w:t>具体内容详见招标文件。</w:t>
      </w:r>
    </w:p>
    <w:p w14:paraId="69AEF1A4">
      <w:pPr>
        <w:keepNext w:val="0"/>
        <w:keepLines w:val="0"/>
        <w:pageBreakBefore w:val="0"/>
        <w:widowControl/>
        <w:kinsoku w:val="0"/>
        <w:wordWrap/>
        <w:overflowPunct/>
        <w:topLinePunct w:val="0"/>
        <w:autoSpaceDE w:val="0"/>
        <w:autoSpaceDN w:val="0"/>
        <w:bidi w:val="0"/>
        <w:adjustRightInd/>
        <w:snapToGrid/>
        <w:spacing w:line="500" w:lineRule="exact"/>
        <w:ind w:left="0" w:right="0"/>
        <w:jc w:val="left"/>
        <w:textAlignment w:val="baseline"/>
        <w:rPr>
          <w:rFonts w:hint="default" w:ascii="仿宋" w:hAnsi="仿宋" w:eastAsia="仿宋" w:cs="仿宋"/>
          <w:snapToGrid w:val="0"/>
          <w:color w:val="auto"/>
          <w:spacing w:val="-1"/>
          <w:kern w:val="0"/>
          <w:position w:val="14"/>
          <w:sz w:val="24"/>
          <w:szCs w:val="24"/>
          <w:highlight w:val="none"/>
          <w:u w:val="none"/>
          <w:lang w:val="en-US" w:eastAsia="zh-CN" w:bidi="ar-SA"/>
        </w:rPr>
      </w:pPr>
      <w:r>
        <w:rPr>
          <w:rFonts w:hint="default" w:ascii="仿宋" w:hAnsi="仿宋" w:eastAsia="仿宋" w:cs="仿宋"/>
          <w:snapToGrid w:val="0"/>
          <w:color w:val="auto"/>
          <w:spacing w:val="-1"/>
          <w:kern w:val="0"/>
          <w:position w:val="14"/>
          <w:sz w:val="24"/>
          <w:szCs w:val="24"/>
          <w:highlight w:val="none"/>
          <w:u w:val="none"/>
          <w:lang w:val="en-US" w:eastAsia="zh-CN" w:bidi="ar-SA"/>
        </w:rPr>
        <w:t>备注：/</w:t>
      </w:r>
    </w:p>
    <w:p w14:paraId="277651A3">
      <w:pPr>
        <w:keepNext w:val="0"/>
        <w:keepLines w:val="0"/>
        <w:pageBreakBefore w:val="0"/>
        <w:widowControl/>
        <w:kinsoku w:val="0"/>
        <w:wordWrap/>
        <w:overflowPunct/>
        <w:topLinePunct w:val="0"/>
        <w:autoSpaceDE w:val="0"/>
        <w:autoSpaceDN w:val="0"/>
        <w:bidi w:val="0"/>
        <w:adjustRightInd/>
        <w:snapToGrid/>
        <w:spacing w:line="500" w:lineRule="exact"/>
        <w:ind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合同履行期限：合同签订后并收到采购人书面通知后的90个日历日内（含场地安装改造时间）完成安装、调试、验收。</w:t>
      </w:r>
    </w:p>
    <w:p w14:paraId="4A10B5C7">
      <w:pPr>
        <w:keepNext w:val="0"/>
        <w:keepLines w:val="0"/>
        <w:pageBreakBefore w:val="0"/>
        <w:widowControl/>
        <w:kinsoku w:val="0"/>
        <w:wordWrap/>
        <w:overflowPunct/>
        <w:topLinePunct w:val="0"/>
        <w:autoSpaceDE w:val="0"/>
        <w:autoSpaceDN w:val="0"/>
        <w:bidi w:val="0"/>
        <w:adjustRightInd/>
        <w:snapToGrid/>
        <w:spacing w:line="500" w:lineRule="exact"/>
        <w:ind w:right="0"/>
        <w:jc w:val="left"/>
        <w:textAlignment w:val="baseline"/>
        <w:rPr>
          <w:rFonts w:hint="eastAsia" w:ascii="仿宋" w:hAnsi="仿宋" w:eastAsia="仿宋" w:cs="仿宋"/>
          <w:snapToGrid w:val="0"/>
          <w:color w:val="auto"/>
          <w:spacing w:val="-1"/>
          <w:kern w:val="0"/>
          <w:position w:val="14"/>
          <w:sz w:val="24"/>
          <w:szCs w:val="24"/>
          <w:highlight w:val="none"/>
          <w:u w:val="none"/>
          <w:lang w:val="en-US" w:eastAsia="zh-CN" w:bidi="ar-SA"/>
        </w:rPr>
      </w:pPr>
      <w:r>
        <w:rPr>
          <w:rFonts w:hint="eastAsia" w:ascii="仿宋" w:hAnsi="仿宋" w:eastAsia="仿宋" w:cs="仿宋"/>
          <w:snapToGrid w:val="0"/>
          <w:color w:val="auto"/>
          <w:spacing w:val="-1"/>
          <w:kern w:val="0"/>
          <w:position w:val="14"/>
          <w:sz w:val="24"/>
          <w:szCs w:val="24"/>
          <w:highlight w:val="none"/>
          <w:u w:val="none"/>
          <w:lang w:val="en-US" w:eastAsia="zh-CN" w:bidi="ar-SA"/>
        </w:rPr>
        <w:t>本项目（不允许）接受联合体。</w:t>
      </w:r>
    </w:p>
    <w:p w14:paraId="2A3F293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napToGrid/>
          <w:color w:val="auto"/>
          <w:kern w:val="2"/>
          <w:sz w:val="24"/>
          <w:szCs w:val="24"/>
          <w:highlight w:val="none"/>
          <w:lang w:val="en-US" w:eastAsia="zh-CN"/>
        </w:rPr>
      </w:pPr>
      <w:r>
        <w:rPr>
          <w:rFonts w:hint="eastAsia" w:ascii="仿宋" w:hAnsi="仿宋" w:eastAsia="仿宋" w:cs="仿宋"/>
          <w:b/>
          <w:bCs/>
          <w:snapToGrid/>
          <w:color w:val="auto"/>
          <w:kern w:val="2"/>
          <w:sz w:val="24"/>
          <w:szCs w:val="24"/>
          <w:highlight w:val="none"/>
          <w:lang w:val="en-US" w:eastAsia="en-US"/>
        </w:rPr>
        <w:t>二、申请人的资格要求</w:t>
      </w:r>
      <w:r>
        <w:rPr>
          <w:rFonts w:hint="eastAsia" w:ascii="仿宋" w:hAnsi="仿宋" w:eastAsia="仿宋" w:cs="仿宋"/>
          <w:b/>
          <w:bCs/>
          <w:snapToGrid/>
          <w:color w:val="auto"/>
          <w:kern w:val="2"/>
          <w:sz w:val="24"/>
          <w:szCs w:val="24"/>
          <w:highlight w:val="none"/>
          <w:lang w:val="en-US" w:eastAsia="zh-CN"/>
        </w:rPr>
        <w:t>：</w:t>
      </w:r>
    </w:p>
    <w:p w14:paraId="57A98B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val="en-US" w:eastAsia="en-US"/>
        </w:rPr>
      </w:pPr>
      <w:r>
        <w:rPr>
          <w:rFonts w:hint="eastAsia" w:ascii="仿宋" w:hAnsi="仿宋" w:eastAsia="仿宋" w:cs="仿宋"/>
          <w:snapToGrid/>
          <w:color w:val="auto"/>
          <w:kern w:val="2"/>
          <w:sz w:val="24"/>
          <w:szCs w:val="24"/>
          <w:highlight w:val="none"/>
          <w:lang w:val="en-US" w:eastAsia="en-US"/>
        </w:rPr>
        <w:t>1.满足《中华人民共和国政府采购法》第二十二条规定；</w:t>
      </w:r>
    </w:p>
    <w:p w14:paraId="47F393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en-US"/>
        </w:rPr>
        <w:t>2.落实政府采购政策需满足的资格要求：</w:t>
      </w:r>
      <w:r>
        <w:rPr>
          <w:rFonts w:hint="eastAsia" w:ascii="仿宋" w:hAnsi="仿宋" w:eastAsia="仿宋" w:cs="仿宋"/>
          <w:snapToGrid/>
          <w:color w:val="auto"/>
          <w:kern w:val="2"/>
          <w:sz w:val="24"/>
          <w:szCs w:val="24"/>
          <w:highlight w:val="none"/>
          <w:u w:val="single"/>
          <w:lang w:val="en-US" w:eastAsia="zh-CN"/>
        </w:rPr>
        <w:t>/；</w:t>
      </w:r>
    </w:p>
    <w:p w14:paraId="6B98C9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val="en-US" w:eastAsia="en-US"/>
        </w:rPr>
        <w:t>3.本项目的特定资格要求：</w:t>
      </w:r>
      <w:r>
        <w:rPr>
          <w:rFonts w:hint="eastAsia" w:ascii="仿宋" w:hAnsi="仿宋" w:eastAsia="仿宋" w:cs="仿宋"/>
          <w:snapToGrid/>
          <w:color w:val="auto"/>
          <w:kern w:val="2"/>
          <w:sz w:val="24"/>
          <w:szCs w:val="24"/>
          <w:highlight w:val="none"/>
          <w:lang w:val="en-US" w:eastAsia="zh-CN"/>
        </w:rPr>
        <w:t>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r>
        <w:rPr>
          <w:rFonts w:hint="eastAsia" w:ascii="仿宋" w:hAnsi="仿宋" w:eastAsia="仿宋" w:cs="仿宋"/>
          <w:snapToGrid/>
          <w:color w:val="auto"/>
          <w:kern w:val="2"/>
          <w:sz w:val="24"/>
          <w:szCs w:val="24"/>
          <w:highlight w:val="none"/>
          <w:lang w:val="en-US" w:eastAsia="en-US"/>
        </w:rPr>
        <w:t>；所有证件均应在有效期内</w:t>
      </w:r>
      <w:r>
        <w:rPr>
          <w:rFonts w:hint="eastAsia" w:ascii="仿宋" w:hAnsi="仿宋" w:eastAsia="仿宋" w:cs="仿宋"/>
          <w:snapToGrid/>
          <w:color w:val="auto"/>
          <w:kern w:val="2"/>
          <w:sz w:val="24"/>
          <w:szCs w:val="24"/>
          <w:highlight w:val="none"/>
          <w:u w:val="none"/>
          <w:lang w:val="en-US" w:eastAsia="zh-CN"/>
        </w:rPr>
        <w:t>。</w:t>
      </w:r>
    </w:p>
    <w:p w14:paraId="707AD1E4">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bCs/>
          <w:snapToGrid/>
          <w:color w:val="auto"/>
          <w:kern w:val="2"/>
          <w:sz w:val="24"/>
          <w:szCs w:val="24"/>
          <w:highlight w:val="none"/>
          <w:lang w:eastAsia="zh-CN"/>
        </w:rPr>
      </w:pPr>
      <w:bookmarkStart w:id="204" w:name="_Toc29084"/>
      <w:r>
        <w:rPr>
          <w:rFonts w:hint="eastAsia" w:ascii="仿宋" w:hAnsi="仿宋" w:eastAsia="仿宋" w:cs="仿宋"/>
          <w:b/>
          <w:bCs/>
          <w:snapToGrid/>
          <w:color w:val="auto"/>
          <w:kern w:val="2"/>
          <w:sz w:val="24"/>
          <w:szCs w:val="24"/>
          <w:highlight w:val="none"/>
          <w:lang w:eastAsia="zh-CN"/>
        </w:rPr>
        <w:t>三、获取招标文件</w:t>
      </w:r>
      <w:bookmarkEnd w:id="204"/>
    </w:p>
    <w:p w14:paraId="615BA2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eastAsia="zh-CN"/>
        </w:rPr>
        <w:t>时间：202</w:t>
      </w:r>
      <w:r>
        <w:rPr>
          <w:rFonts w:hint="eastAsia" w:ascii="仿宋" w:hAnsi="仿宋" w:eastAsia="仿宋" w:cs="仿宋"/>
          <w:snapToGrid/>
          <w:color w:val="auto"/>
          <w:kern w:val="2"/>
          <w:sz w:val="24"/>
          <w:szCs w:val="24"/>
          <w:highlight w:val="none"/>
          <w:lang w:val="en-US" w:eastAsia="zh-CN"/>
        </w:rPr>
        <w:t>5</w:t>
      </w:r>
      <w:r>
        <w:rPr>
          <w:rFonts w:hint="eastAsia" w:ascii="仿宋" w:hAnsi="仿宋" w:eastAsia="仿宋" w:cs="仿宋"/>
          <w:snapToGrid/>
          <w:color w:val="auto"/>
          <w:kern w:val="2"/>
          <w:sz w:val="24"/>
          <w:szCs w:val="24"/>
          <w:highlight w:val="none"/>
          <w:lang w:eastAsia="zh-CN"/>
        </w:rPr>
        <w:t>年</w:t>
      </w:r>
      <w:r>
        <w:rPr>
          <w:rFonts w:hint="eastAsia" w:ascii="仿宋" w:hAnsi="仿宋" w:eastAsia="仿宋" w:cs="仿宋"/>
          <w:snapToGrid/>
          <w:color w:val="auto"/>
          <w:kern w:val="2"/>
          <w:sz w:val="24"/>
          <w:szCs w:val="24"/>
          <w:highlight w:val="none"/>
          <w:lang w:val="en-US" w:eastAsia="zh-CN"/>
        </w:rPr>
        <w:t>07</w:t>
      </w:r>
      <w:r>
        <w:rPr>
          <w:rFonts w:hint="eastAsia" w:ascii="仿宋" w:hAnsi="仿宋" w:eastAsia="仿宋" w:cs="仿宋"/>
          <w:snapToGrid/>
          <w:color w:val="auto"/>
          <w:kern w:val="2"/>
          <w:sz w:val="24"/>
          <w:szCs w:val="24"/>
          <w:highlight w:val="none"/>
          <w:lang w:eastAsia="zh-CN"/>
        </w:rPr>
        <w:t>月</w:t>
      </w:r>
      <w:r>
        <w:rPr>
          <w:rFonts w:hint="eastAsia" w:ascii="仿宋" w:hAnsi="仿宋" w:eastAsia="仿宋" w:cs="仿宋"/>
          <w:snapToGrid/>
          <w:color w:val="auto"/>
          <w:kern w:val="2"/>
          <w:sz w:val="24"/>
          <w:szCs w:val="24"/>
          <w:highlight w:val="none"/>
          <w:lang w:val="en-US" w:eastAsia="zh-CN"/>
        </w:rPr>
        <w:t>02</w:t>
      </w:r>
      <w:r>
        <w:rPr>
          <w:rFonts w:hint="eastAsia" w:ascii="仿宋" w:hAnsi="仿宋" w:eastAsia="仿宋" w:cs="仿宋"/>
          <w:snapToGrid/>
          <w:color w:val="auto"/>
          <w:kern w:val="2"/>
          <w:sz w:val="24"/>
          <w:szCs w:val="24"/>
          <w:highlight w:val="none"/>
          <w:lang w:eastAsia="zh-CN"/>
        </w:rPr>
        <w:t>日至202</w:t>
      </w:r>
      <w:r>
        <w:rPr>
          <w:rFonts w:hint="eastAsia" w:ascii="仿宋" w:hAnsi="仿宋" w:eastAsia="仿宋" w:cs="仿宋"/>
          <w:snapToGrid/>
          <w:color w:val="auto"/>
          <w:kern w:val="2"/>
          <w:sz w:val="24"/>
          <w:szCs w:val="24"/>
          <w:highlight w:val="none"/>
          <w:lang w:val="en-US" w:eastAsia="zh-CN"/>
        </w:rPr>
        <w:t>5</w:t>
      </w:r>
      <w:r>
        <w:rPr>
          <w:rFonts w:hint="eastAsia" w:ascii="仿宋" w:hAnsi="仿宋" w:eastAsia="仿宋" w:cs="仿宋"/>
          <w:snapToGrid/>
          <w:color w:val="auto"/>
          <w:kern w:val="2"/>
          <w:sz w:val="24"/>
          <w:szCs w:val="24"/>
          <w:highlight w:val="none"/>
          <w:lang w:eastAsia="zh-CN"/>
        </w:rPr>
        <w:t>年</w:t>
      </w:r>
      <w:r>
        <w:rPr>
          <w:rFonts w:hint="eastAsia" w:ascii="仿宋" w:hAnsi="仿宋" w:eastAsia="仿宋" w:cs="仿宋"/>
          <w:snapToGrid/>
          <w:color w:val="auto"/>
          <w:kern w:val="2"/>
          <w:sz w:val="24"/>
          <w:szCs w:val="24"/>
          <w:highlight w:val="none"/>
          <w:lang w:val="en-US" w:eastAsia="zh-CN"/>
        </w:rPr>
        <w:t>07</w:t>
      </w:r>
      <w:r>
        <w:rPr>
          <w:rFonts w:hint="eastAsia" w:ascii="仿宋" w:hAnsi="仿宋" w:eastAsia="仿宋" w:cs="仿宋"/>
          <w:snapToGrid/>
          <w:color w:val="auto"/>
          <w:kern w:val="2"/>
          <w:sz w:val="24"/>
          <w:szCs w:val="24"/>
          <w:highlight w:val="none"/>
          <w:lang w:eastAsia="zh-CN"/>
        </w:rPr>
        <w:t>月</w:t>
      </w:r>
      <w:r>
        <w:rPr>
          <w:rFonts w:hint="eastAsia" w:ascii="仿宋" w:hAnsi="仿宋" w:eastAsia="仿宋" w:cs="仿宋"/>
          <w:snapToGrid/>
          <w:color w:val="auto"/>
          <w:kern w:val="2"/>
          <w:sz w:val="24"/>
          <w:szCs w:val="24"/>
          <w:highlight w:val="none"/>
          <w:lang w:val="en-US" w:eastAsia="zh-CN"/>
        </w:rPr>
        <w:t>09</w:t>
      </w:r>
      <w:r>
        <w:rPr>
          <w:rFonts w:hint="eastAsia" w:ascii="仿宋" w:hAnsi="仿宋" w:eastAsia="仿宋" w:cs="仿宋"/>
          <w:snapToGrid/>
          <w:color w:val="auto"/>
          <w:kern w:val="2"/>
          <w:sz w:val="24"/>
          <w:szCs w:val="24"/>
          <w:highlight w:val="none"/>
          <w:lang w:eastAsia="zh-CN"/>
        </w:rPr>
        <w:t>日，每天上午0</w:t>
      </w:r>
      <w:r>
        <w:rPr>
          <w:rFonts w:hint="eastAsia" w:ascii="仿宋" w:hAnsi="仿宋" w:eastAsia="仿宋" w:cs="仿宋"/>
          <w:snapToGrid/>
          <w:color w:val="auto"/>
          <w:kern w:val="2"/>
          <w:sz w:val="24"/>
          <w:szCs w:val="24"/>
          <w:highlight w:val="none"/>
          <w:lang w:val="en-US" w:eastAsia="zh-CN"/>
        </w:rPr>
        <w:t>0</w:t>
      </w:r>
      <w:r>
        <w:rPr>
          <w:rFonts w:hint="eastAsia" w:ascii="仿宋" w:hAnsi="仿宋" w:eastAsia="仿宋" w:cs="仿宋"/>
          <w:snapToGrid/>
          <w:color w:val="auto"/>
          <w:kern w:val="2"/>
          <w:sz w:val="24"/>
          <w:szCs w:val="24"/>
          <w:highlight w:val="none"/>
          <w:lang w:eastAsia="zh-CN"/>
        </w:rPr>
        <w:t>:00至1</w:t>
      </w:r>
      <w:r>
        <w:rPr>
          <w:rFonts w:hint="eastAsia" w:ascii="仿宋" w:hAnsi="仿宋" w:eastAsia="仿宋" w:cs="仿宋"/>
          <w:snapToGrid/>
          <w:color w:val="auto"/>
          <w:kern w:val="2"/>
          <w:sz w:val="24"/>
          <w:szCs w:val="24"/>
          <w:highlight w:val="none"/>
          <w:lang w:val="en-US" w:eastAsia="zh-CN"/>
        </w:rPr>
        <w:t>4</w:t>
      </w:r>
      <w:r>
        <w:rPr>
          <w:rFonts w:hint="eastAsia" w:ascii="仿宋" w:hAnsi="仿宋" w:eastAsia="仿宋" w:cs="仿宋"/>
          <w:snapToGrid/>
          <w:color w:val="auto"/>
          <w:kern w:val="2"/>
          <w:sz w:val="24"/>
          <w:szCs w:val="24"/>
          <w:highlight w:val="none"/>
          <w:lang w:eastAsia="zh-CN"/>
        </w:rPr>
        <w:t>:00，下午1</w:t>
      </w:r>
      <w:r>
        <w:rPr>
          <w:rFonts w:hint="eastAsia" w:ascii="仿宋" w:hAnsi="仿宋" w:eastAsia="仿宋" w:cs="仿宋"/>
          <w:snapToGrid/>
          <w:color w:val="auto"/>
          <w:kern w:val="2"/>
          <w:sz w:val="24"/>
          <w:szCs w:val="24"/>
          <w:highlight w:val="none"/>
          <w:lang w:val="en-US" w:eastAsia="zh-CN"/>
        </w:rPr>
        <w:t>4</w:t>
      </w:r>
      <w:r>
        <w:rPr>
          <w:rFonts w:hint="eastAsia" w:ascii="仿宋" w:hAnsi="仿宋" w:eastAsia="仿宋" w:cs="仿宋"/>
          <w:snapToGrid/>
          <w:color w:val="auto"/>
          <w:kern w:val="2"/>
          <w:sz w:val="24"/>
          <w:szCs w:val="24"/>
          <w:highlight w:val="none"/>
          <w:lang w:eastAsia="zh-CN"/>
        </w:rPr>
        <w:t>:00至</w:t>
      </w:r>
      <w:r>
        <w:rPr>
          <w:rFonts w:hint="eastAsia" w:ascii="仿宋" w:hAnsi="仿宋" w:eastAsia="仿宋" w:cs="仿宋"/>
          <w:snapToGrid/>
          <w:color w:val="auto"/>
          <w:kern w:val="2"/>
          <w:sz w:val="24"/>
          <w:szCs w:val="24"/>
          <w:highlight w:val="none"/>
          <w:lang w:val="en-US" w:eastAsia="zh-CN"/>
        </w:rPr>
        <w:t>23</w:t>
      </w:r>
      <w:r>
        <w:rPr>
          <w:rFonts w:hint="eastAsia" w:ascii="仿宋" w:hAnsi="仿宋" w:eastAsia="仿宋" w:cs="仿宋"/>
          <w:snapToGrid/>
          <w:color w:val="auto"/>
          <w:kern w:val="2"/>
          <w:sz w:val="24"/>
          <w:szCs w:val="24"/>
          <w:highlight w:val="none"/>
          <w:lang w:eastAsia="zh-CN"/>
        </w:rPr>
        <w:t>:</w:t>
      </w:r>
      <w:r>
        <w:rPr>
          <w:rFonts w:hint="eastAsia" w:ascii="仿宋" w:hAnsi="仿宋" w:eastAsia="仿宋" w:cs="仿宋"/>
          <w:snapToGrid/>
          <w:color w:val="auto"/>
          <w:kern w:val="2"/>
          <w:sz w:val="24"/>
          <w:szCs w:val="24"/>
          <w:highlight w:val="none"/>
          <w:lang w:val="en-US" w:eastAsia="zh-CN"/>
        </w:rPr>
        <w:t>59</w:t>
      </w:r>
      <w:r>
        <w:rPr>
          <w:rFonts w:hint="eastAsia" w:ascii="仿宋" w:hAnsi="仿宋" w:eastAsia="仿宋" w:cs="仿宋"/>
          <w:snapToGrid/>
          <w:color w:val="auto"/>
          <w:kern w:val="2"/>
          <w:sz w:val="24"/>
          <w:szCs w:val="24"/>
          <w:highlight w:val="none"/>
          <w:lang w:eastAsia="zh-CN"/>
        </w:rPr>
        <w:t>（北京时间，法定节假日除外）</w:t>
      </w:r>
      <w:r>
        <w:rPr>
          <w:rFonts w:hint="eastAsia" w:ascii="仿宋" w:hAnsi="仿宋" w:eastAsia="仿宋" w:cs="仿宋"/>
          <w:snapToGrid/>
          <w:color w:val="auto"/>
          <w:kern w:val="2"/>
          <w:sz w:val="24"/>
          <w:szCs w:val="24"/>
          <w:highlight w:val="none"/>
          <w:lang w:val="en-US" w:eastAsia="zh-CN"/>
        </w:rPr>
        <w:t>。</w:t>
      </w:r>
    </w:p>
    <w:p w14:paraId="0514C7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地点：政采云平台（https://www.zcygov.cn/）</w:t>
      </w:r>
    </w:p>
    <w:p w14:paraId="642D0E8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方式：供应商登录政采云平台https://www.zcygov.cn/在线申请获取采购文件（进入“项目采购”应用，在获取采购文件菜单中选择项目，申请获取采购文件）本次招标不提供纸质版招标文件。</w:t>
      </w:r>
    </w:p>
    <w:p w14:paraId="039B686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售价（元）：0元</w:t>
      </w:r>
    </w:p>
    <w:p w14:paraId="66541AD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bCs/>
          <w:snapToGrid/>
          <w:color w:val="auto"/>
          <w:kern w:val="2"/>
          <w:sz w:val="24"/>
          <w:szCs w:val="24"/>
          <w:highlight w:val="none"/>
          <w:lang w:eastAsia="zh-CN"/>
        </w:rPr>
      </w:pPr>
      <w:bookmarkStart w:id="205" w:name="_Toc24224"/>
      <w:r>
        <w:rPr>
          <w:rFonts w:hint="eastAsia" w:ascii="仿宋" w:hAnsi="仿宋" w:eastAsia="仿宋" w:cs="仿宋"/>
          <w:b/>
          <w:bCs/>
          <w:snapToGrid/>
          <w:color w:val="auto"/>
          <w:kern w:val="2"/>
          <w:sz w:val="24"/>
          <w:szCs w:val="24"/>
          <w:highlight w:val="none"/>
          <w:lang w:eastAsia="zh-CN"/>
        </w:rPr>
        <w:t>四、提交投标文件截止时间、开标时间和地点</w:t>
      </w:r>
      <w:bookmarkEnd w:id="205"/>
    </w:p>
    <w:p w14:paraId="239AE1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提交投标文件截止时间：</w:t>
      </w:r>
      <w:r>
        <w:rPr>
          <w:rFonts w:hint="eastAsia" w:ascii="仿宋" w:hAnsi="仿宋" w:eastAsia="仿宋" w:cs="仿宋"/>
          <w:snapToGrid/>
          <w:color w:val="auto"/>
          <w:kern w:val="2"/>
          <w:sz w:val="24"/>
          <w:szCs w:val="24"/>
          <w:highlight w:val="none"/>
          <w:lang w:val="en-US" w:eastAsia="zh-CN"/>
        </w:rPr>
        <w:t>2025年07月22日11点00分</w:t>
      </w:r>
      <w:r>
        <w:rPr>
          <w:rFonts w:hint="eastAsia" w:ascii="仿宋" w:hAnsi="仿宋" w:eastAsia="仿宋" w:cs="仿宋"/>
          <w:snapToGrid/>
          <w:color w:val="auto"/>
          <w:kern w:val="2"/>
          <w:sz w:val="24"/>
          <w:szCs w:val="24"/>
          <w:highlight w:val="none"/>
          <w:lang w:eastAsia="zh-CN"/>
        </w:rPr>
        <w:t>（北京时间）</w:t>
      </w:r>
    </w:p>
    <w:p w14:paraId="28E7FE0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投标地点：政采云平台（https://www.zcygov.cn/），本项目采用不见面开标，加密的电子投标文件在投标截止时间前在政采云平台上传。</w:t>
      </w:r>
    </w:p>
    <w:p w14:paraId="32DEE6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开标时间：</w:t>
      </w:r>
      <w:r>
        <w:rPr>
          <w:rFonts w:hint="eastAsia" w:ascii="仿宋" w:hAnsi="仿宋" w:eastAsia="仿宋" w:cs="仿宋"/>
          <w:snapToGrid/>
          <w:color w:val="auto"/>
          <w:kern w:val="2"/>
          <w:sz w:val="24"/>
          <w:szCs w:val="24"/>
          <w:highlight w:val="none"/>
          <w:lang w:val="en-US" w:eastAsia="zh-CN"/>
        </w:rPr>
        <w:t>2025年07月22日11点00分</w:t>
      </w:r>
      <w:r>
        <w:rPr>
          <w:rFonts w:hint="eastAsia" w:ascii="仿宋" w:hAnsi="仿宋" w:eastAsia="仿宋" w:cs="仿宋"/>
          <w:snapToGrid/>
          <w:color w:val="auto"/>
          <w:kern w:val="2"/>
          <w:sz w:val="24"/>
          <w:szCs w:val="24"/>
          <w:highlight w:val="none"/>
          <w:lang w:eastAsia="zh-CN"/>
        </w:rPr>
        <w:t>（北京时间）</w:t>
      </w:r>
    </w:p>
    <w:p w14:paraId="1F8134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开标地点：政采云平台（https://www.zcygov.cn/）不见面开标系统</w:t>
      </w:r>
    </w:p>
    <w:p w14:paraId="6CC137F8">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bCs/>
          <w:snapToGrid/>
          <w:color w:val="auto"/>
          <w:kern w:val="2"/>
          <w:sz w:val="24"/>
          <w:szCs w:val="24"/>
          <w:highlight w:val="none"/>
          <w:lang w:eastAsia="zh-CN"/>
        </w:rPr>
      </w:pPr>
      <w:bookmarkStart w:id="206" w:name="_Toc17115"/>
      <w:r>
        <w:rPr>
          <w:rFonts w:hint="eastAsia" w:ascii="仿宋" w:hAnsi="仿宋" w:eastAsia="仿宋" w:cs="仿宋"/>
          <w:b/>
          <w:bCs/>
          <w:snapToGrid/>
          <w:color w:val="auto"/>
          <w:kern w:val="2"/>
          <w:sz w:val="24"/>
          <w:szCs w:val="24"/>
          <w:highlight w:val="none"/>
          <w:lang w:eastAsia="zh-CN"/>
        </w:rPr>
        <w:t>五、公告期限</w:t>
      </w:r>
      <w:bookmarkEnd w:id="206"/>
    </w:p>
    <w:p w14:paraId="007A8E4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自本公告发布之日起5个工作日。</w:t>
      </w:r>
    </w:p>
    <w:p w14:paraId="257BC0EA">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bCs/>
          <w:snapToGrid/>
          <w:color w:val="auto"/>
          <w:kern w:val="2"/>
          <w:sz w:val="24"/>
          <w:szCs w:val="24"/>
          <w:highlight w:val="none"/>
          <w:lang w:eastAsia="zh-CN"/>
        </w:rPr>
      </w:pPr>
      <w:bookmarkStart w:id="207" w:name="_Toc22084"/>
      <w:r>
        <w:rPr>
          <w:rFonts w:hint="eastAsia" w:ascii="仿宋" w:hAnsi="仿宋" w:eastAsia="仿宋" w:cs="仿宋"/>
          <w:b/>
          <w:bCs/>
          <w:snapToGrid/>
          <w:color w:val="auto"/>
          <w:kern w:val="2"/>
          <w:sz w:val="24"/>
          <w:szCs w:val="24"/>
          <w:highlight w:val="none"/>
          <w:lang w:eastAsia="zh-CN"/>
        </w:rPr>
        <w:t>六、其他补充事宜</w:t>
      </w:r>
      <w:bookmarkEnd w:id="207"/>
    </w:p>
    <w:p w14:paraId="38D536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1、关于本项目所有公告、公示在新疆政府采购网发布。</w:t>
      </w:r>
    </w:p>
    <w:p w14:paraId="7310F8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2、请投标单位随时关注本项目的澄清、答疑、变更事项。</w:t>
      </w:r>
    </w:p>
    <w:p w14:paraId="29EA23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3、本项目实行电子招投标，供应商须登录政采云平台申请获取招标文件，并通过政采云电子投标客户端制作响应文件，同时自行承担与投标有关的一切费用。</w:t>
      </w:r>
    </w:p>
    <w:p w14:paraId="7AC155A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4、各供应商应在开标前确保成为</w:t>
      </w:r>
      <w:r>
        <w:rPr>
          <w:rFonts w:hint="eastAsia" w:ascii="仿宋" w:hAnsi="仿宋" w:eastAsia="仿宋" w:cs="仿宋"/>
          <w:b/>
          <w:bCs/>
          <w:snapToGrid/>
          <w:color w:val="auto"/>
          <w:kern w:val="2"/>
          <w:sz w:val="24"/>
          <w:szCs w:val="24"/>
          <w:highlight w:val="none"/>
          <w:lang w:eastAsia="zh-CN"/>
        </w:rPr>
        <w:t>新疆政府采购网</w:t>
      </w:r>
      <w:r>
        <w:rPr>
          <w:rFonts w:hint="eastAsia" w:ascii="仿宋" w:hAnsi="仿宋" w:eastAsia="仿宋" w:cs="仿宋"/>
          <w:snapToGrid/>
          <w:color w:val="auto"/>
          <w:kern w:val="2"/>
          <w:sz w:val="24"/>
          <w:szCs w:val="24"/>
          <w:highlight w:val="none"/>
          <w:lang w:eastAsia="zh-CN"/>
        </w:rPr>
        <w:t>正式注册入库供应商，并完成CA数字证书申领。因未注册入库、未办理CA数字证书等原因造成无法投标或投标失败等后果由供应商自行承担。</w:t>
      </w:r>
    </w:p>
    <w:p w14:paraId="00BC72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5、有意向参与电子开评标的供应商，可访问新疆数字证书认证中心官方网站（https://www.xjca.com.cn/）或下载“新疆政务通”APP自行进行申领。如需咨询，请联系新疆CA服务热线0991-2819290。</w:t>
      </w:r>
    </w:p>
    <w:p w14:paraId="285B246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bCs/>
          <w:snapToGrid/>
          <w:color w:val="auto"/>
          <w:kern w:val="2"/>
          <w:sz w:val="24"/>
          <w:szCs w:val="24"/>
          <w:highlight w:val="none"/>
          <w:lang w:eastAsia="zh-CN"/>
        </w:rPr>
      </w:pPr>
      <w:bookmarkStart w:id="208" w:name="_Toc21999"/>
      <w:r>
        <w:rPr>
          <w:rFonts w:hint="eastAsia" w:ascii="仿宋" w:hAnsi="仿宋" w:eastAsia="仿宋" w:cs="仿宋"/>
          <w:b/>
          <w:bCs/>
          <w:snapToGrid/>
          <w:color w:val="auto"/>
          <w:kern w:val="2"/>
          <w:sz w:val="24"/>
          <w:szCs w:val="24"/>
          <w:highlight w:val="none"/>
          <w:lang w:eastAsia="zh-CN"/>
        </w:rPr>
        <w:t>七、对本次采购提出询问，请按以下方式联系</w:t>
      </w:r>
      <w:bookmarkEnd w:id="208"/>
    </w:p>
    <w:p w14:paraId="7598EB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1.采购人信息</w:t>
      </w:r>
    </w:p>
    <w:p w14:paraId="338177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eastAsia="zh-CN"/>
        </w:rPr>
        <w:t>名 称：</w:t>
      </w:r>
      <w:r>
        <w:rPr>
          <w:rFonts w:hint="eastAsia" w:ascii="仿宋" w:hAnsi="仿宋" w:eastAsia="仿宋" w:cs="仿宋"/>
          <w:snapToGrid/>
          <w:color w:val="auto"/>
          <w:kern w:val="2"/>
          <w:sz w:val="24"/>
          <w:szCs w:val="24"/>
          <w:highlight w:val="none"/>
          <w:lang w:val="en-US" w:eastAsia="zh-CN"/>
        </w:rPr>
        <w:t>麦盖提县人民医院</w:t>
      </w:r>
    </w:p>
    <w:p w14:paraId="23EE7D6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地 址：</w:t>
      </w:r>
      <w:r>
        <w:rPr>
          <w:rFonts w:hint="eastAsia" w:ascii="仿宋" w:hAnsi="仿宋" w:eastAsia="仿宋" w:cs="仿宋"/>
          <w:snapToGrid/>
          <w:color w:val="auto"/>
          <w:kern w:val="2"/>
          <w:sz w:val="24"/>
          <w:szCs w:val="24"/>
          <w:highlight w:val="none"/>
          <w:lang w:val="en-US" w:eastAsia="zh-CN"/>
        </w:rPr>
        <w:t>麦盖提县</w:t>
      </w:r>
    </w:p>
    <w:p w14:paraId="33C67D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eastAsia="zh-CN"/>
        </w:rPr>
        <w:t xml:space="preserve">联系方式：19190008850 </w:t>
      </w:r>
    </w:p>
    <w:p w14:paraId="3A85AA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2.采购代理机构信息</w:t>
      </w:r>
    </w:p>
    <w:p w14:paraId="4458B60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名 称：新疆世纪星工程咨询有限公司</w:t>
      </w:r>
    </w:p>
    <w:p w14:paraId="609C01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地 址：乌鲁木齐经济技术开发区二期黄山街一品九点阳光德港大厦B座20楼</w:t>
      </w:r>
    </w:p>
    <w:p w14:paraId="2C6EB5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联系方式：0991-3678303、18690987103、18090815646</w:t>
      </w:r>
    </w:p>
    <w:p w14:paraId="2260B39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pPr>
      <w:r>
        <w:rPr>
          <w:rFonts w:hint="eastAsia" w:ascii="仿宋" w:hAnsi="仿宋" w:eastAsia="仿宋" w:cs="仿宋"/>
          <w:snapToGrid/>
          <w:color w:val="auto"/>
          <w:kern w:val="2"/>
          <w:sz w:val="24"/>
          <w:szCs w:val="24"/>
          <w:highlight w:val="none"/>
          <w:lang w:eastAsia="zh-CN"/>
        </w:rPr>
        <w:t>3.项目联系方式</w:t>
      </w:r>
    </w:p>
    <w:p w14:paraId="778B720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val="en-US" w:eastAsia="zh-CN"/>
        </w:rPr>
      </w:pPr>
      <w:r>
        <w:rPr>
          <w:rFonts w:hint="eastAsia" w:ascii="仿宋" w:hAnsi="仿宋" w:eastAsia="仿宋" w:cs="仿宋"/>
          <w:snapToGrid/>
          <w:color w:val="auto"/>
          <w:kern w:val="2"/>
          <w:sz w:val="24"/>
          <w:szCs w:val="24"/>
          <w:highlight w:val="none"/>
          <w:lang w:eastAsia="zh-CN"/>
        </w:rPr>
        <w:t>项目联系人：訾王贝、李航、范艳娥</w:t>
      </w:r>
    </w:p>
    <w:p w14:paraId="74759F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napToGrid/>
          <w:color w:val="auto"/>
          <w:kern w:val="2"/>
          <w:sz w:val="24"/>
          <w:szCs w:val="24"/>
          <w:highlight w:val="none"/>
          <w:lang w:eastAsia="zh-CN"/>
        </w:rPr>
        <w:sectPr>
          <w:footerReference r:id="rId33" w:type="default"/>
          <w:pgSz w:w="11905" w:h="16838"/>
          <w:pgMar w:top="1440" w:right="1083" w:bottom="1440" w:left="1083" w:header="0" w:footer="1225" w:gutter="0"/>
          <w:pgNumType w:fmt="decimal"/>
          <w:cols w:space="0" w:num="1"/>
          <w:rtlGutter w:val="0"/>
          <w:docGrid w:linePitch="0" w:charSpace="0"/>
        </w:sectPr>
      </w:pPr>
      <w:r>
        <w:rPr>
          <w:rFonts w:hint="eastAsia" w:ascii="仿宋" w:hAnsi="仿宋" w:eastAsia="仿宋" w:cs="仿宋"/>
          <w:snapToGrid/>
          <w:color w:val="auto"/>
          <w:kern w:val="2"/>
          <w:sz w:val="24"/>
          <w:szCs w:val="24"/>
          <w:highlight w:val="none"/>
          <w:lang w:eastAsia="zh-CN"/>
        </w:rPr>
        <w:t>电 话：0991-3678303、18690987103、18090815646</w:t>
      </w:r>
    </w:p>
    <w:p w14:paraId="273BF72E">
      <w:pPr>
        <w:pStyle w:val="8"/>
        <w:spacing w:before="74" w:line="230" w:lineRule="auto"/>
        <w:jc w:val="center"/>
        <w:outlineLvl w:val="0"/>
        <w:rPr>
          <w:rFonts w:hint="eastAsia" w:ascii="仿宋" w:hAnsi="仿宋" w:eastAsia="仿宋" w:cs="仿宋"/>
          <w:color w:val="auto"/>
          <w:sz w:val="35"/>
          <w:szCs w:val="35"/>
          <w:highlight w:val="none"/>
        </w:rPr>
      </w:pPr>
      <w:bookmarkStart w:id="209" w:name="_Toc19824"/>
      <w:r>
        <w:rPr>
          <w:rFonts w:hint="eastAsia" w:ascii="仿宋" w:hAnsi="仿宋" w:eastAsia="仿宋" w:cs="仿宋"/>
          <w:color w:val="auto"/>
          <w:spacing w:val="7"/>
          <w:sz w:val="35"/>
          <w:szCs w:val="35"/>
          <w:highlight w:val="none"/>
          <w14:textOutline w14:w="6537" w14:cap="sq" w14:cmpd="sng">
            <w14:solidFill>
              <w14:srgbClr w14:val="000000"/>
            </w14:solidFill>
            <w14:prstDash w14:val="solid"/>
            <w14:bevel/>
          </w14:textOutline>
        </w:rPr>
        <w:t>第4章投标人须知资料表</w:t>
      </w:r>
      <w:bookmarkEnd w:id="209"/>
    </w:p>
    <w:p w14:paraId="215D43F5">
      <w:pPr>
        <w:pStyle w:val="8"/>
        <w:spacing w:before="125" w:line="220" w:lineRule="auto"/>
        <w:ind w:right="12"/>
        <w:jc w:val="both"/>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FF0000"/>
            </w14:solidFill>
            <w14:prstDash w14:val="solid"/>
            <w14:bevel/>
          </w14:textOutline>
        </w:rPr>
        <w:t>本表是本招标项目的具体资料，是对投标人须知的具体</w:t>
      </w:r>
      <w:r>
        <w:rPr>
          <w:rFonts w:hint="eastAsia" w:ascii="仿宋" w:hAnsi="仿宋" w:eastAsia="仿宋" w:cs="仿宋"/>
          <w:color w:val="auto"/>
          <w:spacing w:val="-4"/>
          <w:sz w:val="24"/>
          <w:szCs w:val="24"/>
          <w:highlight w:val="none"/>
          <w14:textOutline w14:w="4358" w14:cap="sq" w14:cmpd="sng">
            <w14:solidFill>
              <w14:srgbClr w14:val="FF0000"/>
            </w14:solidFill>
            <w14:prstDash w14:val="solid"/>
            <w14:bevel/>
          </w14:textOutline>
        </w:rPr>
        <w:t>补充和修改，如有矛</w:t>
      </w:r>
      <w:r>
        <w:rPr>
          <w:rFonts w:hint="eastAsia" w:ascii="仿宋" w:hAnsi="仿宋" w:eastAsia="仿宋" w:cs="仿宋"/>
          <w:color w:val="auto"/>
          <w:sz w:val="24"/>
          <w:szCs w:val="24"/>
          <w:highlight w:val="none"/>
          <w14:textOutline w14:w="4358" w14:cap="sq" w14:cmpd="sng">
            <w14:solidFill>
              <w14:srgbClr w14:val="FF0000"/>
            </w14:solidFill>
            <w14:prstDash w14:val="solid"/>
            <w14:bevel/>
          </w14:textOutline>
        </w:rPr>
        <w:t>盾，应以本资料表为准。</w:t>
      </w:r>
    </w:p>
    <w:p w14:paraId="5149DF38">
      <w:pPr>
        <w:spacing w:line="88" w:lineRule="auto"/>
        <w:rPr>
          <w:rFonts w:hint="eastAsia" w:ascii="仿宋" w:hAnsi="仿宋" w:eastAsia="仿宋" w:cs="仿宋"/>
          <w:color w:val="auto"/>
          <w:sz w:val="2"/>
          <w:highlight w:val="none"/>
        </w:rPr>
      </w:pPr>
    </w:p>
    <w:tbl>
      <w:tblPr>
        <w:tblStyle w:val="25"/>
        <w:tblW w:w="965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8258"/>
      </w:tblGrid>
      <w:tr w14:paraId="180E2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top w:val="single" w:color="000000" w:sz="10" w:space="0"/>
              <w:left w:val="single" w:color="000000" w:sz="10" w:space="0"/>
            </w:tcBorders>
            <w:vAlign w:val="top"/>
          </w:tcPr>
          <w:p w14:paraId="586B5E72">
            <w:pPr>
              <w:spacing w:before="151" w:line="223" w:lineRule="auto"/>
              <w:ind w:left="270"/>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条款号</w:t>
            </w:r>
          </w:p>
        </w:tc>
        <w:tc>
          <w:tcPr>
            <w:tcW w:w="8258" w:type="dxa"/>
            <w:tcBorders>
              <w:top w:val="single" w:color="000000" w:sz="10" w:space="0"/>
              <w:right w:val="single" w:color="000000" w:sz="10" w:space="0"/>
            </w:tcBorders>
            <w:vAlign w:val="top"/>
          </w:tcPr>
          <w:p w14:paraId="52D1FF67">
            <w:pPr>
              <w:spacing w:before="151" w:line="223" w:lineRule="auto"/>
              <w:ind w:left="597"/>
              <w:rPr>
                <w:rFonts w:hint="eastAsia" w:ascii="仿宋" w:hAnsi="仿宋" w:eastAsia="仿宋" w:cs="仿宋"/>
                <w:color w:val="auto"/>
                <w:sz w:val="24"/>
                <w:szCs w:val="24"/>
                <w:highlight w:val="none"/>
              </w:rPr>
            </w:pPr>
            <w:r>
              <w:rPr>
                <w:rFonts w:hint="eastAsia" w:ascii="仿宋" w:hAnsi="仿宋" w:eastAsia="仿宋" w:cs="仿宋"/>
                <w:color w:val="auto"/>
                <w:spacing w:val="-21"/>
                <w:sz w:val="24"/>
                <w:szCs w:val="24"/>
                <w:highlight w:val="none"/>
                <w14:textOutline w14:w="4358" w14:cap="sq" w14:cmpd="sng">
                  <w14:solidFill>
                    <w14:srgbClr w14:val="000000"/>
                  </w14:solidFill>
                  <w14:prstDash w14:val="solid"/>
                  <w14:bevel/>
                </w14:textOutline>
              </w:rPr>
              <w:t>内容</w:t>
            </w:r>
          </w:p>
        </w:tc>
      </w:tr>
      <w:tr w14:paraId="0E5A2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left w:val="single" w:color="000000" w:sz="10" w:space="0"/>
            </w:tcBorders>
            <w:vAlign w:val="top"/>
          </w:tcPr>
          <w:p w14:paraId="62274715">
            <w:pPr>
              <w:pStyle w:val="26"/>
              <w:spacing w:line="320" w:lineRule="auto"/>
              <w:rPr>
                <w:rFonts w:hint="eastAsia" w:ascii="仿宋" w:hAnsi="仿宋" w:eastAsia="仿宋" w:cs="仿宋"/>
                <w:color w:val="auto"/>
                <w:sz w:val="24"/>
                <w:szCs w:val="24"/>
                <w:highlight w:val="none"/>
              </w:rPr>
            </w:pPr>
          </w:p>
          <w:p w14:paraId="37DB5342">
            <w:pPr>
              <w:spacing w:before="78" w:line="184" w:lineRule="auto"/>
              <w:ind w:left="578"/>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1.1</w:t>
            </w:r>
          </w:p>
        </w:tc>
        <w:tc>
          <w:tcPr>
            <w:tcW w:w="8258" w:type="dxa"/>
            <w:tcBorders>
              <w:right w:val="single" w:color="000000" w:sz="10" w:space="0"/>
            </w:tcBorders>
            <w:vAlign w:val="top"/>
          </w:tcPr>
          <w:p w14:paraId="425B4E9D">
            <w:pPr>
              <w:spacing w:before="146" w:line="240" w:lineRule="auto"/>
              <w:ind w:left="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采购人：</w:t>
            </w:r>
            <w:r>
              <w:rPr>
                <w:rFonts w:hint="eastAsia" w:ascii="仿宋" w:hAnsi="仿宋" w:eastAsia="仿宋" w:cs="仿宋"/>
                <w:color w:val="auto"/>
                <w:spacing w:val="-1"/>
                <w:sz w:val="24"/>
                <w:szCs w:val="24"/>
                <w:highlight w:val="none"/>
                <w:lang w:eastAsia="zh-CN"/>
              </w:rPr>
              <w:t>麦盖提县人民医院</w:t>
            </w:r>
          </w:p>
          <w:p w14:paraId="0CE6FDFB">
            <w:pPr>
              <w:spacing w:before="146" w:line="240" w:lineRule="auto"/>
              <w:ind w:left="23"/>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rPr>
              <w:t>联系人：</w:t>
            </w:r>
            <w:r>
              <w:rPr>
                <w:rFonts w:hint="eastAsia" w:ascii="仿宋" w:hAnsi="仿宋" w:eastAsia="仿宋" w:cs="仿宋"/>
                <w:color w:val="auto"/>
                <w:spacing w:val="-2"/>
                <w:sz w:val="24"/>
                <w:szCs w:val="24"/>
                <w:highlight w:val="none"/>
                <w:lang w:eastAsia="zh-CN"/>
              </w:rPr>
              <w:t>吐尔洪江</w:t>
            </w:r>
            <w:r>
              <w:rPr>
                <w:rFonts w:hint="eastAsia" w:ascii="仿宋" w:hAnsi="仿宋" w:eastAsia="仿宋" w:cs="仿宋"/>
                <w:color w:val="auto"/>
                <w:spacing w:val="-2"/>
                <w:sz w:val="24"/>
                <w:szCs w:val="24"/>
                <w:highlight w:val="none"/>
                <w:lang w:val="en-US" w:eastAsia="zh-CN"/>
              </w:rPr>
              <w:t xml:space="preserve">  </w:t>
            </w:r>
          </w:p>
          <w:p w14:paraId="2090DDCB">
            <w:pPr>
              <w:spacing w:before="146" w:line="240" w:lineRule="auto"/>
              <w:ind w:left="2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电话：</w:t>
            </w:r>
            <w:r>
              <w:rPr>
                <w:rFonts w:hint="eastAsia" w:ascii="仿宋" w:hAnsi="仿宋" w:eastAsia="仿宋" w:cs="仿宋"/>
                <w:color w:val="auto"/>
                <w:spacing w:val="-2"/>
                <w:sz w:val="24"/>
                <w:szCs w:val="24"/>
                <w:highlight w:val="none"/>
                <w:lang w:eastAsia="zh-CN"/>
              </w:rPr>
              <w:t>19190008850</w:t>
            </w:r>
          </w:p>
        </w:tc>
      </w:tr>
      <w:tr w14:paraId="201D4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01" w:type="dxa"/>
            <w:tcBorders>
              <w:left w:val="single" w:color="000000" w:sz="10" w:space="0"/>
            </w:tcBorders>
            <w:vAlign w:val="top"/>
          </w:tcPr>
          <w:p w14:paraId="114AB963">
            <w:pPr>
              <w:pStyle w:val="26"/>
              <w:spacing w:line="412" w:lineRule="auto"/>
              <w:rPr>
                <w:rFonts w:hint="eastAsia" w:ascii="仿宋" w:hAnsi="仿宋" w:eastAsia="仿宋" w:cs="仿宋"/>
                <w:color w:val="auto"/>
                <w:sz w:val="24"/>
                <w:szCs w:val="24"/>
                <w:highlight w:val="none"/>
              </w:rPr>
            </w:pPr>
          </w:p>
          <w:p w14:paraId="665654B8">
            <w:pPr>
              <w:spacing w:before="78" w:line="185" w:lineRule="auto"/>
              <w:ind w:left="578"/>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1.2</w:t>
            </w:r>
          </w:p>
        </w:tc>
        <w:tc>
          <w:tcPr>
            <w:tcW w:w="8258" w:type="dxa"/>
            <w:tcBorders>
              <w:right w:val="single" w:color="000000" w:sz="10" w:space="0"/>
            </w:tcBorders>
            <w:vAlign w:val="top"/>
          </w:tcPr>
          <w:p w14:paraId="00469EEA">
            <w:pPr>
              <w:spacing w:before="145" w:line="240" w:lineRule="auto"/>
              <w:ind w:left="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采购代理机构：</w:t>
            </w:r>
            <w:r>
              <w:rPr>
                <w:rFonts w:hint="eastAsia" w:ascii="仿宋" w:hAnsi="仿宋" w:eastAsia="仿宋" w:cs="仿宋"/>
                <w:color w:val="auto"/>
                <w:spacing w:val="-1"/>
                <w:sz w:val="24"/>
                <w:szCs w:val="24"/>
                <w:highlight w:val="none"/>
                <w:lang w:eastAsia="zh-CN"/>
              </w:rPr>
              <w:t>新疆世纪星工程咨询有限公司</w:t>
            </w:r>
          </w:p>
          <w:p w14:paraId="3221C83D">
            <w:pPr>
              <w:spacing w:before="41" w:line="240" w:lineRule="auto"/>
              <w:ind w:left="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rPr>
              <w:t>地址：乌鲁木齐经济技术开发区二期黄山街一品九点阳光德港大厦B座20楼</w:t>
            </w:r>
          </w:p>
          <w:p w14:paraId="6ED73A9E">
            <w:pPr>
              <w:spacing w:before="17" w:line="240" w:lineRule="auto"/>
              <w:ind w:left="23"/>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rPr>
              <w:t>联系人：</w:t>
            </w:r>
            <w:r>
              <w:rPr>
                <w:rFonts w:hint="eastAsia" w:ascii="仿宋" w:hAnsi="仿宋" w:eastAsia="仿宋" w:cs="仿宋"/>
                <w:color w:val="auto"/>
                <w:spacing w:val="-1"/>
                <w:sz w:val="24"/>
                <w:szCs w:val="24"/>
                <w:highlight w:val="none"/>
                <w:lang w:eastAsia="zh-CN"/>
              </w:rPr>
              <w:t>訾王贝、李航、范艳娥</w:t>
            </w:r>
            <w:r>
              <w:rPr>
                <w:rFonts w:hint="eastAsia" w:ascii="仿宋" w:hAnsi="仿宋" w:eastAsia="仿宋" w:cs="仿宋"/>
                <w:color w:val="auto"/>
                <w:spacing w:val="-1"/>
                <w:sz w:val="24"/>
                <w:szCs w:val="24"/>
                <w:highlight w:val="none"/>
                <w:lang w:val="en-US" w:eastAsia="zh-CN"/>
              </w:rPr>
              <w:t xml:space="preserve">  </w:t>
            </w:r>
          </w:p>
          <w:p w14:paraId="46BFC3B8">
            <w:pPr>
              <w:spacing w:before="17" w:line="240" w:lineRule="auto"/>
              <w:ind w:left="2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rPr>
              <w:t>联系电话：</w:t>
            </w:r>
            <w:r>
              <w:rPr>
                <w:rFonts w:hint="eastAsia" w:ascii="仿宋" w:hAnsi="仿宋" w:eastAsia="仿宋" w:cs="仿宋"/>
                <w:color w:val="auto"/>
                <w:spacing w:val="-1"/>
                <w:sz w:val="24"/>
                <w:szCs w:val="24"/>
                <w:highlight w:val="none"/>
                <w:lang w:eastAsia="zh-CN"/>
              </w:rPr>
              <w:t>0991-3678303、18690987103、18090815646</w:t>
            </w:r>
          </w:p>
        </w:tc>
      </w:tr>
      <w:tr w14:paraId="3BD14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1" w:hRule="atLeast"/>
        </w:trPr>
        <w:tc>
          <w:tcPr>
            <w:tcW w:w="1401" w:type="dxa"/>
            <w:tcBorders>
              <w:left w:val="single" w:color="000000" w:sz="10" w:space="0"/>
            </w:tcBorders>
            <w:vAlign w:val="top"/>
          </w:tcPr>
          <w:p w14:paraId="4F049C40">
            <w:pPr>
              <w:pStyle w:val="26"/>
              <w:spacing w:line="248" w:lineRule="auto"/>
              <w:rPr>
                <w:rFonts w:hint="eastAsia" w:ascii="仿宋" w:hAnsi="仿宋" w:eastAsia="仿宋" w:cs="仿宋"/>
                <w:color w:val="auto"/>
                <w:sz w:val="24"/>
                <w:szCs w:val="24"/>
                <w:highlight w:val="none"/>
              </w:rPr>
            </w:pPr>
          </w:p>
          <w:p w14:paraId="06BB1D44">
            <w:pPr>
              <w:pStyle w:val="26"/>
              <w:spacing w:line="248" w:lineRule="auto"/>
              <w:rPr>
                <w:rFonts w:hint="eastAsia" w:ascii="仿宋" w:hAnsi="仿宋" w:eastAsia="仿宋" w:cs="仿宋"/>
                <w:color w:val="auto"/>
                <w:sz w:val="24"/>
                <w:szCs w:val="24"/>
                <w:highlight w:val="none"/>
              </w:rPr>
            </w:pPr>
          </w:p>
          <w:p w14:paraId="59693A71">
            <w:pPr>
              <w:spacing w:before="78" w:line="185" w:lineRule="auto"/>
              <w:ind w:right="31"/>
              <w:jc w:val="center"/>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1.3.4</w:t>
            </w:r>
          </w:p>
        </w:tc>
        <w:tc>
          <w:tcPr>
            <w:tcW w:w="8258" w:type="dxa"/>
            <w:tcBorders>
              <w:right w:val="single" w:color="000000" w:sz="10" w:space="0"/>
            </w:tcBorders>
            <w:vAlign w:val="top"/>
          </w:tcPr>
          <w:p w14:paraId="609B281F">
            <w:pPr>
              <w:spacing w:before="150" w:line="225"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合格投标人的其他资格要求：</w:t>
            </w:r>
          </w:p>
          <w:p w14:paraId="462E7F01">
            <w:pPr>
              <w:spacing w:before="41" w:line="224" w:lineRule="auto"/>
              <w:ind w:left="25"/>
              <w:rPr>
                <w:rFonts w:hint="eastAsia" w:ascii="仿宋" w:hAnsi="仿宋" w:eastAsia="仿宋" w:cs="仿宋"/>
                <w:b/>
                <w:bCs/>
                <w:color w:val="auto"/>
                <w:spacing w:val="-3"/>
                <w:sz w:val="24"/>
                <w:szCs w:val="24"/>
                <w:highlight w:val="none"/>
                <w:lang w:val="en-US" w:eastAsia="zh-CN"/>
              </w:rPr>
            </w:pPr>
            <w:r>
              <w:rPr>
                <w:rFonts w:hint="eastAsia" w:ascii="仿宋" w:hAnsi="仿宋" w:eastAsia="仿宋" w:cs="仿宋"/>
                <w:b/>
                <w:bCs/>
                <w:color w:val="auto"/>
                <w:spacing w:val="-3"/>
                <w:sz w:val="24"/>
                <w:szCs w:val="24"/>
                <w:highlight w:val="none"/>
                <w:lang w:val="en-US" w:eastAsia="zh-CN"/>
              </w:rPr>
              <w:t>1.满足《中华人民共和国政府采购法》第二十二条规定；</w:t>
            </w:r>
          </w:p>
          <w:p w14:paraId="69C87CA4">
            <w:pPr>
              <w:spacing w:before="41" w:line="224" w:lineRule="auto"/>
              <w:ind w:left="25"/>
              <w:rPr>
                <w:rFonts w:hint="eastAsia" w:ascii="仿宋" w:hAnsi="仿宋" w:eastAsia="仿宋" w:cs="仿宋"/>
                <w:b/>
                <w:bCs/>
                <w:color w:val="auto"/>
                <w:spacing w:val="-3"/>
                <w:sz w:val="24"/>
                <w:szCs w:val="24"/>
                <w:highlight w:val="none"/>
                <w:lang w:val="en-US" w:eastAsia="zh-CN"/>
              </w:rPr>
            </w:pPr>
            <w:r>
              <w:rPr>
                <w:rFonts w:hint="eastAsia" w:ascii="仿宋" w:hAnsi="仿宋" w:eastAsia="仿宋" w:cs="仿宋"/>
                <w:b/>
                <w:bCs/>
                <w:color w:val="auto"/>
                <w:spacing w:val="-3"/>
                <w:sz w:val="24"/>
                <w:szCs w:val="24"/>
                <w:highlight w:val="none"/>
                <w:lang w:val="en-US" w:eastAsia="zh-CN"/>
              </w:rPr>
              <w:t>2.落实政府采购政策需满足的资格要求：/；</w:t>
            </w:r>
          </w:p>
          <w:p w14:paraId="388E4D11">
            <w:pPr>
              <w:spacing w:before="41" w:line="224" w:lineRule="auto"/>
              <w:ind w:left="25"/>
              <w:rPr>
                <w:rFonts w:hint="eastAsia" w:ascii="仿宋" w:hAnsi="仿宋" w:eastAsia="仿宋" w:cs="仿宋"/>
                <w:b/>
                <w:bCs/>
                <w:color w:val="auto"/>
                <w:spacing w:val="-3"/>
                <w:sz w:val="24"/>
                <w:szCs w:val="24"/>
                <w:highlight w:val="none"/>
                <w:lang w:val="en-US" w:eastAsia="zh-CN"/>
              </w:rPr>
            </w:pPr>
            <w:r>
              <w:rPr>
                <w:rFonts w:hint="eastAsia" w:ascii="仿宋" w:hAnsi="仿宋" w:eastAsia="仿宋" w:cs="仿宋"/>
                <w:b/>
                <w:bCs/>
                <w:color w:val="auto"/>
                <w:spacing w:val="-3"/>
                <w:sz w:val="24"/>
                <w:szCs w:val="24"/>
                <w:highlight w:val="none"/>
                <w:lang w:val="en-US" w:eastAsia="zh-CN"/>
              </w:rPr>
              <w:t>3.本项目的特定资格要求：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所有证件均应在有效期内。</w:t>
            </w:r>
          </w:p>
          <w:p w14:paraId="0D30E27E">
            <w:pPr>
              <w:spacing w:before="41" w:line="224" w:lineRule="auto"/>
              <w:ind w:left="25"/>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本项目不接受联合体；</w:t>
            </w:r>
          </w:p>
        </w:tc>
      </w:tr>
      <w:tr w14:paraId="327ED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2911C045">
            <w:pPr>
              <w:spacing w:before="275" w:line="185" w:lineRule="auto"/>
              <w:ind w:left="38" w:leftChars="0"/>
              <w:jc w:val="center"/>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1.3.5</w:t>
            </w:r>
          </w:p>
        </w:tc>
        <w:tc>
          <w:tcPr>
            <w:tcW w:w="8258" w:type="dxa"/>
            <w:tcBorders>
              <w:right w:val="single" w:color="000000" w:sz="10" w:space="0"/>
            </w:tcBorders>
            <w:vAlign w:val="top"/>
          </w:tcPr>
          <w:p w14:paraId="170107FF">
            <w:pPr>
              <w:keepNext w:val="0"/>
              <w:keepLines w:val="0"/>
              <w:widowControl/>
              <w:suppressLineNumbers w:val="0"/>
              <w:jc w:val="left"/>
              <w:rPr>
                <w:rFonts w:hint="eastAsia" w:ascii="仿宋" w:hAnsi="仿宋" w:eastAsia="仿宋" w:cs="仿宋"/>
                <w:color w:val="auto"/>
                <w:spacing w:val="-1"/>
                <w:sz w:val="24"/>
                <w:szCs w:val="24"/>
                <w:highlight w:val="none"/>
              </w:rPr>
            </w:pPr>
          </w:p>
          <w:p w14:paraId="6FB37A5C">
            <w:pPr>
              <w:keepNext w:val="0"/>
              <w:keepLines w:val="0"/>
              <w:widowControl/>
              <w:suppressLineNumbers w:val="0"/>
              <w:jc w:val="left"/>
              <w:rPr>
                <w:rFonts w:hint="eastAsia" w:ascii="仿宋" w:hAnsi="仿宋" w:eastAsia="仿宋" w:cs="仿宋"/>
                <w:b/>
                <w:bCs/>
                <w:color w:val="auto"/>
                <w:spacing w:val="-3"/>
                <w:sz w:val="24"/>
                <w:szCs w:val="24"/>
                <w:highlight w:val="none"/>
                <w:lang w:val="en-US" w:eastAsia="zh-CN"/>
              </w:rPr>
            </w:pPr>
            <w:r>
              <w:rPr>
                <w:rFonts w:hint="eastAsia" w:ascii="仿宋" w:hAnsi="仿宋" w:eastAsia="仿宋" w:cs="仿宋"/>
                <w:color w:val="auto"/>
                <w:spacing w:val="-1"/>
                <w:sz w:val="24"/>
                <w:szCs w:val="24"/>
                <w:highlight w:val="none"/>
              </w:rPr>
              <w:t>是否允许采购进口产品：</w:t>
            </w:r>
            <w:r>
              <w:rPr>
                <w:rFonts w:hint="eastAsia" w:ascii="仿宋" w:hAnsi="仿宋" w:eastAsia="仿宋" w:cs="仿宋"/>
                <w:color w:val="auto"/>
                <w:spacing w:val="-1"/>
                <w:sz w:val="24"/>
                <w:szCs w:val="24"/>
                <w:highlight w:val="none"/>
                <w:lang w:val="en-US" w:eastAsia="zh-CN"/>
              </w:rPr>
              <w:t>否</w:t>
            </w:r>
            <w:r>
              <w:rPr>
                <w:rFonts w:hint="eastAsia" w:ascii="仿宋" w:hAnsi="仿宋" w:eastAsia="仿宋" w:cs="仿宋"/>
                <w:snapToGrid w:val="0"/>
                <w:color w:val="auto"/>
                <w:kern w:val="0"/>
                <w:sz w:val="24"/>
                <w:szCs w:val="24"/>
                <w:highlight w:val="none"/>
                <w:lang w:val="en-US" w:eastAsia="zh-CN" w:bidi="ar"/>
              </w:rPr>
              <w:t>（是、否）</w:t>
            </w:r>
          </w:p>
        </w:tc>
      </w:tr>
      <w:tr w14:paraId="496CB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401" w:type="dxa"/>
            <w:tcBorders>
              <w:left w:val="single" w:color="000000" w:sz="10" w:space="0"/>
            </w:tcBorders>
            <w:vAlign w:val="top"/>
          </w:tcPr>
          <w:p w14:paraId="2665177D">
            <w:pPr>
              <w:pStyle w:val="26"/>
              <w:spacing w:line="243" w:lineRule="auto"/>
              <w:jc w:val="center"/>
              <w:rPr>
                <w:rFonts w:hint="eastAsia" w:ascii="仿宋" w:hAnsi="仿宋" w:eastAsia="仿宋" w:cs="仿宋"/>
                <w:color w:val="auto"/>
                <w:sz w:val="24"/>
                <w:szCs w:val="24"/>
                <w:highlight w:val="none"/>
              </w:rPr>
            </w:pPr>
          </w:p>
          <w:p w14:paraId="7E704D32">
            <w:pPr>
              <w:pStyle w:val="26"/>
              <w:spacing w:line="243" w:lineRule="auto"/>
              <w:jc w:val="center"/>
              <w:rPr>
                <w:rFonts w:hint="eastAsia" w:ascii="仿宋" w:hAnsi="仿宋" w:eastAsia="仿宋" w:cs="仿宋"/>
                <w:color w:val="auto"/>
                <w:sz w:val="24"/>
                <w:szCs w:val="24"/>
                <w:highlight w:val="none"/>
              </w:rPr>
            </w:pPr>
          </w:p>
          <w:p w14:paraId="119C98B0">
            <w:pPr>
              <w:pStyle w:val="26"/>
              <w:spacing w:line="243" w:lineRule="auto"/>
              <w:jc w:val="center"/>
              <w:rPr>
                <w:rFonts w:hint="eastAsia" w:ascii="仿宋" w:hAnsi="仿宋" w:eastAsia="仿宋" w:cs="仿宋"/>
                <w:color w:val="auto"/>
                <w:sz w:val="24"/>
                <w:szCs w:val="24"/>
                <w:highlight w:val="none"/>
              </w:rPr>
            </w:pPr>
          </w:p>
          <w:p w14:paraId="13488ABF">
            <w:pPr>
              <w:pStyle w:val="26"/>
              <w:spacing w:line="243" w:lineRule="auto"/>
              <w:jc w:val="center"/>
              <w:rPr>
                <w:rFonts w:hint="eastAsia" w:ascii="仿宋" w:hAnsi="仿宋" w:eastAsia="仿宋" w:cs="仿宋"/>
                <w:color w:val="auto"/>
                <w:sz w:val="24"/>
                <w:szCs w:val="24"/>
                <w:highlight w:val="none"/>
              </w:rPr>
            </w:pPr>
          </w:p>
          <w:p w14:paraId="13F42C66">
            <w:pPr>
              <w:pStyle w:val="26"/>
              <w:spacing w:line="243" w:lineRule="auto"/>
              <w:jc w:val="center"/>
              <w:rPr>
                <w:rFonts w:hint="eastAsia" w:ascii="仿宋" w:hAnsi="仿宋" w:eastAsia="仿宋" w:cs="仿宋"/>
                <w:color w:val="auto"/>
                <w:sz w:val="24"/>
                <w:szCs w:val="24"/>
                <w:highlight w:val="none"/>
              </w:rPr>
            </w:pPr>
          </w:p>
          <w:p w14:paraId="64891F64">
            <w:pPr>
              <w:pStyle w:val="26"/>
              <w:spacing w:line="243" w:lineRule="auto"/>
              <w:jc w:val="center"/>
              <w:rPr>
                <w:rFonts w:hint="eastAsia" w:ascii="仿宋" w:hAnsi="仿宋" w:eastAsia="仿宋" w:cs="仿宋"/>
                <w:color w:val="auto"/>
                <w:sz w:val="24"/>
                <w:szCs w:val="24"/>
                <w:highlight w:val="none"/>
              </w:rPr>
            </w:pPr>
          </w:p>
          <w:p w14:paraId="249D32B2">
            <w:pPr>
              <w:pStyle w:val="26"/>
              <w:spacing w:line="243" w:lineRule="auto"/>
              <w:jc w:val="center"/>
              <w:rPr>
                <w:rFonts w:hint="eastAsia" w:ascii="仿宋" w:hAnsi="仿宋" w:eastAsia="仿宋" w:cs="仿宋"/>
                <w:color w:val="auto"/>
                <w:sz w:val="24"/>
                <w:szCs w:val="24"/>
                <w:highlight w:val="none"/>
              </w:rPr>
            </w:pPr>
          </w:p>
          <w:p w14:paraId="20D73795">
            <w:pPr>
              <w:pStyle w:val="26"/>
              <w:spacing w:line="243" w:lineRule="auto"/>
              <w:jc w:val="center"/>
              <w:rPr>
                <w:rFonts w:hint="eastAsia" w:ascii="仿宋" w:hAnsi="仿宋" w:eastAsia="仿宋" w:cs="仿宋"/>
                <w:color w:val="auto"/>
                <w:sz w:val="24"/>
                <w:szCs w:val="24"/>
                <w:highlight w:val="none"/>
              </w:rPr>
            </w:pPr>
          </w:p>
          <w:p w14:paraId="74ABA14C">
            <w:pPr>
              <w:pStyle w:val="26"/>
              <w:spacing w:line="243" w:lineRule="auto"/>
              <w:jc w:val="center"/>
              <w:rPr>
                <w:rFonts w:hint="eastAsia" w:ascii="仿宋" w:hAnsi="仿宋" w:eastAsia="仿宋" w:cs="仿宋"/>
                <w:color w:val="auto"/>
                <w:sz w:val="24"/>
                <w:szCs w:val="24"/>
                <w:highlight w:val="none"/>
              </w:rPr>
            </w:pPr>
          </w:p>
          <w:p w14:paraId="5A09AAD6">
            <w:pPr>
              <w:pStyle w:val="26"/>
              <w:spacing w:line="243" w:lineRule="auto"/>
              <w:jc w:val="center"/>
              <w:rPr>
                <w:rFonts w:hint="eastAsia" w:ascii="仿宋" w:hAnsi="仿宋" w:eastAsia="仿宋" w:cs="仿宋"/>
                <w:color w:val="auto"/>
                <w:sz w:val="24"/>
                <w:szCs w:val="24"/>
                <w:highlight w:val="none"/>
              </w:rPr>
            </w:pPr>
          </w:p>
          <w:p w14:paraId="1D3B3590">
            <w:pPr>
              <w:pStyle w:val="26"/>
              <w:spacing w:line="243" w:lineRule="auto"/>
              <w:jc w:val="center"/>
              <w:rPr>
                <w:rFonts w:hint="eastAsia" w:ascii="仿宋" w:hAnsi="仿宋" w:eastAsia="仿宋" w:cs="仿宋"/>
                <w:color w:val="auto"/>
                <w:sz w:val="24"/>
                <w:szCs w:val="24"/>
                <w:highlight w:val="none"/>
              </w:rPr>
            </w:pPr>
          </w:p>
          <w:p w14:paraId="1E0CC5AD">
            <w:pPr>
              <w:pStyle w:val="26"/>
              <w:spacing w:line="243" w:lineRule="auto"/>
              <w:jc w:val="center"/>
              <w:rPr>
                <w:rFonts w:hint="eastAsia" w:ascii="仿宋" w:hAnsi="仿宋" w:eastAsia="仿宋" w:cs="仿宋"/>
                <w:color w:val="auto"/>
                <w:sz w:val="24"/>
                <w:szCs w:val="24"/>
                <w:highlight w:val="none"/>
              </w:rPr>
            </w:pPr>
          </w:p>
          <w:p w14:paraId="7F933EF4">
            <w:pPr>
              <w:pStyle w:val="26"/>
              <w:spacing w:line="244" w:lineRule="auto"/>
              <w:jc w:val="center"/>
              <w:rPr>
                <w:rFonts w:hint="eastAsia" w:ascii="仿宋" w:hAnsi="仿宋" w:eastAsia="仿宋" w:cs="仿宋"/>
                <w:color w:val="auto"/>
                <w:sz w:val="24"/>
                <w:szCs w:val="24"/>
                <w:highlight w:val="none"/>
              </w:rPr>
            </w:pPr>
          </w:p>
          <w:p w14:paraId="5CFCA0CA">
            <w:pPr>
              <w:spacing w:before="78" w:line="185" w:lineRule="auto"/>
              <w:ind w:left="38" w:leftChars="0"/>
              <w:jc w:val="center"/>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1.3.6</w:t>
            </w:r>
          </w:p>
        </w:tc>
        <w:tc>
          <w:tcPr>
            <w:tcW w:w="8258" w:type="dxa"/>
            <w:tcBorders>
              <w:right w:val="single" w:color="000000" w:sz="10" w:space="0"/>
            </w:tcBorders>
            <w:vAlign w:val="top"/>
          </w:tcPr>
          <w:p w14:paraId="0EC40BC1">
            <w:pPr>
              <w:spacing w:before="145" w:line="223" w:lineRule="auto"/>
              <w:ind w:left="2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注：1.根据《政府采购促进中小企业发展管理办法</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，财库</w:t>
            </w:r>
            <w:r>
              <w:rPr>
                <w:rFonts w:hint="eastAsia" w:ascii="仿宋" w:hAnsi="仿宋" w:eastAsia="仿宋" w:cs="仿宋"/>
                <w:color w:val="auto"/>
                <w:spacing w:val="-1"/>
                <w:sz w:val="24"/>
                <w:szCs w:val="24"/>
                <w:highlight w:val="none"/>
                <w:lang w:val="en-US" w:eastAsia="zh-CN"/>
              </w:rPr>
              <w:t>﹝2020﹞46 号</w:t>
            </w:r>
            <w:r>
              <w:rPr>
                <w:rFonts w:hint="eastAsia" w:ascii="仿宋" w:hAnsi="仿宋" w:eastAsia="仿宋" w:cs="仿宋"/>
                <w:color w:val="auto"/>
                <w:spacing w:val="-1"/>
                <w:sz w:val="24"/>
                <w:szCs w:val="24"/>
                <w:highlight w:val="none"/>
              </w:rPr>
              <w:t>规定：</w:t>
            </w:r>
          </w:p>
          <w:p w14:paraId="6385419E">
            <w:pPr>
              <w:spacing w:before="145" w:line="223" w:lineRule="auto"/>
              <w:ind w:left="2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14:paraId="1DBEFA7A">
            <w:pPr>
              <w:spacing w:before="145" w:line="223" w:lineRule="auto"/>
              <w:ind w:left="2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2、对于未预留份额专门面向中小企业的采购项目</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以及预留份额项目中的非预留部分采购包，采购人、采购代理机构应当对符合规定的小微企业报价给予10%~20%（工程项目为6%~10%）的扣除</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用扣除后的价格参加评审。适用招标投标法的政府采购工程建设项目，采用综合评估法但未采用低价优先法计算价格分的</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rPr>
              <w:t>评标时应当在采用原报价进行评分的基础上增加其价格得分的6%~10%作为其价格分。</w:t>
            </w:r>
          </w:p>
          <w:p w14:paraId="4C7165D8">
            <w:pPr>
              <w:spacing w:before="145" w:line="223" w:lineRule="auto"/>
              <w:ind w:left="20"/>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55AB8C20">
            <w:pPr>
              <w:spacing w:before="145" w:line="223" w:lineRule="auto"/>
              <w:ind w:left="20"/>
              <w:rPr>
                <w:rFonts w:hint="eastAsia" w:ascii="仿宋" w:hAnsi="仿宋" w:eastAsia="仿宋" w:cs="仿宋"/>
                <w:b/>
                <w:bCs/>
                <w:color w:val="auto"/>
                <w:spacing w:val="-1"/>
                <w:sz w:val="24"/>
                <w:szCs w:val="24"/>
                <w:highlight w:val="none"/>
              </w:rPr>
            </w:pPr>
            <w:r>
              <w:rPr>
                <w:rFonts w:hint="eastAsia" w:ascii="仿宋" w:hAnsi="仿宋" w:eastAsia="仿宋" w:cs="仿宋"/>
                <w:b/>
                <w:bCs/>
                <w:color w:val="auto"/>
                <w:spacing w:val="-1"/>
                <w:sz w:val="24"/>
                <w:szCs w:val="24"/>
                <w:highlight w:val="none"/>
              </w:rPr>
              <w:t>潜在投标企业属于中小微企业的，请在投标文件中提供“中小企业声明函”，如果未提供或提供虚假的“中小企业声明函”，投标企业将承担由此造成的一切不利后果。</w:t>
            </w:r>
          </w:p>
          <w:p w14:paraId="0540C866">
            <w:pPr>
              <w:spacing w:before="145" w:line="223" w:lineRule="auto"/>
              <w:ind w:left="20"/>
              <w:rPr>
                <w:rFonts w:hint="default" w:ascii="仿宋" w:hAnsi="仿宋" w:eastAsia="仿宋" w:cs="仿宋"/>
                <w:b/>
                <w:bCs/>
                <w:color w:val="auto"/>
                <w:spacing w:val="-3"/>
                <w:sz w:val="24"/>
                <w:szCs w:val="24"/>
                <w:highlight w:val="none"/>
                <w:lang w:val="en-US" w:eastAsia="zh-CN"/>
              </w:rPr>
            </w:pPr>
            <w:r>
              <w:rPr>
                <w:rFonts w:hint="eastAsia" w:ascii="仿宋" w:hAnsi="仿宋" w:eastAsia="仿宋" w:cs="仿宋"/>
                <w:b/>
                <w:bCs/>
                <w:color w:val="auto"/>
                <w:spacing w:val="-1"/>
                <w:sz w:val="24"/>
                <w:szCs w:val="24"/>
                <w:highlight w:val="none"/>
              </w:rPr>
              <w:t>本项目</w:t>
            </w:r>
            <w:r>
              <w:rPr>
                <w:rFonts w:hint="eastAsia" w:ascii="仿宋" w:hAnsi="仿宋" w:eastAsia="仿宋" w:cs="仿宋"/>
                <w:b/>
                <w:bCs/>
                <w:color w:val="auto"/>
                <w:spacing w:val="-1"/>
                <w:sz w:val="24"/>
                <w:szCs w:val="24"/>
                <w:highlight w:val="none"/>
                <w:lang w:val="en-US" w:eastAsia="zh-CN"/>
              </w:rPr>
              <w:t>标项 1、2、3</w:t>
            </w:r>
            <w:r>
              <w:rPr>
                <w:rFonts w:hint="eastAsia" w:ascii="仿宋" w:hAnsi="仿宋" w:eastAsia="仿宋" w:cs="仿宋"/>
                <w:b/>
                <w:bCs/>
                <w:color w:val="auto"/>
                <w:spacing w:val="-1"/>
                <w:sz w:val="24"/>
                <w:szCs w:val="24"/>
                <w:highlight w:val="none"/>
              </w:rPr>
              <w:t>所属行业</w:t>
            </w:r>
            <w:r>
              <w:rPr>
                <w:rFonts w:hint="eastAsia" w:ascii="仿宋" w:hAnsi="仿宋" w:eastAsia="仿宋" w:cs="仿宋"/>
                <w:b/>
                <w:bCs/>
                <w:color w:val="auto"/>
                <w:spacing w:val="-1"/>
                <w:sz w:val="24"/>
                <w:szCs w:val="24"/>
                <w:highlight w:val="none"/>
                <w:lang w:val="en-US" w:eastAsia="zh-CN"/>
              </w:rPr>
              <w:t>:工业；</w:t>
            </w:r>
          </w:p>
        </w:tc>
      </w:tr>
      <w:tr w14:paraId="5342A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5993C088">
            <w:pPr>
              <w:spacing w:before="188" w:line="170" w:lineRule="auto"/>
              <w:ind w:left="578" w:leftChars="0"/>
              <w:rPr>
                <w:rFonts w:hint="eastAsia" w:ascii="仿宋" w:hAnsi="仿宋" w:eastAsia="仿宋" w:cs="仿宋"/>
                <w:color w:val="auto"/>
                <w:spacing w:val="-5"/>
                <w:sz w:val="24"/>
                <w:szCs w:val="24"/>
                <w:highlight w:val="none"/>
              </w:rPr>
            </w:pPr>
            <w:r>
              <w:rPr>
                <w:rFonts w:hint="eastAsia" w:ascii="仿宋" w:hAnsi="仿宋" w:eastAsia="仿宋" w:cs="仿宋"/>
                <w:color w:val="auto"/>
                <w:spacing w:val="-8"/>
                <w:sz w:val="24"/>
                <w:szCs w:val="24"/>
                <w:highlight w:val="none"/>
              </w:rPr>
              <w:t>1.4</w:t>
            </w:r>
          </w:p>
        </w:tc>
        <w:tc>
          <w:tcPr>
            <w:tcW w:w="8258" w:type="dxa"/>
            <w:tcBorders>
              <w:right w:val="single" w:color="000000" w:sz="10" w:space="0"/>
            </w:tcBorders>
            <w:vAlign w:val="top"/>
          </w:tcPr>
          <w:p w14:paraId="27497099">
            <w:pPr>
              <w:spacing w:before="151" w:line="198" w:lineRule="auto"/>
              <w:ind w:left="23" w:leftChars="0"/>
              <w:rPr>
                <w:rFonts w:hint="eastAsia" w:ascii="仿宋" w:hAnsi="仿宋" w:eastAsia="仿宋" w:cs="仿宋"/>
                <w:color w:val="auto"/>
                <w:spacing w:val="-5"/>
                <w:sz w:val="24"/>
                <w:szCs w:val="24"/>
                <w:highlight w:val="none"/>
                <w:u w:val="single" w:color="000000"/>
                <w14:textOutline w14:w="4358" w14:cap="sq" w14:cmpd="sng">
                  <w14:solidFill>
                    <w14:srgbClr w14:val="000000"/>
                  </w14:solidFill>
                  <w14:prstDash w14:val="solid"/>
                  <w14:bevel/>
                </w14:textOutline>
              </w:rPr>
            </w:pPr>
            <w:r>
              <w:rPr>
                <w:rFonts w:hint="eastAsia" w:ascii="仿宋" w:hAnsi="仿宋" w:eastAsia="仿宋" w:cs="仿宋"/>
                <w:color w:val="auto"/>
                <w:sz w:val="24"/>
                <w:szCs w:val="24"/>
                <w:highlight w:val="none"/>
              </w:rPr>
              <w:t>是否允许联合体投标：否</w:t>
            </w:r>
          </w:p>
        </w:tc>
      </w:tr>
      <w:tr w14:paraId="2D86F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75EAE50C">
            <w:pPr>
              <w:pStyle w:val="26"/>
              <w:spacing w:line="243" w:lineRule="auto"/>
              <w:rPr>
                <w:rFonts w:hint="eastAsia" w:ascii="仿宋" w:hAnsi="仿宋" w:eastAsia="仿宋" w:cs="仿宋"/>
                <w:color w:val="auto"/>
                <w:sz w:val="24"/>
                <w:szCs w:val="24"/>
                <w:highlight w:val="none"/>
              </w:rPr>
            </w:pPr>
          </w:p>
          <w:p w14:paraId="255B6459">
            <w:pPr>
              <w:spacing w:before="78" w:line="184" w:lineRule="auto"/>
              <w:ind w:right="31" w:rightChars="0"/>
              <w:jc w:val="center"/>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1.4.8</w:t>
            </w:r>
          </w:p>
        </w:tc>
        <w:tc>
          <w:tcPr>
            <w:tcW w:w="8258" w:type="dxa"/>
            <w:tcBorders>
              <w:right w:val="single" w:color="000000" w:sz="10" w:space="0"/>
            </w:tcBorders>
            <w:vAlign w:val="top"/>
          </w:tcPr>
          <w:p w14:paraId="372D3826">
            <w:pPr>
              <w:spacing w:before="286" w:line="225" w:lineRule="auto"/>
              <w:ind w:left="23" w:leftChars="0"/>
              <w:rPr>
                <w:rFonts w:hint="eastAsia" w:ascii="仿宋" w:hAnsi="仿宋" w:eastAsia="仿宋" w:cs="仿宋"/>
                <w:color w:val="auto"/>
                <w:spacing w:val="-5"/>
                <w:sz w:val="24"/>
                <w:szCs w:val="24"/>
                <w:highlight w:val="none"/>
                <w:u w:val="single" w:color="000000"/>
                <w14:textOutline w14:w="4358" w14:cap="sq" w14:cmpd="sng">
                  <w14:solidFill>
                    <w14:srgbClr w14:val="000000"/>
                  </w14:solidFill>
                  <w14:prstDash w14:val="solid"/>
                  <w14:bevel/>
                </w14:textOutline>
              </w:rPr>
            </w:pPr>
            <w:r>
              <w:rPr>
                <w:rFonts w:hint="eastAsia" w:ascii="仿宋" w:hAnsi="仿宋" w:eastAsia="仿宋" w:cs="仿宋"/>
                <w:color w:val="auto"/>
                <w:sz w:val="24"/>
                <w:szCs w:val="24"/>
                <w:highlight w:val="none"/>
              </w:rPr>
              <w:t>联合体的其他资格要求：无</w:t>
            </w:r>
          </w:p>
        </w:tc>
      </w:tr>
      <w:tr w14:paraId="78D0F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tcBorders>
            <w:vAlign w:val="top"/>
          </w:tcPr>
          <w:p w14:paraId="1636026D">
            <w:pPr>
              <w:pStyle w:val="26"/>
              <w:spacing w:line="429" w:lineRule="auto"/>
              <w:rPr>
                <w:rFonts w:hint="eastAsia" w:ascii="仿宋" w:hAnsi="仿宋" w:eastAsia="仿宋" w:cs="仿宋"/>
                <w:color w:val="auto"/>
                <w:sz w:val="24"/>
                <w:szCs w:val="24"/>
                <w:highlight w:val="none"/>
              </w:rPr>
            </w:pPr>
          </w:p>
          <w:p w14:paraId="7237C170">
            <w:pPr>
              <w:spacing w:before="78" w:line="185" w:lineRule="auto"/>
              <w:ind w:left="564" w:leftChars="0"/>
              <w:rPr>
                <w:rFonts w:hint="eastAsia" w:ascii="仿宋" w:hAnsi="仿宋" w:eastAsia="仿宋" w:cs="仿宋"/>
                <w:color w:val="auto"/>
                <w:spacing w:val="-5"/>
                <w:sz w:val="24"/>
                <w:szCs w:val="24"/>
                <w:highlight w:val="none"/>
              </w:rPr>
            </w:pPr>
            <w:r>
              <w:rPr>
                <w:rFonts w:hint="eastAsia" w:ascii="仿宋" w:hAnsi="仿宋" w:eastAsia="仿宋" w:cs="仿宋"/>
                <w:color w:val="auto"/>
                <w:spacing w:val="-3"/>
                <w:sz w:val="24"/>
                <w:szCs w:val="24"/>
                <w:highlight w:val="none"/>
              </w:rPr>
              <w:t>2.2</w:t>
            </w:r>
          </w:p>
        </w:tc>
        <w:tc>
          <w:tcPr>
            <w:tcW w:w="8258" w:type="dxa"/>
            <w:tcBorders>
              <w:right w:val="single" w:color="000000" w:sz="10" w:space="0"/>
            </w:tcBorders>
            <w:vAlign w:val="top"/>
          </w:tcPr>
          <w:p w14:paraId="5766931D">
            <w:pPr>
              <w:spacing w:before="135" w:line="208" w:lineRule="auto"/>
              <w:rPr>
                <w:rFonts w:hint="eastAsia" w:ascii="仿宋" w:hAnsi="仿宋" w:eastAsia="仿宋" w:cs="仿宋"/>
                <w:color w:val="auto"/>
                <w:spacing w:val="-5"/>
                <w:sz w:val="24"/>
                <w:szCs w:val="24"/>
                <w:highlight w:val="none"/>
                <w:u w:val="single" w:color="000000"/>
                <w:lang w:val="en-US"/>
                <w14:textOutline w14:w="4358" w14:cap="sq" w14:cmpd="sng">
                  <w14:solidFill>
                    <w14:srgbClr w14:val="000000"/>
                  </w14:solidFill>
                  <w14:prstDash w14:val="solid"/>
                  <w14:bevel/>
                </w14:textOutline>
              </w:rPr>
            </w:pPr>
            <w:r>
              <w:rPr>
                <w:rFonts w:hint="eastAsia" w:ascii="仿宋" w:hAnsi="仿宋" w:eastAsia="仿宋" w:cs="仿宋"/>
                <w:b/>
                <w:bCs/>
                <w:color w:val="auto"/>
                <w:spacing w:val="-1"/>
                <w:sz w:val="24"/>
                <w:szCs w:val="24"/>
                <w:highlight w:val="none"/>
                <w:lang w:val="en-US" w:eastAsia="zh-CN"/>
              </w:rPr>
              <w:t>项目总预算金额：14733000元；本项目分3个标项：9500000元（标项1）；2800000元（标项2）；2433000元（标项3）；</w:t>
            </w:r>
          </w:p>
        </w:tc>
      </w:tr>
      <w:tr w14:paraId="7402E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401" w:type="dxa"/>
            <w:tcBorders>
              <w:left w:val="single" w:color="000000" w:sz="10" w:space="0"/>
              <w:bottom w:val="single" w:color="000000" w:sz="10" w:space="0"/>
            </w:tcBorders>
            <w:vAlign w:val="top"/>
          </w:tcPr>
          <w:p w14:paraId="6AFEEF17">
            <w:pPr>
              <w:pStyle w:val="26"/>
              <w:spacing w:line="250" w:lineRule="auto"/>
              <w:rPr>
                <w:rFonts w:hint="eastAsia" w:ascii="仿宋" w:hAnsi="仿宋" w:eastAsia="仿宋" w:cs="仿宋"/>
                <w:color w:val="auto"/>
                <w:sz w:val="24"/>
                <w:szCs w:val="24"/>
                <w:highlight w:val="none"/>
              </w:rPr>
            </w:pPr>
          </w:p>
          <w:p w14:paraId="47CE961E">
            <w:pPr>
              <w:pStyle w:val="26"/>
              <w:spacing w:line="251" w:lineRule="auto"/>
              <w:rPr>
                <w:rFonts w:hint="eastAsia" w:ascii="仿宋" w:hAnsi="仿宋" w:eastAsia="仿宋" w:cs="仿宋"/>
                <w:color w:val="auto"/>
                <w:sz w:val="24"/>
                <w:szCs w:val="24"/>
                <w:highlight w:val="none"/>
              </w:rPr>
            </w:pPr>
          </w:p>
          <w:p w14:paraId="54E7C4B1">
            <w:pPr>
              <w:pStyle w:val="26"/>
              <w:spacing w:line="251" w:lineRule="auto"/>
              <w:rPr>
                <w:rFonts w:hint="eastAsia" w:ascii="仿宋" w:hAnsi="仿宋" w:eastAsia="仿宋" w:cs="仿宋"/>
                <w:color w:val="auto"/>
                <w:sz w:val="24"/>
                <w:szCs w:val="24"/>
                <w:highlight w:val="none"/>
              </w:rPr>
            </w:pPr>
          </w:p>
          <w:p w14:paraId="03FAD798">
            <w:pPr>
              <w:pStyle w:val="26"/>
              <w:spacing w:line="251" w:lineRule="auto"/>
              <w:rPr>
                <w:rFonts w:hint="eastAsia" w:ascii="仿宋" w:hAnsi="仿宋" w:eastAsia="仿宋" w:cs="仿宋"/>
                <w:color w:val="auto"/>
                <w:sz w:val="24"/>
                <w:szCs w:val="24"/>
                <w:highlight w:val="none"/>
              </w:rPr>
            </w:pPr>
          </w:p>
          <w:p w14:paraId="410F0579">
            <w:pPr>
              <w:pStyle w:val="26"/>
              <w:spacing w:line="251" w:lineRule="auto"/>
              <w:rPr>
                <w:rFonts w:hint="eastAsia" w:ascii="仿宋" w:hAnsi="仿宋" w:eastAsia="仿宋" w:cs="仿宋"/>
                <w:color w:val="auto"/>
                <w:sz w:val="24"/>
                <w:szCs w:val="24"/>
                <w:highlight w:val="none"/>
              </w:rPr>
            </w:pPr>
          </w:p>
          <w:p w14:paraId="7CAF3579">
            <w:pPr>
              <w:pStyle w:val="26"/>
              <w:spacing w:line="251" w:lineRule="auto"/>
              <w:rPr>
                <w:rFonts w:hint="eastAsia" w:ascii="仿宋" w:hAnsi="仿宋" w:eastAsia="仿宋" w:cs="仿宋"/>
                <w:color w:val="auto"/>
                <w:sz w:val="24"/>
                <w:szCs w:val="24"/>
                <w:highlight w:val="none"/>
              </w:rPr>
            </w:pPr>
          </w:p>
          <w:p w14:paraId="1B566753">
            <w:pPr>
              <w:pStyle w:val="26"/>
              <w:spacing w:line="251" w:lineRule="auto"/>
              <w:rPr>
                <w:rFonts w:hint="eastAsia" w:ascii="仿宋" w:hAnsi="仿宋" w:eastAsia="仿宋" w:cs="仿宋"/>
                <w:color w:val="auto"/>
                <w:sz w:val="24"/>
                <w:szCs w:val="24"/>
                <w:highlight w:val="none"/>
              </w:rPr>
            </w:pPr>
          </w:p>
          <w:p w14:paraId="7E704729">
            <w:pPr>
              <w:pStyle w:val="26"/>
              <w:spacing w:line="251" w:lineRule="auto"/>
              <w:rPr>
                <w:rFonts w:hint="eastAsia" w:ascii="仿宋" w:hAnsi="仿宋" w:eastAsia="仿宋" w:cs="仿宋"/>
                <w:color w:val="auto"/>
                <w:sz w:val="24"/>
                <w:szCs w:val="24"/>
                <w:highlight w:val="none"/>
              </w:rPr>
            </w:pPr>
          </w:p>
          <w:p w14:paraId="10320DB1">
            <w:pPr>
              <w:pStyle w:val="26"/>
              <w:spacing w:line="251" w:lineRule="auto"/>
              <w:rPr>
                <w:rFonts w:hint="eastAsia" w:ascii="仿宋" w:hAnsi="仿宋" w:eastAsia="仿宋" w:cs="仿宋"/>
                <w:color w:val="auto"/>
                <w:sz w:val="24"/>
                <w:szCs w:val="24"/>
                <w:highlight w:val="none"/>
              </w:rPr>
            </w:pPr>
          </w:p>
          <w:p w14:paraId="365B99D4">
            <w:pPr>
              <w:pStyle w:val="26"/>
              <w:spacing w:line="251" w:lineRule="auto"/>
              <w:rPr>
                <w:rFonts w:hint="eastAsia" w:ascii="仿宋" w:hAnsi="仿宋" w:eastAsia="仿宋" w:cs="仿宋"/>
                <w:color w:val="auto"/>
                <w:sz w:val="24"/>
                <w:szCs w:val="24"/>
                <w:highlight w:val="none"/>
              </w:rPr>
            </w:pPr>
          </w:p>
          <w:p w14:paraId="0A9B2C75">
            <w:pPr>
              <w:pStyle w:val="26"/>
              <w:spacing w:line="251" w:lineRule="auto"/>
              <w:rPr>
                <w:rFonts w:hint="eastAsia" w:ascii="仿宋" w:hAnsi="仿宋" w:eastAsia="仿宋" w:cs="仿宋"/>
                <w:color w:val="auto"/>
                <w:sz w:val="24"/>
                <w:szCs w:val="24"/>
                <w:highlight w:val="none"/>
              </w:rPr>
            </w:pPr>
          </w:p>
          <w:p w14:paraId="65776843">
            <w:pPr>
              <w:pStyle w:val="26"/>
              <w:spacing w:line="251" w:lineRule="auto"/>
              <w:rPr>
                <w:rFonts w:hint="eastAsia" w:ascii="仿宋" w:hAnsi="仿宋" w:eastAsia="仿宋" w:cs="仿宋"/>
                <w:color w:val="auto"/>
                <w:sz w:val="24"/>
                <w:szCs w:val="24"/>
                <w:highlight w:val="none"/>
              </w:rPr>
            </w:pPr>
          </w:p>
          <w:p w14:paraId="7E2748A8">
            <w:pPr>
              <w:pStyle w:val="26"/>
              <w:spacing w:line="251" w:lineRule="auto"/>
              <w:rPr>
                <w:rFonts w:hint="eastAsia" w:ascii="仿宋" w:hAnsi="仿宋" w:eastAsia="仿宋" w:cs="仿宋"/>
                <w:color w:val="auto"/>
                <w:sz w:val="24"/>
                <w:szCs w:val="24"/>
                <w:highlight w:val="none"/>
              </w:rPr>
            </w:pPr>
          </w:p>
          <w:p w14:paraId="24DF4005">
            <w:pPr>
              <w:pStyle w:val="26"/>
              <w:spacing w:line="251" w:lineRule="auto"/>
              <w:rPr>
                <w:rFonts w:hint="eastAsia" w:ascii="仿宋" w:hAnsi="仿宋" w:eastAsia="仿宋" w:cs="仿宋"/>
                <w:color w:val="auto"/>
                <w:sz w:val="24"/>
                <w:szCs w:val="24"/>
                <w:highlight w:val="none"/>
              </w:rPr>
            </w:pPr>
          </w:p>
          <w:p w14:paraId="7BB5DFE5">
            <w:pPr>
              <w:pStyle w:val="26"/>
              <w:spacing w:line="251" w:lineRule="auto"/>
              <w:rPr>
                <w:rFonts w:hint="eastAsia" w:ascii="仿宋" w:hAnsi="仿宋" w:eastAsia="仿宋" w:cs="仿宋"/>
                <w:color w:val="auto"/>
                <w:sz w:val="24"/>
                <w:szCs w:val="24"/>
                <w:highlight w:val="none"/>
              </w:rPr>
            </w:pPr>
          </w:p>
          <w:p w14:paraId="03822CB4">
            <w:pPr>
              <w:pStyle w:val="26"/>
              <w:spacing w:line="251" w:lineRule="auto"/>
              <w:rPr>
                <w:rFonts w:hint="eastAsia" w:ascii="仿宋" w:hAnsi="仿宋" w:eastAsia="仿宋" w:cs="仿宋"/>
                <w:color w:val="auto"/>
                <w:sz w:val="24"/>
                <w:szCs w:val="24"/>
                <w:highlight w:val="none"/>
              </w:rPr>
            </w:pPr>
          </w:p>
          <w:p w14:paraId="34A86713">
            <w:pPr>
              <w:pStyle w:val="26"/>
              <w:spacing w:line="251" w:lineRule="auto"/>
              <w:rPr>
                <w:rFonts w:hint="eastAsia" w:ascii="仿宋" w:hAnsi="仿宋" w:eastAsia="仿宋" w:cs="仿宋"/>
                <w:color w:val="auto"/>
                <w:sz w:val="24"/>
                <w:szCs w:val="24"/>
                <w:highlight w:val="none"/>
              </w:rPr>
            </w:pPr>
          </w:p>
          <w:p w14:paraId="6709A54C">
            <w:pPr>
              <w:pStyle w:val="26"/>
              <w:spacing w:line="251" w:lineRule="auto"/>
              <w:rPr>
                <w:rFonts w:hint="eastAsia" w:ascii="仿宋" w:hAnsi="仿宋" w:eastAsia="仿宋" w:cs="仿宋"/>
                <w:color w:val="auto"/>
                <w:sz w:val="24"/>
                <w:szCs w:val="24"/>
                <w:highlight w:val="none"/>
              </w:rPr>
            </w:pPr>
          </w:p>
          <w:p w14:paraId="42B3D696">
            <w:pPr>
              <w:spacing w:before="78" w:line="185" w:lineRule="auto"/>
              <w:ind w:left="578" w:leftChars="0"/>
              <w:rPr>
                <w:rFonts w:hint="eastAsia" w:ascii="仿宋" w:hAnsi="仿宋" w:eastAsia="仿宋" w:cs="仿宋"/>
                <w:color w:val="auto"/>
                <w:spacing w:val="-3"/>
                <w:sz w:val="24"/>
                <w:szCs w:val="24"/>
                <w:highlight w:val="none"/>
              </w:rPr>
            </w:pPr>
            <w:r>
              <w:rPr>
                <w:rFonts w:hint="eastAsia" w:ascii="仿宋" w:hAnsi="仿宋" w:eastAsia="仿宋" w:cs="仿宋"/>
                <w:color w:val="auto"/>
                <w:spacing w:val="-6"/>
                <w:sz w:val="24"/>
                <w:szCs w:val="24"/>
                <w:highlight w:val="none"/>
              </w:rPr>
              <w:t>12.1</w:t>
            </w:r>
          </w:p>
        </w:tc>
        <w:tc>
          <w:tcPr>
            <w:tcW w:w="8258" w:type="dxa"/>
            <w:tcBorders>
              <w:bottom w:val="single" w:color="000000" w:sz="10" w:space="0"/>
              <w:right w:val="single" w:color="000000" w:sz="10" w:space="0"/>
            </w:tcBorders>
            <w:vAlign w:val="top"/>
          </w:tcPr>
          <w:p w14:paraId="21674575">
            <w:pPr>
              <w:spacing w:before="148" w:line="338" w:lineRule="auto"/>
              <w:ind w:left="21"/>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u w:val="single" w:color="auto"/>
              </w:rPr>
              <w:t>保证金形式：☑保函☑电汇☑对公转账☑支票</w:t>
            </w:r>
          </w:p>
          <w:p w14:paraId="72FFC4D8">
            <w:pPr>
              <w:spacing w:before="37" w:line="360" w:lineRule="auto"/>
              <w:ind w:left="10"/>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投标保证金金额：</w:t>
            </w:r>
          </w:p>
          <w:p w14:paraId="39DF7D36">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保证金数额：</w:t>
            </w:r>
          </w:p>
          <w:p w14:paraId="6186CFBD">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标项1：15万元</w:t>
            </w:r>
          </w:p>
          <w:p w14:paraId="73507120">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标项2：5万元</w:t>
            </w:r>
          </w:p>
          <w:p w14:paraId="13D2F629">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标项3：4万元</w:t>
            </w:r>
          </w:p>
          <w:p w14:paraId="5DBB2968">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户名：</w:t>
            </w:r>
            <w:r>
              <w:rPr>
                <w:rFonts w:hint="eastAsia" w:ascii="仿宋" w:hAnsi="仿宋" w:eastAsia="仿宋" w:cs="仿宋"/>
                <w:b w:val="0"/>
                <w:bCs w:val="0"/>
                <w:color w:val="auto"/>
                <w:sz w:val="24"/>
                <w:szCs w:val="24"/>
                <w:highlight w:val="none"/>
                <w:lang w:val="en-US" w:eastAsia="zh-CN"/>
              </w:rPr>
              <w:t>新疆世纪星工程咨询有限公司</w:t>
            </w:r>
          </w:p>
          <w:p w14:paraId="77114891">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账号：512090100100073085</w:t>
            </w:r>
          </w:p>
          <w:p w14:paraId="397397F8">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开户行：兴业银行乌鲁木齐分行营业部</w:t>
            </w:r>
          </w:p>
          <w:p w14:paraId="279DAE62">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行号：309881002010</w:t>
            </w:r>
          </w:p>
          <w:p w14:paraId="3E27D75C">
            <w:pPr>
              <w:spacing w:before="149" w:line="225" w:lineRule="auto"/>
              <w:ind w:left="4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（保证金缴纳按照各分包控制金额2%以内的整数计算）</w:t>
            </w:r>
          </w:p>
          <w:p w14:paraId="0EAEBE9D">
            <w:pPr>
              <w:spacing w:before="150" w:line="223" w:lineRule="auto"/>
              <w:ind w:left="37"/>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b/>
                <w:bCs/>
                <w:color w:val="auto"/>
                <w:sz w:val="24"/>
                <w:szCs w:val="24"/>
                <w:highlight w:val="none"/>
              </w:rPr>
              <w:t>网上银行支付时必须注明投标保证金项目名称或项目编号（打款到账需为投标截止时间前，否则视为无效打款；若项目分包为多标段，投标人需按标段分批打款）</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投标商必</w:t>
            </w: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须从基本账户公对公转出，不接受现金、及任何个人、分公司汇款。</w:t>
            </w:r>
          </w:p>
          <w:p w14:paraId="4DBF4969">
            <w:pPr>
              <w:spacing w:before="150" w:line="223" w:lineRule="auto"/>
              <w:ind w:left="37"/>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5"/>
                <w:sz w:val="24"/>
                <w:szCs w:val="24"/>
                <w:highlight w:val="none"/>
                <w:lang w:val="en-US" w:eastAsia="zh-CN"/>
                <w14:textOutline w14:w="4358" w14:cap="sq" w14:cmpd="sng">
                  <w14:solidFill>
                    <w14:srgbClr w14:val="000000"/>
                  </w14:solidFill>
                  <w14:prstDash w14:val="solid"/>
                  <w14:bevel/>
                </w14:textOutline>
              </w:rPr>
              <w:t>备注：</w:t>
            </w: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 xml:space="preserve">1.若从基本账户打款递交投标保证金，需将有效投标保证金缴纳证明，按照要求加盖印章后放入投标文件中； </w:t>
            </w:r>
          </w:p>
          <w:p w14:paraId="3802E739">
            <w:pPr>
              <w:numPr>
                <w:ilvl w:val="0"/>
                <w:numId w:val="1"/>
              </w:numPr>
              <w:spacing w:before="150" w:line="223" w:lineRule="auto"/>
              <w:ind w:left="37"/>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若采用政采云电子保函形式：按照政采云电子投标流程制作并将电子保函制作在投标文件中；</w:t>
            </w:r>
          </w:p>
          <w:p w14:paraId="0A57DE0B">
            <w:pPr>
              <w:numPr>
                <w:ilvl w:val="0"/>
                <w:numId w:val="1"/>
              </w:numPr>
              <w:spacing w:before="150" w:line="223" w:lineRule="auto"/>
              <w:ind w:left="37"/>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pPr>
            <w:r>
              <w:rPr>
                <w:rFonts w:hint="eastAsia" w:ascii="仿宋" w:hAnsi="仿宋" w:eastAsia="仿宋" w:cs="仿宋"/>
                <w:color w:val="auto"/>
                <w:spacing w:val="-5"/>
                <w:sz w:val="24"/>
                <w:szCs w:val="24"/>
                <w:highlight w:val="none"/>
                <w14:textOutline w14:w="4358" w14:cap="sq" w14:cmpd="sng">
                  <w14:solidFill>
                    <w14:srgbClr w14:val="000000"/>
                  </w14:solidFill>
                  <w14:prstDash w14:val="solid"/>
                  <w14:bevel/>
                </w14:textOutline>
              </w:rPr>
              <w:t>若采用银行保函或者金融机构、担保机构保函等形式，应将保函扫描件装订在本部分；扫描件上应加盖本单位公章；附《银行开户许可证》或《基本存款账户信息》 复印件；并加盖本单位公章放入投标文件中。</w:t>
            </w:r>
          </w:p>
          <w:p w14:paraId="6A8101E9">
            <w:pPr>
              <w:spacing w:before="150" w:line="223" w:lineRule="auto"/>
              <w:ind w:left="37"/>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pPr>
            <w:r>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t>如采用政采云平台金融服务中心</w:t>
            </w:r>
            <w:r>
              <w:rPr>
                <w:rFonts w:hint="eastAsia" w:ascii="仿宋" w:hAnsi="仿宋" w:eastAsia="仿宋" w:cs="仿宋"/>
                <w:color w:val="auto"/>
                <w:spacing w:val="-5"/>
                <w:sz w:val="24"/>
                <w:szCs w:val="24"/>
                <w:highlight w:val="none"/>
                <w:lang w:val="en-US" w:eastAsia="zh-CN"/>
                <w14:textOutline w14:w="4358" w14:cap="sq" w14:cmpd="sng">
                  <w14:solidFill>
                    <w14:srgbClr w14:val="000000"/>
                  </w14:solidFill>
                  <w14:prstDash w14:val="solid"/>
                  <w14:bevel/>
                </w14:textOutline>
              </w:rPr>
              <w:t>电子保函</w:t>
            </w:r>
            <w:r>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t>方式：</w:t>
            </w:r>
          </w:p>
          <w:p w14:paraId="17E7D576">
            <w:pPr>
              <w:spacing w:before="150" w:line="223" w:lineRule="auto"/>
              <w:ind w:left="37"/>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pPr>
            <w:r>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456AB690">
            <w:pPr>
              <w:spacing w:before="150" w:line="223" w:lineRule="auto"/>
              <w:ind w:left="37"/>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pPr>
            <w:r>
              <w:rPr>
                <w:rFonts w:hint="eastAsia" w:ascii="仿宋" w:hAnsi="仿宋" w:eastAsia="仿宋" w:cs="仿宋"/>
                <w:color w:val="auto"/>
                <w:spacing w:val="-5"/>
                <w:sz w:val="24"/>
                <w:szCs w:val="24"/>
                <w:highlight w:val="none"/>
                <w:lang w:eastAsia="zh-CN"/>
                <w14:textOutline w14:w="4358" w14:cap="sq" w14:cmpd="sng">
                  <w14:solidFill>
                    <w14:srgbClr w14:val="000000"/>
                  </w14:solidFill>
                  <w14:prstDash w14:val="solid"/>
                  <w14:bevel/>
                </w14:textOutline>
              </w:rPr>
              <w:t>由于到账时间晚于投标截止时间的，或者票据错误、印鉴不清等原因导致不能到账的，其投标无效。</w:t>
            </w:r>
          </w:p>
          <w:p w14:paraId="44C81F3A">
            <w:pPr>
              <w:spacing w:before="71" w:line="256" w:lineRule="auto"/>
              <w:ind w:left="31" w:right="85" w:firstLine="5"/>
              <w:jc w:val="both"/>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退投标保证金</w:t>
            </w:r>
            <w:r>
              <w:rPr>
                <w:rFonts w:hint="eastAsia" w:ascii="仿宋" w:hAnsi="仿宋" w:eastAsia="仿宋" w:cs="仿宋"/>
                <w:color w:val="auto"/>
                <w:spacing w:val="-14"/>
                <w:sz w:val="24"/>
                <w:szCs w:val="24"/>
                <w:highlight w:val="none"/>
                <w14:textOutline w14:w="4358" w14:cap="sq" w14:cmpd="sng">
                  <w14:solidFill>
                    <w14:srgbClr w14:val="000000"/>
                  </w14:solidFill>
                  <w14:prstDash w14:val="solid"/>
                  <w14:bevel/>
                </w14:textOutline>
              </w:rPr>
              <w:t>：（</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1）根据《中华人民共和国财政部令第87号--政府采购货物和货物招标投标管理办法》第三十八条投标人在投标截止时间前撤回已提交的投标文件的，采购人或者采购代理机构应当</w:t>
            </w:r>
            <w:r>
              <w:rPr>
                <w:rFonts w:hint="eastAsia" w:ascii="仿宋" w:hAnsi="仿宋" w:eastAsia="仿宋" w:cs="仿宋"/>
                <w:color w:val="auto"/>
                <w:spacing w:val="4"/>
                <w:sz w:val="24"/>
                <w:szCs w:val="24"/>
                <w:highlight w:val="none"/>
                <w14:textOutline w14:w="4358" w14:cap="sq" w14:cmpd="sng">
                  <w14:solidFill>
                    <w14:srgbClr w14:val="000000"/>
                  </w14:solidFill>
                  <w14:prstDash w14:val="solid"/>
                  <w14:bevel/>
                </w14:textOutline>
              </w:rPr>
              <w:t>自收到投标人书面撤回通知之日起5个工作日内，退还已收取的投</w:t>
            </w: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标保证金，但因投标人自身原因导致无法及时退还的除外。采购人</w:t>
            </w:r>
            <w:r>
              <w:rPr>
                <w:rFonts w:hint="eastAsia" w:ascii="仿宋" w:hAnsi="仿宋" w:eastAsia="仿宋" w:cs="仿宋"/>
                <w:color w:val="auto"/>
                <w:spacing w:val="-1"/>
                <w:sz w:val="24"/>
                <w:szCs w:val="24"/>
                <w:highlight w:val="none"/>
                <w14:textOutline w14:w="4358" w14:cap="sq" w14:cmpd="sng">
                  <w14:solidFill>
                    <w14:srgbClr w14:val="000000"/>
                  </w14:solidFill>
                  <w14:prstDash w14:val="solid"/>
                  <w14:bevel/>
                </w14:textOutline>
              </w:rPr>
              <w:t>或者采购代理机构应当自中标通知书发出之日起5个工作日内退还</w:t>
            </w: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未中标人的投标保证金，自采购合同签订之日起5个工作日内退还</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中标人的投标保证金。</w:t>
            </w:r>
          </w:p>
        </w:tc>
      </w:tr>
    </w:tbl>
    <w:p w14:paraId="0FE1AC4E">
      <w:pPr>
        <w:spacing w:line="91" w:lineRule="auto"/>
        <w:rPr>
          <w:rFonts w:hint="eastAsia" w:ascii="仿宋" w:hAnsi="仿宋" w:eastAsia="仿宋" w:cs="仿宋"/>
          <w:color w:val="auto"/>
          <w:sz w:val="2"/>
          <w:highlight w:val="none"/>
        </w:rPr>
      </w:pPr>
    </w:p>
    <w:p w14:paraId="3A0D4569">
      <w:pPr>
        <w:spacing w:line="91" w:lineRule="auto"/>
        <w:rPr>
          <w:rFonts w:hint="eastAsia" w:ascii="仿宋" w:hAnsi="仿宋" w:eastAsia="仿宋" w:cs="仿宋"/>
          <w:color w:val="auto"/>
          <w:sz w:val="2"/>
          <w:highlight w:val="none"/>
        </w:rPr>
      </w:pPr>
    </w:p>
    <w:tbl>
      <w:tblPr>
        <w:tblStyle w:val="25"/>
        <w:tblW w:w="971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0"/>
        <w:gridCol w:w="8309"/>
      </w:tblGrid>
      <w:tr w14:paraId="56C9E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0" w:type="dxa"/>
            <w:tcBorders>
              <w:left w:val="single" w:color="000000" w:sz="10" w:space="0"/>
            </w:tcBorders>
            <w:vAlign w:val="top"/>
          </w:tcPr>
          <w:p w14:paraId="68C26E05">
            <w:pPr>
              <w:spacing w:before="198" w:line="181" w:lineRule="auto"/>
              <w:ind w:left="578"/>
              <w:rPr>
                <w:rFonts w:hint="eastAsia" w:ascii="仿宋" w:hAnsi="仿宋" w:eastAsia="仿宋" w:cs="仿宋"/>
                <w:color w:val="auto"/>
                <w:sz w:val="24"/>
                <w:szCs w:val="24"/>
                <w:highlight w:val="none"/>
              </w:rPr>
            </w:pPr>
            <w:bookmarkStart w:id="210" w:name="bookmark74"/>
            <w:bookmarkEnd w:id="210"/>
            <w:r>
              <w:rPr>
                <w:rFonts w:hint="eastAsia" w:ascii="仿宋" w:hAnsi="仿宋" w:eastAsia="仿宋" w:cs="仿宋"/>
                <w:color w:val="auto"/>
                <w:spacing w:val="-6"/>
                <w:sz w:val="24"/>
                <w:szCs w:val="24"/>
                <w:highlight w:val="none"/>
              </w:rPr>
              <w:t>13.1</w:t>
            </w:r>
          </w:p>
        </w:tc>
        <w:tc>
          <w:tcPr>
            <w:tcW w:w="8309" w:type="dxa"/>
            <w:tcBorders>
              <w:right w:val="single" w:color="000000" w:sz="10" w:space="0"/>
            </w:tcBorders>
            <w:vAlign w:val="top"/>
          </w:tcPr>
          <w:p w14:paraId="525D5C86">
            <w:pPr>
              <w:spacing w:before="163" w:line="208" w:lineRule="auto"/>
              <w:ind w:left="27"/>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投标有效期：</w:t>
            </w:r>
            <w:r>
              <w:rPr>
                <w:rFonts w:hint="eastAsia" w:ascii="仿宋" w:hAnsi="仿宋" w:eastAsia="仿宋" w:cs="仿宋"/>
                <w:color w:val="auto"/>
                <w:spacing w:val="-5"/>
                <w:sz w:val="24"/>
                <w:szCs w:val="24"/>
                <w:highlight w:val="none"/>
                <w:u w:val="single" w:color="auto"/>
              </w:rPr>
              <w:t>90</w:t>
            </w:r>
            <w:r>
              <w:rPr>
                <w:rFonts w:hint="eastAsia" w:ascii="仿宋" w:hAnsi="仿宋" w:eastAsia="仿宋" w:cs="仿宋"/>
                <w:color w:val="auto"/>
                <w:spacing w:val="-5"/>
                <w:sz w:val="24"/>
                <w:szCs w:val="24"/>
                <w:highlight w:val="none"/>
              </w:rPr>
              <w:t>日历日</w:t>
            </w:r>
          </w:p>
        </w:tc>
      </w:tr>
      <w:tr w14:paraId="0DA9E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0" w:type="dxa"/>
            <w:tcBorders>
              <w:left w:val="single" w:color="000000" w:sz="10" w:space="0"/>
            </w:tcBorders>
            <w:vAlign w:val="top"/>
          </w:tcPr>
          <w:p w14:paraId="485FDB71">
            <w:pPr>
              <w:spacing w:before="202" w:line="178" w:lineRule="auto"/>
              <w:ind w:left="578"/>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16.1</w:t>
            </w:r>
          </w:p>
        </w:tc>
        <w:tc>
          <w:tcPr>
            <w:tcW w:w="8309" w:type="dxa"/>
            <w:tcBorders>
              <w:right w:val="single" w:color="000000" w:sz="10" w:space="0"/>
            </w:tcBorders>
            <w:vAlign w:val="top"/>
          </w:tcPr>
          <w:p w14:paraId="165E919E">
            <w:pPr>
              <w:keepNext w:val="0"/>
              <w:keepLines w:val="0"/>
              <w:widowControl/>
              <w:suppressLineNumbers w:val="0"/>
              <w:jc w:val="left"/>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rPr>
              <w:t>投标截止时间：</w:t>
            </w:r>
            <w:r>
              <w:rPr>
                <w:rFonts w:hint="eastAsia" w:ascii="仿宋" w:hAnsi="仿宋" w:eastAsia="仿宋" w:cs="仿宋"/>
                <w:color w:val="auto"/>
                <w:spacing w:val="-1"/>
                <w:sz w:val="24"/>
                <w:szCs w:val="24"/>
                <w:highlight w:val="none"/>
                <w:lang w:eastAsia="zh-CN"/>
              </w:rPr>
              <w:t>2025年07月22日11:00</w:t>
            </w:r>
          </w:p>
        </w:tc>
      </w:tr>
      <w:tr w14:paraId="0A4A3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10" w:type="dxa"/>
            <w:tcBorders>
              <w:left w:val="single" w:color="000000" w:sz="10" w:space="0"/>
            </w:tcBorders>
            <w:vAlign w:val="top"/>
          </w:tcPr>
          <w:p w14:paraId="7A1FC06B">
            <w:pPr>
              <w:pStyle w:val="26"/>
              <w:spacing w:line="281" w:lineRule="auto"/>
              <w:rPr>
                <w:rFonts w:hint="eastAsia" w:ascii="仿宋" w:hAnsi="仿宋" w:eastAsia="仿宋" w:cs="仿宋"/>
                <w:color w:val="auto"/>
                <w:highlight w:val="none"/>
              </w:rPr>
            </w:pPr>
          </w:p>
          <w:p w14:paraId="4A939B39">
            <w:pPr>
              <w:pStyle w:val="26"/>
              <w:spacing w:line="281" w:lineRule="auto"/>
              <w:rPr>
                <w:rFonts w:hint="eastAsia" w:ascii="仿宋" w:hAnsi="仿宋" w:eastAsia="仿宋" w:cs="仿宋"/>
                <w:color w:val="auto"/>
                <w:highlight w:val="none"/>
              </w:rPr>
            </w:pPr>
          </w:p>
          <w:p w14:paraId="2104CCBC">
            <w:pPr>
              <w:spacing w:before="78" w:line="184" w:lineRule="auto"/>
              <w:ind w:left="578"/>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18.1</w:t>
            </w:r>
          </w:p>
        </w:tc>
        <w:tc>
          <w:tcPr>
            <w:tcW w:w="8309" w:type="dxa"/>
            <w:tcBorders>
              <w:right w:val="single" w:color="000000" w:sz="10" w:space="0"/>
            </w:tcBorders>
            <w:vAlign w:val="top"/>
          </w:tcPr>
          <w:p w14:paraId="1B979B39">
            <w:pPr>
              <w:keepNext w:val="0"/>
              <w:keepLines w:val="0"/>
              <w:widowControl/>
              <w:suppressLineNumbers w:val="0"/>
              <w:jc w:val="left"/>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rPr>
              <w:t>开标时间：</w:t>
            </w:r>
            <w:r>
              <w:rPr>
                <w:rFonts w:hint="eastAsia" w:ascii="仿宋" w:hAnsi="仿宋" w:eastAsia="仿宋" w:cs="仿宋"/>
                <w:color w:val="auto"/>
                <w:spacing w:val="-1"/>
                <w:sz w:val="24"/>
                <w:szCs w:val="24"/>
                <w:highlight w:val="none"/>
                <w:lang w:eastAsia="zh-CN"/>
              </w:rPr>
              <w:t>2025年07月22日11:00</w:t>
            </w:r>
          </w:p>
          <w:p w14:paraId="774E31D4">
            <w:pPr>
              <w:keepNext w:val="0"/>
              <w:keepLines w:val="0"/>
              <w:widowControl/>
              <w:suppressLineNumbers w:val="0"/>
              <w:jc w:val="left"/>
              <w:rPr>
                <w:rFonts w:hint="eastAsia"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开标地点：政采云平台（http://www.ccgp-xinjiang.gov.cn/）不见面开标大厅开标。</w:t>
            </w:r>
          </w:p>
        </w:tc>
      </w:tr>
      <w:tr w14:paraId="721DE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410" w:type="dxa"/>
            <w:tcBorders>
              <w:left w:val="single" w:color="000000" w:sz="10" w:space="0"/>
            </w:tcBorders>
            <w:vAlign w:val="center"/>
          </w:tcPr>
          <w:p w14:paraId="65563DA8">
            <w:pPr>
              <w:spacing w:before="78" w:line="185"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2"/>
                <w:sz w:val="24"/>
                <w:szCs w:val="24"/>
                <w:highlight w:val="none"/>
              </w:rPr>
              <w:t>20.5</w:t>
            </w:r>
          </w:p>
        </w:tc>
        <w:tc>
          <w:tcPr>
            <w:tcW w:w="8309" w:type="dxa"/>
            <w:tcBorders>
              <w:right w:val="single" w:color="000000" w:sz="10" w:space="0"/>
            </w:tcBorders>
            <w:vAlign w:val="top"/>
          </w:tcPr>
          <w:p w14:paraId="7F45AE18">
            <w:pPr>
              <w:keepNext w:val="0"/>
              <w:keepLines w:val="0"/>
              <w:widowControl/>
              <w:suppressLineNumbers w:val="0"/>
              <w:jc w:val="left"/>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核心产品：详见采购需求</w:t>
            </w:r>
          </w:p>
        </w:tc>
      </w:tr>
      <w:tr w14:paraId="29C2F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410" w:type="dxa"/>
            <w:tcBorders>
              <w:left w:val="single" w:color="000000" w:sz="10" w:space="0"/>
            </w:tcBorders>
            <w:vAlign w:val="center"/>
          </w:tcPr>
          <w:p w14:paraId="2822708A">
            <w:pPr>
              <w:spacing w:before="179" w:line="185" w:lineRule="auto"/>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2"/>
                <w:sz w:val="24"/>
                <w:szCs w:val="24"/>
                <w:highlight w:val="none"/>
              </w:rPr>
              <w:t>23.2</w:t>
            </w:r>
          </w:p>
        </w:tc>
        <w:tc>
          <w:tcPr>
            <w:tcW w:w="8309" w:type="dxa"/>
            <w:tcBorders>
              <w:right w:val="single" w:color="000000" w:sz="10" w:space="0"/>
            </w:tcBorders>
            <w:vAlign w:val="top"/>
          </w:tcPr>
          <w:p w14:paraId="617061A1">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评标方法：</w:t>
            </w:r>
            <w:r>
              <w:rPr>
                <w:rFonts w:hint="eastAsia" w:ascii="仿宋" w:hAnsi="仿宋" w:eastAsia="仿宋" w:cs="仿宋"/>
                <w:color w:val="auto"/>
                <w:spacing w:val="-1"/>
                <w:sz w:val="24"/>
                <w:szCs w:val="24"/>
                <w:highlight w:val="none"/>
                <w:u w:val="single"/>
                <w:lang w:val="en-US" w:eastAsia="zh-CN"/>
              </w:rPr>
              <w:t>适用综合评分法</w:t>
            </w:r>
          </w:p>
        </w:tc>
      </w:tr>
      <w:tr w14:paraId="39BEA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410" w:type="dxa"/>
            <w:tcBorders>
              <w:left w:val="single" w:color="000000" w:sz="10" w:space="0"/>
            </w:tcBorders>
            <w:vAlign w:val="top"/>
          </w:tcPr>
          <w:p w14:paraId="7C294C07">
            <w:pPr>
              <w:spacing w:before="181" w:line="185" w:lineRule="auto"/>
              <w:ind w:left="564" w:leftChars="0"/>
              <w:rPr>
                <w:rFonts w:hint="eastAsia" w:ascii="仿宋" w:hAnsi="仿宋" w:eastAsia="仿宋" w:cs="仿宋"/>
                <w:color w:val="auto"/>
                <w:spacing w:val="-6"/>
                <w:sz w:val="24"/>
                <w:szCs w:val="24"/>
                <w:highlight w:val="none"/>
              </w:rPr>
            </w:pPr>
            <w:r>
              <w:rPr>
                <w:rFonts w:hint="eastAsia" w:ascii="仿宋" w:hAnsi="仿宋" w:eastAsia="仿宋" w:cs="仿宋"/>
                <w:color w:val="auto"/>
                <w:spacing w:val="-4"/>
                <w:sz w:val="24"/>
                <w:szCs w:val="24"/>
                <w:highlight w:val="none"/>
              </w:rPr>
              <w:t>27</w:t>
            </w:r>
          </w:p>
        </w:tc>
        <w:tc>
          <w:tcPr>
            <w:tcW w:w="8309" w:type="dxa"/>
            <w:tcBorders>
              <w:right w:val="single" w:color="000000" w:sz="10" w:space="0"/>
            </w:tcBorders>
            <w:vAlign w:val="top"/>
          </w:tcPr>
          <w:p w14:paraId="255123E5">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推荐中标候选供应商的数量：3</w:t>
            </w:r>
          </w:p>
        </w:tc>
      </w:tr>
      <w:tr w14:paraId="143F4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10" w:type="dxa"/>
            <w:tcBorders>
              <w:left w:val="single" w:color="000000" w:sz="10" w:space="0"/>
            </w:tcBorders>
            <w:vAlign w:val="top"/>
          </w:tcPr>
          <w:p w14:paraId="5664F83E">
            <w:pPr>
              <w:spacing w:before="180" w:line="200" w:lineRule="exact"/>
              <w:ind w:left="564" w:leftChars="0"/>
              <w:rPr>
                <w:rFonts w:hint="eastAsia" w:ascii="仿宋" w:hAnsi="仿宋" w:eastAsia="仿宋" w:cs="仿宋"/>
                <w:color w:val="auto"/>
                <w:spacing w:val="-6"/>
                <w:sz w:val="24"/>
                <w:szCs w:val="24"/>
                <w:highlight w:val="none"/>
              </w:rPr>
            </w:pPr>
            <w:r>
              <w:rPr>
                <w:rFonts w:hint="eastAsia" w:ascii="仿宋" w:hAnsi="仿宋" w:eastAsia="仿宋" w:cs="仿宋"/>
                <w:color w:val="auto"/>
                <w:spacing w:val="-4"/>
                <w:position w:val="-3"/>
                <w:sz w:val="24"/>
                <w:szCs w:val="24"/>
                <w:highlight w:val="none"/>
              </w:rPr>
              <w:t>27</w:t>
            </w:r>
          </w:p>
        </w:tc>
        <w:tc>
          <w:tcPr>
            <w:tcW w:w="8309" w:type="dxa"/>
            <w:tcBorders>
              <w:right w:val="single" w:color="000000" w:sz="10" w:space="0"/>
            </w:tcBorders>
            <w:vAlign w:val="top"/>
          </w:tcPr>
          <w:p w14:paraId="6AF042A6">
            <w:pPr>
              <w:keepNext w:val="0"/>
              <w:keepLines w:val="0"/>
              <w:widowControl/>
              <w:suppressLineNumbers w:val="0"/>
              <w:jc w:val="left"/>
              <w:rPr>
                <w:rFonts w:hint="eastAsia" w:ascii="仿宋" w:hAnsi="仿宋" w:eastAsia="仿宋" w:cs="仿宋"/>
                <w:color w:val="auto"/>
                <w:spacing w:val="-1"/>
                <w:sz w:val="24"/>
                <w:szCs w:val="24"/>
                <w:highlight w:val="none"/>
                <w:u w:val="single"/>
                <w:lang w:val="en-US" w:eastAsia="zh-CN"/>
              </w:rPr>
            </w:pPr>
            <w:r>
              <w:rPr>
                <w:rFonts w:hint="eastAsia" w:ascii="仿宋" w:hAnsi="仿宋" w:eastAsia="仿宋" w:cs="仿宋"/>
                <w:color w:val="auto"/>
                <w:spacing w:val="-1"/>
                <w:sz w:val="24"/>
                <w:szCs w:val="24"/>
                <w:highlight w:val="none"/>
                <w:lang w:val="en-US" w:eastAsia="zh-CN"/>
              </w:rPr>
              <w:t>招标人是否委托评标委员会直接确定中标人</w:t>
            </w:r>
            <w:r>
              <w:rPr>
                <w:rFonts w:hint="eastAsia" w:ascii="仿宋" w:hAnsi="仿宋" w:eastAsia="仿宋" w:cs="仿宋"/>
                <w:color w:val="auto"/>
                <w:spacing w:val="-1"/>
                <w:sz w:val="24"/>
                <w:szCs w:val="24"/>
                <w:highlight w:val="none"/>
                <w:u w:val="none"/>
                <w:lang w:val="en-US" w:eastAsia="zh-CN"/>
              </w:rPr>
              <w:t>：</w:t>
            </w:r>
            <w:r>
              <w:rPr>
                <w:rFonts w:hint="eastAsia" w:ascii="仿宋" w:hAnsi="仿宋" w:eastAsia="仿宋" w:cs="仿宋"/>
                <w:color w:val="auto"/>
                <w:spacing w:val="-1"/>
                <w:sz w:val="24"/>
                <w:szCs w:val="24"/>
                <w:highlight w:val="none"/>
                <w:u w:val="single"/>
                <w:lang w:val="en-US" w:eastAsia="zh-CN"/>
              </w:rPr>
              <w:t>否（是、否）</w:t>
            </w:r>
          </w:p>
          <w:p w14:paraId="0233802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p>
        </w:tc>
      </w:tr>
      <w:tr w14:paraId="17C26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09AC31B1">
            <w:pPr>
              <w:pStyle w:val="26"/>
              <w:spacing w:line="270" w:lineRule="auto"/>
              <w:rPr>
                <w:rFonts w:hint="eastAsia" w:ascii="仿宋" w:hAnsi="仿宋" w:eastAsia="仿宋" w:cs="仿宋"/>
                <w:color w:val="auto"/>
                <w:highlight w:val="none"/>
              </w:rPr>
            </w:pPr>
          </w:p>
          <w:p w14:paraId="27EC0595">
            <w:pPr>
              <w:pStyle w:val="26"/>
              <w:spacing w:line="271" w:lineRule="auto"/>
              <w:rPr>
                <w:rFonts w:hint="eastAsia" w:ascii="仿宋" w:hAnsi="仿宋" w:eastAsia="仿宋" w:cs="仿宋"/>
                <w:color w:val="auto"/>
                <w:highlight w:val="none"/>
              </w:rPr>
            </w:pPr>
          </w:p>
          <w:p w14:paraId="11724854">
            <w:pPr>
              <w:pStyle w:val="26"/>
              <w:spacing w:line="271" w:lineRule="auto"/>
              <w:rPr>
                <w:rFonts w:hint="eastAsia" w:ascii="仿宋" w:hAnsi="仿宋" w:eastAsia="仿宋" w:cs="仿宋"/>
                <w:color w:val="auto"/>
                <w:highlight w:val="none"/>
              </w:rPr>
            </w:pPr>
          </w:p>
          <w:p w14:paraId="7731991C">
            <w:pPr>
              <w:spacing w:before="78" w:line="185" w:lineRule="auto"/>
              <w:ind w:left="566" w:leftChars="0"/>
              <w:rPr>
                <w:rFonts w:hint="eastAsia" w:ascii="仿宋" w:hAnsi="仿宋" w:eastAsia="仿宋" w:cs="仿宋"/>
                <w:color w:val="auto"/>
                <w:spacing w:val="-4"/>
                <w:position w:val="-3"/>
                <w:sz w:val="24"/>
                <w:szCs w:val="24"/>
                <w:highlight w:val="none"/>
              </w:rPr>
            </w:pPr>
            <w:r>
              <w:rPr>
                <w:rFonts w:hint="eastAsia" w:ascii="仿宋" w:hAnsi="仿宋" w:eastAsia="仿宋" w:cs="仿宋"/>
                <w:color w:val="auto"/>
                <w:spacing w:val="-3"/>
                <w:sz w:val="24"/>
                <w:szCs w:val="24"/>
                <w:highlight w:val="none"/>
              </w:rPr>
              <w:t>31.1</w:t>
            </w:r>
          </w:p>
        </w:tc>
        <w:tc>
          <w:tcPr>
            <w:tcW w:w="8309" w:type="dxa"/>
            <w:tcBorders>
              <w:right w:val="single" w:color="000000" w:sz="10" w:space="0"/>
            </w:tcBorders>
            <w:vAlign w:val="top"/>
          </w:tcPr>
          <w:p w14:paraId="7A8F836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履约保证金金额：中标金额的5%（不得超过政府采购合同金额的10%）</w:t>
            </w:r>
          </w:p>
          <w:p w14:paraId="6684C4A6">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履约保证金形式：现金或支票、银行保函、保险保单、专业担保机构保函。</w:t>
            </w:r>
          </w:p>
          <w:p w14:paraId="355EC0BE">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提交履约保证金的时间：获取中标通知书后签订合同并缴纳履约保证金，</w:t>
            </w:r>
          </w:p>
          <w:p w14:paraId="2AAA1A8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注：1.双方可以通过协商另行约定其他退还时间和方式及用途。</w:t>
            </w:r>
          </w:p>
        </w:tc>
      </w:tr>
      <w:tr w14:paraId="3D040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410" w:type="dxa"/>
            <w:tcBorders>
              <w:left w:val="single" w:color="000000" w:sz="10" w:space="0"/>
            </w:tcBorders>
            <w:vAlign w:val="center"/>
          </w:tcPr>
          <w:p w14:paraId="7434EDBB">
            <w:pPr>
              <w:spacing w:before="78" w:line="185" w:lineRule="auto"/>
              <w:jc w:val="center"/>
              <w:rPr>
                <w:rFonts w:hint="eastAsia" w:ascii="仿宋" w:hAnsi="仿宋" w:eastAsia="仿宋" w:cs="仿宋"/>
                <w:color w:val="auto"/>
                <w:spacing w:val="-4"/>
                <w:position w:val="-3"/>
                <w:sz w:val="24"/>
                <w:szCs w:val="24"/>
                <w:highlight w:val="none"/>
              </w:rPr>
            </w:pPr>
            <w:r>
              <w:rPr>
                <w:rFonts w:hint="eastAsia" w:ascii="仿宋" w:hAnsi="仿宋" w:eastAsia="仿宋" w:cs="仿宋"/>
                <w:color w:val="auto"/>
                <w:spacing w:val="-5"/>
                <w:sz w:val="24"/>
                <w:szCs w:val="24"/>
                <w:highlight w:val="none"/>
              </w:rPr>
              <w:t>32</w:t>
            </w:r>
          </w:p>
        </w:tc>
        <w:tc>
          <w:tcPr>
            <w:tcW w:w="8309" w:type="dxa"/>
            <w:tcBorders>
              <w:right w:val="single" w:color="000000" w:sz="10" w:space="0"/>
            </w:tcBorders>
            <w:vAlign w:val="top"/>
          </w:tcPr>
          <w:p w14:paraId="27F94091">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中标服务费：☑由中标单位承担。</w:t>
            </w:r>
          </w:p>
          <w:p w14:paraId="2B989638">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取费方式：参照发改价格[2015]299号文及发改价格【2011】534号文计取</w:t>
            </w:r>
          </w:p>
          <w:p w14:paraId="29235C8C">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支付形式：网银汇款</w:t>
            </w:r>
          </w:p>
          <w:p w14:paraId="34C95212">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支付时间：领取中标通知书时一次性支付</w:t>
            </w:r>
          </w:p>
        </w:tc>
      </w:tr>
      <w:tr w14:paraId="3F6EF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3F468FF3">
            <w:pPr>
              <w:keepNext w:val="0"/>
              <w:keepLines w:val="0"/>
              <w:widowControl/>
              <w:suppressLineNumbers w:val="0"/>
              <w:jc w:val="center"/>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33.1</w:t>
            </w:r>
          </w:p>
        </w:tc>
        <w:tc>
          <w:tcPr>
            <w:tcW w:w="8309" w:type="dxa"/>
            <w:tcBorders>
              <w:right w:val="single" w:color="000000" w:sz="10" w:space="0"/>
            </w:tcBorders>
            <w:vAlign w:val="top"/>
          </w:tcPr>
          <w:p w14:paraId="73C2EC96">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本项目是否属于信用担保试点范围：</w:t>
            </w:r>
            <w:r>
              <w:rPr>
                <w:rFonts w:hint="eastAsia" w:ascii="仿宋" w:hAnsi="仿宋" w:eastAsia="仿宋" w:cs="仿宋"/>
                <w:color w:val="auto"/>
                <w:spacing w:val="-1"/>
                <w:sz w:val="24"/>
                <w:szCs w:val="24"/>
                <w:highlight w:val="none"/>
                <w:u w:val="single"/>
                <w:lang w:val="en-US" w:eastAsia="zh-CN"/>
              </w:rPr>
              <w:t>否</w:t>
            </w:r>
          </w:p>
        </w:tc>
      </w:tr>
      <w:tr w14:paraId="21DD4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9719" w:type="dxa"/>
            <w:gridSpan w:val="2"/>
            <w:tcBorders>
              <w:left w:val="single" w:color="000000" w:sz="10" w:space="0"/>
              <w:right w:val="single" w:color="000000" w:sz="10" w:space="0"/>
            </w:tcBorders>
            <w:vAlign w:val="top"/>
          </w:tcPr>
          <w:p w14:paraId="16AC7372">
            <w:pPr>
              <w:spacing w:before="145" w:line="181" w:lineRule="auto"/>
              <w:ind w:left="26" w:leftChars="0"/>
              <w:rPr>
                <w:rFonts w:hint="eastAsia" w:ascii="仿宋" w:hAnsi="仿宋" w:eastAsia="仿宋" w:cs="仿宋"/>
                <w:color w:val="auto"/>
                <w:spacing w:val="-3"/>
                <w:sz w:val="24"/>
                <w:szCs w:val="24"/>
                <w:highlight w:val="none"/>
              </w:rPr>
            </w:pPr>
            <w:r>
              <w:rPr>
                <w:rFonts w:hint="eastAsia" w:ascii="仿宋" w:hAnsi="仿宋" w:eastAsia="仿宋" w:cs="仿宋"/>
                <w:color w:val="auto"/>
                <w:spacing w:val="-1"/>
                <w:sz w:val="24"/>
                <w:szCs w:val="24"/>
                <w:highlight w:val="none"/>
              </w:rPr>
              <w:t>适用于本投标人须知的额外增加的变动：</w:t>
            </w:r>
          </w:p>
        </w:tc>
      </w:tr>
      <w:tr w14:paraId="163E5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7EC1A906">
            <w:pPr>
              <w:spacing w:before="275" w:line="225" w:lineRule="auto"/>
              <w:ind w:left="569" w:leftChars="0"/>
              <w:rPr>
                <w:rFonts w:hint="eastAsia" w:ascii="仿宋" w:hAnsi="仿宋" w:eastAsia="仿宋" w:cs="仿宋"/>
                <w:color w:val="auto"/>
                <w:spacing w:val="-4"/>
                <w:position w:val="-3"/>
                <w:sz w:val="24"/>
                <w:szCs w:val="24"/>
                <w:highlight w:val="none"/>
              </w:rPr>
            </w:pPr>
            <w:r>
              <w:rPr>
                <w:rFonts w:hint="eastAsia" w:ascii="仿宋" w:hAnsi="仿宋" w:eastAsia="仿宋" w:cs="仿宋"/>
                <w:color w:val="auto"/>
                <w:spacing w:val="-1"/>
                <w:sz w:val="24"/>
                <w:szCs w:val="24"/>
                <w:highlight w:val="none"/>
                <w:lang w:val="en-US" w:eastAsia="zh-CN"/>
              </w:rPr>
              <w:t>1</w:t>
            </w:r>
          </w:p>
        </w:tc>
        <w:tc>
          <w:tcPr>
            <w:tcW w:w="8309" w:type="dxa"/>
            <w:tcBorders>
              <w:right w:val="single" w:color="000000" w:sz="10" w:space="0"/>
            </w:tcBorders>
            <w:vAlign w:val="top"/>
          </w:tcPr>
          <w:p w14:paraId="5077B73A">
            <w:pPr>
              <w:spacing w:before="315" w:line="225" w:lineRule="auto"/>
              <w:ind w:left="30" w:leftChars="0"/>
              <w:rPr>
                <w:rFonts w:hint="eastAsia" w:ascii="仿宋" w:hAnsi="仿宋" w:eastAsia="仿宋" w:cs="仿宋"/>
                <w:color w:val="auto"/>
                <w:spacing w:val="-3"/>
                <w:sz w:val="24"/>
                <w:szCs w:val="24"/>
                <w:highlight w:val="none"/>
              </w:rPr>
            </w:pPr>
            <w:r>
              <w:rPr>
                <w:rFonts w:hint="eastAsia" w:ascii="仿宋" w:hAnsi="仿宋" w:eastAsia="仿宋" w:cs="仿宋"/>
                <w:color w:val="auto"/>
                <w:spacing w:val="-1"/>
                <w:sz w:val="24"/>
                <w:szCs w:val="24"/>
                <w:highlight w:val="none"/>
                <w:lang w:val="en-US" w:eastAsia="zh-CN"/>
              </w:rPr>
              <w:t>不得将中标项目全部或部分转让（转包）给他人；</w:t>
            </w:r>
          </w:p>
        </w:tc>
      </w:tr>
      <w:tr w14:paraId="1DC77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410" w:type="dxa"/>
            <w:tcBorders>
              <w:left w:val="single" w:color="000000" w:sz="10" w:space="0"/>
            </w:tcBorders>
            <w:vAlign w:val="top"/>
          </w:tcPr>
          <w:p w14:paraId="1A322545">
            <w:pPr>
              <w:spacing w:before="275" w:line="225" w:lineRule="auto"/>
              <w:ind w:left="569" w:leftChars="0"/>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2</w:t>
            </w:r>
          </w:p>
        </w:tc>
        <w:tc>
          <w:tcPr>
            <w:tcW w:w="8309" w:type="dxa"/>
            <w:tcBorders>
              <w:right w:val="single" w:color="000000" w:sz="10" w:space="0"/>
            </w:tcBorders>
            <w:vAlign w:val="top"/>
          </w:tcPr>
          <w:p w14:paraId="3B1E2EAC">
            <w:pPr>
              <w:spacing w:before="315" w:line="225" w:lineRule="auto"/>
              <w:ind w:left="30" w:leftChars="0"/>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5"/>
                <w:sz w:val="24"/>
                <w:szCs w:val="24"/>
                <w:highlight w:val="none"/>
                <w:lang w:val="en-US" w:eastAsia="zh-CN"/>
              </w:rPr>
              <w:t>配送地点：麦盖提人民医院指定地点</w:t>
            </w:r>
          </w:p>
        </w:tc>
      </w:tr>
      <w:tr w14:paraId="36FB7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7F9C99C0">
            <w:pPr>
              <w:spacing w:before="275" w:line="225" w:lineRule="auto"/>
              <w:ind w:left="569" w:leftChars="0"/>
              <w:rPr>
                <w:rFonts w:hint="eastAsia" w:ascii="仿宋" w:hAnsi="仿宋" w:eastAsia="仿宋" w:cs="仿宋"/>
                <w:color w:val="auto"/>
                <w:spacing w:val="-4"/>
                <w:position w:val="-3"/>
                <w:sz w:val="24"/>
                <w:szCs w:val="24"/>
                <w:highlight w:val="none"/>
              </w:rPr>
            </w:pPr>
            <w:r>
              <w:rPr>
                <w:rFonts w:hint="eastAsia" w:ascii="仿宋" w:hAnsi="仿宋" w:eastAsia="仿宋" w:cs="仿宋"/>
                <w:color w:val="auto"/>
                <w:spacing w:val="-1"/>
                <w:sz w:val="24"/>
                <w:szCs w:val="24"/>
                <w:highlight w:val="none"/>
                <w:lang w:val="en-US" w:eastAsia="zh-CN"/>
              </w:rPr>
              <w:t>3</w:t>
            </w:r>
          </w:p>
        </w:tc>
        <w:tc>
          <w:tcPr>
            <w:tcW w:w="8309" w:type="dxa"/>
            <w:tcBorders>
              <w:right w:val="single" w:color="000000" w:sz="10" w:space="0"/>
            </w:tcBorders>
            <w:vAlign w:val="top"/>
          </w:tcPr>
          <w:p w14:paraId="4CD45B56">
            <w:pPr>
              <w:spacing w:before="315" w:line="225" w:lineRule="auto"/>
              <w:ind w:left="30" w:leftChars="0"/>
              <w:rPr>
                <w:rFonts w:hint="eastAsia" w:ascii="仿宋" w:hAnsi="仿宋" w:eastAsia="仿宋" w:cs="仿宋"/>
                <w:color w:val="auto"/>
                <w:spacing w:val="-3"/>
                <w:sz w:val="24"/>
                <w:szCs w:val="24"/>
                <w:highlight w:val="none"/>
              </w:rPr>
            </w:pPr>
            <w:r>
              <w:rPr>
                <w:rFonts w:hint="eastAsia" w:ascii="仿宋" w:hAnsi="仿宋" w:eastAsia="仿宋" w:cs="仿宋"/>
                <w:color w:val="auto"/>
                <w:spacing w:val="-1"/>
                <w:sz w:val="24"/>
                <w:szCs w:val="24"/>
                <w:highlight w:val="none"/>
                <w:lang w:val="en-US" w:eastAsia="zh-CN"/>
              </w:rPr>
              <w:t>中标单位在签订合同后将合同扫描件发送至1587610063@qq.com</w:t>
            </w:r>
          </w:p>
        </w:tc>
      </w:tr>
      <w:tr w14:paraId="0EF5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top"/>
          </w:tcPr>
          <w:p w14:paraId="6B16A04E">
            <w:pPr>
              <w:spacing w:before="275" w:line="225" w:lineRule="auto"/>
              <w:ind w:left="569" w:leftChars="0"/>
              <w:rPr>
                <w:rFonts w:hint="eastAsia" w:ascii="仿宋" w:hAnsi="仿宋" w:eastAsia="仿宋" w:cs="仿宋"/>
                <w:color w:val="auto"/>
                <w:spacing w:val="-4"/>
                <w:position w:val="-3"/>
                <w:sz w:val="24"/>
                <w:szCs w:val="24"/>
                <w:highlight w:val="none"/>
              </w:rPr>
            </w:pPr>
            <w:r>
              <w:rPr>
                <w:rFonts w:hint="eastAsia" w:ascii="仿宋" w:hAnsi="仿宋" w:eastAsia="仿宋" w:cs="仿宋"/>
                <w:color w:val="auto"/>
                <w:spacing w:val="-1"/>
                <w:sz w:val="24"/>
                <w:szCs w:val="24"/>
                <w:highlight w:val="none"/>
                <w:lang w:val="en-US" w:eastAsia="zh-CN"/>
              </w:rPr>
              <w:t>4</w:t>
            </w:r>
          </w:p>
        </w:tc>
        <w:tc>
          <w:tcPr>
            <w:tcW w:w="8309" w:type="dxa"/>
            <w:tcBorders>
              <w:right w:val="single" w:color="000000" w:sz="10" w:space="0"/>
            </w:tcBorders>
            <w:vAlign w:val="top"/>
          </w:tcPr>
          <w:p w14:paraId="4513A1C1">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中标单位在中标公示期满后7日内向代理机构提供投标文件纸质版（一正二副）。正本每页盖鲜章，副本可为正本复印件，但须加盖骑缝章，所提供的投标文件需与政采云平台上传的投标文件保持一致，否则一切因此产生的后果均由中标企业自行承担。</w:t>
            </w:r>
          </w:p>
        </w:tc>
      </w:tr>
      <w:tr w14:paraId="40318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center"/>
          </w:tcPr>
          <w:p w14:paraId="676C1272">
            <w:pPr>
              <w:spacing w:before="275" w:line="225" w:lineRule="auto"/>
              <w:ind w:left="569" w:leftChars="0"/>
              <w:jc w:val="center"/>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5</w:t>
            </w:r>
          </w:p>
        </w:tc>
        <w:tc>
          <w:tcPr>
            <w:tcW w:w="8309" w:type="dxa"/>
            <w:tcBorders>
              <w:right w:val="single" w:color="000000" w:sz="10" w:space="0"/>
            </w:tcBorders>
            <w:vAlign w:val="top"/>
          </w:tcPr>
          <w:p w14:paraId="45FA4758">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开评标流程：</w:t>
            </w:r>
          </w:p>
          <w:p w14:paraId="74329B4C">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投标企业在投标截止时间前登录新疆政府采购网政采云平台供应商客户端，在平台中项目开标评标处找到本项目，点击进入项目在政采云远程开标大厅中检测CA解密环境，CA解密环境检测通过并点击签到并等待开启解密；当开启解密后，将会出现组织机构已开启解密，请解密您的投标文件字样以及剩余时间的显示，投标企业需在代理机构规定的解密时间内解密投标文件电子档（一般为30分钟内），解密成功后等待代理公司开启标书结束解密时段。报价环节为唱标投标文件中递交的投标价格等相关信息，投标企业在唱标结束后确认内容正确性在线签章。唱标结束后进入评审环节，请投标企业耐心等待；评标中，如需投标人澄清部分，评标委员会一对一的与投标企业视频连线。代理公司点击视频连线后，请被连线的投标企业进入视频会议中。一对一连线结束后，投标企业对澄清内容进行在线澄清确认。会议结束后将会在评审结果处显示本次项目的各投标企业的报价、总得分以及排名。注：如在开评标环节中，投标企业不按照要求进行操作或擅自离开导致开评标会议无法正常进行的，将视为扰乱开评标会议，采购人或代理机构有权对其进行处理。</w:t>
            </w:r>
          </w:p>
        </w:tc>
      </w:tr>
      <w:tr w14:paraId="39CAD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tcBorders>
            <w:vAlign w:val="center"/>
          </w:tcPr>
          <w:p w14:paraId="7955AED8">
            <w:pPr>
              <w:spacing w:before="315" w:line="240" w:lineRule="auto"/>
              <w:ind w:left="30" w:leftChars="0"/>
              <w:jc w:val="center"/>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6</w:t>
            </w:r>
          </w:p>
        </w:tc>
        <w:tc>
          <w:tcPr>
            <w:tcW w:w="8309" w:type="dxa"/>
            <w:tcBorders>
              <w:right w:val="single" w:color="000000" w:sz="10" w:space="0"/>
            </w:tcBorders>
            <w:vAlign w:val="top"/>
          </w:tcPr>
          <w:p w14:paraId="663DCB4E">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中小企业划型标准规定</w:t>
            </w:r>
          </w:p>
          <w:p w14:paraId="3641818E">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一、根据《中华人民共和国中小企业促进法》和《国务院关于进一步促进中小企业发展的若干意见》((国发〔2009〕[2009]36号)，制定本规定</w:t>
            </w:r>
          </w:p>
          <w:p w14:paraId="43B74FE9">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二、中小企业划分为中型、小型、微型三种类型，具体标准根据企业从业人员、营业收入、资产总额等指标，结合行业特点制定</w:t>
            </w:r>
          </w:p>
          <w:p w14:paraId="533AF122">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三、本规定适用的行业包括：农、林、牧、渔业，工业(包括采矿业，制造业，电力、热力、燃气及水生产和供应业)，建筑业，批发业，零售业，交通运输业</w:t>
            </w:r>
            <w:r>
              <w:rPr>
                <w:rFonts w:hint="eastAsia" w:ascii="仿宋" w:hAnsi="仿宋" w:eastAsia="仿宋" w:cs="仿宋"/>
                <w:color w:val="auto"/>
                <w:spacing w:val="-1"/>
                <w:sz w:val="24"/>
                <w:szCs w:val="24"/>
                <w:highlight w:val="none"/>
                <w:lang w:val="en-US" w:eastAsia="zh-CN"/>
              </w:rPr>
              <w:tab/>
            </w:r>
            <w:r>
              <w:rPr>
                <w:rFonts w:hint="eastAsia" w:ascii="仿宋" w:hAnsi="仿宋" w:eastAsia="仿宋" w:cs="仿宋"/>
                <w:color w:val="auto"/>
                <w:spacing w:val="-1"/>
                <w:sz w:val="24"/>
                <w:szCs w:val="24"/>
                <w:highlight w:val="none"/>
                <w:lang w:val="en-US" w:eastAsia="zh-CN"/>
              </w:rPr>
              <w:t>(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4ED6E93">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四、各行业划型标准为：</w:t>
            </w:r>
          </w:p>
          <w:p w14:paraId="7752909A">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6238144B">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44203CD">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267C752">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A38177">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8CB7D2">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3EB2316">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94A19B">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829D9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1FCB88">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658149">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5C6FD37">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03ED13D">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172D52">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D83C76">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D10743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2F4F80A5">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五、企业类型的划分以统计部门的统计数据为依据。</w:t>
            </w:r>
          </w:p>
          <w:p w14:paraId="7075F3CB">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六、本规定适用于在中华人民共和国境内依法设立的各类所有制和各种组织形式的企业。个体工商户和本规定以外的行业，参照本规定进行划型。</w:t>
            </w:r>
          </w:p>
          <w:p w14:paraId="33D09AB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56704FC0">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八、本规定由工业和信息化部、国家统计局会同有关部门根据《国民经济行业分类》修订情况和企业发展变化情况适时修订。</w:t>
            </w:r>
          </w:p>
          <w:p w14:paraId="347E027F">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九、本规定由工业和信息化部、国家统计局会同有关部门负责解释。</w:t>
            </w:r>
          </w:p>
          <w:p w14:paraId="4A146224">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十、本规定自发布之日起执行，原国家经贸委、原国家计委、财政部和国家统计局2003年颁布的《中小企业标准暂行规定》同时废止。</w:t>
            </w:r>
          </w:p>
        </w:tc>
      </w:tr>
      <w:tr w14:paraId="2F2B6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4" w:hRule="atLeast"/>
        </w:trPr>
        <w:tc>
          <w:tcPr>
            <w:tcW w:w="1410" w:type="dxa"/>
            <w:tcBorders>
              <w:left w:val="single" w:color="000000" w:sz="10" w:space="0"/>
            </w:tcBorders>
            <w:vAlign w:val="center"/>
          </w:tcPr>
          <w:p w14:paraId="3437E260">
            <w:pPr>
              <w:keepNext w:val="0"/>
              <w:keepLines w:val="0"/>
              <w:widowControl/>
              <w:suppressLineNumbers w:val="0"/>
              <w:jc w:val="center"/>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7</w:t>
            </w:r>
          </w:p>
        </w:tc>
        <w:tc>
          <w:tcPr>
            <w:tcW w:w="8309" w:type="dxa"/>
            <w:tcBorders>
              <w:right w:val="single" w:color="000000" w:sz="10" w:space="0"/>
            </w:tcBorders>
            <w:vAlign w:val="top"/>
          </w:tcPr>
          <w:p w14:paraId="270E7EBE">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低于成本价不正当竞争预防措施：</w:t>
            </w:r>
          </w:p>
          <w:p w14:paraId="57D6135C">
            <w:pPr>
              <w:keepNext w:val="0"/>
              <w:keepLines w:val="0"/>
              <w:widowControl/>
              <w:suppressLineNumbers w:val="0"/>
              <w:jc w:val="left"/>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根据“财政部 87 号令《政府采购货物服务招标投标管理办法》”第六十条之规定：评标委员会认为供应商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供应商提供书面说明后，评标委员会应当结合采购项目采购需求、专业实际情况、供应商财务状况报告、与其他供应商比较情况等 就供应商书面说明进行审查评价。供应商拒绝或者变相拒绝提供有效书面说明或者书面说明不能证明其报价合理性的，评标委员会应当将其投标文件作为无效处理。</w:t>
            </w:r>
          </w:p>
        </w:tc>
      </w:tr>
      <w:tr w14:paraId="3BD6D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410" w:type="dxa"/>
            <w:tcBorders>
              <w:left w:val="single" w:color="000000" w:sz="10" w:space="0"/>
              <w:bottom w:val="single" w:color="000000" w:sz="10" w:space="0"/>
            </w:tcBorders>
            <w:vAlign w:val="center"/>
          </w:tcPr>
          <w:p w14:paraId="46C06FD8">
            <w:pPr>
              <w:spacing w:before="275" w:line="225" w:lineRule="auto"/>
              <w:jc w:val="center"/>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8</w:t>
            </w:r>
          </w:p>
        </w:tc>
        <w:tc>
          <w:tcPr>
            <w:tcW w:w="8309" w:type="dxa"/>
            <w:tcBorders>
              <w:bottom w:val="single" w:color="000000" w:sz="10" w:space="0"/>
              <w:right w:val="single" w:color="000000" w:sz="10" w:space="0"/>
            </w:tcBorders>
            <w:vAlign w:val="top"/>
          </w:tcPr>
          <w:p w14:paraId="6243973C">
            <w:pPr>
              <w:spacing w:before="315" w:line="225" w:lineRule="auto"/>
              <w:ind w:left="30" w:leftChars="0"/>
              <w:rPr>
                <w:rFonts w:hint="eastAsia" w:ascii="仿宋" w:hAnsi="仿宋" w:eastAsia="仿宋" w:cs="仿宋"/>
                <w:b/>
                <w:bCs/>
                <w:color w:val="auto"/>
                <w:spacing w:val="-1"/>
                <w:sz w:val="24"/>
                <w:szCs w:val="24"/>
                <w:highlight w:val="none"/>
                <w:lang w:val="en-US" w:eastAsia="zh-CN"/>
              </w:rPr>
            </w:pPr>
            <w:r>
              <w:rPr>
                <w:rFonts w:hint="eastAsia" w:ascii="仿宋" w:hAnsi="仿宋" w:eastAsia="仿宋" w:cs="仿宋"/>
                <w:b/>
                <w:bCs/>
                <w:color w:val="auto"/>
                <w:spacing w:val="-1"/>
                <w:sz w:val="24"/>
                <w:szCs w:val="24"/>
                <w:highlight w:val="none"/>
                <w:lang w:val="en-US" w:eastAsia="zh-CN"/>
              </w:rPr>
              <w:t>招标文件中资格要求、符合性要求及采购需求必须实质性响应，未实质性响应按投标无效处理。</w:t>
            </w:r>
          </w:p>
        </w:tc>
      </w:tr>
    </w:tbl>
    <w:p w14:paraId="7EC950C9">
      <w:pPr>
        <w:spacing w:line="125" w:lineRule="exact"/>
        <w:jc w:val="right"/>
        <w:rPr>
          <w:rFonts w:hint="eastAsia" w:ascii="仿宋" w:hAnsi="仿宋" w:eastAsia="仿宋" w:cs="仿宋"/>
          <w:color w:val="auto"/>
          <w:sz w:val="10"/>
          <w:szCs w:val="10"/>
          <w:highlight w:val="none"/>
          <w:lang w:eastAsia="zh-CN"/>
        </w:rPr>
        <w:sectPr>
          <w:footerReference r:id="rId34" w:type="default"/>
          <w:pgSz w:w="11905" w:h="16838"/>
          <w:pgMar w:top="1440" w:right="1083" w:bottom="1440" w:left="1083" w:header="0" w:footer="1225" w:gutter="0"/>
          <w:pgNumType w:fmt="decimal"/>
          <w:cols w:space="0" w:num="1"/>
          <w:rtlGutter w:val="0"/>
          <w:docGrid w:linePitch="0" w:charSpace="0"/>
        </w:sectPr>
      </w:pPr>
    </w:p>
    <w:p w14:paraId="2C0EB650">
      <w:pPr>
        <w:spacing w:line="91" w:lineRule="auto"/>
        <w:rPr>
          <w:rFonts w:hint="eastAsia" w:ascii="仿宋" w:hAnsi="仿宋" w:eastAsia="仿宋" w:cs="仿宋"/>
          <w:color w:val="auto"/>
          <w:sz w:val="2"/>
          <w:highlight w:val="none"/>
        </w:rPr>
      </w:pPr>
    </w:p>
    <w:p w14:paraId="7FCDE8B7">
      <w:pPr>
        <w:pStyle w:val="8"/>
        <w:spacing w:before="113" w:line="230" w:lineRule="auto"/>
        <w:jc w:val="center"/>
        <w:outlineLvl w:val="0"/>
        <w:rPr>
          <w:rFonts w:hint="eastAsia" w:ascii="仿宋" w:hAnsi="仿宋" w:eastAsia="仿宋" w:cs="仿宋"/>
          <w:color w:val="auto"/>
          <w:spacing w:val="6"/>
          <w:sz w:val="36"/>
          <w:szCs w:val="36"/>
          <w:highlight w:val="none"/>
          <w14:textOutline w14:w="5793" w14:cap="sq" w14:cmpd="sng">
            <w14:solidFill>
              <w14:srgbClr w14:val="000000"/>
            </w14:solidFill>
            <w14:prstDash w14:val="solid"/>
            <w14:bevel/>
          </w14:textOutline>
        </w:rPr>
      </w:pPr>
      <w:bookmarkStart w:id="211" w:name="_Toc466"/>
      <w:r>
        <w:rPr>
          <w:rFonts w:hint="eastAsia" w:ascii="仿宋" w:hAnsi="仿宋" w:eastAsia="仿宋" w:cs="仿宋"/>
          <w:color w:val="auto"/>
          <w:spacing w:val="6"/>
          <w:sz w:val="36"/>
          <w:szCs w:val="36"/>
          <w:highlight w:val="none"/>
          <w14:textOutline w14:w="6537" w14:cap="sq" w14:cmpd="sng">
            <w14:solidFill>
              <w14:srgbClr w14:val="000000"/>
            </w14:solidFill>
            <w14:prstDash w14:val="solid"/>
            <w14:bevel/>
          </w14:textOutline>
        </w:rPr>
        <w:t>第5章</w:t>
      </w:r>
      <w:r>
        <w:rPr>
          <w:rFonts w:hint="eastAsia" w:ascii="仿宋" w:hAnsi="仿宋" w:eastAsia="仿宋" w:cs="仿宋"/>
          <w:color w:val="auto"/>
          <w:spacing w:val="6"/>
          <w:sz w:val="36"/>
          <w:szCs w:val="36"/>
          <w:highlight w:val="none"/>
          <w14:textOutline w14:w="5793" w14:cap="sq" w14:cmpd="sng">
            <w14:solidFill>
              <w14:srgbClr w14:val="000000"/>
            </w14:solidFill>
            <w14:prstDash w14:val="solid"/>
            <w14:bevel/>
          </w14:textOutline>
        </w:rPr>
        <w:t>货物需求一览表及技术规格</w:t>
      </w:r>
      <w:bookmarkEnd w:id="211"/>
    </w:p>
    <w:p w14:paraId="0884DD7C">
      <w:pPr>
        <w:pStyle w:val="18"/>
        <w:widowControl/>
        <w:spacing w:beforeAutospacing="0" w:afterAutospacing="0" w:line="240" w:lineRule="auto"/>
        <w:ind w:left="420" w:leftChars="200"/>
        <w:rPr>
          <w:rFonts w:hint="eastAsia" w:ascii="仿宋" w:hAnsi="仿宋" w:eastAsia="仿宋" w:cs="仿宋"/>
          <w:b/>
          <w:bCs/>
          <w:color w:val="auto"/>
          <w:sz w:val="24"/>
          <w:szCs w:val="24"/>
          <w:highlight w:val="none"/>
          <w:lang w:val="en-US" w:eastAsia="zh-CN"/>
        </w:rPr>
      </w:pPr>
      <w:bookmarkStart w:id="212" w:name="_Toc23671"/>
      <w:r>
        <w:rPr>
          <w:rFonts w:hint="eastAsia" w:ascii="仿宋" w:hAnsi="仿宋" w:eastAsia="仿宋" w:cs="仿宋"/>
          <w:b/>
          <w:bCs/>
          <w:color w:val="auto"/>
          <w:sz w:val="24"/>
          <w:szCs w:val="24"/>
          <w:highlight w:val="none"/>
          <w:lang w:val="en-US" w:eastAsia="zh-CN"/>
        </w:rPr>
        <w:t>标项:1：</w:t>
      </w:r>
    </w:p>
    <w:p w14:paraId="1375AB1E">
      <w:pPr>
        <w:pStyle w:val="18"/>
        <w:widowControl/>
        <w:spacing w:beforeAutospacing="0" w:afterAutospacing="0" w:line="555" w:lineRule="atLeast"/>
        <w:ind w:left="420" w:left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（一）采购标的汇总表 </w:t>
      </w:r>
    </w:p>
    <w:tbl>
      <w:tblPr>
        <w:tblStyle w:val="2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3730"/>
        <w:gridCol w:w="955"/>
        <w:gridCol w:w="1022"/>
        <w:gridCol w:w="1453"/>
        <w:gridCol w:w="1453"/>
      </w:tblGrid>
      <w:tr w14:paraId="1B27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744" w:type="dxa"/>
            <w:shd w:val="clear" w:color="auto" w:fill="auto"/>
            <w:tcMar>
              <w:left w:w="105" w:type="dxa"/>
              <w:right w:w="105" w:type="dxa"/>
            </w:tcMar>
            <w:vAlign w:val="center"/>
          </w:tcPr>
          <w:p w14:paraId="6C9F5531">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序号</w:t>
            </w:r>
          </w:p>
        </w:tc>
        <w:tc>
          <w:tcPr>
            <w:tcW w:w="3730" w:type="dxa"/>
            <w:shd w:val="clear" w:color="auto" w:fill="auto"/>
            <w:tcMar>
              <w:left w:w="105" w:type="dxa"/>
              <w:right w:w="105" w:type="dxa"/>
            </w:tcMar>
            <w:vAlign w:val="center"/>
          </w:tcPr>
          <w:p w14:paraId="7BB9F131">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标的名称</w:t>
            </w:r>
          </w:p>
        </w:tc>
        <w:tc>
          <w:tcPr>
            <w:tcW w:w="955" w:type="dxa"/>
            <w:shd w:val="clear" w:color="auto" w:fill="auto"/>
            <w:tcMar>
              <w:left w:w="105" w:type="dxa"/>
              <w:right w:w="105" w:type="dxa"/>
            </w:tcMar>
            <w:vAlign w:val="center"/>
          </w:tcPr>
          <w:p w14:paraId="260A097F">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计量</w:t>
            </w:r>
          </w:p>
          <w:p w14:paraId="7112F59F">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单位</w:t>
            </w:r>
          </w:p>
        </w:tc>
        <w:tc>
          <w:tcPr>
            <w:tcW w:w="1022" w:type="dxa"/>
            <w:shd w:val="clear" w:color="auto" w:fill="auto"/>
            <w:tcMar>
              <w:left w:w="105" w:type="dxa"/>
              <w:right w:w="105" w:type="dxa"/>
            </w:tcMar>
            <w:vAlign w:val="center"/>
          </w:tcPr>
          <w:p w14:paraId="194D6760">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数量</w:t>
            </w:r>
          </w:p>
        </w:tc>
        <w:tc>
          <w:tcPr>
            <w:tcW w:w="1453" w:type="dxa"/>
            <w:shd w:val="clear" w:color="auto" w:fill="auto"/>
            <w:tcMar>
              <w:left w:w="105" w:type="dxa"/>
              <w:right w:w="105" w:type="dxa"/>
            </w:tcMar>
            <w:vAlign w:val="center"/>
          </w:tcPr>
          <w:p w14:paraId="29612A35">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是否</w:t>
            </w:r>
          </w:p>
          <w:p w14:paraId="0D3F5BC0">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进口</w:t>
            </w:r>
          </w:p>
        </w:tc>
        <w:tc>
          <w:tcPr>
            <w:tcW w:w="1453" w:type="dxa"/>
            <w:shd w:val="clear" w:color="auto" w:fill="auto"/>
            <w:tcMar>
              <w:left w:w="105" w:type="dxa"/>
              <w:right w:w="105" w:type="dxa"/>
            </w:tcMar>
            <w:vAlign w:val="center"/>
          </w:tcPr>
          <w:p w14:paraId="5C1D4522">
            <w:pPr>
              <w:pStyle w:val="18"/>
              <w:widowControl/>
              <w:wordWrap w:val="0"/>
              <w:spacing w:beforeAutospacing="0" w:afterAutospacing="0" w:line="360" w:lineRule="auto"/>
              <w:jc w:val="center"/>
              <w:rPr>
                <w:rStyle w:val="24"/>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核心设备</w:t>
            </w:r>
          </w:p>
        </w:tc>
      </w:tr>
      <w:tr w14:paraId="4A19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744" w:type="dxa"/>
            <w:shd w:val="clear" w:color="auto" w:fill="auto"/>
            <w:tcMar>
              <w:left w:w="105" w:type="dxa"/>
              <w:right w:w="105" w:type="dxa"/>
            </w:tcMar>
            <w:vAlign w:val="center"/>
          </w:tcPr>
          <w:p w14:paraId="10A3C568">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3730" w:type="dxa"/>
            <w:shd w:val="clear" w:color="auto" w:fill="auto"/>
            <w:tcMar>
              <w:left w:w="105" w:type="dxa"/>
              <w:right w:w="105" w:type="dxa"/>
            </w:tcMar>
            <w:vAlign w:val="center"/>
          </w:tcPr>
          <w:p w14:paraId="4B2309A4">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数字减影血管造影系统（DSA）</w:t>
            </w:r>
          </w:p>
        </w:tc>
        <w:tc>
          <w:tcPr>
            <w:tcW w:w="955" w:type="dxa"/>
            <w:shd w:val="clear" w:color="auto" w:fill="auto"/>
            <w:tcMar>
              <w:left w:w="105" w:type="dxa"/>
              <w:right w:w="105" w:type="dxa"/>
            </w:tcMar>
            <w:vAlign w:val="center"/>
          </w:tcPr>
          <w:p w14:paraId="0E47F343">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套</w:t>
            </w:r>
          </w:p>
        </w:tc>
        <w:tc>
          <w:tcPr>
            <w:tcW w:w="1022" w:type="dxa"/>
            <w:shd w:val="clear" w:color="auto" w:fill="auto"/>
            <w:tcMar>
              <w:left w:w="105" w:type="dxa"/>
              <w:right w:w="105" w:type="dxa"/>
            </w:tcMar>
            <w:vAlign w:val="center"/>
          </w:tcPr>
          <w:p w14:paraId="08D47B9A">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453" w:type="dxa"/>
            <w:shd w:val="clear" w:color="auto" w:fill="auto"/>
            <w:tcMar>
              <w:left w:w="105" w:type="dxa"/>
              <w:right w:w="105" w:type="dxa"/>
            </w:tcMar>
            <w:vAlign w:val="center"/>
          </w:tcPr>
          <w:p w14:paraId="3F139811">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22B5163C">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是</w:t>
            </w:r>
          </w:p>
        </w:tc>
      </w:tr>
      <w:tr w14:paraId="0C0C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2DDA759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w:t>
            </w:r>
          </w:p>
        </w:tc>
        <w:tc>
          <w:tcPr>
            <w:tcW w:w="3730" w:type="dxa"/>
            <w:shd w:val="clear" w:color="auto" w:fill="auto"/>
            <w:tcMar>
              <w:left w:w="105" w:type="dxa"/>
              <w:right w:w="105" w:type="dxa"/>
            </w:tcMar>
            <w:vAlign w:val="center"/>
          </w:tcPr>
          <w:p w14:paraId="5B224D18">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多道生理记录仪</w:t>
            </w:r>
          </w:p>
        </w:tc>
        <w:tc>
          <w:tcPr>
            <w:tcW w:w="955" w:type="dxa"/>
            <w:shd w:val="clear" w:color="auto" w:fill="auto"/>
            <w:tcMar>
              <w:left w:w="105" w:type="dxa"/>
              <w:right w:w="105" w:type="dxa"/>
            </w:tcMar>
            <w:vAlign w:val="center"/>
          </w:tcPr>
          <w:p w14:paraId="389D46B5">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20D1D6C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453" w:type="dxa"/>
            <w:shd w:val="clear" w:color="auto" w:fill="auto"/>
            <w:tcMar>
              <w:left w:w="105" w:type="dxa"/>
              <w:right w:w="105" w:type="dxa"/>
            </w:tcMar>
            <w:vAlign w:val="center"/>
          </w:tcPr>
          <w:p w14:paraId="24991C7F">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5DDBC6E1">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r>
      <w:tr w14:paraId="3618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4A66C75E">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3</w:t>
            </w:r>
          </w:p>
        </w:tc>
        <w:tc>
          <w:tcPr>
            <w:tcW w:w="3730" w:type="dxa"/>
            <w:shd w:val="clear" w:color="auto" w:fill="auto"/>
            <w:tcMar>
              <w:left w:w="105" w:type="dxa"/>
              <w:right w:w="105" w:type="dxa"/>
            </w:tcMar>
            <w:vAlign w:val="center"/>
          </w:tcPr>
          <w:p w14:paraId="19833217">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血管内超声系统</w:t>
            </w:r>
          </w:p>
        </w:tc>
        <w:tc>
          <w:tcPr>
            <w:tcW w:w="955" w:type="dxa"/>
            <w:shd w:val="clear" w:color="auto" w:fill="auto"/>
            <w:tcMar>
              <w:left w:w="105" w:type="dxa"/>
              <w:right w:w="105" w:type="dxa"/>
            </w:tcMar>
            <w:vAlign w:val="center"/>
          </w:tcPr>
          <w:p w14:paraId="514D581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08E39EC6">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453" w:type="dxa"/>
            <w:shd w:val="clear" w:color="auto" w:fill="auto"/>
            <w:tcMar>
              <w:left w:w="105" w:type="dxa"/>
              <w:right w:w="105" w:type="dxa"/>
            </w:tcMar>
            <w:vAlign w:val="center"/>
          </w:tcPr>
          <w:p w14:paraId="56A19A7C">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6BCA994B">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r>
    </w:tbl>
    <w:p w14:paraId="14EA08CD">
      <w:pPr>
        <w:pStyle w:val="18"/>
        <w:widowControl/>
        <w:spacing w:beforeAutospacing="0" w:afterAutospacing="0" w:line="555"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（二）技术要求</w:t>
      </w:r>
    </w:p>
    <w:p w14:paraId="49AE334D">
      <w:pPr>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数字减影血管造影系统（DSA）技术参数：</w:t>
      </w:r>
    </w:p>
    <w:tbl>
      <w:tblPr>
        <w:tblStyle w:val="21"/>
        <w:tblW w:w="8522" w:type="dxa"/>
        <w:tblInd w:w="0" w:type="dxa"/>
        <w:tblLayout w:type="autofit"/>
        <w:tblCellMar>
          <w:top w:w="0" w:type="dxa"/>
          <w:left w:w="108" w:type="dxa"/>
          <w:bottom w:w="0" w:type="dxa"/>
          <w:right w:w="108" w:type="dxa"/>
        </w:tblCellMar>
      </w:tblPr>
      <w:tblGrid>
        <w:gridCol w:w="1729"/>
        <w:gridCol w:w="6793"/>
      </w:tblGrid>
      <w:tr w14:paraId="09A16F67">
        <w:tblPrEx>
          <w:tblCellMar>
            <w:top w:w="0" w:type="dxa"/>
            <w:left w:w="108" w:type="dxa"/>
            <w:bottom w:w="0" w:type="dxa"/>
            <w:right w:w="108" w:type="dxa"/>
          </w:tblCellMar>
        </w:tblPrEx>
        <w:trPr>
          <w:trHeight w:val="90" w:hRule="atLeast"/>
        </w:trPr>
        <w:tc>
          <w:tcPr>
            <w:tcW w:w="1729" w:type="dxa"/>
          </w:tcPr>
          <w:p w14:paraId="5BAF2762">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793" w:type="dxa"/>
          </w:tcPr>
          <w:p w14:paraId="2D9B175C">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技术功能</w:t>
            </w:r>
          </w:p>
        </w:tc>
      </w:tr>
      <w:tr w14:paraId="16860D87">
        <w:tblPrEx>
          <w:tblCellMar>
            <w:top w:w="0" w:type="dxa"/>
            <w:left w:w="108" w:type="dxa"/>
            <w:bottom w:w="0" w:type="dxa"/>
            <w:right w:w="108" w:type="dxa"/>
          </w:tblCellMar>
        </w:tblPrEx>
        <w:tc>
          <w:tcPr>
            <w:tcW w:w="1729" w:type="dxa"/>
            <w:vAlign w:val="center"/>
          </w:tcPr>
          <w:p w14:paraId="5535FEFC">
            <w:pPr>
              <w:widowControl/>
              <w:spacing w:line="360" w:lineRule="auto"/>
              <w:jc w:val="left"/>
              <w:textAlignment w:val="center"/>
              <w:rPr>
                <w:rFonts w:hint="eastAsia" w:ascii="仿宋" w:hAnsi="仿宋" w:eastAsia="仿宋" w:cs="仿宋"/>
                <w:b/>
                <w:color w:val="auto"/>
                <w:sz w:val="24"/>
                <w:szCs w:val="24"/>
                <w:highlight w:val="none"/>
              </w:rPr>
            </w:pPr>
            <w:r>
              <w:rPr>
                <w:rStyle w:val="33"/>
                <w:rFonts w:hint="eastAsia" w:ascii="仿宋" w:hAnsi="仿宋" w:eastAsia="仿宋" w:cs="仿宋"/>
                <w:color w:val="auto"/>
                <w:sz w:val="24"/>
                <w:szCs w:val="24"/>
                <w:highlight w:val="none"/>
                <w:lang w:bidi="ar"/>
              </w:rPr>
              <w:t>一、设备名称</w:t>
            </w:r>
          </w:p>
        </w:tc>
        <w:tc>
          <w:tcPr>
            <w:tcW w:w="6793" w:type="dxa"/>
            <w:vAlign w:val="center"/>
          </w:tcPr>
          <w:p w14:paraId="5B74AF25">
            <w:pPr>
              <w:widowControl/>
              <w:spacing w:line="360" w:lineRule="auto"/>
              <w:jc w:val="left"/>
              <w:textAlignment w:val="center"/>
              <w:rPr>
                <w:rFonts w:hint="eastAsia" w:ascii="仿宋" w:hAnsi="仿宋" w:eastAsia="仿宋" w:cs="仿宋"/>
                <w:b/>
                <w:color w:val="auto"/>
                <w:sz w:val="24"/>
                <w:szCs w:val="24"/>
                <w:highlight w:val="none"/>
              </w:rPr>
            </w:pPr>
            <w:r>
              <w:rPr>
                <w:rStyle w:val="33"/>
                <w:rFonts w:hint="eastAsia" w:ascii="仿宋" w:hAnsi="仿宋" w:eastAsia="仿宋" w:cs="仿宋"/>
                <w:color w:val="auto"/>
                <w:sz w:val="24"/>
                <w:szCs w:val="24"/>
                <w:highlight w:val="none"/>
                <w:lang w:bidi="ar"/>
              </w:rPr>
              <w:t>数字减影血管造影系统</w:t>
            </w:r>
          </w:p>
        </w:tc>
      </w:tr>
      <w:tr w14:paraId="5AB9F578">
        <w:tblPrEx>
          <w:tblCellMar>
            <w:top w:w="0" w:type="dxa"/>
            <w:left w:w="108" w:type="dxa"/>
            <w:bottom w:w="0" w:type="dxa"/>
            <w:right w:w="108" w:type="dxa"/>
          </w:tblCellMar>
        </w:tblPrEx>
        <w:tc>
          <w:tcPr>
            <w:tcW w:w="1729" w:type="dxa"/>
            <w:vAlign w:val="center"/>
          </w:tcPr>
          <w:p w14:paraId="1DDDCCB9">
            <w:pPr>
              <w:widowControl/>
              <w:spacing w:line="360" w:lineRule="auto"/>
              <w:jc w:val="left"/>
              <w:textAlignment w:val="center"/>
              <w:rPr>
                <w:rFonts w:hint="eastAsia" w:ascii="仿宋" w:hAnsi="仿宋" w:eastAsia="仿宋" w:cs="仿宋"/>
                <w:b/>
                <w:color w:val="auto"/>
                <w:sz w:val="24"/>
                <w:szCs w:val="24"/>
                <w:highlight w:val="none"/>
              </w:rPr>
            </w:pPr>
            <w:r>
              <w:rPr>
                <w:rStyle w:val="33"/>
                <w:rFonts w:hint="eastAsia" w:ascii="仿宋" w:hAnsi="仿宋" w:eastAsia="仿宋" w:cs="仿宋"/>
                <w:color w:val="auto"/>
                <w:sz w:val="24"/>
                <w:szCs w:val="24"/>
                <w:highlight w:val="none"/>
                <w:lang w:bidi="ar"/>
              </w:rPr>
              <w:t>二、设备用途</w:t>
            </w:r>
          </w:p>
        </w:tc>
        <w:tc>
          <w:tcPr>
            <w:tcW w:w="6793" w:type="dxa"/>
            <w:vAlign w:val="center"/>
          </w:tcPr>
          <w:p w14:paraId="5D86BDCA">
            <w:pPr>
              <w:widowControl/>
              <w:spacing w:line="360" w:lineRule="auto"/>
              <w:jc w:val="left"/>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color w:val="auto"/>
                <w:kern w:val="0"/>
                <w:sz w:val="24"/>
                <w:szCs w:val="24"/>
                <w:highlight w:val="none"/>
                <w:lang w:bidi="ar"/>
              </w:rPr>
              <w:t>心脏、神经及外周血管的造影和介入治疗，包含高清成像低剂量技术平台一套</w:t>
            </w:r>
            <w:r>
              <w:rPr>
                <w:rFonts w:hint="eastAsia" w:ascii="仿宋" w:hAnsi="仿宋" w:eastAsia="仿宋" w:cs="仿宋"/>
                <w:color w:val="auto"/>
                <w:kern w:val="0"/>
                <w:sz w:val="24"/>
                <w:szCs w:val="24"/>
                <w:highlight w:val="none"/>
                <w:lang w:eastAsia="zh-CN" w:bidi="ar"/>
              </w:rPr>
              <w:t>。</w:t>
            </w:r>
          </w:p>
        </w:tc>
      </w:tr>
      <w:tr w14:paraId="24A38621">
        <w:tblPrEx>
          <w:tblCellMar>
            <w:top w:w="0" w:type="dxa"/>
            <w:left w:w="108" w:type="dxa"/>
            <w:bottom w:w="0" w:type="dxa"/>
            <w:right w:w="108" w:type="dxa"/>
          </w:tblCellMar>
        </w:tblPrEx>
        <w:trPr>
          <w:trHeight w:val="90" w:hRule="atLeast"/>
        </w:trPr>
        <w:tc>
          <w:tcPr>
            <w:tcW w:w="1729" w:type="dxa"/>
            <w:vAlign w:val="center"/>
          </w:tcPr>
          <w:p w14:paraId="32D5E0E8">
            <w:pPr>
              <w:widowControl/>
              <w:spacing w:line="360" w:lineRule="auto"/>
              <w:jc w:val="left"/>
              <w:textAlignment w:val="center"/>
              <w:rPr>
                <w:rFonts w:hint="eastAsia" w:ascii="仿宋" w:hAnsi="仿宋" w:eastAsia="仿宋" w:cs="仿宋"/>
                <w:bCs/>
                <w:color w:val="auto"/>
                <w:sz w:val="24"/>
                <w:szCs w:val="24"/>
                <w:highlight w:val="none"/>
              </w:rPr>
            </w:pPr>
            <w:r>
              <w:rPr>
                <w:rStyle w:val="33"/>
                <w:rFonts w:hint="eastAsia" w:ascii="仿宋" w:hAnsi="仿宋" w:eastAsia="仿宋" w:cs="仿宋"/>
                <w:color w:val="auto"/>
                <w:sz w:val="24"/>
                <w:szCs w:val="24"/>
                <w:highlight w:val="none"/>
                <w:lang w:bidi="ar"/>
              </w:rPr>
              <w:t>三、技术要求</w:t>
            </w:r>
          </w:p>
        </w:tc>
        <w:tc>
          <w:tcPr>
            <w:tcW w:w="6793" w:type="dxa"/>
            <w:vAlign w:val="center"/>
          </w:tcPr>
          <w:p w14:paraId="51528E9D">
            <w:pPr>
              <w:widowControl/>
              <w:spacing w:line="360" w:lineRule="auto"/>
              <w:jc w:val="left"/>
              <w:rPr>
                <w:rFonts w:hint="eastAsia" w:ascii="仿宋" w:hAnsi="仿宋" w:eastAsia="仿宋" w:cs="仿宋"/>
                <w:bCs/>
                <w:color w:val="auto"/>
                <w:sz w:val="24"/>
                <w:szCs w:val="24"/>
                <w:highlight w:val="none"/>
              </w:rPr>
            </w:pPr>
          </w:p>
        </w:tc>
      </w:tr>
      <w:tr w14:paraId="2F879C6A">
        <w:tblPrEx>
          <w:tblCellMar>
            <w:top w:w="0" w:type="dxa"/>
            <w:left w:w="108" w:type="dxa"/>
            <w:bottom w:w="0" w:type="dxa"/>
            <w:right w:w="108" w:type="dxa"/>
          </w:tblCellMar>
        </w:tblPrEx>
        <w:trPr>
          <w:trHeight w:val="90" w:hRule="atLeast"/>
        </w:trPr>
        <w:tc>
          <w:tcPr>
            <w:tcW w:w="1729" w:type="dxa"/>
            <w:vAlign w:val="center"/>
          </w:tcPr>
          <w:p w14:paraId="7813D2C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1</w:t>
            </w:r>
          </w:p>
        </w:tc>
        <w:tc>
          <w:tcPr>
            <w:tcW w:w="6793" w:type="dxa"/>
            <w:vAlign w:val="center"/>
          </w:tcPr>
          <w:p w14:paraId="6BFE12A5">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机架系统</w:t>
            </w:r>
          </w:p>
        </w:tc>
      </w:tr>
      <w:tr w14:paraId="62A5BB4B">
        <w:tblPrEx>
          <w:tblCellMar>
            <w:top w:w="0" w:type="dxa"/>
            <w:left w:w="108" w:type="dxa"/>
            <w:bottom w:w="0" w:type="dxa"/>
            <w:right w:w="108" w:type="dxa"/>
          </w:tblCellMar>
        </w:tblPrEx>
        <w:trPr>
          <w:trHeight w:val="90" w:hRule="atLeast"/>
        </w:trPr>
        <w:tc>
          <w:tcPr>
            <w:tcW w:w="1729" w:type="dxa"/>
            <w:vAlign w:val="center"/>
          </w:tcPr>
          <w:p w14:paraId="6504A526">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w:t>
            </w:r>
            <w:r>
              <w:rPr>
                <w:rFonts w:hint="eastAsia" w:ascii="仿宋" w:hAnsi="仿宋" w:eastAsia="仿宋" w:cs="仿宋"/>
                <w:b/>
                <w:color w:val="auto"/>
                <w:kern w:val="0"/>
                <w:sz w:val="24"/>
                <w:szCs w:val="24"/>
                <w:highlight w:val="none"/>
              </w:rPr>
              <w:t>▲</w:t>
            </w:r>
          </w:p>
        </w:tc>
        <w:tc>
          <w:tcPr>
            <w:tcW w:w="6793" w:type="dxa"/>
            <w:vAlign w:val="center"/>
          </w:tcPr>
          <w:p w14:paraId="3D47255F">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多轴悬吊机架系统，机架运动轴≥6个</w:t>
            </w:r>
            <w:r>
              <w:rPr>
                <w:rFonts w:hint="eastAsia" w:ascii="仿宋" w:hAnsi="仿宋" w:eastAsia="仿宋" w:cs="仿宋"/>
                <w:color w:val="auto"/>
                <w:kern w:val="0"/>
                <w:sz w:val="24"/>
                <w:szCs w:val="24"/>
                <w:highlight w:val="none"/>
                <w:lang w:eastAsia="zh-CN" w:bidi="ar"/>
              </w:rPr>
              <w:t>。</w:t>
            </w:r>
          </w:p>
        </w:tc>
      </w:tr>
      <w:tr w14:paraId="5867EEEA">
        <w:tblPrEx>
          <w:tblCellMar>
            <w:top w:w="0" w:type="dxa"/>
            <w:left w:w="108" w:type="dxa"/>
            <w:bottom w:w="0" w:type="dxa"/>
            <w:right w:w="108" w:type="dxa"/>
          </w:tblCellMar>
        </w:tblPrEx>
        <w:trPr>
          <w:trHeight w:val="415" w:hRule="atLeast"/>
        </w:trPr>
        <w:tc>
          <w:tcPr>
            <w:tcW w:w="1729" w:type="dxa"/>
            <w:vAlign w:val="center"/>
          </w:tcPr>
          <w:p w14:paraId="6F3BA595">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1.2</w:t>
            </w:r>
          </w:p>
        </w:tc>
        <w:tc>
          <w:tcPr>
            <w:tcW w:w="6793" w:type="dxa"/>
            <w:vAlign w:val="center"/>
          </w:tcPr>
          <w:p w14:paraId="26AA6E04">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机架多位置预设，存储位置≥</w:t>
            </w:r>
            <w:r>
              <w:rPr>
                <w:rStyle w:val="34"/>
                <w:rFonts w:hint="eastAsia" w:ascii="仿宋" w:hAnsi="仿宋" w:eastAsia="仿宋" w:cs="仿宋"/>
                <w:color w:val="auto"/>
                <w:sz w:val="24"/>
                <w:szCs w:val="24"/>
                <w:highlight w:val="none"/>
                <w:lang w:bidi="ar"/>
              </w:rPr>
              <w:t>100</w:t>
            </w:r>
            <w:r>
              <w:rPr>
                <w:rStyle w:val="33"/>
                <w:rFonts w:hint="eastAsia" w:ascii="仿宋" w:hAnsi="仿宋" w:eastAsia="仿宋" w:cs="仿宋"/>
                <w:color w:val="auto"/>
                <w:sz w:val="24"/>
                <w:szCs w:val="24"/>
                <w:highlight w:val="none"/>
                <w:lang w:bidi="ar"/>
              </w:rPr>
              <w:t>种</w:t>
            </w:r>
            <w:r>
              <w:rPr>
                <w:rStyle w:val="33"/>
                <w:rFonts w:hint="eastAsia" w:ascii="仿宋" w:hAnsi="仿宋" w:eastAsia="仿宋" w:cs="仿宋"/>
                <w:color w:val="auto"/>
                <w:sz w:val="24"/>
                <w:szCs w:val="24"/>
                <w:highlight w:val="none"/>
                <w:lang w:eastAsia="zh-CN" w:bidi="ar"/>
              </w:rPr>
              <w:t>。</w:t>
            </w:r>
          </w:p>
        </w:tc>
      </w:tr>
      <w:tr w14:paraId="0122FCF5">
        <w:tblPrEx>
          <w:tblCellMar>
            <w:top w:w="0" w:type="dxa"/>
            <w:left w:w="108" w:type="dxa"/>
            <w:bottom w:w="0" w:type="dxa"/>
            <w:right w:w="108" w:type="dxa"/>
          </w:tblCellMar>
        </w:tblPrEx>
        <w:tc>
          <w:tcPr>
            <w:tcW w:w="1729" w:type="dxa"/>
            <w:vAlign w:val="center"/>
          </w:tcPr>
          <w:p w14:paraId="2DEFD4A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1.3</w:t>
            </w:r>
          </w:p>
        </w:tc>
        <w:tc>
          <w:tcPr>
            <w:tcW w:w="6793" w:type="dxa"/>
            <w:vAlign w:val="center"/>
          </w:tcPr>
          <w:p w14:paraId="4BE02892">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C</w:t>
            </w:r>
            <w:r>
              <w:rPr>
                <w:rStyle w:val="33"/>
                <w:rFonts w:hint="eastAsia" w:ascii="仿宋" w:hAnsi="仿宋" w:eastAsia="仿宋" w:cs="仿宋"/>
                <w:color w:val="auto"/>
                <w:sz w:val="24"/>
                <w:szCs w:val="24"/>
                <w:highlight w:val="none"/>
                <w:lang w:bidi="ar"/>
              </w:rPr>
              <w:t>型臂头足成角范围头侧成角≥</w:t>
            </w:r>
            <w:r>
              <w:rPr>
                <w:rStyle w:val="34"/>
                <w:rFonts w:hint="eastAsia" w:ascii="仿宋" w:hAnsi="仿宋" w:eastAsia="仿宋" w:cs="仿宋"/>
                <w:color w:val="auto"/>
                <w:sz w:val="24"/>
                <w:szCs w:val="24"/>
                <w:highlight w:val="none"/>
                <w:lang w:bidi="ar"/>
              </w:rPr>
              <w:t xml:space="preserve">90° </w:t>
            </w:r>
            <w:r>
              <w:rPr>
                <w:rStyle w:val="33"/>
                <w:rFonts w:hint="eastAsia" w:ascii="仿宋" w:hAnsi="仿宋" w:eastAsia="仿宋" w:cs="仿宋"/>
                <w:color w:val="auto"/>
                <w:sz w:val="24"/>
                <w:szCs w:val="24"/>
                <w:highlight w:val="none"/>
                <w:lang w:bidi="ar"/>
              </w:rPr>
              <w:t>，足侧成角≥</w:t>
            </w:r>
            <w:r>
              <w:rPr>
                <w:rStyle w:val="34"/>
                <w:rFonts w:hint="eastAsia" w:ascii="仿宋" w:hAnsi="仿宋" w:eastAsia="仿宋" w:cs="仿宋"/>
                <w:color w:val="auto"/>
                <w:sz w:val="24"/>
                <w:szCs w:val="24"/>
                <w:highlight w:val="none"/>
                <w:lang w:bidi="ar"/>
              </w:rPr>
              <w:t xml:space="preserve">90° </w:t>
            </w:r>
            <w:r>
              <w:rPr>
                <w:rStyle w:val="34"/>
                <w:rFonts w:hint="eastAsia" w:ascii="仿宋" w:hAnsi="仿宋" w:eastAsia="仿宋" w:cs="仿宋"/>
                <w:color w:val="auto"/>
                <w:sz w:val="24"/>
                <w:szCs w:val="24"/>
                <w:highlight w:val="none"/>
                <w:lang w:eastAsia="zh-CN" w:bidi="ar"/>
              </w:rPr>
              <w:t>。</w:t>
            </w:r>
          </w:p>
        </w:tc>
      </w:tr>
      <w:tr w14:paraId="7AD06558">
        <w:tblPrEx>
          <w:tblCellMar>
            <w:top w:w="0" w:type="dxa"/>
            <w:left w:w="108" w:type="dxa"/>
            <w:bottom w:w="0" w:type="dxa"/>
            <w:right w:w="108" w:type="dxa"/>
          </w:tblCellMar>
        </w:tblPrEx>
        <w:tc>
          <w:tcPr>
            <w:tcW w:w="1729" w:type="dxa"/>
            <w:vAlign w:val="center"/>
          </w:tcPr>
          <w:p w14:paraId="0D684E84">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1.4</w:t>
            </w:r>
          </w:p>
        </w:tc>
        <w:tc>
          <w:tcPr>
            <w:tcW w:w="6793" w:type="dxa"/>
            <w:vAlign w:val="center"/>
          </w:tcPr>
          <w:p w14:paraId="2A792221">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C</w:t>
            </w:r>
            <w:r>
              <w:rPr>
                <w:rStyle w:val="33"/>
                <w:rFonts w:hint="eastAsia" w:ascii="仿宋" w:hAnsi="仿宋" w:eastAsia="仿宋" w:cs="仿宋"/>
                <w:color w:val="auto"/>
                <w:sz w:val="24"/>
                <w:szCs w:val="24"/>
                <w:highlight w:val="none"/>
                <w:lang w:bidi="ar"/>
              </w:rPr>
              <w:t>型臂左右成角范围左成角≥</w:t>
            </w:r>
            <w:r>
              <w:rPr>
                <w:rStyle w:val="34"/>
                <w:rFonts w:hint="eastAsia" w:ascii="仿宋" w:hAnsi="仿宋" w:eastAsia="仿宋" w:cs="仿宋"/>
                <w:color w:val="auto"/>
                <w:sz w:val="24"/>
                <w:szCs w:val="24"/>
                <w:highlight w:val="none"/>
                <w:lang w:bidi="ar"/>
              </w:rPr>
              <w:t xml:space="preserve">120° </w:t>
            </w:r>
            <w:r>
              <w:rPr>
                <w:rStyle w:val="33"/>
                <w:rFonts w:hint="eastAsia" w:ascii="仿宋" w:hAnsi="仿宋" w:eastAsia="仿宋" w:cs="仿宋"/>
                <w:color w:val="auto"/>
                <w:sz w:val="24"/>
                <w:szCs w:val="24"/>
                <w:highlight w:val="none"/>
                <w:lang w:bidi="ar"/>
              </w:rPr>
              <w:t>，右成角≥</w:t>
            </w:r>
            <w:r>
              <w:rPr>
                <w:rStyle w:val="34"/>
                <w:rFonts w:hint="eastAsia" w:ascii="仿宋" w:hAnsi="仿宋" w:eastAsia="仿宋" w:cs="仿宋"/>
                <w:color w:val="auto"/>
                <w:sz w:val="24"/>
                <w:szCs w:val="24"/>
                <w:highlight w:val="none"/>
                <w:lang w:bidi="ar"/>
              </w:rPr>
              <w:t>180</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 xml:space="preserve"> </w:t>
            </w:r>
            <w:r>
              <w:rPr>
                <w:rStyle w:val="34"/>
                <w:rFonts w:hint="eastAsia" w:ascii="仿宋" w:hAnsi="仿宋" w:eastAsia="仿宋" w:cs="仿宋"/>
                <w:color w:val="auto"/>
                <w:sz w:val="24"/>
                <w:szCs w:val="24"/>
                <w:highlight w:val="none"/>
                <w:lang w:eastAsia="zh-CN" w:bidi="ar"/>
              </w:rPr>
              <w:t>。</w:t>
            </w:r>
          </w:p>
        </w:tc>
      </w:tr>
      <w:tr w14:paraId="565DE0B0">
        <w:tblPrEx>
          <w:tblCellMar>
            <w:top w:w="0" w:type="dxa"/>
            <w:left w:w="108" w:type="dxa"/>
            <w:bottom w:w="0" w:type="dxa"/>
            <w:right w:w="108" w:type="dxa"/>
          </w:tblCellMar>
        </w:tblPrEx>
        <w:tc>
          <w:tcPr>
            <w:tcW w:w="1729" w:type="dxa"/>
            <w:vAlign w:val="center"/>
          </w:tcPr>
          <w:p w14:paraId="2A38D196">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1.6</w:t>
            </w:r>
            <w:r>
              <w:rPr>
                <w:rFonts w:hint="eastAsia" w:ascii="仿宋" w:hAnsi="仿宋" w:eastAsia="仿宋" w:cs="仿宋"/>
                <w:b/>
                <w:color w:val="auto"/>
                <w:kern w:val="0"/>
                <w:sz w:val="24"/>
                <w:szCs w:val="24"/>
                <w:highlight w:val="none"/>
              </w:rPr>
              <w:t>▲</w:t>
            </w:r>
          </w:p>
        </w:tc>
        <w:tc>
          <w:tcPr>
            <w:tcW w:w="6793" w:type="dxa"/>
            <w:vAlign w:val="center"/>
          </w:tcPr>
          <w:p w14:paraId="0D25CD84">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C</w:t>
            </w:r>
            <w:r>
              <w:rPr>
                <w:rStyle w:val="33"/>
                <w:rFonts w:hint="eastAsia" w:ascii="仿宋" w:hAnsi="仿宋" w:eastAsia="仿宋" w:cs="仿宋"/>
                <w:color w:val="auto"/>
                <w:sz w:val="24"/>
                <w:szCs w:val="24"/>
                <w:highlight w:val="none"/>
                <w:lang w:bidi="ar"/>
              </w:rPr>
              <w:t>型臂水平横向运动范围≥</w:t>
            </w:r>
            <w:r>
              <w:rPr>
                <w:rStyle w:val="34"/>
                <w:rFonts w:hint="eastAsia" w:ascii="仿宋" w:hAnsi="仿宋" w:eastAsia="仿宋" w:cs="仿宋"/>
                <w:color w:val="auto"/>
                <w:sz w:val="24"/>
                <w:szCs w:val="24"/>
                <w:highlight w:val="none"/>
                <w:lang w:bidi="ar"/>
              </w:rPr>
              <w:t>200cm</w:t>
            </w:r>
            <w:r>
              <w:rPr>
                <w:rStyle w:val="34"/>
                <w:rFonts w:hint="eastAsia" w:ascii="仿宋" w:hAnsi="仿宋" w:eastAsia="仿宋" w:cs="仿宋"/>
                <w:color w:val="auto"/>
                <w:sz w:val="24"/>
                <w:szCs w:val="24"/>
                <w:highlight w:val="none"/>
                <w:lang w:eastAsia="zh-CN" w:bidi="ar"/>
              </w:rPr>
              <w:t>。</w:t>
            </w:r>
          </w:p>
        </w:tc>
      </w:tr>
      <w:tr w14:paraId="3485B7EF">
        <w:tblPrEx>
          <w:tblCellMar>
            <w:top w:w="0" w:type="dxa"/>
            <w:left w:w="108" w:type="dxa"/>
            <w:bottom w:w="0" w:type="dxa"/>
            <w:right w:w="108" w:type="dxa"/>
          </w:tblCellMar>
        </w:tblPrEx>
        <w:tc>
          <w:tcPr>
            <w:tcW w:w="1729" w:type="dxa"/>
            <w:vAlign w:val="center"/>
          </w:tcPr>
          <w:p w14:paraId="1200CAE1">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1.8</w:t>
            </w:r>
          </w:p>
        </w:tc>
        <w:tc>
          <w:tcPr>
            <w:tcW w:w="6793" w:type="dxa"/>
            <w:vAlign w:val="center"/>
          </w:tcPr>
          <w:p w14:paraId="5FAC5B8E">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C</w:t>
            </w:r>
            <w:r>
              <w:rPr>
                <w:rStyle w:val="33"/>
                <w:rFonts w:hint="eastAsia" w:ascii="仿宋" w:hAnsi="仿宋" w:eastAsia="仿宋" w:cs="仿宋"/>
                <w:color w:val="auto"/>
                <w:sz w:val="24"/>
                <w:szCs w:val="24"/>
                <w:highlight w:val="none"/>
                <w:lang w:bidi="ar"/>
              </w:rPr>
              <w:t>型臂水平纵向运动范围≥</w:t>
            </w:r>
            <w:r>
              <w:rPr>
                <w:rStyle w:val="34"/>
                <w:rFonts w:hint="eastAsia" w:ascii="仿宋" w:hAnsi="仿宋" w:eastAsia="仿宋" w:cs="仿宋"/>
                <w:color w:val="auto"/>
                <w:sz w:val="24"/>
                <w:szCs w:val="24"/>
                <w:highlight w:val="none"/>
                <w:lang w:bidi="ar"/>
              </w:rPr>
              <w:t>280cm</w:t>
            </w:r>
            <w:r>
              <w:rPr>
                <w:rStyle w:val="34"/>
                <w:rFonts w:hint="eastAsia" w:ascii="仿宋" w:hAnsi="仿宋" w:eastAsia="仿宋" w:cs="仿宋"/>
                <w:color w:val="auto"/>
                <w:sz w:val="24"/>
                <w:szCs w:val="24"/>
                <w:highlight w:val="none"/>
                <w:lang w:eastAsia="zh-CN" w:bidi="ar"/>
              </w:rPr>
              <w:t>。</w:t>
            </w:r>
          </w:p>
        </w:tc>
      </w:tr>
      <w:tr w14:paraId="74E21B70">
        <w:tblPrEx>
          <w:tblCellMar>
            <w:top w:w="0" w:type="dxa"/>
            <w:left w:w="108" w:type="dxa"/>
            <w:bottom w:w="0" w:type="dxa"/>
            <w:right w:w="108" w:type="dxa"/>
          </w:tblCellMar>
        </w:tblPrEx>
        <w:tc>
          <w:tcPr>
            <w:tcW w:w="1729" w:type="dxa"/>
            <w:vAlign w:val="center"/>
          </w:tcPr>
          <w:p w14:paraId="5D1177E4">
            <w:pPr>
              <w:widowControl/>
              <w:spacing w:line="360" w:lineRule="auto"/>
              <w:jc w:val="left"/>
              <w:textAlignment w:val="center"/>
              <w:rPr>
                <w:rFonts w:hint="eastAsia" w:ascii="仿宋" w:hAnsi="仿宋" w:eastAsia="仿宋" w:cs="仿宋"/>
                <w:bCs/>
                <w:color w:val="auto"/>
                <w:sz w:val="24"/>
                <w:szCs w:val="24"/>
                <w:highlight w:val="none"/>
              </w:rPr>
            </w:pPr>
            <w:r>
              <w:rPr>
                <w:rStyle w:val="34"/>
                <w:rFonts w:hint="eastAsia" w:ascii="仿宋" w:hAnsi="仿宋" w:eastAsia="仿宋" w:cs="仿宋"/>
                <w:color w:val="auto"/>
                <w:sz w:val="24"/>
                <w:szCs w:val="24"/>
                <w:highlight w:val="none"/>
                <w:lang w:bidi="ar"/>
              </w:rPr>
              <w:t>1.9</w:t>
            </w:r>
            <w:r>
              <w:rPr>
                <w:rFonts w:hint="eastAsia" w:ascii="仿宋" w:hAnsi="仿宋" w:eastAsia="仿宋" w:cs="仿宋"/>
                <w:b/>
                <w:color w:val="auto"/>
                <w:kern w:val="0"/>
                <w:sz w:val="24"/>
                <w:szCs w:val="24"/>
                <w:highlight w:val="none"/>
              </w:rPr>
              <w:t>▲</w:t>
            </w:r>
          </w:p>
        </w:tc>
        <w:tc>
          <w:tcPr>
            <w:tcW w:w="6793" w:type="dxa"/>
            <w:vAlign w:val="center"/>
          </w:tcPr>
          <w:p w14:paraId="755D1C36">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机架旋转范围≥</w:t>
            </w:r>
            <w:r>
              <w:rPr>
                <w:rStyle w:val="34"/>
                <w:rFonts w:hint="eastAsia" w:ascii="仿宋" w:hAnsi="仿宋" w:eastAsia="仿宋" w:cs="仿宋"/>
                <w:color w:val="auto"/>
                <w:sz w:val="24"/>
                <w:szCs w:val="24"/>
                <w:highlight w:val="none"/>
                <w:lang w:bidi="ar"/>
              </w:rPr>
              <w:t>±135°</w:t>
            </w:r>
            <w:r>
              <w:rPr>
                <w:rStyle w:val="34"/>
                <w:rFonts w:hint="eastAsia" w:ascii="仿宋" w:hAnsi="仿宋" w:eastAsia="仿宋" w:cs="仿宋"/>
                <w:color w:val="auto"/>
                <w:sz w:val="24"/>
                <w:szCs w:val="24"/>
                <w:highlight w:val="none"/>
                <w:lang w:eastAsia="zh-CN" w:bidi="ar"/>
              </w:rPr>
              <w:t>。</w:t>
            </w:r>
          </w:p>
        </w:tc>
      </w:tr>
      <w:tr w14:paraId="016C9306">
        <w:tblPrEx>
          <w:tblCellMar>
            <w:top w:w="0" w:type="dxa"/>
            <w:left w:w="108" w:type="dxa"/>
            <w:bottom w:w="0" w:type="dxa"/>
            <w:right w:w="108" w:type="dxa"/>
          </w:tblCellMar>
        </w:tblPrEx>
        <w:tc>
          <w:tcPr>
            <w:tcW w:w="1729" w:type="dxa"/>
            <w:vAlign w:val="center"/>
          </w:tcPr>
          <w:p w14:paraId="3F69798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 xml:space="preserve">1.10 </w:t>
            </w:r>
          </w:p>
        </w:tc>
        <w:tc>
          <w:tcPr>
            <w:tcW w:w="6793" w:type="dxa"/>
            <w:vAlign w:val="center"/>
          </w:tcPr>
          <w:p w14:paraId="6A53CA45">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机架可移至与床完全分离，便于开展外科手术</w:t>
            </w:r>
            <w:r>
              <w:rPr>
                <w:rFonts w:hint="eastAsia" w:ascii="仿宋" w:hAnsi="仿宋" w:eastAsia="仿宋" w:cs="仿宋"/>
                <w:color w:val="auto"/>
                <w:kern w:val="0"/>
                <w:sz w:val="24"/>
                <w:szCs w:val="24"/>
                <w:highlight w:val="none"/>
                <w:lang w:eastAsia="zh-CN" w:bidi="ar"/>
              </w:rPr>
              <w:t>。</w:t>
            </w:r>
          </w:p>
        </w:tc>
      </w:tr>
      <w:tr w14:paraId="7024253B">
        <w:tblPrEx>
          <w:tblCellMar>
            <w:top w:w="0" w:type="dxa"/>
            <w:left w:w="108" w:type="dxa"/>
            <w:bottom w:w="0" w:type="dxa"/>
            <w:right w:w="108" w:type="dxa"/>
          </w:tblCellMar>
        </w:tblPrEx>
        <w:tc>
          <w:tcPr>
            <w:tcW w:w="1729" w:type="dxa"/>
            <w:vAlign w:val="center"/>
          </w:tcPr>
          <w:p w14:paraId="686D6D6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1.11</w:t>
            </w:r>
          </w:p>
        </w:tc>
        <w:tc>
          <w:tcPr>
            <w:tcW w:w="6793" w:type="dxa"/>
            <w:vAlign w:val="center"/>
          </w:tcPr>
          <w:p w14:paraId="647AF86E">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准直器和平板探测器具备跟踪旋转技术，当机架和手术床位置发生旋转时，保证图像始终保持正直无偏转</w:t>
            </w:r>
            <w:r>
              <w:rPr>
                <w:rFonts w:hint="eastAsia" w:ascii="仿宋" w:hAnsi="仿宋" w:eastAsia="仿宋" w:cs="仿宋"/>
                <w:color w:val="auto"/>
                <w:kern w:val="0"/>
                <w:sz w:val="24"/>
                <w:szCs w:val="24"/>
                <w:highlight w:val="none"/>
                <w:lang w:eastAsia="zh-CN" w:bidi="ar"/>
              </w:rPr>
              <w:t>。</w:t>
            </w:r>
          </w:p>
        </w:tc>
      </w:tr>
      <w:tr w14:paraId="7C656E64">
        <w:tblPrEx>
          <w:tblCellMar>
            <w:top w:w="0" w:type="dxa"/>
            <w:left w:w="108" w:type="dxa"/>
            <w:bottom w:w="0" w:type="dxa"/>
            <w:right w:w="108" w:type="dxa"/>
          </w:tblCellMar>
        </w:tblPrEx>
        <w:tc>
          <w:tcPr>
            <w:tcW w:w="1729" w:type="dxa"/>
            <w:vAlign w:val="center"/>
          </w:tcPr>
          <w:p w14:paraId="5A3548BB">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1.12</w:t>
            </w:r>
          </w:p>
        </w:tc>
        <w:tc>
          <w:tcPr>
            <w:tcW w:w="6793" w:type="dxa"/>
            <w:vAlign w:val="center"/>
          </w:tcPr>
          <w:p w14:paraId="223DB098">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SID可变范围≥30cm</w:t>
            </w:r>
            <w:r>
              <w:rPr>
                <w:rFonts w:hint="eastAsia" w:ascii="仿宋" w:hAnsi="仿宋" w:eastAsia="仿宋" w:cs="仿宋"/>
                <w:color w:val="auto"/>
                <w:kern w:val="0"/>
                <w:sz w:val="24"/>
                <w:szCs w:val="24"/>
                <w:highlight w:val="none"/>
                <w:lang w:eastAsia="zh-CN" w:bidi="ar"/>
              </w:rPr>
              <w:t>。</w:t>
            </w:r>
          </w:p>
        </w:tc>
      </w:tr>
      <w:tr w14:paraId="7E2506B3">
        <w:tblPrEx>
          <w:tblCellMar>
            <w:top w:w="0" w:type="dxa"/>
            <w:left w:w="108" w:type="dxa"/>
            <w:bottom w:w="0" w:type="dxa"/>
            <w:right w:w="108" w:type="dxa"/>
          </w:tblCellMar>
        </w:tblPrEx>
        <w:tc>
          <w:tcPr>
            <w:tcW w:w="1729" w:type="dxa"/>
            <w:vAlign w:val="center"/>
          </w:tcPr>
          <w:p w14:paraId="2DADCF77">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2</w:t>
            </w:r>
          </w:p>
        </w:tc>
        <w:tc>
          <w:tcPr>
            <w:tcW w:w="6793" w:type="dxa"/>
            <w:vAlign w:val="center"/>
          </w:tcPr>
          <w:p w14:paraId="7CA502B9">
            <w:pPr>
              <w:widowControl/>
              <w:spacing w:line="360" w:lineRule="auto"/>
              <w:jc w:val="left"/>
              <w:textAlignment w:val="center"/>
              <w:rPr>
                <w:rFonts w:hint="eastAsia" w:ascii="仿宋" w:hAnsi="仿宋" w:eastAsia="仿宋" w:cs="仿宋"/>
                <w:bCs/>
                <w:color w:val="auto"/>
                <w:sz w:val="24"/>
                <w:szCs w:val="24"/>
                <w:highlight w:val="none"/>
              </w:rPr>
            </w:pPr>
            <w:r>
              <w:rPr>
                <w:rStyle w:val="27"/>
                <w:rFonts w:hint="eastAsia" w:ascii="仿宋" w:hAnsi="仿宋" w:eastAsia="仿宋" w:cs="仿宋"/>
                <w:color w:val="auto"/>
                <w:sz w:val="24"/>
                <w:szCs w:val="24"/>
                <w:highlight w:val="none"/>
                <w:lang w:bidi="ar"/>
              </w:rPr>
              <w:t>导管床</w:t>
            </w:r>
          </w:p>
        </w:tc>
      </w:tr>
      <w:tr w14:paraId="792FB9A5">
        <w:tblPrEx>
          <w:tblCellMar>
            <w:top w:w="0" w:type="dxa"/>
            <w:left w:w="108" w:type="dxa"/>
            <w:bottom w:w="0" w:type="dxa"/>
            <w:right w:w="108" w:type="dxa"/>
          </w:tblCellMar>
        </w:tblPrEx>
        <w:tc>
          <w:tcPr>
            <w:tcW w:w="1729" w:type="dxa"/>
            <w:vAlign w:val="center"/>
          </w:tcPr>
          <w:p w14:paraId="5C82C19D">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2.1</w:t>
            </w:r>
          </w:p>
        </w:tc>
        <w:tc>
          <w:tcPr>
            <w:tcW w:w="6793" w:type="dxa"/>
            <w:vAlign w:val="center"/>
          </w:tcPr>
          <w:p w14:paraId="2E91FAB1">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床面为碳纤维材料，满足全身检查、治疗的要求</w:t>
            </w:r>
            <w:r>
              <w:rPr>
                <w:rFonts w:hint="eastAsia" w:ascii="仿宋" w:hAnsi="仿宋" w:eastAsia="仿宋" w:cs="仿宋"/>
                <w:color w:val="auto"/>
                <w:kern w:val="0"/>
                <w:sz w:val="24"/>
                <w:szCs w:val="24"/>
                <w:highlight w:val="none"/>
                <w:lang w:eastAsia="zh-CN" w:bidi="ar"/>
              </w:rPr>
              <w:t>。</w:t>
            </w:r>
          </w:p>
        </w:tc>
      </w:tr>
      <w:tr w14:paraId="202ADDE2">
        <w:tblPrEx>
          <w:tblCellMar>
            <w:top w:w="0" w:type="dxa"/>
            <w:left w:w="108" w:type="dxa"/>
            <w:bottom w:w="0" w:type="dxa"/>
            <w:right w:w="108" w:type="dxa"/>
          </w:tblCellMar>
        </w:tblPrEx>
        <w:tc>
          <w:tcPr>
            <w:tcW w:w="1729" w:type="dxa"/>
            <w:vAlign w:val="center"/>
          </w:tcPr>
          <w:p w14:paraId="74B9F61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2.2</w:t>
            </w:r>
            <w:r>
              <w:rPr>
                <w:rFonts w:hint="eastAsia" w:ascii="仿宋" w:hAnsi="仿宋" w:eastAsia="仿宋" w:cs="仿宋"/>
                <w:b/>
                <w:color w:val="auto"/>
                <w:kern w:val="0"/>
                <w:sz w:val="24"/>
                <w:szCs w:val="24"/>
                <w:highlight w:val="none"/>
              </w:rPr>
              <w:t>▲</w:t>
            </w:r>
          </w:p>
        </w:tc>
        <w:tc>
          <w:tcPr>
            <w:tcW w:w="6793" w:type="dxa"/>
            <w:vAlign w:val="center"/>
          </w:tcPr>
          <w:p w14:paraId="044BB0F5">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最大患者承重≥</w:t>
            </w:r>
            <w:r>
              <w:rPr>
                <w:rStyle w:val="34"/>
                <w:rFonts w:hint="eastAsia" w:ascii="仿宋" w:hAnsi="仿宋" w:eastAsia="仿宋" w:cs="仿宋"/>
                <w:color w:val="auto"/>
                <w:sz w:val="24"/>
                <w:szCs w:val="24"/>
                <w:highlight w:val="none"/>
                <w:lang w:bidi="ar"/>
              </w:rPr>
              <w:t>250kg</w:t>
            </w:r>
            <w:r>
              <w:rPr>
                <w:rStyle w:val="34"/>
                <w:rFonts w:hint="eastAsia" w:ascii="仿宋" w:hAnsi="仿宋" w:eastAsia="仿宋" w:cs="仿宋"/>
                <w:color w:val="auto"/>
                <w:sz w:val="24"/>
                <w:szCs w:val="24"/>
                <w:highlight w:val="none"/>
                <w:lang w:eastAsia="zh-CN" w:bidi="ar"/>
              </w:rPr>
              <w:t>。</w:t>
            </w:r>
          </w:p>
        </w:tc>
      </w:tr>
      <w:tr w14:paraId="19999A45">
        <w:tblPrEx>
          <w:tblCellMar>
            <w:top w:w="0" w:type="dxa"/>
            <w:left w:w="108" w:type="dxa"/>
            <w:bottom w:w="0" w:type="dxa"/>
            <w:right w:w="108" w:type="dxa"/>
          </w:tblCellMar>
        </w:tblPrEx>
        <w:tc>
          <w:tcPr>
            <w:tcW w:w="1729" w:type="dxa"/>
            <w:vAlign w:val="center"/>
          </w:tcPr>
          <w:p w14:paraId="7E889F0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2.3</w:t>
            </w:r>
          </w:p>
        </w:tc>
        <w:tc>
          <w:tcPr>
            <w:tcW w:w="6793" w:type="dxa"/>
            <w:vAlign w:val="center"/>
          </w:tcPr>
          <w:p w14:paraId="3E40C9A7">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床长度≥</w:t>
            </w:r>
            <w:r>
              <w:rPr>
                <w:rStyle w:val="34"/>
                <w:rFonts w:hint="eastAsia" w:ascii="仿宋" w:hAnsi="仿宋" w:eastAsia="仿宋" w:cs="仿宋"/>
                <w:color w:val="auto"/>
                <w:sz w:val="24"/>
                <w:szCs w:val="24"/>
                <w:highlight w:val="none"/>
                <w:lang w:bidi="ar"/>
              </w:rPr>
              <w:t>300cm</w:t>
            </w:r>
            <w:r>
              <w:rPr>
                <w:rStyle w:val="34"/>
                <w:rFonts w:hint="eastAsia" w:ascii="仿宋" w:hAnsi="仿宋" w:eastAsia="仿宋" w:cs="仿宋"/>
                <w:color w:val="auto"/>
                <w:sz w:val="24"/>
                <w:szCs w:val="24"/>
                <w:highlight w:val="none"/>
                <w:lang w:eastAsia="zh-CN" w:bidi="ar"/>
              </w:rPr>
              <w:t>。</w:t>
            </w:r>
          </w:p>
        </w:tc>
      </w:tr>
      <w:tr w14:paraId="4AF6C3BE">
        <w:tblPrEx>
          <w:tblCellMar>
            <w:top w:w="0" w:type="dxa"/>
            <w:left w:w="108" w:type="dxa"/>
            <w:bottom w:w="0" w:type="dxa"/>
            <w:right w:w="108" w:type="dxa"/>
          </w:tblCellMar>
        </w:tblPrEx>
        <w:tc>
          <w:tcPr>
            <w:tcW w:w="1729" w:type="dxa"/>
            <w:vAlign w:val="center"/>
          </w:tcPr>
          <w:p w14:paraId="070629E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2.4</w:t>
            </w:r>
          </w:p>
        </w:tc>
        <w:tc>
          <w:tcPr>
            <w:tcW w:w="6793" w:type="dxa"/>
            <w:vAlign w:val="center"/>
          </w:tcPr>
          <w:p w14:paraId="0052A225">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床宽度≥</w:t>
            </w:r>
            <w:r>
              <w:rPr>
                <w:rStyle w:val="34"/>
                <w:rFonts w:hint="eastAsia" w:ascii="仿宋" w:hAnsi="仿宋" w:eastAsia="仿宋" w:cs="仿宋"/>
                <w:color w:val="auto"/>
                <w:sz w:val="24"/>
                <w:szCs w:val="24"/>
                <w:highlight w:val="none"/>
                <w:lang w:bidi="ar"/>
              </w:rPr>
              <w:t>48cm</w:t>
            </w:r>
            <w:r>
              <w:rPr>
                <w:rStyle w:val="34"/>
                <w:rFonts w:hint="eastAsia" w:ascii="仿宋" w:hAnsi="仿宋" w:eastAsia="仿宋" w:cs="仿宋"/>
                <w:color w:val="auto"/>
                <w:sz w:val="24"/>
                <w:szCs w:val="24"/>
                <w:highlight w:val="none"/>
                <w:lang w:eastAsia="zh-CN" w:bidi="ar"/>
              </w:rPr>
              <w:t>。</w:t>
            </w:r>
          </w:p>
        </w:tc>
      </w:tr>
      <w:tr w14:paraId="525D63C7">
        <w:tblPrEx>
          <w:tblCellMar>
            <w:top w:w="0" w:type="dxa"/>
            <w:left w:w="108" w:type="dxa"/>
            <w:bottom w:w="0" w:type="dxa"/>
            <w:right w:w="108" w:type="dxa"/>
          </w:tblCellMar>
        </w:tblPrEx>
        <w:tc>
          <w:tcPr>
            <w:tcW w:w="1729" w:type="dxa"/>
            <w:vAlign w:val="center"/>
          </w:tcPr>
          <w:p w14:paraId="6FB2AB46">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2.5</w:t>
            </w:r>
          </w:p>
        </w:tc>
        <w:tc>
          <w:tcPr>
            <w:tcW w:w="6793" w:type="dxa"/>
            <w:vAlign w:val="center"/>
          </w:tcPr>
          <w:p w14:paraId="51911E34">
            <w:pPr>
              <w:widowControl/>
              <w:spacing w:line="360" w:lineRule="auto"/>
              <w:jc w:val="left"/>
              <w:textAlignment w:val="center"/>
              <w:rPr>
                <w:rFonts w:hint="eastAsia" w:ascii="仿宋" w:hAnsi="仿宋" w:eastAsia="仿宋" w:cs="仿宋"/>
                <w:b/>
                <w:color w:val="auto"/>
                <w:sz w:val="24"/>
                <w:szCs w:val="24"/>
                <w:highlight w:val="none"/>
                <w:lang w:eastAsia="zh-CN"/>
              </w:rPr>
            </w:pPr>
            <w:r>
              <w:rPr>
                <w:rStyle w:val="33"/>
                <w:rFonts w:hint="eastAsia" w:ascii="仿宋" w:hAnsi="仿宋" w:eastAsia="仿宋" w:cs="仿宋"/>
                <w:color w:val="auto"/>
                <w:sz w:val="24"/>
                <w:szCs w:val="24"/>
                <w:highlight w:val="none"/>
                <w:lang w:bidi="ar"/>
              </w:rPr>
              <w:t>床高度最低≤</w:t>
            </w:r>
            <w:r>
              <w:rPr>
                <w:rStyle w:val="34"/>
                <w:rFonts w:hint="eastAsia" w:ascii="仿宋" w:hAnsi="仿宋" w:eastAsia="仿宋" w:cs="仿宋"/>
                <w:color w:val="auto"/>
                <w:sz w:val="24"/>
                <w:szCs w:val="24"/>
                <w:highlight w:val="none"/>
                <w:lang w:bidi="ar"/>
              </w:rPr>
              <w:t>78cm</w:t>
            </w:r>
            <w:r>
              <w:rPr>
                <w:rStyle w:val="34"/>
                <w:rFonts w:hint="eastAsia" w:ascii="仿宋" w:hAnsi="仿宋" w:eastAsia="仿宋" w:cs="仿宋"/>
                <w:color w:val="auto"/>
                <w:sz w:val="24"/>
                <w:szCs w:val="24"/>
                <w:highlight w:val="none"/>
                <w:lang w:eastAsia="zh-CN" w:bidi="ar"/>
              </w:rPr>
              <w:t>。</w:t>
            </w:r>
          </w:p>
        </w:tc>
      </w:tr>
      <w:tr w14:paraId="6DA183BB">
        <w:tblPrEx>
          <w:tblCellMar>
            <w:top w:w="0" w:type="dxa"/>
            <w:left w:w="108" w:type="dxa"/>
            <w:bottom w:w="0" w:type="dxa"/>
            <w:right w:w="108" w:type="dxa"/>
          </w:tblCellMar>
        </w:tblPrEx>
        <w:tc>
          <w:tcPr>
            <w:tcW w:w="1729" w:type="dxa"/>
            <w:vAlign w:val="center"/>
          </w:tcPr>
          <w:p w14:paraId="6A62B84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2.6</w:t>
            </w:r>
          </w:p>
        </w:tc>
        <w:tc>
          <w:tcPr>
            <w:tcW w:w="6793" w:type="dxa"/>
            <w:vAlign w:val="center"/>
          </w:tcPr>
          <w:p w14:paraId="5AB031CE">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床水平横向运动范围≥</w:t>
            </w:r>
            <w:r>
              <w:rPr>
                <w:rStyle w:val="34"/>
                <w:rFonts w:hint="eastAsia" w:ascii="仿宋" w:hAnsi="仿宋" w:eastAsia="仿宋" w:cs="仿宋"/>
                <w:color w:val="auto"/>
                <w:sz w:val="24"/>
                <w:szCs w:val="24"/>
                <w:highlight w:val="none"/>
                <w:lang w:bidi="ar"/>
              </w:rPr>
              <w:t>±17cm</w:t>
            </w:r>
            <w:r>
              <w:rPr>
                <w:rStyle w:val="34"/>
                <w:rFonts w:hint="eastAsia" w:ascii="仿宋" w:hAnsi="仿宋" w:eastAsia="仿宋" w:cs="仿宋"/>
                <w:color w:val="auto"/>
                <w:sz w:val="24"/>
                <w:szCs w:val="24"/>
                <w:highlight w:val="none"/>
                <w:lang w:eastAsia="zh-CN" w:bidi="ar"/>
              </w:rPr>
              <w:t>。</w:t>
            </w:r>
          </w:p>
        </w:tc>
      </w:tr>
      <w:tr w14:paraId="6F33E530">
        <w:tblPrEx>
          <w:tblCellMar>
            <w:top w:w="0" w:type="dxa"/>
            <w:left w:w="108" w:type="dxa"/>
            <w:bottom w:w="0" w:type="dxa"/>
            <w:right w:w="108" w:type="dxa"/>
          </w:tblCellMar>
        </w:tblPrEx>
        <w:tc>
          <w:tcPr>
            <w:tcW w:w="1729" w:type="dxa"/>
            <w:vAlign w:val="center"/>
          </w:tcPr>
          <w:p w14:paraId="6B0221C4">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2.7</w:t>
            </w:r>
          </w:p>
        </w:tc>
        <w:tc>
          <w:tcPr>
            <w:tcW w:w="6793" w:type="dxa"/>
            <w:vAlign w:val="center"/>
          </w:tcPr>
          <w:p w14:paraId="69FC2311">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床水平纵向运动≥</w:t>
            </w:r>
            <w:r>
              <w:rPr>
                <w:rStyle w:val="34"/>
                <w:rFonts w:hint="eastAsia" w:ascii="仿宋" w:hAnsi="仿宋" w:eastAsia="仿宋" w:cs="仿宋"/>
                <w:color w:val="auto"/>
                <w:sz w:val="24"/>
                <w:szCs w:val="24"/>
                <w:highlight w:val="none"/>
                <w:lang w:bidi="ar"/>
              </w:rPr>
              <w:t>125cm</w:t>
            </w:r>
            <w:r>
              <w:rPr>
                <w:rStyle w:val="34"/>
                <w:rFonts w:hint="eastAsia" w:ascii="仿宋" w:hAnsi="仿宋" w:eastAsia="仿宋" w:cs="仿宋"/>
                <w:color w:val="auto"/>
                <w:sz w:val="24"/>
                <w:szCs w:val="24"/>
                <w:highlight w:val="none"/>
                <w:lang w:eastAsia="zh-CN" w:bidi="ar"/>
              </w:rPr>
              <w:t>。</w:t>
            </w:r>
          </w:p>
        </w:tc>
      </w:tr>
      <w:tr w14:paraId="21B59EA8">
        <w:tblPrEx>
          <w:tblCellMar>
            <w:top w:w="0" w:type="dxa"/>
            <w:left w:w="108" w:type="dxa"/>
            <w:bottom w:w="0" w:type="dxa"/>
            <w:right w:w="108" w:type="dxa"/>
          </w:tblCellMar>
        </w:tblPrEx>
        <w:tc>
          <w:tcPr>
            <w:tcW w:w="1729" w:type="dxa"/>
            <w:vAlign w:val="center"/>
          </w:tcPr>
          <w:p w14:paraId="683493D6">
            <w:pPr>
              <w:widowControl/>
              <w:spacing w:line="360" w:lineRule="auto"/>
              <w:jc w:val="left"/>
              <w:textAlignment w:val="center"/>
              <w:rPr>
                <w:rFonts w:hint="eastAsia" w:ascii="仿宋" w:hAnsi="仿宋" w:eastAsia="仿宋" w:cs="仿宋"/>
                <w:bCs/>
                <w:color w:val="auto"/>
                <w:sz w:val="24"/>
                <w:szCs w:val="24"/>
                <w:highlight w:val="none"/>
              </w:rPr>
            </w:pPr>
            <w:r>
              <w:rPr>
                <w:rStyle w:val="35"/>
                <w:rFonts w:hint="eastAsia" w:ascii="仿宋" w:hAnsi="仿宋" w:eastAsia="仿宋" w:cs="仿宋"/>
                <w:color w:val="auto"/>
                <w:sz w:val="24"/>
                <w:szCs w:val="24"/>
                <w:highlight w:val="none"/>
                <w:lang w:bidi="ar"/>
              </w:rPr>
              <w:t>2.8</w:t>
            </w:r>
            <w:r>
              <w:rPr>
                <w:rFonts w:hint="eastAsia" w:ascii="仿宋" w:hAnsi="仿宋" w:eastAsia="仿宋" w:cs="仿宋"/>
                <w:b/>
                <w:color w:val="auto"/>
                <w:kern w:val="0"/>
                <w:sz w:val="24"/>
                <w:szCs w:val="24"/>
                <w:highlight w:val="none"/>
              </w:rPr>
              <w:t>▲</w:t>
            </w:r>
          </w:p>
        </w:tc>
        <w:tc>
          <w:tcPr>
            <w:tcW w:w="6793" w:type="dxa"/>
            <w:vAlign w:val="center"/>
          </w:tcPr>
          <w:p w14:paraId="442945D7">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床面旋转≥270</w:t>
            </w:r>
            <w:r>
              <w:rPr>
                <w:rStyle w:val="34"/>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eastAsia="zh-CN" w:bidi="ar"/>
              </w:rPr>
              <w:t>。</w:t>
            </w:r>
          </w:p>
        </w:tc>
      </w:tr>
      <w:tr w14:paraId="4A013636">
        <w:tblPrEx>
          <w:tblCellMar>
            <w:top w:w="0" w:type="dxa"/>
            <w:left w:w="108" w:type="dxa"/>
            <w:bottom w:w="0" w:type="dxa"/>
            <w:right w:w="108" w:type="dxa"/>
          </w:tblCellMar>
        </w:tblPrEx>
        <w:tc>
          <w:tcPr>
            <w:tcW w:w="1729" w:type="dxa"/>
            <w:vAlign w:val="center"/>
          </w:tcPr>
          <w:p w14:paraId="367451A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2.9</w:t>
            </w:r>
          </w:p>
        </w:tc>
        <w:tc>
          <w:tcPr>
            <w:tcW w:w="6793" w:type="dxa"/>
            <w:vAlign w:val="center"/>
          </w:tcPr>
          <w:p w14:paraId="41B4A124">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床边支持高压注射器连接和移除</w:t>
            </w:r>
            <w:r>
              <w:rPr>
                <w:rFonts w:hint="eastAsia" w:ascii="仿宋" w:hAnsi="仿宋" w:eastAsia="仿宋" w:cs="仿宋"/>
                <w:color w:val="auto"/>
                <w:kern w:val="0"/>
                <w:sz w:val="24"/>
                <w:szCs w:val="24"/>
                <w:highlight w:val="none"/>
                <w:lang w:eastAsia="zh-CN" w:bidi="ar"/>
              </w:rPr>
              <w:t>。</w:t>
            </w:r>
          </w:p>
        </w:tc>
      </w:tr>
      <w:tr w14:paraId="4BD19FB0">
        <w:tblPrEx>
          <w:tblCellMar>
            <w:top w:w="0" w:type="dxa"/>
            <w:left w:w="108" w:type="dxa"/>
            <w:bottom w:w="0" w:type="dxa"/>
            <w:right w:w="108" w:type="dxa"/>
          </w:tblCellMar>
        </w:tblPrEx>
        <w:tc>
          <w:tcPr>
            <w:tcW w:w="1729" w:type="dxa"/>
            <w:vAlign w:val="center"/>
          </w:tcPr>
          <w:p w14:paraId="51A57C8E">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2.10</w:t>
            </w:r>
          </w:p>
        </w:tc>
        <w:tc>
          <w:tcPr>
            <w:tcW w:w="6793" w:type="dxa"/>
            <w:vAlign w:val="center"/>
          </w:tcPr>
          <w:p w14:paraId="40A63CFC">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支持任意位置CPR，无需撤回原点</w:t>
            </w:r>
            <w:r>
              <w:rPr>
                <w:rFonts w:hint="eastAsia" w:ascii="仿宋" w:hAnsi="仿宋" w:eastAsia="仿宋" w:cs="仿宋"/>
                <w:color w:val="auto"/>
                <w:kern w:val="0"/>
                <w:sz w:val="24"/>
                <w:szCs w:val="24"/>
                <w:highlight w:val="none"/>
                <w:lang w:eastAsia="zh-CN" w:bidi="ar"/>
              </w:rPr>
              <w:t>。</w:t>
            </w:r>
          </w:p>
        </w:tc>
      </w:tr>
      <w:tr w14:paraId="684B2E1A">
        <w:tblPrEx>
          <w:tblCellMar>
            <w:top w:w="0" w:type="dxa"/>
            <w:left w:w="108" w:type="dxa"/>
            <w:bottom w:w="0" w:type="dxa"/>
            <w:right w:w="108" w:type="dxa"/>
          </w:tblCellMar>
        </w:tblPrEx>
        <w:tc>
          <w:tcPr>
            <w:tcW w:w="1729" w:type="dxa"/>
            <w:vAlign w:val="center"/>
          </w:tcPr>
          <w:p w14:paraId="2807CD17">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3</w:t>
            </w:r>
          </w:p>
        </w:tc>
        <w:tc>
          <w:tcPr>
            <w:tcW w:w="6793" w:type="dxa"/>
            <w:vAlign w:val="center"/>
          </w:tcPr>
          <w:p w14:paraId="4E3E464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高压发生器</w:t>
            </w:r>
          </w:p>
        </w:tc>
      </w:tr>
      <w:tr w14:paraId="7F2FA704">
        <w:tblPrEx>
          <w:tblCellMar>
            <w:top w:w="0" w:type="dxa"/>
            <w:left w:w="108" w:type="dxa"/>
            <w:bottom w:w="0" w:type="dxa"/>
            <w:right w:w="108" w:type="dxa"/>
          </w:tblCellMar>
        </w:tblPrEx>
        <w:tc>
          <w:tcPr>
            <w:tcW w:w="1729" w:type="dxa"/>
            <w:vAlign w:val="center"/>
          </w:tcPr>
          <w:p w14:paraId="47DEEE4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3.1</w:t>
            </w:r>
          </w:p>
        </w:tc>
        <w:tc>
          <w:tcPr>
            <w:tcW w:w="6793" w:type="dxa"/>
            <w:vAlign w:val="center"/>
          </w:tcPr>
          <w:p w14:paraId="1481C12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最大输出电功率≥100kW</w:t>
            </w:r>
            <w:r>
              <w:rPr>
                <w:rFonts w:hint="eastAsia" w:ascii="仿宋" w:hAnsi="仿宋" w:eastAsia="仿宋" w:cs="仿宋"/>
                <w:color w:val="auto"/>
                <w:kern w:val="0"/>
                <w:sz w:val="24"/>
                <w:szCs w:val="24"/>
                <w:highlight w:val="none"/>
                <w:lang w:eastAsia="zh-CN" w:bidi="ar"/>
              </w:rPr>
              <w:t>。</w:t>
            </w:r>
          </w:p>
        </w:tc>
      </w:tr>
      <w:tr w14:paraId="3F85C083">
        <w:tblPrEx>
          <w:tblCellMar>
            <w:top w:w="0" w:type="dxa"/>
            <w:left w:w="108" w:type="dxa"/>
            <w:bottom w:w="0" w:type="dxa"/>
            <w:right w:w="108" w:type="dxa"/>
          </w:tblCellMar>
        </w:tblPrEx>
        <w:tc>
          <w:tcPr>
            <w:tcW w:w="1729" w:type="dxa"/>
            <w:vAlign w:val="center"/>
          </w:tcPr>
          <w:p w14:paraId="763E738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3.2</w:t>
            </w:r>
          </w:p>
        </w:tc>
        <w:tc>
          <w:tcPr>
            <w:tcW w:w="6793" w:type="dxa"/>
            <w:vAlign w:val="center"/>
          </w:tcPr>
          <w:p w14:paraId="1ACA3AC6">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最大管电流≥1000mA</w:t>
            </w:r>
            <w:r>
              <w:rPr>
                <w:rFonts w:hint="eastAsia" w:ascii="仿宋" w:hAnsi="仿宋" w:eastAsia="仿宋" w:cs="仿宋"/>
                <w:color w:val="auto"/>
                <w:kern w:val="0"/>
                <w:sz w:val="24"/>
                <w:szCs w:val="24"/>
                <w:highlight w:val="none"/>
                <w:lang w:eastAsia="zh-CN" w:bidi="ar"/>
              </w:rPr>
              <w:t>。</w:t>
            </w:r>
          </w:p>
        </w:tc>
      </w:tr>
      <w:tr w14:paraId="6E0A46D4">
        <w:tblPrEx>
          <w:tblCellMar>
            <w:top w:w="0" w:type="dxa"/>
            <w:left w:w="108" w:type="dxa"/>
            <w:bottom w:w="0" w:type="dxa"/>
            <w:right w:w="108" w:type="dxa"/>
          </w:tblCellMar>
        </w:tblPrEx>
        <w:tc>
          <w:tcPr>
            <w:tcW w:w="1729" w:type="dxa"/>
            <w:vAlign w:val="center"/>
          </w:tcPr>
          <w:p w14:paraId="031B4AD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3.3</w:t>
            </w:r>
          </w:p>
        </w:tc>
        <w:tc>
          <w:tcPr>
            <w:tcW w:w="6793" w:type="dxa"/>
            <w:vAlign w:val="center"/>
          </w:tcPr>
          <w:p w14:paraId="06BA9A69">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最小管电压≤40kV</w:t>
            </w:r>
            <w:r>
              <w:rPr>
                <w:rFonts w:hint="eastAsia" w:ascii="仿宋" w:hAnsi="仿宋" w:eastAsia="仿宋" w:cs="仿宋"/>
                <w:color w:val="auto"/>
                <w:kern w:val="0"/>
                <w:sz w:val="24"/>
                <w:szCs w:val="24"/>
                <w:highlight w:val="none"/>
                <w:lang w:eastAsia="zh-CN" w:bidi="ar"/>
              </w:rPr>
              <w:t>。</w:t>
            </w:r>
          </w:p>
        </w:tc>
      </w:tr>
      <w:tr w14:paraId="08B46997">
        <w:tblPrEx>
          <w:tblCellMar>
            <w:top w:w="0" w:type="dxa"/>
            <w:left w:w="108" w:type="dxa"/>
            <w:bottom w:w="0" w:type="dxa"/>
            <w:right w:w="108" w:type="dxa"/>
          </w:tblCellMar>
        </w:tblPrEx>
        <w:tc>
          <w:tcPr>
            <w:tcW w:w="1729" w:type="dxa"/>
            <w:vAlign w:val="center"/>
          </w:tcPr>
          <w:p w14:paraId="323416D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3.4</w:t>
            </w:r>
          </w:p>
        </w:tc>
        <w:tc>
          <w:tcPr>
            <w:tcW w:w="6793" w:type="dxa"/>
            <w:vAlign w:val="center"/>
          </w:tcPr>
          <w:p w14:paraId="78EDB985">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最短曝光时间≤1ms</w:t>
            </w:r>
            <w:r>
              <w:rPr>
                <w:rFonts w:hint="eastAsia" w:ascii="仿宋" w:hAnsi="仿宋" w:eastAsia="仿宋" w:cs="仿宋"/>
                <w:color w:val="auto"/>
                <w:kern w:val="0"/>
                <w:sz w:val="24"/>
                <w:szCs w:val="24"/>
                <w:highlight w:val="none"/>
                <w:lang w:eastAsia="zh-CN" w:bidi="ar"/>
              </w:rPr>
              <w:t>。</w:t>
            </w:r>
          </w:p>
        </w:tc>
      </w:tr>
      <w:tr w14:paraId="5EBAA305">
        <w:tblPrEx>
          <w:tblCellMar>
            <w:top w:w="0" w:type="dxa"/>
            <w:left w:w="108" w:type="dxa"/>
            <w:bottom w:w="0" w:type="dxa"/>
            <w:right w:w="108" w:type="dxa"/>
          </w:tblCellMar>
        </w:tblPrEx>
        <w:tc>
          <w:tcPr>
            <w:tcW w:w="1729" w:type="dxa"/>
            <w:vAlign w:val="center"/>
          </w:tcPr>
          <w:p w14:paraId="12581A26">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3.5</w:t>
            </w:r>
          </w:p>
        </w:tc>
        <w:tc>
          <w:tcPr>
            <w:tcW w:w="6793" w:type="dxa"/>
            <w:vAlign w:val="center"/>
          </w:tcPr>
          <w:p w14:paraId="697F458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最大管电压≥125kV</w:t>
            </w:r>
            <w:r>
              <w:rPr>
                <w:rFonts w:hint="eastAsia" w:ascii="仿宋" w:hAnsi="仿宋" w:eastAsia="仿宋" w:cs="仿宋"/>
                <w:color w:val="auto"/>
                <w:kern w:val="0"/>
                <w:sz w:val="24"/>
                <w:szCs w:val="24"/>
                <w:highlight w:val="none"/>
                <w:lang w:eastAsia="zh-CN" w:bidi="ar"/>
              </w:rPr>
              <w:t>。</w:t>
            </w:r>
          </w:p>
        </w:tc>
      </w:tr>
      <w:tr w14:paraId="510E29BF">
        <w:tblPrEx>
          <w:tblCellMar>
            <w:top w:w="0" w:type="dxa"/>
            <w:left w:w="108" w:type="dxa"/>
            <w:bottom w:w="0" w:type="dxa"/>
            <w:right w:w="108" w:type="dxa"/>
          </w:tblCellMar>
        </w:tblPrEx>
        <w:tc>
          <w:tcPr>
            <w:tcW w:w="1729" w:type="dxa"/>
            <w:vAlign w:val="center"/>
          </w:tcPr>
          <w:p w14:paraId="045A8601">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3.6</w:t>
            </w:r>
          </w:p>
        </w:tc>
        <w:tc>
          <w:tcPr>
            <w:tcW w:w="6793" w:type="dxa"/>
            <w:vAlign w:val="center"/>
          </w:tcPr>
          <w:p w14:paraId="48CC8DF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最小管电流≤5mA</w:t>
            </w:r>
            <w:r>
              <w:rPr>
                <w:rFonts w:hint="eastAsia" w:ascii="仿宋" w:hAnsi="仿宋" w:eastAsia="仿宋" w:cs="仿宋"/>
                <w:color w:val="auto"/>
                <w:kern w:val="0"/>
                <w:sz w:val="24"/>
                <w:szCs w:val="24"/>
                <w:highlight w:val="none"/>
                <w:lang w:eastAsia="zh-CN" w:bidi="ar"/>
              </w:rPr>
              <w:t>。</w:t>
            </w:r>
          </w:p>
        </w:tc>
      </w:tr>
      <w:tr w14:paraId="246152F5">
        <w:tblPrEx>
          <w:tblCellMar>
            <w:top w:w="0" w:type="dxa"/>
            <w:left w:w="108" w:type="dxa"/>
            <w:bottom w:w="0" w:type="dxa"/>
            <w:right w:w="108" w:type="dxa"/>
          </w:tblCellMar>
        </w:tblPrEx>
        <w:tc>
          <w:tcPr>
            <w:tcW w:w="1729" w:type="dxa"/>
            <w:vAlign w:val="center"/>
          </w:tcPr>
          <w:p w14:paraId="019DEB89">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3.7</w:t>
            </w:r>
          </w:p>
        </w:tc>
        <w:tc>
          <w:tcPr>
            <w:tcW w:w="6793" w:type="dxa"/>
            <w:vAlign w:val="center"/>
          </w:tcPr>
          <w:p w14:paraId="5B5A7B10">
            <w:pPr>
              <w:widowControl/>
              <w:spacing w:line="360" w:lineRule="auto"/>
              <w:jc w:val="left"/>
              <w:textAlignment w:val="center"/>
              <w:rPr>
                <w:rFonts w:hint="eastAsia" w:ascii="仿宋" w:hAnsi="仿宋" w:eastAsia="仿宋" w:cs="仿宋"/>
                <w:b/>
                <w:color w:val="auto"/>
                <w:sz w:val="24"/>
                <w:szCs w:val="24"/>
                <w:highlight w:val="none"/>
                <w:lang w:val="fr-FR" w:eastAsia="zh-CN"/>
              </w:rPr>
            </w:pPr>
            <w:r>
              <w:rPr>
                <w:rFonts w:hint="eastAsia" w:ascii="仿宋" w:hAnsi="仿宋" w:eastAsia="仿宋" w:cs="仿宋"/>
                <w:color w:val="auto"/>
                <w:kern w:val="0"/>
                <w:sz w:val="24"/>
                <w:szCs w:val="24"/>
                <w:highlight w:val="none"/>
                <w:lang w:bidi="ar"/>
              </w:rPr>
              <w:t>最大逆变频率≥100kHZ</w:t>
            </w:r>
            <w:r>
              <w:rPr>
                <w:rFonts w:hint="eastAsia" w:ascii="仿宋" w:hAnsi="仿宋" w:eastAsia="仿宋" w:cs="仿宋"/>
                <w:color w:val="auto"/>
                <w:kern w:val="0"/>
                <w:sz w:val="24"/>
                <w:szCs w:val="24"/>
                <w:highlight w:val="none"/>
                <w:lang w:eastAsia="zh-CN" w:bidi="ar"/>
              </w:rPr>
              <w:t>。</w:t>
            </w:r>
          </w:p>
        </w:tc>
      </w:tr>
      <w:tr w14:paraId="48AAB5FB">
        <w:tblPrEx>
          <w:tblCellMar>
            <w:top w:w="0" w:type="dxa"/>
            <w:left w:w="108" w:type="dxa"/>
            <w:bottom w:w="0" w:type="dxa"/>
            <w:right w:w="108" w:type="dxa"/>
          </w:tblCellMar>
        </w:tblPrEx>
        <w:tc>
          <w:tcPr>
            <w:tcW w:w="1729" w:type="dxa"/>
            <w:vAlign w:val="center"/>
          </w:tcPr>
          <w:p w14:paraId="175C533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3.8</w:t>
            </w:r>
          </w:p>
        </w:tc>
        <w:tc>
          <w:tcPr>
            <w:tcW w:w="6793" w:type="dxa"/>
            <w:vAlign w:val="center"/>
          </w:tcPr>
          <w:p w14:paraId="7B4B8555">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全自动曝光控制，无需测试曝光</w:t>
            </w:r>
            <w:r>
              <w:rPr>
                <w:rFonts w:hint="eastAsia" w:ascii="仿宋" w:hAnsi="仿宋" w:eastAsia="仿宋" w:cs="仿宋"/>
                <w:color w:val="auto"/>
                <w:kern w:val="0"/>
                <w:sz w:val="24"/>
                <w:szCs w:val="24"/>
                <w:highlight w:val="none"/>
                <w:lang w:eastAsia="zh-CN" w:bidi="ar"/>
              </w:rPr>
              <w:t>。</w:t>
            </w:r>
          </w:p>
        </w:tc>
      </w:tr>
      <w:tr w14:paraId="40CF7F89">
        <w:tblPrEx>
          <w:tblCellMar>
            <w:top w:w="0" w:type="dxa"/>
            <w:left w:w="108" w:type="dxa"/>
            <w:bottom w:w="0" w:type="dxa"/>
            <w:right w:w="108" w:type="dxa"/>
          </w:tblCellMar>
        </w:tblPrEx>
        <w:tc>
          <w:tcPr>
            <w:tcW w:w="1729" w:type="dxa"/>
            <w:vAlign w:val="center"/>
          </w:tcPr>
          <w:p w14:paraId="2CFD664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4</w:t>
            </w:r>
          </w:p>
        </w:tc>
        <w:tc>
          <w:tcPr>
            <w:tcW w:w="6793" w:type="dxa"/>
            <w:vAlign w:val="center"/>
          </w:tcPr>
          <w:p w14:paraId="7033893E">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X射线球管</w:t>
            </w:r>
          </w:p>
        </w:tc>
      </w:tr>
      <w:tr w14:paraId="24EFCF05">
        <w:tblPrEx>
          <w:tblCellMar>
            <w:top w:w="0" w:type="dxa"/>
            <w:left w:w="108" w:type="dxa"/>
            <w:bottom w:w="0" w:type="dxa"/>
            <w:right w:w="108" w:type="dxa"/>
          </w:tblCellMar>
        </w:tblPrEx>
        <w:tc>
          <w:tcPr>
            <w:tcW w:w="1729" w:type="dxa"/>
            <w:vAlign w:val="center"/>
          </w:tcPr>
          <w:p w14:paraId="6A6353D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4.1</w:t>
            </w:r>
          </w:p>
        </w:tc>
        <w:tc>
          <w:tcPr>
            <w:tcW w:w="6793" w:type="dxa"/>
            <w:vAlign w:val="center"/>
          </w:tcPr>
          <w:p w14:paraId="7D55EB9F">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球管焦点≥3焦点</w:t>
            </w:r>
            <w:r>
              <w:rPr>
                <w:rFonts w:hint="eastAsia" w:ascii="仿宋" w:hAnsi="仿宋" w:eastAsia="仿宋" w:cs="仿宋"/>
                <w:color w:val="auto"/>
                <w:kern w:val="0"/>
                <w:sz w:val="24"/>
                <w:szCs w:val="24"/>
                <w:highlight w:val="none"/>
                <w:lang w:eastAsia="zh-CN" w:bidi="ar"/>
              </w:rPr>
              <w:t>。</w:t>
            </w:r>
          </w:p>
        </w:tc>
      </w:tr>
      <w:tr w14:paraId="21E0F22F">
        <w:tblPrEx>
          <w:tblCellMar>
            <w:top w:w="0" w:type="dxa"/>
            <w:left w:w="108" w:type="dxa"/>
            <w:bottom w:w="0" w:type="dxa"/>
            <w:right w:w="108" w:type="dxa"/>
          </w:tblCellMar>
        </w:tblPrEx>
        <w:tc>
          <w:tcPr>
            <w:tcW w:w="1729" w:type="dxa"/>
            <w:vAlign w:val="center"/>
          </w:tcPr>
          <w:p w14:paraId="6527924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4.2</w:t>
            </w:r>
          </w:p>
        </w:tc>
        <w:tc>
          <w:tcPr>
            <w:tcW w:w="6793" w:type="dxa"/>
            <w:vAlign w:val="center"/>
          </w:tcPr>
          <w:p w14:paraId="4F62B26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小焦点≤0.4mm</w:t>
            </w:r>
            <w:r>
              <w:rPr>
                <w:rFonts w:hint="eastAsia" w:ascii="仿宋" w:hAnsi="仿宋" w:eastAsia="仿宋" w:cs="仿宋"/>
                <w:color w:val="auto"/>
                <w:kern w:val="0"/>
                <w:sz w:val="24"/>
                <w:szCs w:val="24"/>
                <w:highlight w:val="none"/>
                <w:lang w:eastAsia="zh-CN" w:bidi="ar"/>
              </w:rPr>
              <w:t>。</w:t>
            </w:r>
          </w:p>
        </w:tc>
      </w:tr>
      <w:tr w14:paraId="3B22DADC">
        <w:tblPrEx>
          <w:tblCellMar>
            <w:top w:w="0" w:type="dxa"/>
            <w:left w:w="108" w:type="dxa"/>
            <w:bottom w:w="0" w:type="dxa"/>
            <w:right w:w="108" w:type="dxa"/>
          </w:tblCellMar>
        </w:tblPrEx>
        <w:tc>
          <w:tcPr>
            <w:tcW w:w="1729" w:type="dxa"/>
            <w:vAlign w:val="center"/>
          </w:tcPr>
          <w:p w14:paraId="3984F59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4.3</w:t>
            </w:r>
          </w:p>
        </w:tc>
        <w:tc>
          <w:tcPr>
            <w:tcW w:w="6793" w:type="dxa"/>
            <w:vAlign w:val="center"/>
          </w:tcPr>
          <w:p w14:paraId="54E1325E">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小焦点功率≥26KW</w:t>
            </w:r>
            <w:r>
              <w:rPr>
                <w:rFonts w:hint="eastAsia" w:ascii="仿宋" w:hAnsi="仿宋" w:eastAsia="仿宋" w:cs="仿宋"/>
                <w:color w:val="auto"/>
                <w:kern w:val="0"/>
                <w:sz w:val="24"/>
                <w:szCs w:val="24"/>
                <w:highlight w:val="none"/>
                <w:lang w:eastAsia="zh-CN" w:bidi="ar"/>
              </w:rPr>
              <w:t>。</w:t>
            </w:r>
          </w:p>
        </w:tc>
      </w:tr>
      <w:tr w14:paraId="10663E7A">
        <w:tblPrEx>
          <w:tblCellMar>
            <w:top w:w="0" w:type="dxa"/>
            <w:left w:w="108" w:type="dxa"/>
            <w:bottom w:w="0" w:type="dxa"/>
            <w:right w:w="108" w:type="dxa"/>
          </w:tblCellMar>
        </w:tblPrEx>
        <w:tc>
          <w:tcPr>
            <w:tcW w:w="1729" w:type="dxa"/>
            <w:vAlign w:val="center"/>
          </w:tcPr>
          <w:p w14:paraId="61FFCA4B">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4.4</w:t>
            </w:r>
          </w:p>
        </w:tc>
        <w:tc>
          <w:tcPr>
            <w:tcW w:w="6793" w:type="dxa"/>
            <w:vAlign w:val="center"/>
          </w:tcPr>
          <w:p w14:paraId="7088C990">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中焦点≤0.6mm</w:t>
            </w:r>
            <w:r>
              <w:rPr>
                <w:rFonts w:hint="eastAsia" w:ascii="仿宋" w:hAnsi="仿宋" w:eastAsia="仿宋" w:cs="仿宋"/>
                <w:color w:val="auto"/>
                <w:kern w:val="0"/>
                <w:sz w:val="24"/>
                <w:szCs w:val="24"/>
                <w:highlight w:val="none"/>
                <w:lang w:eastAsia="zh-CN" w:bidi="ar"/>
              </w:rPr>
              <w:t>。</w:t>
            </w:r>
          </w:p>
        </w:tc>
      </w:tr>
      <w:tr w14:paraId="2BE63EBD">
        <w:tblPrEx>
          <w:tblCellMar>
            <w:top w:w="0" w:type="dxa"/>
            <w:left w:w="108" w:type="dxa"/>
            <w:bottom w:w="0" w:type="dxa"/>
            <w:right w:w="108" w:type="dxa"/>
          </w:tblCellMar>
        </w:tblPrEx>
        <w:tc>
          <w:tcPr>
            <w:tcW w:w="1729" w:type="dxa"/>
            <w:vAlign w:val="center"/>
          </w:tcPr>
          <w:p w14:paraId="0DC8B7B5">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4.5</w:t>
            </w:r>
          </w:p>
        </w:tc>
        <w:tc>
          <w:tcPr>
            <w:tcW w:w="6793" w:type="dxa"/>
            <w:vAlign w:val="center"/>
          </w:tcPr>
          <w:p w14:paraId="4A792E30">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中焦点功率≥46KW</w:t>
            </w:r>
            <w:r>
              <w:rPr>
                <w:rFonts w:hint="eastAsia" w:ascii="仿宋" w:hAnsi="仿宋" w:eastAsia="仿宋" w:cs="仿宋"/>
                <w:color w:val="auto"/>
                <w:kern w:val="0"/>
                <w:sz w:val="24"/>
                <w:szCs w:val="24"/>
                <w:highlight w:val="none"/>
                <w:lang w:eastAsia="zh-CN" w:bidi="ar"/>
              </w:rPr>
              <w:t>。</w:t>
            </w:r>
          </w:p>
        </w:tc>
      </w:tr>
      <w:tr w14:paraId="1960F7F1">
        <w:tblPrEx>
          <w:tblCellMar>
            <w:top w:w="0" w:type="dxa"/>
            <w:left w:w="108" w:type="dxa"/>
            <w:bottom w:w="0" w:type="dxa"/>
            <w:right w:w="108" w:type="dxa"/>
          </w:tblCellMar>
        </w:tblPrEx>
        <w:tc>
          <w:tcPr>
            <w:tcW w:w="1729" w:type="dxa"/>
            <w:vAlign w:val="center"/>
          </w:tcPr>
          <w:p w14:paraId="59CC987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4.6</w:t>
            </w:r>
          </w:p>
        </w:tc>
        <w:tc>
          <w:tcPr>
            <w:tcW w:w="6793" w:type="dxa"/>
            <w:vAlign w:val="center"/>
          </w:tcPr>
          <w:p w14:paraId="04A7A5AF">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大焦点≥</w:t>
            </w:r>
            <w:r>
              <w:rPr>
                <w:rStyle w:val="34"/>
                <w:rFonts w:hint="eastAsia" w:ascii="仿宋" w:hAnsi="仿宋" w:eastAsia="仿宋" w:cs="仿宋"/>
                <w:color w:val="auto"/>
                <w:sz w:val="24"/>
                <w:szCs w:val="24"/>
                <w:highlight w:val="none"/>
                <w:lang w:bidi="ar"/>
              </w:rPr>
              <w:t>1.0mm</w:t>
            </w:r>
            <w:r>
              <w:rPr>
                <w:rStyle w:val="34"/>
                <w:rFonts w:hint="eastAsia" w:ascii="仿宋" w:hAnsi="仿宋" w:eastAsia="仿宋" w:cs="仿宋"/>
                <w:color w:val="auto"/>
                <w:sz w:val="24"/>
                <w:szCs w:val="24"/>
                <w:highlight w:val="none"/>
                <w:lang w:eastAsia="zh-CN" w:bidi="ar"/>
              </w:rPr>
              <w:t>。</w:t>
            </w:r>
          </w:p>
        </w:tc>
      </w:tr>
      <w:tr w14:paraId="057DB5F6">
        <w:tblPrEx>
          <w:tblCellMar>
            <w:top w:w="0" w:type="dxa"/>
            <w:left w:w="108" w:type="dxa"/>
            <w:bottom w:w="0" w:type="dxa"/>
            <w:right w:w="108" w:type="dxa"/>
          </w:tblCellMar>
        </w:tblPrEx>
        <w:tc>
          <w:tcPr>
            <w:tcW w:w="1729" w:type="dxa"/>
            <w:vAlign w:val="center"/>
          </w:tcPr>
          <w:p w14:paraId="31541618">
            <w:pPr>
              <w:widowControl/>
              <w:spacing w:line="360" w:lineRule="auto"/>
              <w:jc w:val="left"/>
              <w:textAlignment w:val="center"/>
              <w:rPr>
                <w:rFonts w:hint="eastAsia" w:ascii="仿宋" w:hAnsi="仿宋" w:eastAsia="仿宋" w:cs="仿宋"/>
                <w:bCs/>
                <w:color w:val="auto"/>
                <w:sz w:val="24"/>
                <w:szCs w:val="24"/>
                <w:highlight w:val="none"/>
              </w:rPr>
            </w:pPr>
            <w:r>
              <w:rPr>
                <w:rStyle w:val="35"/>
                <w:rFonts w:hint="eastAsia" w:ascii="仿宋" w:hAnsi="仿宋" w:eastAsia="仿宋" w:cs="仿宋"/>
                <w:color w:val="auto"/>
                <w:sz w:val="24"/>
                <w:szCs w:val="24"/>
                <w:highlight w:val="none"/>
                <w:lang w:bidi="ar"/>
              </w:rPr>
              <w:t>4.7</w:t>
            </w:r>
            <w:r>
              <w:rPr>
                <w:rFonts w:hint="eastAsia" w:ascii="仿宋" w:hAnsi="仿宋" w:eastAsia="仿宋" w:cs="仿宋"/>
                <w:b/>
                <w:color w:val="auto"/>
                <w:kern w:val="0"/>
                <w:sz w:val="24"/>
                <w:szCs w:val="24"/>
                <w:highlight w:val="none"/>
              </w:rPr>
              <w:t>▲</w:t>
            </w:r>
          </w:p>
        </w:tc>
        <w:tc>
          <w:tcPr>
            <w:tcW w:w="6793" w:type="dxa"/>
            <w:vAlign w:val="center"/>
          </w:tcPr>
          <w:p w14:paraId="2D669F19">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大焦点功率≥</w:t>
            </w:r>
            <w:r>
              <w:rPr>
                <w:rStyle w:val="34"/>
                <w:rFonts w:hint="eastAsia" w:ascii="仿宋" w:hAnsi="仿宋" w:eastAsia="仿宋" w:cs="仿宋"/>
                <w:color w:val="auto"/>
                <w:sz w:val="24"/>
                <w:szCs w:val="24"/>
                <w:highlight w:val="none"/>
                <w:lang w:bidi="ar"/>
              </w:rPr>
              <w:t xml:space="preserve">100KW </w:t>
            </w:r>
            <w:r>
              <w:rPr>
                <w:rStyle w:val="34"/>
                <w:rFonts w:hint="eastAsia" w:ascii="仿宋" w:hAnsi="仿宋" w:eastAsia="仿宋" w:cs="仿宋"/>
                <w:color w:val="auto"/>
                <w:sz w:val="24"/>
                <w:szCs w:val="24"/>
                <w:highlight w:val="none"/>
                <w:lang w:eastAsia="zh-CN" w:bidi="ar"/>
              </w:rPr>
              <w:t>。</w:t>
            </w:r>
          </w:p>
        </w:tc>
      </w:tr>
      <w:tr w14:paraId="29C6B1A9">
        <w:tblPrEx>
          <w:tblCellMar>
            <w:top w:w="0" w:type="dxa"/>
            <w:left w:w="108" w:type="dxa"/>
            <w:bottom w:w="0" w:type="dxa"/>
            <w:right w:w="108" w:type="dxa"/>
          </w:tblCellMar>
        </w:tblPrEx>
        <w:tc>
          <w:tcPr>
            <w:tcW w:w="1729" w:type="dxa"/>
            <w:vAlign w:val="center"/>
          </w:tcPr>
          <w:p w14:paraId="19637CF9">
            <w:pPr>
              <w:widowControl/>
              <w:spacing w:line="360" w:lineRule="auto"/>
              <w:jc w:val="left"/>
              <w:textAlignment w:val="center"/>
              <w:rPr>
                <w:rFonts w:hint="eastAsia" w:ascii="仿宋" w:hAnsi="仿宋" w:eastAsia="仿宋" w:cs="仿宋"/>
                <w:bCs/>
                <w:color w:val="auto"/>
                <w:sz w:val="24"/>
                <w:szCs w:val="24"/>
                <w:highlight w:val="none"/>
              </w:rPr>
            </w:pPr>
            <w:r>
              <w:rPr>
                <w:rStyle w:val="35"/>
                <w:rFonts w:hint="eastAsia" w:ascii="仿宋" w:hAnsi="仿宋" w:eastAsia="仿宋" w:cs="仿宋"/>
                <w:color w:val="auto"/>
                <w:sz w:val="24"/>
                <w:szCs w:val="24"/>
                <w:highlight w:val="none"/>
                <w:lang w:bidi="ar"/>
              </w:rPr>
              <w:t>4.8</w:t>
            </w:r>
            <w:r>
              <w:rPr>
                <w:rFonts w:hint="eastAsia" w:ascii="仿宋" w:hAnsi="仿宋" w:eastAsia="仿宋" w:cs="仿宋"/>
                <w:b/>
                <w:color w:val="auto"/>
                <w:kern w:val="0"/>
                <w:sz w:val="24"/>
                <w:szCs w:val="24"/>
                <w:highlight w:val="none"/>
              </w:rPr>
              <w:t>▲</w:t>
            </w:r>
          </w:p>
        </w:tc>
        <w:tc>
          <w:tcPr>
            <w:tcW w:w="6793" w:type="dxa"/>
            <w:vAlign w:val="center"/>
          </w:tcPr>
          <w:p w14:paraId="45C1816F">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最大阳极热容量≥</w:t>
            </w:r>
            <w:r>
              <w:rPr>
                <w:rStyle w:val="34"/>
                <w:rFonts w:hint="eastAsia" w:ascii="仿宋" w:hAnsi="仿宋" w:eastAsia="仿宋" w:cs="仿宋"/>
                <w:color w:val="auto"/>
                <w:sz w:val="24"/>
                <w:szCs w:val="24"/>
                <w:highlight w:val="none"/>
                <w:lang w:bidi="ar"/>
              </w:rPr>
              <w:t>3.5MHu</w:t>
            </w:r>
            <w:r>
              <w:rPr>
                <w:rStyle w:val="34"/>
                <w:rFonts w:hint="eastAsia" w:ascii="仿宋" w:hAnsi="仿宋" w:eastAsia="仿宋" w:cs="仿宋"/>
                <w:color w:val="auto"/>
                <w:sz w:val="24"/>
                <w:szCs w:val="24"/>
                <w:highlight w:val="none"/>
                <w:lang w:eastAsia="zh-CN" w:bidi="ar"/>
              </w:rPr>
              <w:t>。</w:t>
            </w:r>
          </w:p>
        </w:tc>
      </w:tr>
      <w:tr w14:paraId="5E99F0F0">
        <w:tblPrEx>
          <w:tblCellMar>
            <w:top w:w="0" w:type="dxa"/>
            <w:left w:w="108" w:type="dxa"/>
            <w:bottom w:w="0" w:type="dxa"/>
            <w:right w:w="108" w:type="dxa"/>
          </w:tblCellMar>
        </w:tblPrEx>
        <w:tc>
          <w:tcPr>
            <w:tcW w:w="1729" w:type="dxa"/>
            <w:vAlign w:val="center"/>
          </w:tcPr>
          <w:p w14:paraId="5F5BC7B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4.9</w:t>
            </w:r>
          </w:p>
        </w:tc>
        <w:tc>
          <w:tcPr>
            <w:tcW w:w="6793" w:type="dxa"/>
            <w:vAlign w:val="center"/>
          </w:tcPr>
          <w:p w14:paraId="3155F09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sz w:val="24"/>
                <w:szCs w:val="24"/>
                <w:highlight w:val="none"/>
              </w:rPr>
              <w:t>允许术中焦点熔断时，自动切换至其它焦点，球管依然可以正常使用</w:t>
            </w:r>
            <w:r>
              <w:rPr>
                <w:rFonts w:hint="eastAsia" w:ascii="仿宋" w:hAnsi="仿宋" w:eastAsia="仿宋" w:cs="仿宋"/>
                <w:color w:val="auto"/>
                <w:sz w:val="24"/>
                <w:szCs w:val="24"/>
                <w:highlight w:val="none"/>
                <w:lang w:eastAsia="zh-CN"/>
              </w:rPr>
              <w:t>。</w:t>
            </w:r>
          </w:p>
        </w:tc>
      </w:tr>
      <w:tr w14:paraId="19AA8275">
        <w:tblPrEx>
          <w:tblCellMar>
            <w:top w:w="0" w:type="dxa"/>
            <w:left w:w="108" w:type="dxa"/>
            <w:bottom w:w="0" w:type="dxa"/>
            <w:right w:w="108" w:type="dxa"/>
          </w:tblCellMar>
        </w:tblPrEx>
        <w:tc>
          <w:tcPr>
            <w:tcW w:w="1729" w:type="dxa"/>
            <w:vAlign w:val="center"/>
          </w:tcPr>
          <w:p w14:paraId="160EE58D">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4.10</w:t>
            </w:r>
          </w:p>
        </w:tc>
        <w:tc>
          <w:tcPr>
            <w:tcW w:w="6793" w:type="dxa"/>
            <w:vAlign w:val="center"/>
          </w:tcPr>
          <w:p w14:paraId="2562D7DE">
            <w:pPr>
              <w:widowControl/>
              <w:spacing w:line="360" w:lineRule="auto"/>
              <w:jc w:val="left"/>
              <w:textAlignment w:val="center"/>
              <w:rPr>
                <w:rFonts w:hint="eastAsia" w:ascii="仿宋" w:hAnsi="仿宋" w:eastAsia="仿宋" w:cs="仿宋"/>
                <w:b/>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支持焦点栅控</w:t>
            </w:r>
            <w:r>
              <w:rPr>
                <w:rFonts w:hint="eastAsia" w:ascii="仿宋" w:hAnsi="仿宋" w:eastAsia="仿宋" w:cs="仿宋"/>
                <w:color w:val="auto"/>
                <w:kern w:val="0"/>
                <w:sz w:val="24"/>
                <w:szCs w:val="24"/>
                <w:highlight w:val="none"/>
                <w:lang w:eastAsia="zh-CN" w:bidi="ar"/>
              </w:rPr>
              <w:t>。</w:t>
            </w:r>
          </w:p>
        </w:tc>
      </w:tr>
      <w:tr w14:paraId="127443C1">
        <w:tblPrEx>
          <w:tblCellMar>
            <w:top w:w="0" w:type="dxa"/>
            <w:left w:w="108" w:type="dxa"/>
            <w:bottom w:w="0" w:type="dxa"/>
            <w:right w:w="108" w:type="dxa"/>
          </w:tblCellMar>
        </w:tblPrEx>
        <w:tc>
          <w:tcPr>
            <w:tcW w:w="1729" w:type="dxa"/>
            <w:vAlign w:val="center"/>
          </w:tcPr>
          <w:p w14:paraId="3D576B81">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5</w:t>
            </w:r>
          </w:p>
        </w:tc>
        <w:tc>
          <w:tcPr>
            <w:tcW w:w="6793" w:type="dxa"/>
            <w:vAlign w:val="center"/>
          </w:tcPr>
          <w:p w14:paraId="3823692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平板探测器</w:t>
            </w:r>
          </w:p>
        </w:tc>
      </w:tr>
      <w:tr w14:paraId="20C15A09">
        <w:tblPrEx>
          <w:tblCellMar>
            <w:top w:w="0" w:type="dxa"/>
            <w:left w:w="108" w:type="dxa"/>
            <w:bottom w:w="0" w:type="dxa"/>
            <w:right w:w="108" w:type="dxa"/>
          </w:tblCellMar>
        </w:tblPrEx>
        <w:tc>
          <w:tcPr>
            <w:tcW w:w="1729" w:type="dxa"/>
            <w:vAlign w:val="center"/>
          </w:tcPr>
          <w:p w14:paraId="05E35C8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5.1</w:t>
            </w:r>
          </w:p>
        </w:tc>
        <w:tc>
          <w:tcPr>
            <w:tcW w:w="6793" w:type="dxa"/>
            <w:vAlign w:val="center"/>
          </w:tcPr>
          <w:p w14:paraId="68475742">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类型为非晶硅数字平板探测器</w:t>
            </w:r>
            <w:r>
              <w:rPr>
                <w:rStyle w:val="33"/>
                <w:rFonts w:hint="eastAsia" w:ascii="仿宋" w:hAnsi="仿宋" w:eastAsia="仿宋" w:cs="仿宋"/>
                <w:color w:val="auto"/>
                <w:sz w:val="24"/>
                <w:szCs w:val="24"/>
                <w:highlight w:val="none"/>
                <w:lang w:eastAsia="zh-CN" w:bidi="ar"/>
              </w:rPr>
              <w:t>。</w:t>
            </w:r>
          </w:p>
        </w:tc>
      </w:tr>
      <w:tr w14:paraId="7D5D001D">
        <w:tblPrEx>
          <w:tblCellMar>
            <w:top w:w="0" w:type="dxa"/>
            <w:left w:w="108" w:type="dxa"/>
            <w:bottom w:w="0" w:type="dxa"/>
            <w:right w:w="108" w:type="dxa"/>
          </w:tblCellMar>
        </w:tblPrEx>
        <w:tc>
          <w:tcPr>
            <w:tcW w:w="1729" w:type="dxa"/>
            <w:vAlign w:val="center"/>
          </w:tcPr>
          <w:p w14:paraId="1605B5C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5.2</w:t>
            </w:r>
          </w:p>
        </w:tc>
        <w:tc>
          <w:tcPr>
            <w:tcW w:w="6793" w:type="dxa"/>
            <w:vAlign w:val="center"/>
          </w:tcPr>
          <w:p w14:paraId="6A1427A3">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像素尺寸≤</w:t>
            </w:r>
            <w:r>
              <w:rPr>
                <w:rStyle w:val="34"/>
                <w:rFonts w:hint="eastAsia" w:ascii="仿宋" w:hAnsi="仿宋" w:eastAsia="仿宋" w:cs="仿宋"/>
                <w:color w:val="auto"/>
                <w:sz w:val="24"/>
                <w:szCs w:val="24"/>
                <w:highlight w:val="none"/>
                <w:lang w:bidi="ar"/>
              </w:rPr>
              <w:t>154μm</w:t>
            </w:r>
            <w:r>
              <w:rPr>
                <w:rStyle w:val="34"/>
                <w:rFonts w:hint="eastAsia" w:ascii="仿宋" w:hAnsi="仿宋" w:eastAsia="仿宋" w:cs="仿宋"/>
                <w:color w:val="auto"/>
                <w:sz w:val="24"/>
                <w:szCs w:val="24"/>
                <w:highlight w:val="none"/>
                <w:lang w:eastAsia="zh-CN" w:bidi="ar"/>
              </w:rPr>
              <w:t>。</w:t>
            </w:r>
          </w:p>
        </w:tc>
      </w:tr>
      <w:tr w14:paraId="5D77CE77">
        <w:tblPrEx>
          <w:tblCellMar>
            <w:top w:w="0" w:type="dxa"/>
            <w:left w:w="108" w:type="dxa"/>
            <w:bottom w:w="0" w:type="dxa"/>
            <w:right w:w="108" w:type="dxa"/>
          </w:tblCellMar>
        </w:tblPrEx>
        <w:tc>
          <w:tcPr>
            <w:tcW w:w="1729" w:type="dxa"/>
            <w:vAlign w:val="center"/>
          </w:tcPr>
          <w:p w14:paraId="6519D831">
            <w:pPr>
              <w:widowControl/>
              <w:spacing w:line="360" w:lineRule="auto"/>
              <w:jc w:val="left"/>
              <w:textAlignment w:val="center"/>
              <w:rPr>
                <w:rFonts w:hint="eastAsia" w:ascii="仿宋" w:hAnsi="仿宋" w:eastAsia="仿宋" w:cs="仿宋"/>
                <w:bCs/>
                <w:color w:val="auto"/>
                <w:sz w:val="24"/>
                <w:szCs w:val="24"/>
                <w:highlight w:val="none"/>
              </w:rPr>
            </w:pPr>
            <w:r>
              <w:rPr>
                <w:rStyle w:val="35"/>
                <w:rFonts w:hint="eastAsia" w:ascii="仿宋" w:hAnsi="仿宋" w:eastAsia="仿宋" w:cs="仿宋"/>
                <w:color w:val="auto"/>
                <w:sz w:val="24"/>
                <w:szCs w:val="24"/>
                <w:highlight w:val="none"/>
                <w:lang w:bidi="ar"/>
              </w:rPr>
              <w:t>5.3</w:t>
            </w:r>
          </w:p>
        </w:tc>
        <w:tc>
          <w:tcPr>
            <w:tcW w:w="6793" w:type="dxa"/>
            <w:vAlign w:val="center"/>
          </w:tcPr>
          <w:p w14:paraId="2326248D">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最大灰阶≥</w:t>
            </w:r>
            <w:r>
              <w:rPr>
                <w:rStyle w:val="34"/>
                <w:rFonts w:hint="eastAsia" w:ascii="仿宋" w:hAnsi="仿宋" w:eastAsia="仿宋" w:cs="仿宋"/>
                <w:color w:val="auto"/>
                <w:sz w:val="24"/>
                <w:szCs w:val="24"/>
                <w:highlight w:val="none"/>
                <w:lang w:bidi="ar"/>
              </w:rPr>
              <w:t>16bit</w:t>
            </w:r>
            <w:r>
              <w:rPr>
                <w:rStyle w:val="34"/>
                <w:rFonts w:hint="eastAsia" w:ascii="仿宋" w:hAnsi="仿宋" w:eastAsia="仿宋" w:cs="仿宋"/>
                <w:color w:val="auto"/>
                <w:sz w:val="24"/>
                <w:szCs w:val="24"/>
                <w:highlight w:val="none"/>
                <w:lang w:eastAsia="zh-CN" w:bidi="ar"/>
              </w:rPr>
              <w:t>。</w:t>
            </w:r>
          </w:p>
        </w:tc>
      </w:tr>
      <w:tr w14:paraId="12DC355E">
        <w:tblPrEx>
          <w:tblCellMar>
            <w:top w:w="0" w:type="dxa"/>
            <w:left w:w="108" w:type="dxa"/>
            <w:bottom w:w="0" w:type="dxa"/>
            <w:right w:w="108" w:type="dxa"/>
          </w:tblCellMar>
        </w:tblPrEx>
        <w:tc>
          <w:tcPr>
            <w:tcW w:w="1729" w:type="dxa"/>
            <w:vAlign w:val="center"/>
          </w:tcPr>
          <w:p w14:paraId="4505E695">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5.4</w:t>
            </w:r>
          </w:p>
        </w:tc>
        <w:tc>
          <w:tcPr>
            <w:tcW w:w="6793" w:type="dxa"/>
            <w:vAlign w:val="center"/>
          </w:tcPr>
          <w:p w14:paraId="59FEC0B8">
            <w:pPr>
              <w:widowControl/>
              <w:spacing w:line="360" w:lineRule="auto"/>
              <w:jc w:val="left"/>
              <w:textAlignment w:val="center"/>
              <w:rPr>
                <w:rFonts w:hint="eastAsia" w:ascii="仿宋" w:hAnsi="仿宋" w:eastAsia="仿宋" w:cs="仿宋"/>
                <w:bCs/>
                <w:color w:val="auto"/>
                <w:sz w:val="24"/>
                <w:szCs w:val="24"/>
                <w:highlight w:val="none"/>
                <w:lang w:eastAsia="zh-CN"/>
              </w:rPr>
            </w:pPr>
            <w:r>
              <w:rPr>
                <w:rStyle w:val="33"/>
                <w:rFonts w:hint="eastAsia" w:ascii="仿宋" w:hAnsi="仿宋" w:eastAsia="仿宋" w:cs="仿宋"/>
                <w:color w:val="auto"/>
                <w:sz w:val="24"/>
                <w:szCs w:val="24"/>
                <w:highlight w:val="none"/>
                <w:lang w:bidi="ar"/>
              </w:rPr>
              <w:t>最大图像分辨率≥</w:t>
            </w:r>
            <w:r>
              <w:rPr>
                <w:rStyle w:val="34"/>
                <w:rFonts w:hint="eastAsia" w:ascii="仿宋" w:hAnsi="仿宋" w:eastAsia="仿宋" w:cs="仿宋"/>
                <w:color w:val="auto"/>
                <w:sz w:val="24"/>
                <w:szCs w:val="24"/>
                <w:highlight w:val="none"/>
                <w:lang w:bidi="ar"/>
              </w:rPr>
              <w:t>2040 x 1900</w:t>
            </w:r>
            <w:r>
              <w:rPr>
                <w:rStyle w:val="34"/>
                <w:rFonts w:hint="eastAsia" w:ascii="仿宋" w:hAnsi="仿宋" w:eastAsia="仿宋" w:cs="仿宋"/>
                <w:color w:val="auto"/>
                <w:sz w:val="24"/>
                <w:szCs w:val="24"/>
                <w:highlight w:val="none"/>
                <w:lang w:eastAsia="zh-CN" w:bidi="ar"/>
              </w:rPr>
              <w:t>。</w:t>
            </w:r>
          </w:p>
        </w:tc>
      </w:tr>
      <w:tr w14:paraId="650869A4">
        <w:tblPrEx>
          <w:tblCellMar>
            <w:top w:w="0" w:type="dxa"/>
            <w:left w:w="108" w:type="dxa"/>
            <w:bottom w:w="0" w:type="dxa"/>
            <w:right w:w="108" w:type="dxa"/>
          </w:tblCellMar>
        </w:tblPrEx>
        <w:tc>
          <w:tcPr>
            <w:tcW w:w="1729" w:type="dxa"/>
            <w:vAlign w:val="center"/>
          </w:tcPr>
          <w:p w14:paraId="60B5455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5.5</w:t>
            </w:r>
            <w:r>
              <w:rPr>
                <w:rFonts w:hint="eastAsia" w:ascii="仿宋" w:hAnsi="仿宋" w:eastAsia="仿宋" w:cs="仿宋"/>
                <w:b/>
                <w:color w:val="auto"/>
                <w:kern w:val="0"/>
                <w:sz w:val="24"/>
                <w:szCs w:val="24"/>
                <w:highlight w:val="none"/>
              </w:rPr>
              <w:t>▲</w:t>
            </w:r>
          </w:p>
        </w:tc>
        <w:tc>
          <w:tcPr>
            <w:tcW w:w="6793" w:type="dxa"/>
            <w:vAlign w:val="center"/>
          </w:tcPr>
          <w:p w14:paraId="0F6F4577">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成像面积≥</w:t>
            </w:r>
            <w:r>
              <w:rPr>
                <w:rStyle w:val="34"/>
                <w:rFonts w:hint="eastAsia" w:ascii="仿宋" w:hAnsi="仿宋" w:eastAsia="仿宋" w:cs="仿宋"/>
                <w:color w:val="auto"/>
                <w:sz w:val="24"/>
                <w:szCs w:val="24"/>
                <w:highlight w:val="none"/>
                <w:lang w:bidi="ar"/>
              </w:rPr>
              <w:t>39cmx 29cm</w:t>
            </w:r>
            <w:r>
              <w:rPr>
                <w:rStyle w:val="34"/>
                <w:rFonts w:hint="eastAsia" w:ascii="仿宋" w:hAnsi="仿宋" w:eastAsia="仿宋" w:cs="仿宋"/>
                <w:color w:val="auto"/>
                <w:sz w:val="24"/>
                <w:szCs w:val="24"/>
                <w:highlight w:val="none"/>
                <w:lang w:eastAsia="zh-CN" w:bidi="ar"/>
              </w:rPr>
              <w:t>。</w:t>
            </w:r>
          </w:p>
        </w:tc>
      </w:tr>
      <w:tr w14:paraId="68237010">
        <w:tblPrEx>
          <w:tblCellMar>
            <w:top w:w="0" w:type="dxa"/>
            <w:left w:w="108" w:type="dxa"/>
            <w:bottom w:w="0" w:type="dxa"/>
            <w:right w:w="108" w:type="dxa"/>
          </w:tblCellMar>
        </w:tblPrEx>
        <w:tc>
          <w:tcPr>
            <w:tcW w:w="1729" w:type="dxa"/>
            <w:vAlign w:val="center"/>
          </w:tcPr>
          <w:p w14:paraId="5B4D6BC7">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5.6</w:t>
            </w:r>
          </w:p>
        </w:tc>
        <w:tc>
          <w:tcPr>
            <w:tcW w:w="6793" w:type="dxa"/>
            <w:vAlign w:val="center"/>
          </w:tcPr>
          <w:p w14:paraId="12EDD46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极限分辨率≥</w:t>
            </w:r>
            <w:r>
              <w:rPr>
                <w:rStyle w:val="34"/>
                <w:rFonts w:hint="eastAsia" w:ascii="仿宋" w:hAnsi="仿宋" w:eastAsia="仿宋" w:cs="仿宋"/>
                <w:color w:val="auto"/>
                <w:sz w:val="24"/>
                <w:szCs w:val="24"/>
                <w:highlight w:val="none"/>
                <w:lang w:bidi="ar"/>
              </w:rPr>
              <w:t>3.25 lp/mm</w:t>
            </w:r>
            <w:r>
              <w:rPr>
                <w:rStyle w:val="34"/>
                <w:rFonts w:hint="eastAsia" w:ascii="仿宋" w:hAnsi="仿宋" w:eastAsia="仿宋" w:cs="仿宋"/>
                <w:color w:val="auto"/>
                <w:sz w:val="24"/>
                <w:szCs w:val="24"/>
                <w:highlight w:val="none"/>
                <w:lang w:eastAsia="zh-CN" w:bidi="ar"/>
              </w:rPr>
              <w:t>。</w:t>
            </w:r>
          </w:p>
        </w:tc>
      </w:tr>
      <w:tr w14:paraId="5F199641">
        <w:tblPrEx>
          <w:tblCellMar>
            <w:top w:w="0" w:type="dxa"/>
            <w:left w:w="108" w:type="dxa"/>
            <w:bottom w:w="0" w:type="dxa"/>
            <w:right w:w="108" w:type="dxa"/>
          </w:tblCellMar>
        </w:tblPrEx>
        <w:tc>
          <w:tcPr>
            <w:tcW w:w="1729" w:type="dxa"/>
            <w:vAlign w:val="center"/>
          </w:tcPr>
          <w:p w14:paraId="7819C64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5.7</w:t>
            </w:r>
          </w:p>
        </w:tc>
        <w:tc>
          <w:tcPr>
            <w:tcW w:w="6793" w:type="dxa"/>
            <w:vAlign w:val="center"/>
          </w:tcPr>
          <w:p w14:paraId="40C31569">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DQE</w:t>
            </w:r>
            <w:r>
              <w:rPr>
                <w:rStyle w:val="36"/>
                <w:rFonts w:hint="eastAsia" w:ascii="仿宋" w:hAnsi="仿宋" w:eastAsia="仿宋" w:cs="仿宋"/>
                <w:color w:val="auto"/>
                <w:sz w:val="24"/>
                <w:szCs w:val="24"/>
                <w:highlight w:val="none"/>
                <w:lang w:bidi="ar"/>
              </w:rPr>
              <w:t>≥</w:t>
            </w:r>
            <w:r>
              <w:rPr>
                <w:rStyle w:val="35"/>
                <w:rFonts w:hint="eastAsia" w:ascii="仿宋" w:hAnsi="仿宋" w:eastAsia="仿宋" w:cs="仿宋"/>
                <w:color w:val="auto"/>
                <w:sz w:val="24"/>
                <w:szCs w:val="24"/>
                <w:highlight w:val="none"/>
                <w:lang w:bidi="ar"/>
              </w:rPr>
              <w:t xml:space="preserve">77% </w:t>
            </w:r>
            <w:r>
              <w:rPr>
                <w:rStyle w:val="35"/>
                <w:rFonts w:hint="eastAsia" w:ascii="仿宋" w:hAnsi="仿宋" w:eastAsia="仿宋" w:cs="仿宋"/>
                <w:color w:val="auto"/>
                <w:sz w:val="24"/>
                <w:szCs w:val="24"/>
                <w:highlight w:val="none"/>
                <w:lang w:eastAsia="zh-CN" w:bidi="ar"/>
              </w:rPr>
              <w:t>。</w:t>
            </w:r>
          </w:p>
        </w:tc>
      </w:tr>
      <w:tr w14:paraId="3834BB12">
        <w:tblPrEx>
          <w:tblCellMar>
            <w:top w:w="0" w:type="dxa"/>
            <w:left w:w="108" w:type="dxa"/>
            <w:bottom w:w="0" w:type="dxa"/>
            <w:right w:w="108" w:type="dxa"/>
          </w:tblCellMar>
        </w:tblPrEx>
        <w:tc>
          <w:tcPr>
            <w:tcW w:w="1729" w:type="dxa"/>
            <w:vAlign w:val="center"/>
          </w:tcPr>
          <w:p w14:paraId="37FB81F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5.8</w:t>
            </w:r>
          </w:p>
        </w:tc>
        <w:tc>
          <w:tcPr>
            <w:tcW w:w="6793" w:type="dxa"/>
            <w:vAlign w:val="center"/>
          </w:tcPr>
          <w:p w14:paraId="10A6EC38">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MTF</w:t>
            </w:r>
            <w:r>
              <w:rPr>
                <w:rStyle w:val="36"/>
                <w:rFonts w:hint="eastAsia" w:ascii="仿宋" w:hAnsi="仿宋" w:eastAsia="仿宋" w:cs="仿宋"/>
                <w:color w:val="auto"/>
                <w:sz w:val="24"/>
                <w:szCs w:val="24"/>
                <w:highlight w:val="none"/>
                <w:lang w:bidi="ar"/>
              </w:rPr>
              <w:t>≥</w:t>
            </w:r>
            <w:r>
              <w:rPr>
                <w:rFonts w:hint="eastAsia" w:ascii="仿宋" w:hAnsi="仿宋" w:eastAsia="仿宋" w:cs="仿宋"/>
                <w:color w:val="auto"/>
                <w:kern w:val="0"/>
                <w:sz w:val="24"/>
                <w:szCs w:val="24"/>
                <w:highlight w:val="none"/>
                <w:lang w:bidi="ar"/>
              </w:rPr>
              <w:t xml:space="preserve">59% </w:t>
            </w:r>
            <w:r>
              <w:rPr>
                <w:rFonts w:hint="eastAsia" w:ascii="仿宋" w:hAnsi="仿宋" w:eastAsia="仿宋" w:cs="仿宋"/>
                <w:color w:val="auto"/>
                <w:kern w:val="0"/>
                <w:sz w:val="24"/>
                <w:szCs w:val="24"/>
                <w:highlight w:val="none"/>
                <w:lang w:eastAsia="zh-CN" w:bidi="ar"/>
              </w:rPr>
              <w:t>。</w:t>
            </w:r>
          </w:p>
        </w:tc>
      </w:tr>
      <w:tr w14:paraId="171CA30F">
        <w:tblPrEx>
          <w:tblCellMar>
            <w:top w:w="0" w:type="dxa"/>
            <w:left w:w="108" w:type="dxa"/>
            <w:bottom w:w="0" w:type="dxa"/>
            <w:right w:w="108" w:type="dxa"/>
          </w:tblCellMar>
        </w:tblPrEx>
        <w:tc>
          <w:tcPr>
            <w:tcW w:w="1729" w:type="dxa"/>
            <w:vAlign w:val="center"/>
          </w:tcPr>
          <w:p w14:paraId="667EC8C5">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5.9</w:t>
            </w:r>
            <w:r>
              <w:rPr>
                <w:rFonts w:hint="eastAsia" w:ascii="仿宋" w:hAnsi="仿宋" w:eastAsia="仿宋" w:cs="仿宋"/>
                <w:b/>
                <w:color w:val="auto"/>
                <w:kern w:val="0"/>
                <w:sz w:val="24"/>
                <w:szCs w:val="24"/>
                <w:highlight w:val="none"/>
              </w:rPr>
              <w:t>▲</w:t>
            </w:r>
          </w:p>
        </w:tc>
        <w:tc>
          <w:tcPr>
            <w:tcW w:w="6793" w:type="dxa"/>
            <w:vAlign w:val="center"/>
          </w:tcPr>
          <w:p w14:paraId="06A251FD">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物理成像视野≥6</w:t>
            </w:r>
            <w:r>
              <w:rPr>
                <w:rFonts w:hint="eastAsia" w:ascii="仿宋" w:hAnsi="仿宋" w:eastAsia="仿宋" w:cs="仿宋"/>
                <w:color w:val="auto"/>
                <w:kern w:val="0"/>
                <w:sz w:val="24"/>
                <w:szCs w:val="24"/>
                <w:highlight w:val="none"/>
                <w:lang w:eastAsia="zh-CN" w:bidi="ar"/>
              </w:rPr>
              <w:t>。</w:t>
            </w:r>
          </w:p>
        </w:tc>
      </w:tr>
      <w:tr w14:paraId="0C64C014">
        <w:tblPrEx>
          <w:tblCellMar>
            <w:top w:w="0" w:type="dxa"/>
            <w:left w:w="108" w:type="dxa"/>
            <w:bottom w:w="0" w:type="dxa"/>
            <w:right w:w="108" w:type="dxa"/>
          </w:tblCellMar>
        </w:tblPrEx>
        <w:tc>
          <w:tcPr>
            <w:tcW w:w="1729" w:type="dxa"/>
            <w:vAlign w:val="center"/>
          </w:tcPr>
          <w:p w14:paraId="3F6351A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5.10</w:t>
            </w:r>
          </w:p>
        </w:tc>
        <w:tc>
          <w:tcPr>
            <w:tcW w:w="6793" w:type="dxa"/>
            <w:vAlign w:val="center"/>
          </w:tcPr>
          <w:p w14:paraId="49D9ECE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平板探测器最小视野面积≤11</w:t>
            </w:r>
            <w:r>
              <w:rPr>
                <w:rStyle w:val="34"/>
                <w:rFonts w:hint="eastAsia" w:ascii="仿宋" w:hAnsi="仿宋" w:eastAsia="仿宋" w:cs="仿宋"/>
                <w:color w:val="auto"/>
                <w:sz w:val="24"/>
                <w:szCs w:val="24"/>
                <w:highlight w:val="none"/>
                <w:lang w:bidi="ar"/>
              </w:rPr>
              <w:t>x11cm</w:t>
            </w:r>
            <w:r>
              <w:rPr>
                <w:rStyle w:val="34"/>
                <w:rFonts w:hint="eastAsia" w:ascii="仿宋" w:hAnsi="仿宋" w:eastAsia="仿宋" w:cs="仿宋"/>
                <w:color w:val="auto"/>
                <w:sz w:val="24"/>
                <w:szCs w:val="24"/>
                <w:highlight w:val="none"/>
                <w:lang w:eastAsia="zh-CN" w:bidi="ar"/>
              </w:rPr>
              <w:t>。</w:t>
            </w:r>
          </w:p>
        </w:tc>
      </w:tr>
      <w:tr w14:paraId="43F91C18">
        <w:tblPrEx>
          <w:tblCellMar>
            <w:top w:w="0" w:type="dxa"/>
            <w:left w:w="108" w:type="dxa"/>
            <w:bottom w:w="0" w:type="dxa"/>
            <w:right w:w="108" w:type="dxa"/>
          </w:tblCellMar>
        </w:tblPrEx>
        <w:tc>
          <w:tcPr>
            <w:tcW w:w="1729" w:type="dxa"/>
            <w:vAlign w:val="center"/>
          </w:tcPr>
          <w:p w14:paraId="16168CA4">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5.11</w:t>
            </w:r>
          </w:p>
        </w:tc>
        <w:tc>
          <w:tcPr>
            <w:tcW w:w="6793" w:type="dxa"/>
            <w:vAlign w:val="center"/>
          </w:tcPr>
          <w:p w14:paraId="15ED438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平板探测器上具备控制平板升降、旋转运动的按键</w:t>
            </w:r>
            <w:r>
              <w:rPr>
                <w:rStyle w:val="33"/>
                <w:rFonts w:hint="eastAsia" w:ascii="仿宋" w:hAnsi="仿宋" w:eastAsia="仿宋" w:cs="仿宋"/>
                <w:color w:val="auto"/>
                <w:sz w:val="24"/>
                <w:szCs w:val="24"/>
                <w:highlight w:val="none"/>
                <w:lang w:eastAsia="zh-CN" w:bidi="ar"/>
              </w:rPr>
              <w:t>。</w:t>
            </w:r>
          </w:p>
        </w:tc>
      </w:tr>
      <w:tr w14:paraId="05D76569">
        <w:tblPrEx>
          <w:tblCellMar>
            <w:top w:w="0" w:type="dxa"/>
            <w:left w:w="108" w:type="dxa"/>
            <w:bottom w:w="0" w:type="dxa"/>
            <w:right w:w="108" w:type="dxa"/>
          </w:tblCellMar>
        </w:tblPrEx>
        <w:tc>
          <w:tcPr>
            <w:tcW w:w="1729" w:type="dxa"/>
            <w:vAlign w:val="center"/>
          </w:tcPr>
          <w:p w14:paraId="08371D0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6</w:t>
            </w:r>
          </w:p>
        </w:tc>
        <w:tc>
          <w:tcPr>
            <w:tcW w:w="6793" w:type="dxa"/>
            <w:vAlign w:val="center"/>
          </w:tcPr>
          <w:p w14:paraId="583EEC0B">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图像显示系统</w:t>
            </w:r>
          </w:p>
        </w:tc>
      </w:tr>
      <w:tr w14:paraId="046C4A3C">
        <w:tblPrEx>
          <w:tblCellMar>
            <w:top w:w="0" w:type="dxa"/>
            <w:left w:w="108" w:type="dxa"/>
            <w:bottom w:w="0" w:type="dxa"/>
            <w:right w:w="108" w:type="dxa"/>
          </w:tblCellMar>
        </w:tblPrEx>
        <w:tc>
          <w:tcPr>
            <w:tcW w:w="1729" w:type="dxa"/>
            <w:vAlign w:val="center"/>
          </w:tcPr>
          <w:p w14:paraId="7AA83713">
            <w:pPr>
              <w:widowControl/>
              <w:spacing w:line="360" w:lineRule="auto"/>
              <w:jc w:val="left"/>
              <w:textAlignment w:val="center"/>
              <w:rPr>
                <w:rFonts w:hint="eastAsia" w:ascii="仿宋" w:hAnsi="仿宋" w:eastAsia="仿宋" w:cs="仿宋"/>
                <w:bCs/>
                <w:color w:val="auto"/>
                <w:sz w:val="24"/>
                <w:szCs w:val="24"/>
                <w:highlight w:val="none"/>
              </w:rPr>
            </w:pPr>
            <w:r>
              <w:rPr>
                <w:rStyle w:val="35"/>
                <w:rFonts w:hint="eastAsia" w:ascii="仿宋" w:hAnsi="仿宋" w:eastAsia="仿宋" w:cs="仿宋"/>
                <w:color w:val="auto"/>
                <w:sz w:val="24"/>
                <w:szCs w:val="24"/>
                <w:highlight w:val="none"/>
                <w:lang w:bidi="ar"/>
              </w:rPr>
              <w:t>6.1</w:t>
            </w:r>
          </w:p>
        </w:tc>
        <w:tc>
          <w:tcPr>
            <w:tcW w:w="6793" w:type="dxa"/>
            <w:vAlign w:val="center"/>
          </w:tcPr>
          <w:p w14:paraId="3FBA11C8">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检查室屏幕</w:t>
            </w:r>
            <w:r>
              <w:rPr>
                <w:rStyle w:val="34"/>
                <w:rFonts w:hint="eastAsia" w:ascii="仿宋" w:hAnsi="仿宋" w:eastAsia="仿宋" w:cs="仿宋"/>
                <w:color w:val="auto"/>
                <w:sz w:val="24"/>
                <w:szCs w:val="24"/>
                <w:highlight w:val="none"/>
                <w:lang w:bidi="ar"/>
              </w:rPr>
              <w:t xml:space="preserve"> </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4</w:t>
            </w:r>
            <w:r>
              <w:rPr>
                <w:rStyle w:val="33"/>
                <w:rFonts w:hint="eastAsia" w:ascii="仿宋" w:hAnsi="仿宋" w:eastAsia="仿宋" w:cs="仿宋"/>
                <w:color w:val="auto"/>
                <w:sz w:val="24"/>
                <w:szCs w:val="24"/>
                <w:highlight w:val="none"/>
                <w:lang w:bidi="ar"/>
              </w:rPr>
              <w:t>块，大小≥</w:t>
            </w:r>
            <w:r>
              <w:rPr>
                <w:rStyle w:val="34"/>
                <w:rFonts w:hint="eastAsia" w:ascii="仿宋" w:hAnsi="仿宋" w:eastAsia="仿宋" w:cs="仿宋"/>
                <w:color w:val="auto"/>
                <w:sz w:val="24"/>
                <w:szCs w:val="24"/>
                <w:highlight w:val="none"/>
                <w:lang w:bidi="ar"/>
              </w:rPr>
              <w:t>22</w:t>
            </w:r>
            <w:r>
              <w:rPr>
                <w:rStyle w:val="33"/>
                <w:rFonts w:hint="eastAsia" w:ascii="仿宋" w:hAnsi="仿宋" w:eastAsia="仿宋" w:cs="仿宋"/>
                <w:color w:val="auto"/>
                <w:sz w:val="24"/>
                <w:szCs w:val="24"/>
                <w:highlight w:val="none"/>
                <w:lang w:bidi="ar"/>
              </w:rPr>
              <w:t>寸</w:t>
            </w:r>
            <w:r>
              <w:rPr>
                <w:rStyle w:val="33"/>
                <w:rFonts w:hint="eastAsia" w:ascii="仿宋" w:hAnsi="仿宋" w:eastAsia="仿宋" w:cs="仿宋"/>
                <w:color w:val="auto"/>
                <w:sz w:val="24"/>
                <w:szCs w:val="24"/>
                <w:highlight w:val="none"/>
                <w:lang w:eastAsia="zh-CN" w:bidi="ar"/>
              </w:rPr>
              <w:t>。</w:t>
            </w:r>
          </w:p>
        </w:tc>
      </w:tr>
      <w:tr w14:paraId="63683D4A">
        <w:tblPrEx>
          <w:tblCellMar>
            <w:top w:w="0" w:type="dxa"/>
            <w:left w:w="108" w:type="dxa"/>
            <w:bottom w:w="0" w:type="dxa"/>
            <w:right w:w="108" w:type="dxa"/>
          </w:tblCellMar>
        </w:tblPrEx>
        <w:tc>
          <w:tcPr>
            <w:tcW w:w="1729" w:type="dxa"/>
            <w:vAlign w:val="center"/>
          </w:tcPr>
          <w:p w14:paraId="33B2C438">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6.2</w:t>
            </w:r>
          </w:p>
        </w:tc>
        <w:tc>
          <w:tcPr>
            <w:tcW w:w="6793" w:type="dxa"/>
            <w:vAlign w:val="center"/>
          </w:tcPr>
          <w:p w14:paraId="2A05A11B">
            <w:pPr>
              <w:widowControl/>
              <w:spacing w:line="360" w:lineRule="auto"/>
              <w:jc w:val="left"/>
              <w:textAlignment w:val="center"/>
              <w:rPr>
                <w:rFonts w:hint="eastAsia" w:ascii="仿宋" w:hAnsi="仿宋" w:eastAsia="仿宋" w:cs="仿宋"/>
                <w:b/>
                <w:color w:val="auto"/>
                <w:sz w:val="24"/>
                <w:szCs w:val="24"/>
                <w:highlight w:val="none"/>
                <w:lang w:val="fr-FR" w:eastAsia="zh-CN"/>
              </w:rPr>
            </w:pPr>
            <w:r>
              <w:rPr>
                <w:rStyle w:val="33"/>
                <w:rFonts w:hint="eastAsia" w:ascii="仿宋" w:hAnsi="仿宋" w:eastAsia="仿宋" w:cs="仿宋"/>
                <w:color w:val="auto"/>
                <w:sz w:val="24"/>
                <w:szCs w:val="24"/>
                <w:highlight w:val="none"/>
                <w:lang w:bidi="ar"/>
              </w:rPr>
              <w:t>屏幕分辨率≥</w:t>
            </w:r>
            <w:r>
              <w:rPr>
                <w:rStyle w:val="34"/>
                <w:rFonts w:hint="eastAsia" w:ascii="仿宋" w:hAnsi="仿宋" w:eastAsia="仿宋" w:cs="仿宋"/>
                <w:color w:val="auto"/>
                <w:sz w:val="24"/>
                <w:szCs w:val="24"/>
                <w:highlight w:val="none"/>
                <w:lang w:bidi="ar"/>
              </w:rPr>
              <w:t>1920 x 1080</w:t>
            </w:r>
            <w:r>
              <w:rPr>
                <w:rStyle w:val="34"/>
                <w:rFonts w:hint="eastAsia" w:ascii="仿宋" w:hAnsi="仿宋" w:eastAsia="仿宋" w:cs="仿宋"/>
                <w:color w:val="auto"/>
                <w:sz w:val="24"/>
                <w:szCs w:val="24"/>
                <w:highlight w:val="none"/>
                <w:lang w:eastAsia="zh-CN" w:bidi="ar"/>
              </w:rPr>
              <w:t>。</w:t>
            </w:r>
          </w:p>
        </w:tc>
      </w:tr>
      <w:tr w14:paraId="67AC8B96">
        <w:tblPrEx>
          <w:tblCellMar>
            <w:top w:w="0" w:type="dxa"/>
            <w:left w:w="108" w:type="dxa"/>
            <w:bottom w:w="0" w:type="dxa"/>
            <w:right w:w="108" w:type="dxa"/>
          </w:tblCellMar>
        </w:tblPrEx>
        <w:tc>
          <w:tcPr>
            <w:tcW w:w="1729" w:type="dxa"/>
            <w:vAlign w:val="center"/>
          </w:tcPr>
          <w:p w14:paraId="55D86BAD">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6.3</w:t>
            </w:r>
          </w:p>
        </w:tc>
        <w:tc>
          <w:tcPr>
            <w:tcW w:w="6793" w:type="dxa"/>
            <w:vAlign w:val="center"/>
          </w:tcPr>
          <w:p w14:paraId="7EF32D0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控制室</w:t>
            </w:r>
            <w:r>
              <w:rPr>
                <w:rStyle w:val="34"/>
                <w:rFonts w:hint="eastAsia" w:ascii="仿宋" w:hAnsi="仿宋" w:eastAsia="仿宋" w:cs="仿宋"/>
                <w:color w:val="auto"/>
                <w:sz w:val="24"/>
                <w:szCs w:val="24"/>
                <w:highlight w:val="none"/>
                <w:lang w:bidi="ar"/>
              </w:rPr>
              <w:t>2</w:t>
            </w:r>
            <w:r>
              <w:rPr>
                <w:rStyle w:val="33"/>
                <w:rFonts w:hint="eastAsia" w:ascii="仿宋" w:hAnsi="仿宋" w:eastAsia="仿宋" w:cs="仿宋"/>
                <w:color w:val="auto"/>
                <w:sz w:val="24"/>
                <w:szCs w:val="24"/>
                <w:highlight w:val="none"/>
                <w:lang w:bidi="ar"/>
              </w:rPr>
              <w:t>块屏幕，大小≥</w:t>
            </w:r>
            <w:r>
              <w:rPr>
                <w:rStyle w:val="34"/>
                <w:rFonts w:hint="eastAsia" w:ascii="仿宋" w:hAnsi="仿宋" w:eastAsia="仿宋" w:cs="仿宋"/>
                <w:color w:val="auto"/>
                <w:sz w:val="24"/>
                <w:szCs w:val="24"/>
                <w:highlight w:val="none"/>
                <w:lang w:bidi="ar"/>
              </w:rPr>
              <w:t>22</w:t>
            </w:r>
            <w:r>
              <w:rPr>
                <w:rStyle w:val="33"/>
                <w:rFonts w:hint="eastAsia" w:ascii="仿宋" w:hAnsi="仿宋" w:eastAsia="仿宋" w:cs="仿宋"/>
                <w:color w:val="auto"/>
                <w:sz w:val="24"/>
                <w:szCs w:val="24"/>
                <w:highlight w:val="none"/>
                <w:lang w:bidi="ar"/>
              </w:rPr>
              <w:t>寸</w:t>
            </w:r>
            <w:r>
              <w:rPr>
                <w:rStyle w:val="33"/>
                <w:rFonts w:hint="eastAsia" w:ascii="仿宋" w:hAnsi="仿宋" w:eastAsia="仿宋" w:cs="仿宋"/>
                <w:color w:val="auto"/>
                <w:sz w:val="24"/>
                <w:szCs w:val="24"/>
                <w:highlight w:val="none"/>
                <w:lang w:eastAsia="zh-CN" w:bidi="ar"/>
              </w:rPr>
              <w:t>。</w:t>
            </w:r>
          </w:p>
        </w:tc>
      </w:tr>
      <w:tr w14:paraId="2A9B53AF">
        <w:tblPrEx>
          <w:tblCellMar>
            <w:top w:w="0" w:type="dxa"/>
            <w:left w:w="108" w:type="dxa"/>
            <w:bottom w:w="0" w:type="dxa"/>
            <w:right w:w="108" w:type="dxa"/>
          </w:tblCellMar>
        </w:tblPrEx>
        <w:tc>
          <w:tcPr>
            <w:tcW w:w="1729" w:type="dxa"/>
            <w:vAlign w:val="center"/>
          </w:tcPr>
          <w:p w14:paraId="1EE79AB1">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6.4</w:t>
            </w:r>
          </w:p>
        </w:tc>
        <w:tc>
          <w:tcPr>
            <w:tcW w:w="6793" w:type="dxa"/>
            <w:vAlign w:val="center"/>
          </w:tcPr>
          <w:p w14:paraId="16813F45">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控制室屏幕分辨率≥</w:t>
            </w:r>
            <w:r>
              <w:rPr>
                <w:rStyle w:val="34"/>
                <w:rFonts w:hint="eastAsia" w:ascii="仿宋" w:hAnsi="仿宋" w:eastAsia="仿宋" w:cs="仿宋"/>
                <w:color w:val="auto"/>
                <w:sz w:val="24"/>
                <w:szCs w:val="24"/>
                <w:highlight w:val="none"/>
                <w:lang w:bidi="ar"/>
              </w:rPr>
              <w:t>1920 x 1080</w:t>
            </w:r>
            <w:r>
              <w:rPr>
                <w:rStyle w:val="34"/>
                <w:rFonts w:hint="eastAsia" w:ascii="仿宋" w:hAnsi="仿宋" w:eastAsia="仿宋" w:cs="仿宋"/>
                <w:color w:val="auto"/>
                <w:sz w:val="24"/>
                <w:szCs w:val="24"/>
                <w:highlight w:val="none"/>
                <w:lang w:eastAsia="zh-CN" w:bidi="ar"/>
              </w:rPr>
              <w:t>。</w:t>
            </w:r>
          </w:p>
        </w:tc>
      </w:tr>
      <w:tr w14:paraId="5C118E4C">
        <w:tblPrEx>
          <w:tblCellMar>
            <w:top w:w="0" w:type="dxa"/>
            <w:left w:w="108" w:type="dxa"/>
            <w:bottom w:w="0" w:type="dxa"/>
            <w:right w:w="108" w:type="dxa"/>
          </w:tblCellMar>
        </w:tblPrEx>
        <w:tc>
          <w:tcPr>
            <w:tcW w:w="1729" w:type="dxa"/>
            <w:vAlign w:val="center"/>
          </w:tcPr>
          <w:p w14:paraId="732E25F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7</w:t>
            </w:r>
          </w:p>
        </w:tc>
        <w:tc>
          <w:tcPr>
            <w:tcW w:w="6793" w:type="dxa"/>
            <w:vAlign w:val="center"/>
          </w:tcPr>
          <w:p w14:paraId="003B7D9D">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患者数据管理</w:t>
            </w:r>
          </w:p>
        </w:tc>
      </w:tr>
      <w:tr w14:paraId="70383ACF">
        <w:tblPrEx>
          <w:tblCellMar>
            <w:top w:w="0" w:type="dxa"/>
            <w:left w:w="108" w:type="dxa"/>
            <w:bottom w:w="0" w:type="dxa"/>
            <w:right w:w="108" w:type="dxa"/>
          </w:tblCellMar>
        </w:tblPrEx>
        <w:tc>
          <w:tcPr>
            <w:tcW w:w="1729" w:type="dxa"/>
            <w:vAlign w:val="center"/>
          </w:tcPr>
          <w:p w14:paraId="56CD0607">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7.1</w:t>
            </w:r>
          </w:p>
        </w:tc>
        <w:tc>
          <w:tcPr>
            <w:tcW w:w="6793" w:type="dxa"/>
            <w:vAlign w:val="center"/>
          </w:tcPr>
          <w:p w14:paraId="2E60830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数据导入：支持将</w:t>
            </w:r>
            <w:r>
              <w:rPr>
                <w:rStyle w:val="34"/>
                <w:rFonts w:hint="eastAsia" w:ascii="仿宋" w:hAnsi="仿宋" w:eastAsia="仿宋" w:cs="仿宋"/>
                <w:color w:val="auto"/>
                <w:sz w:val="24"/>
                <w:szCs w:val="24"/>
                <w:highlight w:val="none"/>
                <w:lang w:bidi="ar"/>
              </w:rPr>
              <w:t>DICOM</w:t>
            </w:r>
            <w:r>
              <w:rPr>
                <w:rStyle w:val="33"/>
                <w:rFonts w:hint="eastAsia" w:ascii="仿宋" w:hAnsi="仿宋" w:eastAsia="仿宋" w:cs="仿宋"/>
                <w:color w:val="auto"/>
                <w:sz w:val="24"/>
                <w:szCs w:val="24"/>
                <w:highlight w:val="none"/>
                <w:lang w:bidi="ar"/>
              </w:rPr>
              <w:t>格式的患者图像数据从</w:t>
            </w:r>
            <w:r>
              <w:rPr>
                <w:rStyle w:val="34"/>
                <w:rFonts w:hint="eastAsia" w:ascii="仿宋" w:hAnsi="仿宋" w:eastAsia="仿宋" w:cs="仿宋"/>
                <w:color w:val="auto"/>
                <w:sz w:val="24"/>
                <w:szCs w:val="24"/>
                <w:highlight w:val="none"/>
                <w:lang w:bidi="ar"/>
              </w:rPr>
              <w:t>PACS</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CD</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DVD</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USB</w:t>
            </w:r>
            <w:r>
              <w:rPr>
                <w:rStyle w:val="33"/>
                <w:rFonts w:hint="eastAsia" w:ascii="仿宋" w:hAnsi="仿宋" w:eastAsia="仿宋" w:cs="仿宋"/>
                <w:color w:val="auto"/>
                <w:sz w:val="24"/>
                <w:szCs w:val="24"/>
                <w:highlight w:val="none"/>
                <w:lang w:bidi="ar"/>
              </w:rPr>
              <w:t>导入到本机</w:t>
            </w:r>
            <w:r>
              <w:rPr>
                <w:rStyle w:val="33"/>
                <w:rFonts w:hint="eastAsia" w:ascii="仿宋" w:hAnsi="仿宋" w:eastAsia="仿宋" w:cs="仿宋"/>
                <w:color w:val="auto"/>
                <w:sz w:val="24"/>
                <w:szCs w:val="24"/>
                <w:highlight w:val="none"/>
                <w:lang w:eastAsia="zh-CN" w:bidi="ar"/>
              </w:rPr>
              <w:t>。</w:t>
            </w:r>
          </w:p>
        </w:tc>
      </w:tr>
      <w:tr w14:paraId="33E356EF">
        <w:tblPrEx>
          <w:tblCellMar>
            <w:top w:w="0" w:type="dxa"/>
            <w:left w:w="108" w:type="dxa"/>
            <w:bottom w:w="0" w:type="dxa"/>
            <w:right w:w="108" w:type="dxa"/>
          </w:tblCellMar>
        </w:tblPrEx>
        <w:tc>
          <w:tcPr>
            <w:tcW w:w="1729" w:type="dxa"/>
            <w:vAlign w:val="center"/>
          </w:tcPr>
          <w:p w14:paraId="1CBF8FC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7.2</w:t>
            </w:r>
          </w:p>
        </w:tc>
        <w:tc>
          <w:tcPr>
            <w:tcW w:w="6793" w:type="dxa"/>
            <w:vAlign w:val="center"/>
          </w:tcPr>
          <w:p w14:paraId="49DDF959">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数据归档：支持将</w:t>
            </w:r>
            <w:r>
              <w:rPr>
                <w:rStyle w:val="34"/>
                <w:rFonts w:hint="eastAsia" w:ascii="仿宋" w:hAnsi="仿宋" w:eastAsia="仿宋" w:cs="仿宋"/>
                <w:color w:val="auto"/>
                <w:sz w:val="24"/>
                <w:szCs w:val="24"/>
                <w:highlight w:val="none"/>
                <w:lang w:bidi="ar"/>
              </w:rPr>
              <w:t>DICOM</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TIF</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JPEG</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BMP</w:t>
            </w:r>
            <w:r>
              <w:rPr>
                <w:rStyle w:val="33"/>
                <w:rFonts w:hint="eastAsia" w:ascii="仿宋" w:hAnsi="仿宋" w:eastAsia="仿宋" w:cs="仿宋"/>
                <w:color w:val="auto"/>
                <w:sz w:val="24"/>
                <w:szCs w:val="24"/>
                <w:highlight w:val="none"/>
                <w:lang w:bidi="ar"/>
              </w:rPr>
              <w:t>格式的患者图像归档至</w:t>
            </w:r>
            <w:r>
              <w:rPr>
                <w:rStyle w:val="34"/>
                <w:rFonts w:hint="eastAsia" w:ascii="仿宋" w:hAnsi="仿宋" w:eastAsia="仿宋" w:cs="仿宋"/>
                <w:color w:val="auto"/>
                <w:sz w:val="24"/>
                <w:szCs w:val="24"/>
                <w:highlight w:val="none"/>
                <w:lang w:bidi="ar"/>
              </w:rPr>
              <w:t>CD</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DVD</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USB</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PACS</w:t>
            </w:r>
            <w:r>
              <w:rPr>
                <w:rStyle w:val="34"/>
                <w:rFonts w:hint="eastAsia" w:ascii="仿宋" w:hAnsi="仿宋" w:eastAsia="仿宋" w:cs="仿宋"/>
                <w:color w:val="auto"/>
                <w:sz w:val="24"/>
                <w:szCs w:val="24"/>
                <w:highlight w:val="none"/>
                <w:lang w:eastAsia="zh-CN" w:bidi="ar"/>
              </w:rPr>
              <w:t>。</w:t>
            </w:r>
          </w:p>
        </w:tc>
      </w:tr>
      <w:tr w14:paraId="2451B634">
        <w:tblPrEx>
          <w:tblCellMar>
            <w:top w:w="0" w:type="dxa"/>
            <w:left w:w="108" w:type="dxa"/>
            <w:bottom w:w="0" w:type="dxa"/>
            <w:right w:w="108" w:type="dxa"/>
          </w:tblCellMar>
        </w:tblPrEx>
        <w:tc>
          <w:tcPr>
            <w:tcW w:w="1729" w:type="dxa"/>
            <w:vAlign w:val="center"/>
          </w:tcPr>
          <w:p w14:paraId="0AAB002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7.3</w:t>
            </w:r>
          </w:p>
        </w:tc>
        <w:tc>
          <w:tcPr>
            <w:tcW w:w="6793" w:type="dxa"/>
            <w:vAlign w:val="center"/>
          </w:tcPr>
          <w:p w14:paraId="2F0EB936">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图像打印：支持</w:t>
            </w:r>
            <w:r>
              <w:rPr>
                <w:rStyle w:val="34"/>
                <w:rFonts w:hint="eastAsia" w:ascii="仿宋" w:hAnsi="仿宋" w:eastAsia="仿宋" w:cs="仿宋"/>
                <w:color w:val="auto"/>
                <w:sz w:val="24"/>
                <w:szCs w:val="24"/>
                <w:highlight w:val="none"/>
                <w:lang w:bidi="ar"/>
              </w:rPr>
              <w:t>DICOM</w:t>
            </w:r>
            <w:r>
              <w:rPr>
                <w:rStyle w:val="33"/>
                <w:rFonts w:hint="eastAsia" w:ascii="仿宋" w:hAnsi="仿宋" w:eastAsia="仿宋" w:cs="仿宋"/>
                <w:color w:val="auto"/>
                <w:sz w:val="24"/>
                <w:szCs w:val="24"/>
                <w:highlight w:val="none"/>
                <w:lang w:bidi="ar"/>
              </w:rPr>
              <w:t>打印机打印患者图像</w:t>
            </w:r>
            <w:r>
              <w:rPr>
                <w:rStyle w:val="33"/>
                <w:rFonts w:hint="eastAsia" w:ascii="仿宋" w:hAnsi="仿宋" w:eastAsia="仿宋" w:cs="仿宋"/>
                <w:color w:val="auto"/>
                <w:sz w:val="24"/>
                <w:szCs w:val="24"/>
                <w:highlight w:val="none"/>
                <w:lang w:eastAsia="zh-CN" w:bidi="ar"/>
              </w:rPr>
              <w:t>。</w:t>
            </w:r>
          </w:p>
        </w:tc>
      </w:tr>
      <w:tr w14:paraId="52A899F0">
        <w:tblPrEx>
          <w:tblCellMar>
            <w:top w:w="0" w:type="dxa"/>
            <w:left w:w="108" w:type="dxa"/>
            <w:bottom w:w="0" w:type="dxa"/>
            <w:right w:w="108" w:type="dxa"/>
          </w:tblCellMar>
        </w:tblPrEx>
        <w:tc>
          <w:tcPr>
            <w:tcW w:w="1729" w:type="dxa"/>
            <w:vAlign w:val="center"/>
          </w:tcPr>
          <w:p w14:paraId="00D8CB67">
            <w:pPr>
              <w:widowControl/>
              <w:spacing w:line="360" w:lineRule="auto"/>
              <w:jc w:val="left"/>
              <w:textAlignment w:val="center"/>
              <w:rPr>
                <w:rFonts w:hint="eastAsia" w:ascii="仿宋" w:hAnsi="仿宋" w:eastAsia="仿宋" w:cs="仿宋"/>
                <w:bCs/>
                <w:color w:val="auto"/>
                <w:sz w:val="24"/>
                <w:szCs w:val="24"/>
                <w:highlight w:val="none"/>
              </w:rPr>
            </w:pPr>
            <w:r>
              <w:rPr>
                <w:rStyle w:val="35"/>
                <w:rFonts w:hint="eastAsia" w:ascii="仿宋" w:hAnsi="仿宋" w:eastAsia="仿宋" w:cs="仿宋"/>
                <w:color w:val="auto"/>
                <w:sz w:val="24"/>
                <w:szCs w:val="24"/>
                <w:highlight w:val="none"/>
                <w:lang w:bidi="ar"/>
              </w:rPr>
              <w:t>7.4</w:t>
            </w:r>
            <w:r>
              <w:rPr>
                <w:rFonts w:hint="eastAsia" w:ascii="仿宋" w:hAnsi="仿宋" w:eastAsia="仿宋" w:cs="仿宋"/>
                <w:b/>
                <w:color w:val="auto"/>
                <w:kern w:val="0"/>
                <w:sz w:val="24"/>
                <w:szCs w:val="24"/>
                <w:highlight w:val="none"/>
              </w:rPr>
              <w:t>▲</w:t>
            </w:r>
          </w:p>
        </w:tc>
        <w:tc>
          <w:tcPr>
            <w:tcW w:w="6793" w:type="dxa"/>
            <w:vAlign w:val="center"/>
          </w:tcPr>
          <w:p w14:paraId="1A0C1C1F">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主机图像文件存储容量≥</w:t>
            </w:r>
            <w:r>
              <w:rPr>
                <w:rStyle w:val="34"/>
                <w:rFonts w:hint="eastAsia" w:ascii="仿宋" w:hAnsi="仿宋" w:eastAsia="仿宋" w:cs="仿宋"/>
                <w:color w:val="auto"/>
                <w:sz w:val="24"/>
                <w:szCs w:val="24"/>
                <w:highlight w:val="none"/>
                <w:lang w:bidi="ar"/>
              </w:rPr>
              <w:t>10</w:t>
            </w:r>
            <w:r>
              <w:rPr>
                <w:rStyle w:val="33"/>
                <w:rFonts w:hint="eastAsia" w:ascii="仿宋" w:hAnsi="仿宋" w:eastAsia="仿宋" w:cs="仿宋"/>
                <w:color w:val="auto"/>
                <w:sz w:val="24"/>
                <w:szCs w:val="24"/>
                <w:highlight w:val="none"/>
                <w:lang w:bidi="ar"/>
              </w:rPr>
              <w:t>万张（</w:t>
            </w:r>
            <w:r>
              <w:rPr>
                <w:rStyle w:val="34"/>
                <w:rFonts w:hint="eastAsia" w:ascii="仿宋" w:hAnsi="仿宋" w:eastAsia="仿宋" w:cs="仿宋"/>
                <w:color w:val="auto"/>
                <w:sz w:val="24"/>
                <w:szCs w:val="24"/>
                <w:highlight w:val="none"/>
                <w:lang w:bidi="ar"/>
              </w:rPr>
              <w:t>1k</w:t>
            </w:r>
            <w:r>
              <w:rPr>
                <w:rStyle w:val="33"/>
                <w:rFonts w:hint="eastAsia" w:ascii="仿宋" w:hAnsi="仿宋" w:eastAsia="仿宋" w:cs="仿宋"/>
                <w:color w:val="auto"/>
                <w:sz w:val="24"/>
                <w:szCs w:val="24"/>
                <w:highlight w:val="none"/>
                <w:lang w:bidi="ar"/>
              </w:rPr>
              <w:t>图像，</w:t>
            </w:r>
            <w:r>
              <w:rPr>
                <w:rStyle w:val="34"/>
                <w:rFonts w:hint="eastAsia" w:ascii="仿宋" w:hAnsi="仿宋" w:eastAsia="仿宋" w:cs="仿宋"/>
                <w:color w:val="auto"/>
                <w:sz w:val="24"/>
                <w:szCs w:val="24"/>
                <w:highlight w:val="none"/>
                <w:lang w:bidi="ar"/>
              </w:rPr>
              <w:t>12bit</w:t>
            </w:r>
            <w:r>
              <w:rPr>
                <w:rStyle w:val="33"/>
                <w:rFonts w:hint="eastAsia" w:ascii="仿宋" w:hAnsi="仿宋" w:eastAsia="仿宋" w:cs="仿宋"/>
                <w:color w:val="auto"/>
                <w:sz w:val="24"/>
                <w:szCs w:val="24"/>
                <w:highlight w:val="none"/>
                <w:lang w:bidi="ar"/>
              </w:rPr>
              <w:t>）</w:t>
            </w:r>
            <w:r>
              <w:rPr>
                <w:rStyle w:val="33"/>
                <w:rFonts w:hint="eastAsia" w:ascii="仿宋" w:hAnsi="仿宋" w:eastAsia="仿宋" w:cs="仿宋"/>
                <w:color w:val="auto"/>
                <w:sz w:val="24"/>
                <w:szCs w:val="24"/>
                <w:highlight w:val="none"/>
                <w:lang w:eastAsia="zh-CN" w:bidi="ar"/>
              </w:rPr>
              <w:t>。</w:t>
            </w:r>
          </w:p>
        </w:tc>
      </w:tr>
      <w:tr w14:paraId="0062FB3B">
        <w:tblPrEx>
          <w:tblCellMar>
            <w:top w:w="0" w:type="dxa"/>
            <w:left w:w="108" w:type="dxa"/>
            <w:bottom w:w="0" w:type="dxa"/>
            <w:right w:w="108" w:type="dxa"/>
          </w:tblCellMar>
        </w:tblPrEx>
        <w:tc>
          <w:tcPr>
            <w:tcW w:w="1729" w:type="dxa"/>
            <w:vAlign w:val="center"/>
          </w:tcPr>
          <w:p w14:paraId="718AA7D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8</w:t>
            </w:r>
          </w:p>
        </w:tc>
        <w:tc>
          <w:tcPr>
            <w:tcW w:w="6793" w:type="dxa"/>
            <w:vAlign w:val="center"/>
          </w:tcPr>
          <w:p w14:paraId="5F8D5608">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2D图像采集</w:t>
            </w:r>
          </w:p>
        </w:tc>
      </w:tr>
      <w:tr w14:paraId="65B32201">
        <w:tblPrEx>
          <w:tblCellMar>
            <w:top w:w="0" w:type="dxa"/>
            <w:left w:w="108" w:type="dxa"/>
            <w:bottom w:w="0" w:type="dxa"/>
            <w:right w:w="108" w:type="dxa"/>
          </w:tblCellMar>
        </w:tblPrEx>
        <w:tc>
          <w:tcPr>
            <w:tcW w:w="1729" w:type="dxa"/>
            <w:vAlign w:val="center"/>
          </w:tcPr>
          <w:p w14:paraId="426EDBC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w:t>
            </w:r>
          </w:p>
        </w:tc>
        <w:tc>
          <w:tcPr>
            <w:tcW w:w="6793" w:type="dxa"/>
            <w:vAlign w:val="center"/>
          </w:tcPr>
          <w:p w14:paraId="3ED5CFAE">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透视：脉冲频率≥6档</w:t>
            </w:r>
            <w:r>
              <w:rPr>
                <w:rFonts w:hint="eastAsia" w:ascii="仿宋" w:hAnsi="仿宋" w:eastAsia="仿宋" w:cs="仿宋"/>
                <w:color w:val="auto"/>
                <w:kern w:val="0"/>
                <w:sz w:val="24"/>
                <w:szCs w:val="24"/>
                <w:highlight w:val="none"/>
                <w:lang w:eastAsia="zh-CN" w:bidi="ar"/>
              </w:rPr>
              <w:t>。</w:t>
            </w:r>
          </w:p>
        </w:tc>
      </w:tr>
      <w:tr w14:paraId="0448763C">
        <w:tblPrEx>
          <w:tblCellMar>
            <w:top w:w="0" w:type="dxa"/>
            <w:left w:w="108" w:type="dxa"/>
            <w:bottom w:w="0" w:type="dxa"/>
            <w:right w:w="108" w:type="dxa"/>
          </w:tblCellMar>
        </w:tblPrEx>
        <w:tc>
          <w:tcPr>
            <w:tcW w:w="1729" w:type="dxa"/>
            <w:vAlign w:val="center"/>
          </w:tcPr>
          <w:p w14:paraId="5510E07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8.2</w:t>
            </w:r>
          </w:p>
        </w:tc>
        <w:tc>
          <w:tcPr>
            <w:tcW w:w="6793" w:type="dxa"/>
            <w:vAlign w:val="center"/>
          </w:tcPr>
          <w:p w14:paraId="642C3DA3">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最小脉冲透视帧频≤</w:t>
            </w:r>
            <w:r>
              <w:rPr>
                <w:rStyle w:val="34"/>
                <w:rFonts w:hint="eastAsia" w:ascii="仿宋" w:hAnsi="仿宋" w:eastAsia="仿宋" w:cs="仿宋"/>
                <w:color w:val="auto"/>
                <w:sz w:val="24"/>
                <w:szCs w:val="24"/>
                <w:highlight w:val="none"/>
                <w:lang w:bidi="ar"/>
              </w:rPr>
              <w:t>0.5fps</w:t>
            </w:r>
            <w:r>
              <w:rPr>
                <w:rStyle w:val="34"/>
                <w:rFonts w:hint="eastAsia" w:ascii="仿宋" w:hAnsi="仿宋" w:eastAsia="仿宋" w:cs="仿宋"/>
                <w:color w:val="auto"/>
                <w:sz w:val="24"/>
                <w:szCs w:val="24"/>
                <w:highlight w:val="none"/>
                <w:lang w:eastAsia="zh-CN" w:bidi="ar"/>
              </w:rPr>
              <w:t>。</w:t>
            </w:r>
          </w:p>
        </w:tc>
      </w:tr>
      <w:tr w14:paraId="2348C800">
        <w:tblPrEx>
          <w:tblCellMar>
            <w:top w:w="0" w:type="dxa"/>
            <w:left w:w="108" w:type="dxa"/>
            <w:bottom w:w="0" w:type="dxa"/>
            <w:right w:w="108" w:type="dxa"/>
          </w:tblCellMar>
        </w:tblPrEx>
        <w:tc>
          <w:tcPr>
            <w:tcW w:w="1729" w:type="dxa"/>
            <w:vAlign w:val="center"/>
          </w:tcPr>
          <w:p w14:paraId="227F6307">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8.3</w:t>
            </w:r>
          </w:p>
        </w:tc>
        <w:tc>
          <w:tcPr>
            <w:tcW w:w="6793" w:type="dxa"/>
            <w:vAlign w:val="center"/>
          </w:tcPr>
          <w:p w14:paraId="7A19C858">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最大脉冲透视帧频≥</w:t>
            </w:r>
            <w:r>
              <w:rPr>
                <w:rStyle w:val="34"/>
                <w:rFonts w:hint="eastAsia" w:ascii="仿宋" w:hAnsi="仿宋" w:eastAsia="仿宋" w:cs="仿宋"/>
                <w:color w:val="auto"/>
                <w:sz w:val="24"/>
                <w:szCs w:val="24"/>
                <w:highlight w:val="none"/>
                <w:lang w:bidi="ar"/>
              </w:rPr>
              <w:t>30fps</w:t>
            </w:r>
            <w:r>
              <w:rPr>
                <w:rStyle w:val="34"/>
                <w:rFonts w:hint="eastAsia" w:ascii="仿宋" w:hAnsi="仿宋" w:eastAsia="仿宋" w:cs="仿宋"/>
                <w:color w:val="auto"/>
                <w:sz w:val="24"/>
                <w:szCs w:val="24"/>
                <w:highlight w:val="none"/>
                <w:lang w:eastAsia="zh-CN" w:bidi="ar"/>
              </w:rPr>
              <w:t>。</w:t>
            </w:r>
          </w:p>
        </w:tc>
      </w:tr>
      <w:tr w14:paraId="08F65D09">
        <w:tblPrEx>
          <w:tblCellMar>
            <w:top w:w="0" w:type="dxa"/>
            <w:left w:w="108" w:type="dxa"/>
            <w:bottom w:w="0" w:type="dxa"/>
            <w:right w:w="108" w:type="dxa"/>
          </w:tblCellMar>
        </w:tblPrEx>
        <w:tc>
          <w:tcPr>
            <w:tcW w:w="1729" w:type="dxa"/>
            <w:vAlign w:val="center"/>
          </w:tcPr>
          <w:p w14:paraId="4EF71E1E">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8.4</w:t>
            </w:r>
          </w:p>
        </w:tc>
        <w:tc>
          <w:tcPr>
            <w:tcW w:w="6793" w:type="dxa"/>
            <w:vAlign w:val="center"/>
          </w:tcPr>
          <w:p w14:paraId="5C0F6E35">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透视：存储最多</w:t>
            </w:r>
            <w:r>
              <w:rPr>
                <w:rStyle w:val="34"/>
                <w:rFonts w:hint="eastAsia" w:ascii="仿宋" w:hAnsi="仿宋" w:eastAsia="仿宋" w:cs="仿宋"/>
                <w:color w:val="auto"/>
                <w:sz w:val="24"/>
                <w:szCs w:val="24"/>
                <w:highlight w:val="none"/>
                <w:lang w:bidi="ar"/>
              </w:rPr>
              <w:t>60s</w:t>
            </w:r>
            <w:r>
              <w:rPr>
                <w:rStyle w:val="33"/>
                <w:rFonts w:hint="eastAsia" w:ascii="仿宋" w:hAnsi="仿宋" w:eastAsia="仿宋" w:cs="仿宋"/>
                <w:color w:val="auto"/>
                <w:sz w:val="24"/>
                <w:szCs w:val="24"/>
                <w:highlight w:val="none"/>
                <w:lang w:bidi="ar"/>
              </w:rPr>
              <w:t>，最多</w:t>
            </w:r>
            <w:r>
              <w:rPr>
                <w:rStyle w:val="34"/>
                <w:rFonts w:hint="eastAsia" w:ascii="仿宋" w:hAnsi="仿宋" w:eastAsia="仿宋" w:cs="仿宋"/>
                <w:color w:val="auto"/>
                <w:sz w:val="24"/>
                <w:szCs w:val="24"/>
                <w:highlight w:val="none"/>
                <w:lang w:bidi="ar"/>
              </w:rPr>
              <w:t>1000frame</w:t>
            </w:r>
            <w:r>
              <w:rPr>
                <w:rStyle w:val="34"/>
                <w:rFonts w:hint="eastAsia" w:ascii="仿宋" w:hAnsi="仿宋" w:eastAsia="仿宋" w:cs="仿宋"/>
                <w:color w:val="auto"/>
                <w:sz w:val="24"/>
                <w:szCs w:val="24"/>
                <w:highlight w:val="none"/>
                <w:lang w:eastAsia="zh-CN" w:bidi="ar"/>
              </w:rPr>
              <w:t>。</w:t>
            </w:r>
          </w:p>
        </w:tc>
      </w:tr>
      <w:tr w14:paraId="081E875F">
        <w:tblPrEx>
          <w:tblCellMar>
            <w:top w:w="0" w:type="dxa"/>
            <w:left w:w="108" w:type="dxa"/>
            <w:bottom w:w="0" w:type="dxa"/>
            <w:right w:w="108" w:type="dxa"/>
          </w:tblCellMar>
        </w:tblPrEx>
        <w:tc>
          <w:tcPr>
            <w:tcW w:w="1729" w:type="dxa"/>
            <w:vAlign w:val="center"/>
          </w:tcPr>
          <w:p w14:paraId="32E22C1F">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8.5</w:t>
            </w:r>
          </w:p>
        </w:tc>
        <w:tc>
          <w:tcPr>
            <w:tcW w:w="6793" w:type="dxa"/>
            <w:vAlign w:val="center"/>
          </w:tcPr>
          <w:p w14:paraId="4E27949C">
            <w:pPr>
              <w:widowControl/>
              <w:spacing w:line="360" w:lineRule="auto"/>
              <w:jc w:val="left"/>
              <w:textAlignment w:val="center"/>
              <w:rPr>
                <w:rFonts w:hint="eastAsia" w:ascii="仿宋" w:hAnsi="仿宋" w:eastAsia="仿宋" w:cs="仿宋"/>
                <w:b/>
                <w:color w:val="auto"/>
                <w:sz w:val="24"/>
                <w:szCs w:val="24"/>
                <w:highlight w:val="none"/>
                <w:lang w:val="fr-FR" w:eastAsia="zh-CN"/>
              </w:rPr>
            </w:pPr>
            <w:r>
              <w:rPr>
                <w:rFonts w:hint="eastAsia" w:ascii="仿宋" w:hAnsi="仿宋" w:eastAsia="仿宋" w:cs="仿宋"/>
                <w:color w:val="auto"/>
                <w:kern w:val="0"/>
                <w:sz w:val="24"/>
                <w:szCs w:val="24"/>
                <w:highlight w:val="none"/>
                <w:lang w:bidi="ar"/>
              </w:rPr>
              <w:t>透视存储无需等待保存结束，对下次透视无影响</w:t>
            </w:r>
            <w:r>
              <w:rPr>
                <w:rFonts w:hint="eastAsia" w:ascii="仿宋" w:hAnsi="仿宋" w:eastAsia="仿宋" w:cs="仿宋"/>
                <w:color w:val="auto"/>
                <w:kern w:val="0"/>
                <w:sz w:val="24"/>
                <w:szCs w:val="24"/>
                <w:highlight w:val="none"/>
                <w:lang w:eastAsia="zh-CN" w:bidi="ar"/>
              </w:rPr>
              <w:t>。</w:t>
            </w:r>
          </w:p>
        </w:tc>
      </w:tr>
      <w:tr w14:paraId="659975DA">
        <w:tblPrEx>
          <w:tblCellMar>
            <w:top w:w="0" w:type="dxa"/>
            <w:left w:w="108" w:type="dxa"/>
            <w:bottom w:w="0" w:type="dxa"/>
            <w:right w:w="108" w:type="dxa"/>
          </w:tblCellMar>
        </w:tblPrEx>
        <w:tc>
          <w:tcPr>
            <w:tcW w:w="1729" w:type="dxa"/>
            <w:vAlign w:val="center"/>
          </w:tcPr>
          <w:p w14:paraId="3AF1E886">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8.6</w:t>
            </w:r>
          </w:p>
        </w:tc>
        <w:tc>
          <w:tcPr>
            <w:tcW w:w="6793" w:type="dxa"/>
            <w:vAlign w:val="center"/>
          </w:tcPr>
          <w:p w14:paraId="7EC16F37">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双透视导航：支持参考屏实时显示造影图像与透视图像叠加</w:t>
            </w:r>
            <w:r>
              <w:rPr>
                <w:rFonts w:hint="eastAsia" w:ascii="仿宋" w:hAnsi="仿宋" w:eastAsia="仿宋" w:cs="仿宋"/>
                <w:color w:val="auto"/>
                <w:kern w:val="0"/>
                <w:sz w:val="24"/>
                <w:szCs w:val="24"/>
                <w:highlight w:val="none"/>
                <w:lang w:eastAsia="zh-CN" w:bidi="ar"/>
              </w:rPr>
              <w:t>。</w:t>
            </w:r>
          </w:p>
        </w:tc>
      </w:tr>
      <w:tr w14:paraId="63EBB44C">
        <w:tblPrEx>
          <w:tblCellMar>
            <w:top w:w="0" w:type="dxa"/>
            <w:left w:w="108" w:type="dxa"/>
            <w:bottom w:w="0" w:type="dxa"/>
            <w:right w:w="108" w:type="dxa"/>
          </w:tblCellMar>
        </w:tblPrEx>
        <w:tc>
          <w:tcPr>
            <w:tcW w:w="1729" w:type="dxa"/>
            <w:vAlign w:val="center"/>
          </w:tcPr>
          <w:p w14:paraId="42C897E7">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8.7</w:t>
            </w:r>
          </w:p>
        </w:tc>
        <w:tc>
          <w:tcPr>
            <w:tcW w:w="6793" w:type="dxa"/>
            <w:vAlign w:val="center"/>
          </w:tcPr>
          <w:p w14:paraId="4E537C90">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双透视放大：支持参考屏显示实时放大图像</w:t>
            </w:r>
            <w:r>
              <w:rPr>
                <w:rFonts w:hint="eastAsia" w:ascii="仿宋" w:hAnsi="仿宋" w:eastAsia="仿宋" w:cs="仿宋"/>
                <w:color w:val="auto"/>
                <w:kern w:val="0"/>
                <w:sz w:val="24"/>
                <w:szCs w:val="24"/>
                <w:highlight w:val="none"/>
                <w:lang w:eastAsia="zh-CN" w:bidi="ar"/>
              </w:rPr>
              <w:t>。</w:t>
            </w:r>
          </w:p>
        </w:tc>
      </w:tr>
      <w:tr w14:paraId="12F49224">
        <w:tblPrEx>
          <w:tblCellMar>
            <w:top w:w="0" w:type="dxa"/>
            <w:left w:w="108" w:type="dxa"/>
            <w:bottom w:w="0" w:type="dxa"/>
            <w:right w:w="108" w:type="dxa"/>
          </w:tblCellMar>
        </w:tblPrEx>
        <w:tc>
          <w:tcPr>
            <w:tcW w:w="1729" w:type="dxa"/>
            <w:vAlign w:val="center"/>
          </w:tcPr>
          <w:p w14:paraId="1A696B6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8.8</w:t>
            </w:r>
          </w:p>
        </w:tc>
        <w:tc>
          <w:tcPr>
            <w:tcW w:w="6793" w:type="dxa"/>
            <w:vAlign w:val="center"/>
          </w:tcPr>
          <w:p w14:paraId="62E39E17">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在控制室和检查室均能独立执行透视操作</w:t>
            </w:r>
            <w:r>
              <w:rPr>
                <w:rFonts w:hint="eastAsia" w:ascii="仿宋" w:hAnsi="仿宋" w:eastAsia="仿宋" w:cs="仿宋"/>
                <w:color w:val="auto"/>
                <w:kern w:val="0"/>
                <w:sz w:val="24"/>
                <w:szCs w:val="24"/>
                <w:highlight w:val="none"/>
                <w:lang w:eastAsia="zh-CN" w:bidi="ar"/>
              </w:rPr>
              <w:t>。</w:t>
            </w:r>
          </w:p>
        </w:tc>
      </w:tr>
      <w:tr w14:paraId="417C72F3">
        <w:tblPrEx>
          <w:tblCellMar>
            <w:top w:w="0" w:type="dxa"/>
            <w:left w:w="108" w:type="dxa"/>
            <w:bottom w:w="0" w:type="dxa"/>
            <w:right w:w="108" w:type="dxa"/>
          </w:tblCellMar>
        </w:tblPrEx>
        <w:tc>
          <w:tcPr>
            <w:tcW w:w="1729" w:type="dxa"/>
            <w:vAlign w:val="center"/>
          </w:tcPr>
          <w:p w14:paraId="72509FF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8.9</w:t>
            </w:r>
          </w:p>
        </w:tc>
        <w:tc>
          <w:tcPr>
            <w:tcW w:w="6793" w:type="dxa"/>
            <w:vAlign w:val="center"/>
          </w:tcPr>
          <w:p w14:paraId="4961B97E">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Roadmap</w:t>
            </w:r>
            <w:r>
              <w:rPr>
                <w:rStyle w:val="33"/>
                <w:rFonts w:hint="eastAsia" w:ascii="仿宋" w:hAnsi="仿宋" w:eastAsia="仿宋" w:cs="仿宋"/>
                <w:color w:val="auto"/>
                <w:sz w:val="24"/>
                <w:szCs w:val="24"/>
                <w:highlight w:val="none"/>
                <w:lang w:bidi="ar"/>
              </w:rPr>
              <w:t>可实时调节血管、导管对比度及解剖背景</w:t>
            </w:r>
            <w:r>
              <w:rPr>
                <w:rStyle w:val="33"/>
                <w:rFonts w:hint="eastAsia" w:ascii="仿宋" w:hAnsi="仿宋" w:eastAsia="仿宋" w:cs="仿宋"/>
                <w:color w:val="auto"/>
                <w:sz w:val="24"/>
                <w:szCs w:val="24"/>
                <w:highlight w:val="none"/>
                <w:lang w:eastAsia="zh-CN" w:bidi="ar"/>
              </w:rPr>
              <w:t>。</w:t>
            </w:r>
          </w:p>
        </w:tc>
      </w:tr>
      <w:tr w14:paraId="28DEDF0D">
        <w:tblPrEx>
          <w:tblCellMar>
            <w:top w:w="0" w:type="dxa"/>
            <w:left w:w="108" w:type="dxa"/>
            <w:bottom w:w="0" w:type="dxa"/>
            <w:right w:w="108" w:type="dxa"/>
          </w:tblCellMar>
        </w:tblPrEx>
        <w:tc>
          <w:tcPr>
            <w:tcW w:w="1729" w:type="dxa"/>
            <w:vAlign w:val="center"/>
          </w:tcPr>
          <w:p w14:paraId="7DB5E89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w:t>
            </w:r>
          </w:p>
        </w:tc>
        <w:tc>
          <w:tcPr>
            <w:tcW w:w="6793" w:type="dxa"/>
            <w:vAlign w:val="center"/>
          </w:tcPr>
          <w:p w14:paraId="2546E41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支持在</w:t>
            </w:r>
            <w:r>
              <w:rPr>
                <w:rStyle w:val="34"/>
                <w:rFonts w:hint="eastAsia" w:ascii="仿宋" w:hAnsi="仿宋" w:eastAsia="仿宋" w:cs="仿宋"/>
                <w:color w:val="auto"/>
                <w:sz w:val="24"/>
                <w:szCs w:val="24"/>
                <w:highlight w:val="none"/>
                <w:lang w:bidi="ar"/>
              </w:rPr>
              <w:t>roadmap</w:t>
            </w:r>
            <w:r>
              <w:rPr>
                <w:rStyle w:val="33"/>
                <w:rFonts w:hint="eastAsia" w:ascii="仿宋" w:hAnsi="仿宋" w:eastAsia="仿宋" w:cs="仿宋"/>
                <w:color w:val="auto"/>
                <w:sz w:val="24"/>
                <w:szCs w:val="24"/>
                <w:highlight w:val="none"/>
                <w:lang w:bidi="ar"/>
              </w:rPr>
              <w:t>过程中自动进行运动伪影消除</w:t>
            </w:r>
            <w:r>
              <w:rPr>
                <w:rStyle w:val="33"/>
                <w:rFonts w:hint="eastAsia" w:ascii="仿宋" w:hAnsi="仿宋" w:eastAsia="仿宋" w:cs="仿宋"/>
                <w:color w:val="auto"/>
                <w:sz w:val="24"/>
                <w:szCs w:val="24"/>
                <w:highlight w:val="none"/>
                <w:lang w:eastAsia="zh-CN" w:bidi="ar"/>
              </w:rPr>
              <w:t>。</w:t>
            </w:r>
          </w:p>
        </w:tc>
      </w:tr>
      <w:tr w14:paraId="04F667CD">
        <w:tblPrEx>
          <w:tblCellMar>
            <w:top w:w="0" w:type="dxa"/>
            <w:left w:w="108" w:type="dxa"/>
            <w:bottom w:w="0" w:type="dxa"/>
            <w:right w:w="108" w:type="dxa"/>
          </w:tblCellMar>
        </w:tblPrEx>
        <w:tc>
          <w:tcPr>
            <w:tcW w:w="1729" w:type="dxa"/>
            <w:vAlign w:val="center"/>
          </w:tcPr>
          <w:p w14:paraId="6082255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8.11</w:t>
            </w:r>
          </w:p>
        </w:tc>
        <w:tc>
          <w:tcPr>
            <w:tcW w:w="6793" w:type="dxa"/>
            <w:vAlign w:val="center"/>
          </w:tcPr>
          <w:p w14:paraId="123CE82F">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支持用</w:t>
            </w:r>
            <w:r>
              <w:rPr>
                <w:rStyle w:val="34"/>
                <w:rFonts w:hint="eastAsia" w:ascii="仿宋" w:hAnsi="仿宋" w:eastAsia="仿宋" w:cs="仿宋"/>
                <w:color w:val="auto"/>
                <w:sz w:val="24"/>
                <w:szCs w:val="24"/>
                <w:highlight w:val="none"/>
                <w:lang w:bidi="ar"/>
              </w:rPr>
              <w:t>DSA</w:t>
            </w:r>
            <w:r>
              <w:rPr>
                <w:rStyle w:val="33"/>
                <w:rFonts w:hint="eastAsia" w:ascii="仿宋" w:hAnsi="仿宋" w:eastAsia="仿宋" w:cs="仿宋"/>
                <w:color w:val="auto"/>
                <w:sz w:val="24"/>
                <w:szCs w:val="24"/>
                <w:highlight w:val="none"/>
                <w:lang w:bidi="ar"/>
              </w:rPr>
              <w:t>的图像做</w:t>
            </w:r>
            <w:r>
              <w:rPr>
                <w:rStyle w:val="34"/>
                <w:rFonts w:hint="eastAsia" w:ascii="仿宋" w:hAnsi="仿宋" w:eastAsia="仿宋" w:cs="仿宋"/>
                <w:color w:val="auto"/>
                <w:sz w:val="24"/>
                <w:szCs w:val="24"/>
                <w:highlight w:val="none"/>
                <w:lang w:bidi="ar"/>
              </w:rPr>
              <w:t>roadmap</w:t>
            </w:r>
            <w:r>
              <w:rPr>
                <w:rStyle w:val="34"/>
                <w:rFonts w:hint="eastAsia" w:ascii="仿宋" w:hAnsi="仿宋" w:eastAsia="仿宋" w:cs="仿宋"/>
                <w:color w:val="auto"/>
                <w:sz w:val="24"/>
                <w:szCs w:val="24"/>
                <w:highlight w:val="none"/>
                <w:lang w:eastAsia="zh-CN" w:bidi="ar"/>
              </w:rPr>
              <w:t>。</w:t>
            </w:r>
          </w:p>
        </w:tc>
      </w:tr>
      <w:tr w14:paraId="5437522B">
        <w:tblPrEx>
          <w:tblCellMar>
            <w:top w:w="0" w:type="dxa"/>
            <w:left w:w="108" w:type="dxa"/>
            <w:bottom w:w="0" w:type="dxa"/>
            <w:right w:w="108" w:type="dxa"/>
          </w:tblCellMar>
        </w:tblPrEx>
        <w:tc>
          <w:tcPr>
            <w:tcW w:w="1729" w:type="dxa"/>
            <w:vAlign w:val="center"/>
          </w:tcPr>
          <w:p w14:paraId="3914EFD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8.12</w:t>
            </w:r>
          </w:p>
        </w:tc>
        <w:tc>
          <w:tcPr>
            <w:tcW w:w="6793" w:type="dxa"/>
            <w:vAlign w:val="center"/>
          </w:tcPr>
          <w:p w14:paraId="18FAE7C0">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DSA</w:t>
            </w:r>
            <w:r>
              <w:rPr>
                <w:rStyle w:val="33"/>
                <w:rFonts w:hint="eastAsia" w:ascii="仿宋" w:hAnsi="仿宋" w:eastAsia="仿宋" w:cs="仿宋"/>
                <w:color w:val="auto"/>
                <w:sz w:val="24"/>
                <w:szCs w:val="24"/>
                <w:highlight w:val="none"/>
                <w:lang w:bidi="ar"/>
              </w:rPr>
              <w:t>支持实时自动像素位移消除移动伪影</w:t>
            </w:r>
            <w:r>
              <w:rPr>
                <w:rStyle w:val="33"/>
                <w:rFonts w:hint="eastAsia" w:ascii="仿宋" w:hAnsi="仿宋" w:eastAsia="仿宋" w:cs="仿宋"/>
                <w:color w:val="auto"/>
                <w:sz w:val="24"/>
                <w:szCs w:val="24"/>
                <w:highlight w:val="none"/>
                <w:lang w:eastAsia="zh-CN" w:bidi="ar"/>
              </w:rPr>
              <w:t>。</w:t>
            </w:r>
          </w:p>
        </w:tc>
      </w:tr>
      <w:tr w14:paraId="5C9BF50C">
        <w:tblPrEx>
          <w:tblCellMar>
            <w:top w:w="0" w:type="dxa"/>
            <w:left w:w="108" w:type="dxa"/>
            <w:bottom w:w="0" w:type="dxa"/>
            <w:right w:w="108" w:type="dxa"/>
          </w:tblCellMar>
        </w:tblPrEx>
        <w:tc>
          <w:tcPr>
            <w:tcW w:w="1729" w:type="dxa"/>
            <w:vAlign w:val="center"/>
          </w:tcPr>
          <w:p w14:paraId="56724DFC">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8.13</w:t>
            </w:r>
          </w:p>
        </w:tc>
        <w:tc>
          <w:tcPr>
            <w:tcW w:w="6793" w:type="dxa"/>
            <w:vAlign w:val="center"/>
          </w:tcPr>
          <w:p w14:paraId="2204706F">
            <w:pPr>
              <w:widowControl/>
              <w:spacing w:line="360" w:lineRule="auto"/>
              <w:jc w:val="left"/>
              <w:textAlignment w:val="center"/>
              <w:rPr>
                <w:rFonts w:hint="eastAsia" w:ascii="仿宋" w:hAnsi="仿宋" w:eastAsia="仿宋" w:cs="仿宋"/>
                <w:b/>
                <w:color w:val="auto"/>
                <w:sz w:val="24"/>
                <w:szCs w:val="24"/>
                <w:highlight w:val="none"/>
                <w:lang w:val="fr-FR" w:eastAsia="zh-CN"/>
              </w:rPr>
            </w:pPr>
            <w:r>
              <w:rPr>
                <w:rStyle w:val="33"/>
                <w:rFonts w:hint="eastAsia" w:ascii="仿宋" w:hAnsi="仿宋" w:eastAsia="仿宋" w:cs="仿宋"/>
                <w:color w:val="auto"/>
                <w:sz w:val="24"/>
                <w:szCs w:val="24"/>
                <w:highlight w:val="none"/>
                <w:lang w:bidi="ar"/>
              </w:rPr>
              <w:t>高分辨率</w:t>
            </w:r>
            <w:r>
              <w:rPr>
                <w:rStyle w:val="34"/>
                <w:rFonts w:hint="eastAsia" w:ascii="仿宋" w:hAnsi="仿宋" w:eastAsia="仿宋" w:cs="仿宋"/>
                <w:color w:val="auto"/>
                <w:sz w:val="24"/>
                <w:szCs w:val="24"/>
                <w:highlight w:val="none"/>
                <w:lang w:bidi="ar"/>
              </w:rPr>
              <w:t>DSA</w:t>
            </w:r>
            <w:r>
              <w:rPr>
                <w:rStyle w:val="33"/>
                <w:rFonts w:hint="eastAsia" w:ascii="仿宋" w:hAnsi="仿宋" w:eastAsia="仿宋" w:cs="仿宋"/>
                <w:color w:val="auto"/>
                <w:sz w:val="24"/>
                <w:szCs w:val="24"/>
                <w:highlight w:val="none"/>
                <w:lang w:bidi="ar"/>
              </w:rPr>
              <w:t>采集方面支持</w:t>
            </w:r>
            <w:r>
              <w:rPr>
                <w:rStyle w:val="34"/>
                <w:rFonts w:hint="eastAsia" w:ascii="仿宋" w:hAnsi="仿宋" w:eastAsia="仿宋" w:cs="仿宋"/>
                <w:color w:val="auto"/>
                <w:sz w:val="24"/>
                <w:szCs w:val="24"/>
                <w:highlight w:val="none"/>
                <w:lang w:bidi="ar"/>
              </w:rPr>
              <w:t>2K</w:t>
            </w:r>
            <w:r>
              <w:rPr>
                <w:rStyle w:val="33"/>
                <w:rFonts w:hint="eastAsia" w:ascii="仿宋" w:hAnsi="仿宋" w:eastAsia="仿宋" w:cs="仿宋"/>
                <w:color w:val="auto"/>
                <w:sz w:val="24"/>
                <w:szCs w:val="24"/>
                <w:highlight w:val="none"/>
                <w:lang w:bidi="ar"/>
              </w:rPr>
              <w:t>采集</w:t>
            </w:r>
            <w:r>
              <w:rPr>
                <w:rStyle w:val="34"/>
                <w:rFonts w:hint="eastAsia" w:ascii="仿宋" w:hAnsi="仿宋" w:eastAsia="仿宋" w:cs="仿宋"/>
                <w:color w:val="auto"/>
                <w:sz w:val="24"/>
                <w:szCs w:val="24"/>
                <w:highlight w:val="none"/>
                <w:lang w:bidi="ar"/>
              </w:rPr>
              <w:t xml:space="preserve"> </w:t>
            </w:r>
            <w:r>
              <w:rPr>
                <w:rStyle w:val="34"/>
                <w:rFonts w:hint="eastAsia" w:ascii="仿宋" w:hAnsi="仿宋" w:eastAsia="仿宋" w:cs="仿宋"/>
                <w:color w:val="auto"/>
                <w:sz w:val="24"/>
                <w:szCs w:val="24"/>
                <w:highlight w:val="none"/>
                <w:lang w:eastAsia="zh-CN" w:bidi="ar"/>
              </w:rPr>
              <w:t>。</w:t>
            </w:r>
          </w:p>
        </w:tc>
      </w:tr>
      <w:tr w14:paraId="4F0D8E1A">
        <w:tblPrEx>
          <w:tblCellMar>
            <w:top w:w="0" w:type="dxa"/>
            <w:left w:w="108" w:type="dxa"/>
            <w:bottom w:w="0" w:type="dxa"/>
            <w:right w:w="108" w:type="dxa"/>
          </w:tblCellMar>
        </w:tblPrEx>
        <w:tc>
          <w:tcPr>
            <w:tcW w:w="1729" w:type="dxa"/>
            <w:vAlign w:val="center"/>
          </w:tcPr>
          <w:p w14:paraId="17A2946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8.14</w:t>
            </w:r>
          </w:p>
        </w:tc>
        <w:tc>
          <w:tcPr>
            <w:tcW w:w="6793" w:type="dxa"/>
            <w:vAlign w:val="center"/>
          </w:tcPr>
          <w:p w14:paraId="3BA324CB">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高速</w:t>
            </w:r>
            <w:r>
              <w:rPr>
                <w:rStyle w:val="34"/>
                <w:rFonts w:hint="eastAsia" w:ascii="仿宋" w:hAnsi="仿宋" w:eastAsia="仿宋" w:cs="仿宋"/>
                <w:color w:val="auto"/>
                <w:sz w:val="24"/>
                <w:szCs w:val="24"/>
                <w:highlight w:val="none"/>
                <w:lang w:bidi="ar"/>
              </w:rPr>
              <w:t>DSA</w:t>
            </w:r>
            <w:r>
              <w:rPr>
                <w:rStyle w:val="33"/>
                <w:rFonts w:hint="eastAsia" w:ascii="仿宋" w:hAnsi="仿宋" w:eastAsia="仿宋" w:cs="仿宋"/>
                <w:color w:val="auto"/>
                <w:sz w:val="24"/>
                <w:szCs w:val="24"/>
                <w:highlight w:val="none"/>
                <w:lang w:bidi="ar"/>
              </w:rPr>
              <w:t>模式，帧频≥</w:t>
            </w:r>
            <w:r>
              <w:rPr>
                <w:rStyle w:val="34"/>
                <w:rFonts w:hint="eastAsia" w:ascii="仿宋" w:hAnsi="仿宋" w:eastAsia="仿宋" w:cs="仿宋"/>
                <w:color w:val="auto"/>
                <w:sz w:val="24"/>
                <w:szCs w:val="24"/>
                <w:highlight w:val="none"/>
                <w:lang w:bidi="ar"/>
              </w:rPr>
              <w:t>30fps</w:t>
            </w:r>
            <w:r>
              <w:rPr>
                <w:rStyle w:val="33"/>
                <w:rFonts w:hint="eastAsia" w:ascii="仿宋" w:hAnsi="仿宋" w:eastAsia="仿宋" w:cs="仿宋"/>
                <w:color w:val="auto"/>
                <w:sz w:val="24"/>
                <w:szCs w:val="24"/>
                <w:highlight w:val="none"/>
                <w:lang w:bidi="ar"/>
              </w:rPr>
              <w:t>采集</w:t>
            </w:r>
            <w:r>
              <w:rPr>
                <w:rStyle w:val="33"/>
                <w:rFonts w:hint="eastAsia" w:ascii="仿宋" w:hAnsi="仿宋" w:eastAsia="仿宋" w:cs="仿宋"/>
                <w:color w:val="auto"/>
                <w:sz w:val="24"/>
                <w:szCs w:val="24"/>
                <w:highlight w:val="none"/>
                <w:lang w:eastAsia="zh-CN" w:bidi="ar"/>
              </w:rPr>
              <w:t>。</w:t>
            </w:r>
          </w:p>
        </w:tc>
      </w:tr>
      <w:tr w14:paraId="4B0BD653">
        <w:tblPrEx>
          <w:tblCellMar>
            <w:top w:w="0" w:type="dxa"/>
            <w:left w:w="108" w:type="dxa"/>
            <w:bottom w:w="0" w:type="dxa"/>
            <w:right w:w="108" w:type="dxa"/>
          </w:tblCellMar>
        </w:tblPrEx>
        <w:tc>
          <w:tcPr>
            <w:tcW w:w="1729" w:type="dxa"/>
            <w:vAlign w:val="center"/>
          </w:tcPr>
          <w:p w14:paraId="614504A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8.15</w:t>
            </w:r>
          </w:p>
        </w:tc>
        <w:tc>
          <w:tcPr>
            <w:tcW w:w="6793" w:type="dxa"/>
            <w:vAlign w:val="center"/>
          </w:tcPr>
          <w:p w14:paraId="73EF782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动态</w:t>
            </w:r>
            <w:r>
              <w:rPr>
                <w:rStyle w:val="34"/>
                <w:rFonts w:hint="eastAsia" w:ascii="仿宋" w:hAnsi="仿宋" w:eastAsia="仿宋" w:cs="仿宋"/>
                <w:color w:val="auto"/>
                <w:sz w:val="24"/>
                <w:szCs w:val="24"/>
                <w:highlight w:val="none"/>
                <w:lang w:bidi="ar"/>
              </w:rPr>
              <w:t>DR</w:t>
            </w:r>
            <w:r>
              <w:rPr>
                <w:rStyle w:val="33"/>
                <w:rFonts w:hint="eastAsia" w:ascii="仿宋" w:hAnsi="仿宋" w:eastAsia="仿宋" w:cs="仿宋"/>
                <w:color w:val="auto"/>
                <w:sz w:val="24"/>
                <w:szCs w:val="24"/>
                <w:highlight w:val="none"/>
                <w:lang w:bidi="ar"/>
              </w:rPr>
              <w:t>最高帧频≥</w:t>
            </w:r>
            <w:r>
              <w:rPr>
                <w:rStyle w:val="34"/>
                <w:rFonts w:hint="eastAsia" w:ascii="仿宋" w:hAnsi="仿宋" w:eastAsia="仿宋" w:cs="仿宋"/>
                <w:color w:val="auto"/>
                <w:sz w:val="24"/>
                <w:szCs w:val="24"/>
                <w:highlight w:val="none"/>
                <w:lang w:bidi="ar"/>
              </w:rPr>
              <w:t>10fps</w:t>
            </w:r>
            <w:r>
              <w:rPr>
                <w:rStyle w:val="34"/>
                <w:rFonts w:hint="eastAsia" w:ascii="仿宋" w:hAnsi="仿宋" w:eastAsia="仿宋" w:cs="仿宋"/>
                <w:color w:val="auto"/>
                <w:sz w:val="24"/>
                <w:szCs w:val="24"/>
                <w:highlight w:val="none"/>
                <w:lang w:eastAsia="zh-CN" w:bidi="ar"/>
              </w:rPr>
              <w:t>。</w:t>
            </w:r>
          </w:p>
        </w:tc>
      </w:tr>
      <w:tr w14:paraId="4E2D2E5D">
        <w:tblPrEx>
          <w:tblCellMar>
            <w:top w:w="0" w:type="dxa"/>
            <w:left w:w="108" w:type="dxa"/>
            <w:bottom w:w="0" w:type="dxa"/>
            <w:right w:w="108" w:type="dxa"/>
          </w:tblCellMar>
        </w:tblPrEx>
        <w:tc>
          <w:tcPr>
            <w:tcW w:w="1729" w:type="dxa"/>
            <w:vAlign w:val="center"/>
          </w:tcPr>
          <w:p w14:paraId="6A5049C5">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8.16</w:t>
            </w:r>
          </w:p>
        </w:tc>
        <w:tc>
          <w:tcPr>
            <w:tcW w:w="6793" w:type="dxa"/>
            <w:vAlign w:val="center"/>
          </w:tcPr>
          <w:p w14:paraId="6239B06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数字电影最高帧频≥</w:t>
            </w:r>
            <w:r>
              <w:rPr>
                <w:rStyle w:val="34"/>
                <w:rFonts w:hint="eastAsia" w:ascii="仿宋" w:hAnsi="仿宋" w:eastAsia="仿宋" w:cs="仿宋"/>
                <w:color w:val="auto"/>
                <w:sz w:val="24"/>
                <w:szCs w:val="24"/>
                <w:highlight w:val="none"/>
                <w:lang w:bidi="ar"/>
              </w:rPr>
              <w:t>30fps</w:t>
            </w:r>
            <w:r>
              <w:rPr>
                <w:rStyle w:val="34"/>
                <w:rFonts w:hint="eastAsia" w:ascii="仿宋" w:hAnsi="仿宋" w:eastAsia="仿宋" w:cs="仿宋"/>
                <w:color w:val="auto"/>
                <w:sz w:val="24"/>
                <w:szCs w:val="24"/>
                <w:highlight w:val="none"/>
                <w:lang w:eastAsia="zh-CN" w:bidi="ar"/>
              </w:rPr>
              <w:t>。</w:t>
            </w:r>
          </w:p>
        </w:tc>
      </w:tr>
      <w:tr w14:paraId="6043BE6E">
        <w:tblPrEx>
          <w:tblCellMar>
            <w:top w:w="0" w:type="dxa"/>
            <w:left w:w="108" w:type="dxa"/>
            <w:bottom w:w="0" w:type="dxa"/>
            <w:right w:w="108" w:type="dxa"/>
          </w:tblCellMar>
        </w:tblPrEx>
        <w:tc>
          <w:tcPr>
            <w:tcW w:w="1729" w:type="dxa"/>
            <w:vAlign w:val="center"/>
          </w:tcPr>
          <w:p w14:paraId="5E5DC02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8.17</w:t>
            </w:r>
          </w:p>
        </w:tc>
        <w:tc>
          <w:tcPr>
            <w:tcW w:w="6793" w:type="dxa"/>
            <w:vAlign w:val="center"/>
          </w:tcPr>
          <w:p w14:paraId="2E00DE2C">
            <w:pPr>
              <w:widowControl/>
              <w:spacing w:line="360" w:lineRule="auto"/>
              <w:jc w:val="left"/>
              <w:textAlignment w:val="center"/>
              <w:rPr>
                <w:rFonts w:hint="eastAsia" w:ascii="仿宋" w:hAnsi="仿宋" w:eastAsia="仿宋" w:cs="仿宋"/>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支持一键运动到参考图的角度及床的位置</w:t>
            </w:r>
            <w:r>
              <w:rPr>
                <w:rStyle w:val="33"/>
                <w:rFonts w:hint="eastAsia" w:ascii="仿宋" w:hAnsi="仿宋" w:eastAsia="仿宋" w:cs="仿宋"/>
                <w:color w:val="auto"/>
                <w:sz w:val="24"/>
                <w:szCs w:val="24"/>
                <w:highlight w:val="none"/>
                <w:lang w:eastAsia="zh-CN" w:bidi="ar"/>
              </w:rPr>
              <w:t>。</w:t>
            </w:r>
          </w:p>
        </w:tc>
      </w:tr>
      <w:tr w14:paraId="693A8960">
        <w:tblPrEx>
          <w:tblCellMar>
            <w:top w:w="0" w:type="dxa"/>
            <w:left w:w="108" w:type="dxa"/>
            <w:bottom w:w="0" w:type="dxa"/>
            <w:right w:w="108" w:type="dxa"/>
          </w:tblCellMar>
        </w:tblPrEx>
        <w:tc>
          <w:tcPr>
            <w:tcW w:w="1729" w:type="dxa"/>
            <w:vAlign w:val="center"/>
          </w:tcPr>
          <w:p w14:paraId="29FD476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9</w:t>
            </w:r>
          </w:p>
        </w:tc>
        <w:tc>
          <w:tcPr>
            <w:tcW w:w="6793" w:type="dxa"/>
            <w:vAlign w:val="center"/>
          </w:tcPr>
          <w:p w14:paraId="40090D4C">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2D图像处理</w:t>
            </w:r>
          </w:p>
        </w:tc>
      </w:tr>
      <w:tr w14:paraId="336CBCC3">
        <w:tblPrEx>
          <w:tblCellMar>
            <w:top w:w="0" w:type="dxa"/>
            <w:left w:w="108" w:type="dxa"/>
            <w:bottom w:w="0" w:type="dxa"/>
            <w:right w:w="108" w:type="dxa"/>
          </w:tblCellMar>
        </w:tblPrEx>
        <w:tc>
          <w:tcPr>
            <w:tcW w:w="1729" w:type="dxa"/>
            <w:vAlign w:val="center"/>
          </w:tcPr>
          <w:p w14:paraId="2FF8A64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9.1</w:t>
            </w:r>
          </w:p>
        </w:tc>
        <w:tc>
          <w:tcPr>
            <w:tcW w:w="6793" w:type="dxa"/>
            <w:vAlign w:val="center"/>
          </w:tcPr>
          <w:p w14:paraId="0F0AED45">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支持在实时屏上用指针进行控制室和检查室的教学和互动</w:t>
            </w:r>
            <w:r>
              <w:rPr>
                <w:rStyle w:val="34"/>
                <w:rFonts w:hint="eastAsia" w:ascii="仿宋" w:hAnsi="仿宋" w:eastAsia="仿宋" w:cs="仿宋"/>
                <w:color w:val="auto"/>
                <w:sz w:val="24"/>
                <w:szCs w:val="24"/>
                <w:highlight w:val="none"/>
                <w:lang w:bidi="ar"/>
              </w:rPr>
              <w:t xml:space="preserve"> </w:t>
            </w:r>
            <w:r>
              <w:rPr>
                <w:rStyle w:val="34"/>
                <w:rFonts w:hint="eastAsia" w:ascii="仿宋" w:hAnsi="仿宋" w:eastAsia="仿宋" w:cs="仿宋"/>
                <w:color w:val="auto"/>
                <w:sz w:val="24"/>
                <w:szCs w:val="24"/>
                <w:highlight w:val="none"/>
                <w:lang w:eastAsia="zh-CN" w:bidi="ar"/>
              </w:rPr>
              <w:t>。</w:t>
            </w:r>
          </w:p>
        </w:tc>
      </w:tr>
      <w:tr w14:paraId="6494F229">
        <w:tblPrEx>
          <w:tblCellMar>
            <w:top w:w="0" w:type="dxa"/>
            <w:left w:w="108" w:type="dxa"/>
            <w:bottom w:w="0" w:type="dxa"/>
            <w:right w:w="108" w:type="dxa"/>
          </w:tblCellMar>
        </w:tblPrEx>
        <w:tc>
          <w:tcPr>
            <w:tcW w:w="1729" w:type="dxa"/>
            <w:vAlign w:val="center"/>
          </w:tcPr>
          <w:p w14:paraId="2E0308F6">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9.2</w:t>
            </w:r>
          </w:p>
        </w:tc>
        <w:tc>
          <w:tcPr>
            <w:tcW w:w="6793" w:type="dxa"/>
            <w:vAlign w:val="center"/>
          </w:tcPr>
          <w:p w14:paraId="42067CE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支持在实时图像上添加图形，用于手术定位</w:t>
            </w:r>
            <w:r>
              <w:rPr>
                <w:rStyle w:val="33"/>
                <w:rFonts w:hint="eastAsia" w:ascii="仿宋" w:hAnsi="仿宋" w:eastAsia="仿宋" w:cs="仿宋"/>
                <w:color w:val="auto"/>
                <w:sz w:val="24"/>
                <w:szCs w:val="24"/>
                <w:highlight w:val="none"/>
                <w:lang w:eastAsia="zh-CN" w:bidi="ar"/>
              </w:rPr>
              <w:t>。</w:t>
            </w:r>
          </w:p>
        </w:tc>
      </w:tr>
      <w:tr w14:paraId="287B4763">
        <w:tblPrEx>
          <w:tblCellMar>
            <w:top w:w="0" w:type="dxa"/>
            <w:left w:w="108" w:type="dxa"/>
            <w:bottom w:w="0" w:type="dxa"/>
            <w:right w:w="108" w:type="dxa"/>
          </w:tblCellMar>
        </w:tblPrEx>
        <w:tc>
          <w:tcPr>
            <w:tcW w:w="1729" w:type="dxa"/>
            <w:vAlign w:val="center"/>
          </w:tcPr>
          <w:p w14:paraId="721DB75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9.3</w:t>
            </w:r>
          </w:p>
        </w:tc>
        <w:tc>
          <w:tcPr>
            <w:tcW w:w="6793" w:type="dxa"/>
            <w:vAlign w:val="center"/>
          </w:tcPr>
          <w:p w14:paraId="7CC6AB8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支持放大缩小平移、翻转、标注、反色、还原</w:t>
            </w:r>
            <w:r>
              <w:rPr>
                <w:rFonts w:hint="eastAsia" w:ascii="仿宋" w:hAnsi="仿宋" w:eastAsia="仿宋" w:cs="仿宋"/>
                <w:color w:val="auto"/>
                <w:kern w:val="0"/>
                <w:sz w:val="24"/>
                <w:szCs w:val="24"/>
                <w:highlight w:val="none"/>
                <w:lang w:eastAsia="zh-CN" w:bidi="ar"/>
              </w:rPr>
              <w:t>。</w:t>
            </w:r>
          </w:p>
        </w:tc>
      </w:tr>
      <w:tr w14:paraId="33731DBE">
        <w:tblPrEx>
          <w:tblCellMar>
            <w:top w:w="0" w:type="dxa"/>
            <w:left w:w="108" w:type="dxa"/>
            <w:bottom w:w="0" w:type="dxa"/>
            <w:right w:w="108" w:type="dxa"/>
          </w:tblCellMar>
        </w:tblPrEx>
        <w:tc>
          <w:tcPr>
            <w:tcW w:w="1729" w:type="dxa"/>
            <w:vAlign w:val="center"/>
          </w:tcPr>
          <w:p w14:paraId="15CF346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9.4</w:t>
            </w:r>
          </w:p>
        </w:tc>
        <w:tc>
          <w:tcPr>
            <w:tcW w:w="6793" w:type="dxa"/>
            <w:vAlign w:val="center"/>
          </w:tcPr>
          <w:p w14:paraId="00145209">
            <w:pPr>
              <w:widowControl/>
              <w:spacing w:line="360" w:lineRule="auto"/>
              <w:jc w:val="left"/>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kern w:val="0"/>
                <w:sz w:val="24"/>
                <w:szCs w:val="24"/>
                <w:highlight w:val="none"/>
                <w:lang w:bidi="ar"/>
              </w:rPr>
              <w:t>支持窗宽窗位调节、边缘增强调节</w:t>
            </w:r>
            <w:r>
              <w:rPr>
                <w:rFonts w:hint="eastAsia" w:ascii="仿宋" w:hAnsi="仿宋" w:eastAsia="仿宋" w:cs="仿宋"/>
                <w:color w:val="auto"/>
                <w:kern w:val="0"/>
                <w:sz w:val="24"/>
                <w:szCs w:val="24"/>
                <w:highlight w:val="none"/>
                <w:lang w:eastAsia="zh-CN" w:bidi="ar"/>
              </w:rPr>
              <w:t>。</w:t>
            </w:r>
          </w:p>
        </w:tc>
      </w:tr>
      <w:tr w14:paraId="5703686D">
        <w:tblPrEx>
          <w:tblCellMar>
            <w:top w:w="0" w:type="dxa"/>
            <w:left w:w="108" w:type="dxa"/>
            <w:bottom w:w="0" w:type="dxa"/>
            <w:right w:w="108" w:type="dxa"/>
          </w:tblCellMar>
        </w:tblPrEx>
        <w:tc>
          <w:tcPr>
            <w:tcW w:w="1729" w:type="dxa"/>
            <w:vAlign w:val="center"/>
          </w:tcPr>
          <w:p w14:paraId="4CDEA8A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9.5</w:t>
            </w:r>
          </w:p>
        </w:tc>
        <w:tc>
          <w:tcPr>
            <w:tcW w:w="6793" w:type="dxa"/>
            <w:vAlign w:val="center"/>
          </w:tcPr>
          <w:p w14:paraId="1EAF6198">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支持电子光栅</w:t>
            </w:r>
            <w:r>
              <w:rPr>
                <w:rStyle w:val="33"/>
                <w:rFonts w:hint="eastAsia" w:ascii="仿宋" w:hAnsi="仿宋" w:eastAsia="仿宋" w:cs="仿宋"/>
                <w:color w:val="auto"/>
                <w:sz w:val="24"/>
                <w:szCs w:val="24"/>
                <w:highlight w:val="none"/>
                <w:lang w:eastAsia="zh-CN" w:bidi="ar"/>
              </w:rPr>
              <w:t>。</w:t>
            </w:r>
          </w:p>
        </w:tc>
      </w:tr>
      <w:tr w14:paraId="1316ECF3">
        <w:tblPrEx>
          <w:tblCellMar>
            <w:top w:w="0" w:type="dxa"/>
            <w:left w:w="108" w:type="dxa"/>
            <w:bottom w:w="0" w:type="dxa"/>
            <w:right w:w="108" w:type="dxa"/>
          </w:tblCellMar>
        </w:tblPrEx>
        <w:tc>
          <w:tcPr>
            <w:tcW w:w="1729" w:type="dxa"/>
            <w:vAlign w:val="center"/>
          </w:tcPr>
          <w:p w14:paraId="5A82521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9.6</w:t>
            </w:r>
          </w:p>
        </w:tc>
        <w:tc>
          <w:tcPr>
            <w:tcW w:w="6793" w:type="dxa"/>
            <w:vAlign w:val="center"/>
          </w:tcPr>
          <w:p w14:paraId="535AE4E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支持减影和原像切换及剖背景调节</w:t>
            </w:r>
            <w:r>
              <w:rPr>
                <w:rFonts w:hint="eastAsia" w:ascii="仿宋" w:hAnsi="仿宋" w:eastAsia="仿宋" w:cs="仿宋"/>
                <w:color w:val="auto"/>
                <w:kern w:val="0"/>
                <w:sz w:val="24"/>
                <w:szCs w:val="24"/>
                <w:highlight w:val="none"/>
                <w:lang w:eastAsia="zh-CN" w:bidi="ar"/>
              </w:rPr>
              <w:t>。</w:t>
            </w:r>
          </w:p>
        </w:tc>
      </w:tr>
      <w:tr w14:paraId="16D944D6">
        <w:tblPrEx>
          <w:tblCellMar>
            <w:top w:w="0" w:type="dxa"/>
            <w:left w:w="108" w:type="dxa"/>
            <w:bottom w:w="0" w:type="dxa"/>
            <w:right w:w="108" w:type="dxa"/>
          </w:tblCellMar>
        </w:tblPrEx>
        <w:tc>
          <w:tcPr>
            <w:tcW w:w="1729" w:type="dxa"/>
            <w:vAlign w:val="center"/>
          </w:tcPr>
          <w:p w14:paraId="6C1F193A">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9.7</w:t>
            </w:r>
          </w:p>
        </w:tc>
        <w:tc>
          <w:tcPr>
            <w:tcW w:w="6793" w:type="dxa"/>
            <w:vAlign w:val="center"/>
          </w:tcPr>
          <w:p w14:paraId="0A1B6B7D">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支持移动</w:t>
            </w:r>
            <w:r>
              <w:rPr>
                <w:rStyle w:val="34"/>
                <w:rFonts w:hint="eastAsia" w:ascii="仿宋" w:hAnsi="仿宋" w:eastAsia="仿宋" w:cs="仿宋"/>
                <w:color w:val="auto"/>
                <w:sz w:val="24"/>
                <w:szCs w:val="24"/>
                <w:highlight w:val="none"/>
                <w:lang w:bidi="ar"/>
              </w:rPr>
              <w:t>/</w:t>
            </w:r>
            <w:r>
              <w:rPr>
                <w:rStyle w:val="33"/>
                <w:rFonts w:hint="eastAsia" w:ascii="仿宋" w:hAnsi="仿宋" w:eastAsia="仿宋" w:cs="仿宋"/>
                <w:color w:val="auto"/>
                <w:sz w:val="24"/>
                <w:szCs w:val="24"/>
                <w:highlight w:val="none"/>
                <w:lang w:bidi="ar"/>
              </w:rPr>
              <w:t>替换蒙片</w:t>
            </w:r>
            <w:r>
              <w:rPr>
                <w:rStyle w:val="33"/>
                <w:rFonts w:hint="eastAsia" w:ascii="仿宋" w:hAnsi="仿宋" w:eastAsia="仿宋" w:cs="仿宋"/>
                <w:color w:val="auto"/>
                <w:sz w:val="24"/>
                <w:szCs w:val="24"/>
                <w:highlight w:val="none"/>
                <w:lang w:eastAsia="zh-CN" w:bidi="ar"/>
              </w:rPr>
              <w:t>。</w:t>
            </w:r>
          </w:p>
        </w:tc>
      </w:tr>
      <w:tr w14:paraId="202DBBF0">
        <w:tblPrEx>
          <w:tblCellMar>
            <w:top w:w="0" w:type="dxa"/>
            <w:left w:w="108" w:type="dxa"/>
            <w:bottom w:w="0" w:type="dxa"/>
            <w:right w:w="108" w:type="dxa"/>
          </w:tblCellMar>
        </w:tblPrEx>
        <w:tc>
          <w:tcPr>
            <w:tcW w:w="1729" w:type="dxa"/>
            <w:vAlign w:val="center"/>
          </w:tcPr>
          <w:p w14:paraId="11ADACEB">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9.8</w:t>
            </w:r>
          </w:p>
        </w:tc>
        <w:tc>
          <w:tcPr>
            <w:tcW w:w="6793" w:type="dxa"/>
            <w:vAlign w:val="center"/>
          </w:tcPr>
          <w:p w14:paraId="56E1277E">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支持最大造影剂充盈图像</w:t>
            </w:r>
            <w:r>
              <w:rPr>
                <w:rFonts w:hint="eastAsia" w:ascii="仿宋" w:hAnsi="仿宋" w:eastAsia="仿宋" w:cs="仿宋"/>
                <w:color w:val="auto"/>
                <w:kern w:val="0"/>
                <w:sz w:val="24"/>
                <w:szCs w:val="24"/>
                <w:highlight w:val="none"/>
                <w:lang w:eastAsia="zh-CN" w:bidi="ar"/>
              </w:rPr>
              <w:t>。</w:t>
            </w:r>
          </w:p>
        </w:tc>
      </w:tr>
      <w:tr w14:paraId="0D5FC214">
        <w:tblPrEx>
          <w:tblCellMar>
            <w:top w:w="0" w:type="dxa"/>
            <w:left w:w="108" w:type="dxa"/>
            <w:bottom w:w="0" w:type="dxa"/>
            <w:right w:w="108" w:type="dxa"/>
          </w:tblCellMar>
        </w:tblPrEx>
        <w:tc>
          <w:tcPr>
            <w:tcW w:w="1729" w:type="dxa"/>
            <w:vAlign w:val="center"/>
          </w:tcPr>
          <w:p w14:paraId="775C3E0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9.9</w:t>
            </w:r>
          </w:p>
        </w:tc>
        <w:tc>
          <w:tcPr>
            <w:tcW w:w="6793" w:type="dxa"/>
            <w:vAlign w:val="center"/>
          </w:tcPr>
          <w:p w14:paraId="4FD3406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支持自动校准、导管校准、长度校准</w:t>
            </w:r>
            <w:r>
              <w:rPr>
                <w:rFonts w:hint="eastAsia" w:ascii="仿宋" w:hAnsi="仿宋" w:eastAsia="仿宋" w:cs="仿宋"/>
                <w:color w:val="auto"/>
                <w:kern w:val="0"/>
                <w:sz w:val="24"/>
                <w:szCs w:val="24"/>
                <w:highlight w:val="none"/>
                <w:lang w:eastAsia="zh-CN" w:bidi="ar"/>
              </w:rPr>
              <w:t>。</w:t>
            </w:r>
          </w:p>
        </w:tc>
      </w:tr>
      <w:tr w14:paraId="06302877">
        <w:tblPrEx>
          <w:tblCellMar>
            <w:top w:w="0" w:type="dxa"/>
            <w:left w:w="108" w:type="dxa"/>
            <w:bottom w:w="0" w:type="dxa"/>
            <w:right w:w="108" w:type="dxa"/>
          </w:tblCellMar>
        </w:tblPrEx>
        <w:tc>
          <w:tcPr>
            <w:tcW w:w="1729" w:type="dxa"/>
            <w:vAlign w:val="center"/>
          </w:tcPr>
          <w:p w14:paraId="0E63E82D">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9.10</w:t>
            </w:r>
          </w:p>
        </w:tc>
        <w:tc>
          <w:tcPr>
            <w:tcW w:w="6793" w:type="dxa"/>
            <w:vAlign w:val="center"/>
          </w:tcPr>
          <w:p w14:paraId="20F7BBB6">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测量包括直线测量、曲线测量、比例测量、角度测量</w:t>
            </w:r>
            <w:r>
              <w:rPr>
                <w:rStyle w:val="33"/>
                <w:rFonts w:hint="eastAsia" w:ascii="仿宋" w:hAnsi="仿宋" w:eastAsia="仿宋" w:cs="仿宋"/>
                <w:color w:val="auto"/>
                <w:sz w:val="24"/>
                <w:szCs w:val="24"/>
                <w:highlight w:val="none"/>
                <w:lang w:eastAsia="zh-CN" w:bidi="ar"/>
              </w:rPr>
              <w:t>。</w:t>
            </w:r>
          </w:p>
        </w:tc>
      </w:tr>
      <w:tr w14:paraId="05C546A6">
        <w:tblPrEx>
          <w:tblCellMar>
            <w:top w:w="0" w:type="dxa"/>
            <w:left w:w="108" w:type="dxa"/>
            <w:bottom w:w="0" w:type="dxa"/>
            <w:right w:w="108" w:type="dxa"/>
          </w:tblCellMar>
        </w:tblPrEx>
        <w:tc>
          <w:tcPr>
            <w:tcW w:w="1729" w:type="dxa"/>
            <w:vAlign w:val="center"/>
          </w:tcPr>
          <w:p w14:paraId="69991140">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9.11</w:t>
            </w:r>
          </w:p>
        </w:tc>
        <w:tc>
          <w:tcPr>
            <w:tcW w:w="6793" w:type="dxa"/>
            <w:vAlign w:val="center"/>
          </w:tcPr>
          <w:p w14:paraId="113F79F2">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支持将两幅不同序列在同一屏幕并排显示，同步播放术前术后序列或正侧位等不同时间位置的造影图像</w:t>
            </w:r>
            <w:r>
              <w:rPr>
                <w:rFonts w:hint="eastAsia" w:ascii="仿宋" w:hAnsi="仿宋" w:eastAsia="仿宋" w:cs="仿宋"/>
                <w:color w:val="auto"/>
                <w:kern w:val="0"/>
                <w:sz w:val="24"/>
                <w:szCs w:val="24"/>
                <w:highlight w:val="none"/>
                <w:lang w:eastAsia="zh-CN" w:bidi="ar"/>
              </w:rPr>
              <w:t>。</w:t>
            </w:r>
          </w:p>
        </w:tc>
      </w:tr>
      <w:tr w14:paraId="19E54A27">
        <w:tblPrEx>
          <w:tblCellMar>
            <w:top w:w="0" w:type="dxa"/>
            <w:left w:w="108" w:type="dxa"/>
            <w:bottom w:w="0" w:type="dxa"/>
            <w:right w:w="108" w:type="dxa"/>
          </w:tblCellMar>
        </w:tblPrEx>
        <w:tc>
          <w:tcPr>
            <w:tcW w:w="1729" w:type="dxa"/>
            <w:vAlign w:val="center"/>
          </w:tcPr>
          <w:p w14:paraId="49564961">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9.12</w:t>
            </w:r>
          </w:p>
        </w:tc>
        <w:tc>
          <w:tcPr>
            <w:tcW w:w="6793" w:type="dxa"/>
            <w:vAlign w:val="center"/>
          </w:tcPr>
          <w:p w14:paraId="691FBD5C">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支持对序列进行裁剪，删除不需要的帧</w:t>
            </w:r>
            <w:r>
              <w:rPr>
                <w:rFonts w:hint="eastAsia" w:ascii="仿宋" w:hAnsi="仿宋" w:eastAsia="仿宋" w:cs="仿宋"/>
                <w:color w:val="auto"/>
                <w:kern w:val="0"/>
                <w:sz w:val="24"/>
                <w:szCs w:val="24"/>
                <w:highlight w:val="none"/>
                <w:lang w:eastAsia="zh-CN" w:bidi="ar"/>
              </w:rPr>
              <w:t>。</w:t>
            </w:r>
          </w:p>
        </w:tc>
      </w:tr>
      <w:tr w14:paraId="5043B8DC">
        <w:tblPrEx>
          <w:tblCellMar>
            <w:top w:w="0" w:type="dxa"/>
            <w:left w:w="108" w:type="dxa"/>
            <w:bottom w:w="0" w:type="dxa"/>
            <w:right w:w="108" w:type="dxa"/>
          </w:tblCellMar>
        </w:tblPrEx>
        <w:tc>
          <w:tcPr>
            <w:tcW w:w="1729" w:type="dxa"/>
            <w:vAlign w:val="center"/>
          </w:tcPr>
          <w:p w14:paraId="4568B8D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10</w:t>
            </w:r>
          </w:p>
        </w:tc>
        <w:tc>
          <w:tcPr>
            <w:tcW w:w="6793" w:type="dxa"/>
            <w:vAlign w:val="center"/>
          </w:tcPr>
          <w:p w14:paraId="24536ECD">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3D 图像采集</w:t>
            </w:r>
          </w:p>
        </w:tc>
      </w:tr>
      <w:tr w14:paraId="437ADD51">
        <w:tblPrEx>
          <w:tblCellMar>
            <w:top w:w="0" w:type="dxa"/>
            <w:left w:w="108" w:type="dxa"/>
            <w:bottom w:w="0" w:type="dxa"/>
            <w:right w:w="108" w:type="dxa"/>
          </w:tblCellMar>
        </w:tblPrEx>
        <w:tc>
          <w:tcPr>
            <w:tcW w:w="1729" w:type="dxa"/>
            <w:vAlign w:val="center"/>
          </w:tcPr>
          <w:p w14:paraId="6FB9F2D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10.1</w:t>
            </w:r>
          </w:p>
        </w:tc>
        <w:tc>
          <w:tcPr>
            <w:tcW w:w="6793" w:type="dxa"/>
            <w:vAlign w:val="center"/>
          </w:tcPr>
          <w:p w14:paraId="5E4AB913">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支持原厂</w:t>
            </w:r>
            <w:r>
              <w:rPr>
                <w:rStyle w:val="34"/>
                <w:rFonts w:hint="eastAsia" w:ascii="仿宋" w:hAnsi="仿宋" w:eastAsia="仿宋" w:cs="仿宋"/>
                <w:color w:val="auto"/>
                <w:sz w:val="24"/>
                <w:szCs w:val="24"/>
                <w:highlight w:val="none"/>
                <w:lang w:bidi="ar"/>
              </w:rPr>
              <w:t>3D</w:t>
            </w:r>
            <w:r>
              <w:rPr>
                <w:rStyle w:val="33"/>
                <w:rFonts w:hint="eastAsia" w:ascii="仿宋" w:hAnsi="仿宋" w:eastAsia="仿宋" w:cs="仿宋"/>
                <w:color w:val="auto"/>
                <w:sz w:val="24"/>
                <w:szCs w:val="24"/>
                <w:highlight w:val="none"/>
                <w:lang w:bidi="ar"/>
              </w:rPr>
              <w:t>采集和重建</w:t>
            </w:r>
            <w:r>
              <w:rPr>
                <w:rStyle w:val="33"/>
                <w:rFonts w:hint="eastAsia" w:ascii="仿宋" w:hAnsi="仿宋" w:eastAsia="仿宋" w:cs="仿宋"/>
                <w:color w:val="auto"/>
                <w:sz w:val="24"/>
                <w:szCs w:val="24"/>
                <w:highlight w:val="none"/>
                <w:lang w:eastAsia="zh-CN" w:bidi="ar"/>
              </w:rPr>
              <w:t>。</w:t>
            </w:r>
          </w:p>
        </w:tc>
      </w:tr>
      <w:tr w14:paraId="2C0DE0AE">
        <w:tblPrEx>
          <w:tblCellMar>
            <w:top w:w="0" w:type="dxa"/>
            <w:left w:w="108" w:type="dxa"/>
            <w:bottom w:w="0" w:type="dxa"/>
            <w:right w:w="108" w:type="dxa"/>
          </w:tblCellMar>
        </w:tblPrEx>
        <w:tc>
          <w:tcPr>
            <w:tcW w:w="1729" w:type="dxa"/>
            <w:vAlign w:val="center"/>
          </w:tcPr>
          <w:p w14:paraId="14C64FF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10.2</w:t>
            </w:r>
          </w:p>
        </w:tc>
        <w:tc>
          <w:tcPr>
            <w:tcW w:w="6793" w:type="dxa"/>
            <w:vAlign w:val="center"/>
          </w:tcPr>
          <w:p w14:paraId="1798F933">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支持原厂</w:t>
            </w:r>
            <w:r>
              <w:rPr>
                <w:rStyle w:val="34"/>
                <w:rFonts w:hint="eastAsia" w:ascii="仿宋" w:hAnsi="仿宋" w:eastAsia="仿宋" w:cs="仿宋"/>
                <w:color w:val="auto"/>
                <w:sz w:val="24"/>
                <w:szCs w:val="24"/>
                <w:highlight w:val="none"/>
                <w:lang w:bidi="ar"/>
              </w:rPr>
              <w:t>CBCT</w:t>
            </w:r>
            <w:r>
              <w:rPr>
                <w:rStyle w:val="33"/>
                <w:rFonts w:hint="eastAsia" w:ascii="仿宋" w:hAnsi="仿宋" w:eastAsia="仿宋" w:cs="仿宋"/>
                <w:color w:val="auto"/>
                <w:sz w:val="24"/>
                <w:szCs w:val="24"/>
                <w:highlight w:val="none"/>
                <w:lang w:bidi="ar"/>
              </w:rPr>
              <w:t>采集和重建</w:t>
            </w:r>
            <w:r>
              <w:rPr>
                <w:rStyle w:val="33"/>
                <w:rFonts w:hint="eastAsia" w:ascii="仿宋" w:hAnsi="仿宋" w:eastAsia="仿宋" w:cs="仿宋"/>
                <w:color w:val="auto"/>
                <w:sz w:val="24"/>
                <w:szCs w:val="24"/>
                <w:highlight w:val="none"/>
                <w:lang w:eastAsia="zh-CN" w:bidi="ar"/>
              </w:rPr>
              <w:t>。</w:t>
            </w:r>
          </w:p>
        </w:tc>
      </w:tr>
      <w:tr w14:paraId="4C91861C">
        <w:tblPrEx>
          <w:tblCellMar>
            <w:top w:w="0" w:type="dxa"/>
            <w:left w:w="108" w:type="dxa"/>
            <w:bottom w:w="0" w:type="dxa"/>
            <w:right w:w="108" w:type="dxa"/>
          </w:tblCellMar>
        </w:tblPrEx>
        <w:tc>
          <w:tcPr>
            <w:tcW w:w="1729" w:type="dxa"/>
            <w:vAlign w:val="center"/>
          </w:tcPr>
          <w:p w14:paraId="2F1D9746">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10.3</w:t>
            </w:r>
          </w:p>
        </w:tc>
        <w:tc>
          <w:tcPr>
            <w:tcW w:w="6793" w:type="dxa"/>
            <w:vAlign w:val="center"/>
          </w:tcPr>
          <w:p w14:paraId="2ABA55E5">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3D</w:t>
            </w:r>
            <w:r>
              <w:rPr>
                <w:rStyle w:val="33"/>
                <w:rFonts w:hint="eastAsia" w:ascii="仿宋" w:hAnsi="仿宋" w:eastAsia="仿宋" w:cs="仿宋"/>
                <w:color w:val="auto"/>
                <w:sz w:val="24"/>
                <w:szCs w:val="24"/>
                <w:highlight w:val="none"/>
                <w:lang w:bidi="ar"/>
              </w:rPr>
              <w:t>血管采集：支持减影和非减影模式</w:t>
            </w:r>
            <w:r>
              <w:rPr>
                <w:rStyle w:val="33"/>
                <w:rFonts w:hint="eastAsia" w:ascii="仿宋" w:hAnsi="仿宋" w:eastAsia="仿宋" w:cs="仿宋"/>
                <w:color w:val="auto"/>
                <w:sz w:val="24"/>
                <w:szCs w:val="24"/>
                <w:highlight w:val="none"/>
                <w:lang w:eastAsia="zh-CN" w:bidi="ar"/>
              </w:rPr>
              <w:t>。</w:t>
            </w:r>
          </w:p>
        </w:tc>
      </w:tr>
      <w:tr w14:paraId="21FCAE53">
        <w:tblPrEx>
          <w:tblCellMar>
            <w:top w:w="0" w:type="dxa"/>
            <w:left w:w="108" w:type="dxa"/>
            <w:bottom w:w="0" w:type="dxa"/>
            <w:right w:w="108" w:type="dxa"/>
          </w:tblCellMar>
        </w:tblPrEx>
        <w:tc>
          <w:tcPr>
            <w:tcW w:w="1729" w:type="dxa"/>
            <w:vAlign w:val="center"/>
          </w:tcPr>
          <w:p w14:paraId="2BA1FEF9">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10.4</w:t>
            </w:r>
          </w:p>
        </w:tc>
        <w:tc>
          <w:tcPr>
            <w:tcW w:w="6793" w:type="dxa"/>
            <w:vAlign w:val="center"/>
          </w:tcPr>
          <w:p w14:paraId="54349F7D">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3D</w:t>
            </w:r>
            <w:r>
              <w:rPr>
                <w:rStyle w:val="33"/>
                <w:rFonts w:hint="eastAsia" w:ascii="仿宋" w:hAnsi="仿宋" w:eastAsia="仿宋" w:cs="仿宋"/>
                <w:color w:val="auto"/>
                <w:sz w:val="24"/>
                <w:szCs w:val="24"/>
                <w:highlight w:val="none"/>
                <w:lang w:bidi="ar"/>
              </w:rPr>
              <w:t>重建时间≤</w:t>
            </w:r>
            <w:r>
              <w:rPr>
                <w:rStyle w:val="34"/>
                <w:rFonts w:hint="eastAsia" w:ascii="仿宋" w:hAnsi="仿宋" w:eastAsia="仿宋" w:cs="仿宋"/>
                <w:color w:val="auto"/>
                <w:sz w:val="24"/>
                <w:szCs w:val="24"/>
                <w:highlight w:val="none"/>
                <w:lang w:bidi="ar"/>
              </w:rPr>
              <w:t>10s</w:t>
            </w:r>
            <w:r>
              <w:rPr>
                <w:rStyle w:val="34"/>
                <w:rFonts w:hint="eastAsia" w:ascii="仿宋" w:hAnsi="仿宋" w:eastAsia="仿宋" w:cs="仿宋"/>
                <w:color w:val="auto"/>
                <w:sz w:val="24"/>
                <w:szCs w:val="24"/>
                <w:highlight w:val="none"/>
                <w:lang w:eastAsia="zh-CN" w:bidi="ar"/>
              </w:rPr>
              <w:t>。</w:t>
            </w:r>
          </w:p>
        </w:tc>
      </w:tr>
      <w:tr w14:paraId="06D33B2C">
        <w:tblPrEx>
          <w:tblCellMar>
            <w:top w:w="0" w:type="dxa"/>
            <w:left w:w="108" w:type="dxa"/>
            <w:bottom w:w="0" w:type="dxa"/>
            <w:right w:w="108" w:type="dxa"/>
          </w:tblCellMar>
        </w:tblPrEx>
        <w:tc>
          <w:tcPr>
            <w:tcW w:w="1729" w:type="dxa"/>
            <w:vAlign w:val="center"/>
          </w:tcPr>
          <w:p w14:paraId="520F5FD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10.5</w:t>
            </w:r>
          </w:p>
        </w:tc>
        <w:tc>
          <w:tcPr>
            <w:tcW w:w="6793" w:type="dxa"/>
            <w:vAlign w:val="center"/>
          </w:tcPr>
          <w:p w14:paraId="6CA848A3">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支持在正侧位进行锥形束</w:t>
            </w:r>
            <w:r>
              <w:rPr>
                <w:rStyle w:val="34"/>
                <w:rFonts w:hint="eastAsia" w:ascii="仿宋" w:hAnsi="仿宋" w:eastAsia="仿宋" w:cs="仿宋"/>
                <w:color w:val="auto"/>
                <w:sz w:val="24"/>
                <w:szCs w:val="24"/>
                <w:highlight w:val="none"/>
                <w:lang w:bidi="ar"/>
              </w:rPr>
              <w:t>CT</w:t>
            </w:r>
            <w:r>
              <w:rPr>
                <w:rStyle w:val="33"/>
                <w:rFonts w:hint="eastAsia" w:ascii="仿宋" w:hAnsi="仿宋" w:eastAsia="仿宋" w:cs="仿宋"/>
                <w:color w:val="auto"/>
                <w:sz w:val="24"/>
                <w:szCs w:val="24"/>
                <w:highlight w:val="none"/>
                <w:lang w:bidi="ar"/>
              </w:rPr>
              <w:t>扫描</w:t>
            </w:r>
            <w:r>
              <w:rPr>
                <w:rStyle w:val="33"/>
                <w:rFonts w:hint="eastAsia" w:ascii="仿宋" w:hAnsi="仿宋" w:eastAsia="仿宋" w:cs="仿宋"/>
                <w:color w:val="auto"/>
                <w:sz w:val="24"/>
                <w:szCs w:val="24"/>
                <w:highlight w:val="none"/>
                <w:lang w:eastAsia="zh-CN" w:bidi="ar"/>
              </w:rPr>
              <w:t>。</w:t>
            </w:r>
          </w:p>
        </w:tc>
      </w:tr>
      <w:tr w14:paraId="5D95A010">
        <w:tblPrEx>
          <w:tblCellMar>
            <w:top w:w="0" w:type="dxa"/>
            <w:left w:w="108" w:type="dxa"/>
            <w:bottom w:w="0" w:type="dxa"/>
            <w:right w:w="108" w:type="dxa"/>
          </w:tblCellMar>
        </w:tblPrEx>
        <w:tc>
          <w:tcPr>
            <w:tcW w:w="1729" w:type="dxa"/>
            <w:vAlign w:val="center"/>
          </w:tcPr>
          <w:p w14:paraId="78FCB193">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11</w:t>
            </w:r>
          </w:p>
        </w:tc>
        <w:tc>
          <w:tcPr>
            <w:tcW w:w="6793" w:type="dxa"/>
            <w:vAlign w:val="center"/>
          </w:tcPr>
          <w:p w14:paraId="6291C8F1">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3D图像处理</w:t>
            </w:r>
          </w:p>
        </w:tc>
      </w:tr>
      <w:tr w14:paraId="355888DF">
        <w:tblPrEx>
          <w:tblCellMar>
            <w:top w:w="0" w:type="dxa"/>
            <w:left w:w="108" w:type="dxa"/>
            <w:bottom w:w="0" w:type="dxa"/>
            <w:right w:w="108" w:type="dxa"/>
          </w:tblCellMar>
        </w:tblPrEx>
        <w:tc>
          <w:tcPr>
            <w:tcW w:w="1729" w:type="dxa"/>
            <w:vAlign w:val="center"/>
          </w:tcPr>
          <w:p w14:paraId="042E934C">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11.1</w:t>
            </w:r>
          </w:p>
        </w:tc>
        <w:tc>
          <w:tcPr>
            <w:tcW w:w="6793" w:type="dxa"/>
            <w:vAlign w:val="center"/>
          </w:tcPr>
          <w:p w14:paraId="0C93819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支持角度、窗值、层厚、渲染预设、VOI裁剪、缩放、平移、标注、3D测量、重置</w:t>
            </w:r>
            <w:r>
              <w:rPr>
                <w:rFonts w:hint="eastAsia" w:ascii="仿宋" w:hAnsi="仿宋" w:eastAsia="仿宋" w:cs="仿宋"/>
                <w:color w:val="auto"/>
                <w:kern w:val="0"/>
                <w:sz w:val="24"/>
                <w:szCs w:val="24"/>
                <w:highlight w:val="none"/>
                <w:lang w:eastAsia="zh-CN" w:bidi="ar"/>
              </w:rPr>
              <w:t>。</w:t>
            </w:r>
          </w:p>
        </w:tc>
      </w:tr>
      <w:tr w14:paraId="28781AFE">
        <w:tblPrEx>
          <w:tblCellMar>
            <w:top w:w="0" w:type="dxa"/>
            <w:left w:w="108" w:type="dxa"/>
            <w:bottom w:w="0" w:type="dxa"/>
            <w:right w:w="108" w:type="dxa"/>
          </w:tblCellMar>
        </w:tblPrEx>
        <w:tc>
          <w:tcPr>
            <w:tcW w:w="1729" w:type="dxa"/>
            <w:vAlign w:val="center"/>
          </w:tcPr>
          <w:p w14:paraId="09430FDB">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11.2</w:t>
            </w:r>
          </w:p>
        </w:tc>
        <w:tc>
          <w:tcPr>
            <w:tcW w:w="6793" w:type="dxa"/>
            <w:vAlign w:val="center"/>
          </w:tcPr>
          <w:p w14:paraId="28B65CB5">
            <w:pPr>
              <w:widowControl/>
              <w:spacing w:line="360" w:lineRule="auto"/>
              <w:jc w:val="left"/>
              <w:textAlignment w:val="center"/>
              <w:rPr>
                <w:rFonts w:hint="eastAsia" w:ascii="仿宋" w:hAnsi="仿宋" w:eastAsia="仿宋" w:cs="仿宋"/>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w:t>
            </w:r>
            <w:r>
              <w:rPr>
                <w:rStyle w:val="34"/>
                <w:rFonts w:hint="eastAsia" w:ascii="仿宋" w:hAnsi="仿宋" w:eastAsia="仿宋" w:cs="仿宋"/>
                <w:color w:val="auto"/>
                <w:sz w:val="24"/>
                <w:szCs w:val="24"/>
                <w:highlight w:val="none"/>
                <w:lang w:bidi="ar"/>
              </w:rPr>
              <w:t>3D Roadmap</w:t>
            </w:r>
            <w:r>
              <w:rPr>
                <w:rStyle w:val="33"/>
                <w:rFonts w:hint="eastAsia" w:ascii="仿宋" w:hAnsi="仿宋" w:eastAsia="仿宋" w:cs="仿宋"/>
                <w:color w:val="auto"/>
                <w:sz w:val="24"/>
                <w:szCs w:val="24"/>
                <w:highlight w:val="none"/>
                <w:lang w:bidi="ar"/>
              </w:rPr>
              <w:t>，允许</w:t>
            </w:r>
            <w:r>
              <w:rPr>
                <w:rStyle w:val="34"/>
                <w:rFonts w:hint="eastAsia" w:ascii="仿宋" w:hAnsi="仿宋" w:eastAsia="仿宋" w:cs="仿宋"/>
                <w:color w:val="auto"/>
                <w:sz w:val="24"/>
                <w:szCs w:val="24"/>
                <w:highlight w:val="none"/>
                <w:lang w:bidi="ar"/>
              </w:rPr>
              <w:t>SID</w:t>
            </w:r>
            <w:r>
              <w:rPr>
                <w:rStyle w:val="33"/>
                <w:rFonts w:hint="eastAsia" w:ascii="仿宋" w:hAnsi="仿宋" w:eastAsia="仿宋" w:cs="仿宋"/>
                <w:color w:val="auto"/>
                <w:sz w:val="24"/>
                <w:szCs w:val="24"/>
                <w:highlight w:val="none"/>
                <w:lang w:bidi="ar"/>
              </w:rPr>
              <w:t>、</w:t>
            </w:r>
            <w:r>
              <w:rPr>
                <w:rStyle w:val="34"/>
                <w:rFonts w:hint="eastAsia" w:ascii="仿宋" w:hAnsi="仿宋" w:eastAsia="仿宋" w:cs="仿宋"/>
                <w:color w:val="auto"/>
                <w:sz w:val="24"/>
                <w:szCs w:val="24"/>
                <w:highlight w:val="none"/>
                <w:lang w:bidi="ar"/>
              </w:rPr>
              <w:t>C</w:t>
            </w:r>
            <w:r>
              <w:rPr>
                <w:rStyle w:val="33"/>
                <w:rFonts w:hint="eastAsia" w:ascii="仿宋" w:hAnsi="仿宋" w:eastAsia="仿宋" w:cs="仿宋"/>
                <w:color w:val="auto"/>
                <w:sz w:val="24"/>
                <w:szCs w:val="24"/>
                <w:highlight w:val="none"/>
                <w:lang w:bidi="ar"/>
              </w:rPr>
              <w:t>臂角度调节、机架运动等</w:t>
            </w:r>
            <w:r>
              <w:rPr>
                <w:rStyle w:val="33"/>
                <w:rFonts w:hint="eastAsia" w:ascii="仿宋" w:hAnsi="仿宋" w:eastAsia="仿宋" w:cs="仿宋"/>
                <w:color w:val="auto"/>
                <w:sz w:val="24"/>
                <w:szCs w:val="24"/>
                <w:highlight w:val="none"/>
                <w:lang w:eastAsia="zh-CN" w:bidi="ar"/>
              </w:rPr>
              <w:t>。</w:t>
            </w:r>
          </w:p>
        </w:tc>
      </w:tr>
      <w:tr w14:paraId="3B690FA3">
        <w:tblPrEx>
          <w:tblCellMar>
            <w:top w:w="0" w:type="dxa"/>
            <w:left w:w="108" w:type="dxa"/>
            <w:bottom w:w="0" w:type="dxa"/>
            <w:right w:w="108" w:type="dxa"/>
          </w:tblCellMar>
        </w:tblPrEx>
        <w:tc>
          <w:tcPr>
            <w:tcW w:w="1729" w:type="dxa"/>
            <w:vAlign w:val="center"/>
          </w:tcPr>
          <w:p w14:paraId="68A9D594">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11.3</w:t>
            </w:r>
          </w:p>
        </w:tc>
        <w:tc>
          <w:tcPr>
            <w:tcW w:w="6793" w:type="dxa"/>
            <w:vAlign w:val="center"/>
          </w:tcPr>
          <w:p w14:paraId="70D743A8">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支持发送</w:t>
            </w:r>
            <w:r>
              <w:rPr>
                <w:rStyle w:val="34"/>
                <w:rFonts w:hint="eastAsia" w:ascii="仿宋" w:hAnsi="仿宋" w:eastAsia="仿宋" w:cs="仿宋"/>
                <w:color w:val="auto"/>
                <w:sz w:val="24"/>
                <w:szCs w:val="24"/>
                <w:highlight w:val="none"/>
                <w:lang w:bidi="ar"/>
              </w:rPr>
              <w:t>3D</w:t>
            </w:r>
            <w:r>
              <w:rPr>
                <w:rStyle w:val="33"/>
                <w:rFonts w:hint="eastAsia" w:ascii="仿宋" w:hAnsi="仿宋" w:eastAsia="仿宋" w:cs="仿宋"/>
                <w:color w:val="auto"/>
                <w:sz w:val="24"/>
                <w:szCs w:val="24"/>
                <w:highlight w:val="none"/>
                <w:lang w:bidi="ar"/>
              </w:rPr>
              <w:t>角度、支持</w:t>
            </w:r>
            <w:r>
              <w:rPr>
                <w:rStyle w:val="34"/>
                <w:rFonts w:hint="eastAsia" w:ascii="仿宋" w:hAnsi="仿宋" w:eastAsia="仿宋" w:cs="仿宋"/>
                <w:color w:val="auto"/>
                <w:sz w:val="24"/>
                <w:szCs w:val="24"/>
                <w:highlight w:val="none"/>
                <w:lang w:bidi="ar"/>
              </w:rPr>
              <w:t>VR</w:t>
            </w:r>
            <w:r>
              <w:rPr>
                <w:rStyle w:val="33"/>
                <w:rFonts w:hint="eastAsia" w:ascii="仿宋" w:hAnsi="仿宋" w:eastAsia="仿宋" w:cs="仿宋"/>
                <w:color w:val="auto"/>
                <w:sz w:val="24"/>
                <w:szCs w:val="24"/>
                <w:highlight w:val="none"/>
                <w:lang w:bidi="ar"/>
              </w:rPr>
              <w:t>图像与</w:t>
            </w:r>
            <w:r>
              <w:rPr>
                <w:rStyle w:val="34"/>
                <w:rFonts w:hint="eastAsia" w:ascii="仿宋" w:hAnsi="仿宋" w:eastAsia="仿宋" w:cs="仿宋"/>
                <w:color w:val="auto"/>
                <w:sz w:val="24"/>
                <w:szCs w:val="24"/>
                <w:highlight w:val="none"/>
                <w:lang w:bidi="ar"/>
              </w:rPr>
              <w:t>C</w:t>
            </w:r>
            <w:r>
              <w:rPr>
                <w:rStyle w:val="33"/>
                <w:rFonts w:hint="eastAsia" w:ascii="仿宋" w:hAnsi="仿宋" w:eastAsia="仿宋" w:cs="仿宋"/>
                <w:color w:val="auto"/>
                <w:sz w:val="24"/>
                <w:szCs w:val="24"/>
                <w:highlight w:val="none"/>
                <w:lang w:bidi="ar"/>
              </w:rPr>
              <w:t>臂关联</w:t>
            </w:r>
            <w:r>
              <w:rPr>
                <w:rStyle w:val="33"/>
                <w:rFonts w:hint="eastAsia" w:ascii="仿宋" w:hAnsi="仿宋" w:eastAsia="仿宋" w:cs="仿宋"/>
                <w:color w:val="auto"/>
                <w:sz w:val="24"/>
                <w:szCs w:val="24"/>
                <w:highlight w:val="none"/>
                <w:lang w:eastAsia="zh-CN" w:bidi="ar"/>
              </w:rPr>
              <w:t>。</w:t>
            </w:r>
          </w:p>
        </w:tc>
      </w:tr>
      <w:tr w14:paraId="0065A215">
        <w:tblPrEx>
          <w:tblCellMar>
            <w:top w:w="0" w:type="dxa"/>
            <w:left w:w="108" w:type="dxa"/>
            <w:bottom w:w="0" w:type="dxa"/>
            <w:right w:w="108" w:type="dxa"/>
          </w:tblCellMar>
        </w:tblPrEx>
        <w:tc>
          <w:tcPr>
            <w:tcW w:w="1729" w:type="dxa"/>
            <w:vAlign w:val="center"/>
          </w:tcPr>
          <w:p w14:paraId="0BDC46B8">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11.4</w:t>
            </w:r>
          </w:p>
        </w:tc>
        <w:tc>
          <w:tcPr>
            <w:tcW w:w="6793" w:type="dxa"/>
            <w:vAlign w:val="center"/>
          </w:tcPr>
          <w:p w14:paraId="40308BA5">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支持多容积重建，数据源≥4</w:t>
            </w:r>
            <w:r>
              <w:rPr>
                <w:rFonts w:hint="eastAsia" w:ascii="仿宋" w:hAnsi="仿宋" w:eastAsia="仿宋" w:cs="仿宋"/>
                <w:color w:val="auto"/>
                <w:kern w:val="0"/>
                <w:sz w:val="24"/>
                <w:szCs w:val="24"/>
                <w:highlight w:val="none"/>
                <w:lang w:eastAsia="zh-CN" w:bidi="ar"/>
              </w:rPr>
              <w:t>。</w:t>
            </w:r>
          </w:p>
        </w:tc>
      </w:tr>
      <w:tr w14:paraId="33367F09">
        <w:tblPrEx>
          <w:tblCellMar>
            <w:top w:w="0" w:type="dxa"/>
            <w:left w:w="108" w:type="dxa"/>
            <w:bottom w:w="0" w:type="dxa"/>
            <w:right w:w="108" w:type="dxa"/>
          </w:tblCellMar>
        </w:tblPrEx>
        <w:tc>
          <w:tcPr>
            <w:tcW w:w="1729" w:type="dxa"/>
            <w:vAlign w:val="center"/>
          </w:tcPr>
          <w:p w14:paraId="3C5C93BC">
            <w:pPr>
              <w:widowControl/>
              <w:spacing w:line="360" w:lineRule="auto"/>
              <w:jc w:val="left"/>
              <w:textAlignment w:val="center"/>
              <w:rPr>
                <w:rFonts w:hint="eastAsia" w:ascii="仿宋" w:hAnsi="仿宋" w:eastAsia="仿宋" w:cs="仿宋"/>
                <w:bCs/>
                <w:color w:val="auto"/>
                <w:sz w:val="24"/>
                <w:szCs w:val="24"/>
                <w:highlight w:val="none"/>
              </w:rPr>
            </w:pPr>
            <w:r>
              <w:rPr>
                <w:rStyle w:val="37"/>
                <w:rFonts w:hint="eastAsia" w:ascii="仿宋" w:hAnsi="仿宋" w:eastAsia="仿宋" w:cs="仿宋"/>
                <w:color w:val="auto"/>
                <w:sz w:val="24"/>
                <w:szCs w:val="24"/>
                <w:highlight w:val="none"/>
                <w:lang w:bidi="ar"/>
              </w:rPr>
              <w:t>12</w:t>
            </w:r>
            <w:r>
              <w:rPr>
                <w:rFonts w:hint="eastAsia" w:ascii="仿宋" w:hAnsi="仿宋" w:eastAsia="仿宋" w:cs="仿宋"/>
                <w:b/>
                <w:color w:val="auto"/>
                <w:kern w:val="0"/>
                <w:sz w:val="24"/>
                <w:szCs w:val="24"/>
                <w:highlight w:val="none"/>
              </w:rPr>
              <w:t>▲</w:t>
            </w:r>
          </w:p>
        </w:tc>
        <w:tc>
          <w:tcPr>
            <w:tcW w:w="6793" w:type="dxa"/>
            <w:vAlign w:val="center"/>
          </w:tcPr>
          <w:p w14:paraId="7BF8A407">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低剂量算法平台：各厂家提供各自最新的独立高清低剂量算法</w:t>
            </w:r>
          </w:p>
        </w:tc>
      </w:tr>
      <w:tr w14:paraId="2A44FC7F">
        <w:tblPrEx>
          <w:tblCellMar>
            <w:top w:w="0" w:type="dxa"/>
            <w:left w:w="108" w:type="dxa"/>
            <w:bottom w:w="0" w:type="dxa"/>
            <w:right w:w="108" w:type="dxa"/>
          </w:tblCellMar>
        </w:tblPrEx>
        <w:tc>
          <w:tcPr>
            <w:tcW w:w="1729" w:type="dxa"/>
            <w:vAlign w:val="center"/>
          </w:tcPr>
          <w:p w14:paraId="2D17B7B4">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12.1</w:t>
            </w:r>
          </w:p>
        </w:tc>
        <w:tc>
          <w:tcPr>
            <w:tcW w:w="6793" w:type="dxa"/>
            <w:vAlign w:val="center"/>
          </w:tcPr>
          <w:p w14:paraId="54780F78">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针对于器官运动的自动配准，脑部、胸腹部、四肢等采用特定的柔性配准方式</w:t>
            </w:r>
            <w:r>
              <w:rPr>
                <w:rStyle w:val="34"/>
                <w:rFonts w:hint="eastAsia" w:ascii="仿宋" w:hAnsi="仿宋" w:eastAsia="仿宋" w:cs="仿宋"/>
                <w:color w:val="auto"/>
                <w:sz w:val="24"/>
                <w:szCs w:val="24"/>
                <w:highlight w:val="none"/>
                <w:lang w:eastAsia="zh-CN" w:bidi="ar"/>
              </w:rPr>
              <w:t>。</w:t>
            </w:r>
          </w:p>
        </w:tc>
      </w:tr>
      <w:tr w14:paraId="42BCAABA">
        <w:tblPrEx>
          <w:tblCellMar>
            <w:top w:w="0" w:type="dxa"/>
            <w:left w:w="108" w:type="dxa"/>
            <w:bottom w:w="0" w:type="dxa"/>
            <w:right w:w="108" w:type="dxa"/>
          </w:tblCellMar>
        </w:tblPrEx>
        <w:tc>
          <w:tcPr>
            <w:tcW w:w="1729" w:type="dxa"/>
            <w:vAlign w:val="center"/>
          </w:tcPr>
          <w:p w14:paraId="68C0249E">
            <w:pPr>
              <w:widowControl/>
              <w:spacing w:line="360" w:lineRule="auto"/>
              <w:jc w:val="left"/>
              <w:textAlignment w:val="cente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bidi="ar"/>
              </w:rPr>
              <w:t>12.2</w:t>
            </w:r>
          </w:p>
        </w:tc>
        <w:tc>
          <w:tcPr>
            <w:tcW w:w="6793" w:type="dxa"/>
            <w:vAlign w:val="center"/>
          </w:tcPr>
          <w:p w14:paraId="004C674D">
            <w:pPr>
              <w:widowControl/>
              <w:spacing w:line="360" w:lineRule="auto"/>
              <w:jc w:val="left"/>
              <w:textAlignment w:val="center"/>
              <w:rPr>
                <w:rFonts w:hint="eastAsia" w:ascii="仿宋" w:hAnsi="仿宋" w:eastAsia="仿宋" w:cs="仿宋"/>
                <w:b/>
                <w:color w:val="auto"/>
                <w:sz w:val="24"/>
                <w:szCs w:val="24"/>
                <w:highlight w:val="none"/>
                <w:lang w:val="fr-FR" w:eastAsia="zh-CN"/>
              </w:rPr>
            </w:pPr>
            <w:r>
              <w:rPr>
                <w:rStyle w:val="33"/>
                <w:rFonts w:hint="eastAsia" w:ascii="仿宋" w:hAnsi="仿宋" w:eastAsia="仿宋" w:cs="仿宋"/>
                <w:color w:val="auto"/>
                <w:sz w:val="24"/>
                <w:szCs w:val="24"/>
                <w:highlight w:val="none"/>
                <w:lang w:bidi="ar"/>
              </w:rPr>
              <w:t>图像增强技术，采用高低频信号分离方式独立增强各频段信号，实现动态影像增强，并可实现低造影剂下成像</w:t>
            </w:r>
            <w:r>
              <w:rPr>
                <w:rStyle w:val="33"/>
                <w:rFonts w:hint="eastAsia" w:ascii="仿宋" w:hAnsi="仿宋" w:eastAsia="仿宋" w:cs="仿宋"/>
                <w:color w:val="auto"/>
                <w:sz w:val="24"/>
                <w:szCs w:val="24"/>
                <w:highlight w:val="none"/>
                <w:lang w:eastAsia="zh-CN" w:bidi="ar"/>
              </w:rPr>
              <w:t>。</w:t>
            </w:r>
          </w:p>
        </w:tc>
      </w:tr>
      <w:tr w14:paraId="7BF50D1D">
        <w:tblPrEx>
          <w:tblCellMar>
            <w:top w:w="0" w:type="dxa"/>
            <w:left w:w="108" w:type="dxa"/>
            <w:bottom w:w="0" w:type="dxa"/>
            <w:right w:w="108" w:type="dxa"/>
          </w:tblCellMar>
        </w:tblPrEx>
        <w:tc>
          <w:tcPr>
            <w:tcW w:w="1729" w:type="dxa"/>
            <w:vAlign w:val="center"/>
          </w:tcPr>
          <w:p w14:paraId="7B29FC71">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12.3</w:t>
            </w:r>
          </w:p>
        </w:tc>
        <w:tc>
          <w:tcPr>
            <w:tcW w:w="6793" w:type="dxa"/>
            <w:vAlign w:val="center"/>
          </w:tcPr>
          <w:p w14:paraId="468A1081">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噪声削减技术，通过时间及空间降噪，使用更多的图像和更大的邻域范围提升图像信噪比。</w:t>
            </w:r>
          </w:p>
        </w:tc>
      </w:tr>
      <w:tr w14:paraId="67DF3881">
        <w:tblPrEx>
          <w:tblCellMar>
            <w:top w:w="0" w:type="dxa"/>
            <w:left w:w="108" w:type="dxa"/>
            <w:bottom w:w="0" w:type="dxa"/>
            <w:right w:w="108" w:type="dxa"/>
          </w:tblCellMar>
        </w:tblPrEx>
        <w:tc>
          <w:tcPr>
            <w:tcW w:w="1729" w:type="dxa"/>
            <w:vAlign w:val="center"/>
          </w:tcPr>
          <w:p w14:paraId="6EA6CC2D">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b/>
                <w:bCs/>
                <w:color w:val="auto"/>
                <w:kern w:val="0"/>
                <w:sz w:val="24"/>
                <w:szCs w:val="24"/>
                <w:highlight w:val="none"/>
                <w:lang w:bidi="ar"/>
              </w:rPr>
              <w:t>13</w:t>
            </w:r>
          </w:p>
        </w:tc>
        <w:tc>
          <w:tcPr>
            <w:tcW w:w="6793" w:type="dxa"/>
            <w:vAlign w:val="center"/>
          </w:tcPr>
          <w:p w14:paraId="1118CAAF">
            <w:pPr>
              <w:widowControl/>
              <w:spacing w:line="360" w:lineRule="auto"/>
              <w:jc w:val="left"/>
              <w:textAlignment w:val="center"/>
              <w:rPr>
                <w:rFonts w:hint="eastAsia" w:ascii="仿宋" w:hAnsi="仿宋" w:eastAsia="仿宋" w:cs="仿宋"/>
                <w:bCs/>
                <w:color w:val="auto"/>
                <w:sz w:val="24"/>
                <w:szCs w:val="24"/>
                <w:highlight w:val="none"/>
                <w:lang w:val="fr-FR"/>
              </w:rPr>
            </w:pPr>
            <w:r>
              <w:rPr>
                <w:rFonts w:hint="eastAsia" w:ascii="仿宋" w:hAnsi="仿宋" w:eastAsia="仿宋" w:cs="仿宋"/>
                <w:b/>
                <w:bCs/>
                <w:color w:val="auto"/>
                <w:kern w:val="0"/>
                <w:sz w:val="24"/>
                <w:szCs w:val="24"/>
                <w:highlight w:val="none"/>
                <w:lang w:bidi="ar"/>
              </w:rPr>
              <w:t>其他</w:t>
            </w:r>
          </w:p>
        </w:tc>
      </w:tr>
      <w:tr w14:paraId="55122B8B">
        <w:tblPrEx>
          <w:tblCellMar>
            <w:top w:w="0" w:type="dxa"/>
            <w:left w:w="108" w:type="dxa"/>
            <w:bottom w:w="0" w:type="dxa"/>
            <w:right w:w="108" w:type="dxa"/>
          </w:tblCellMar>
        </w:tblPrEx>
        <w:tc>
          <w:tcPr>
            <w:tcW w:w="1729" w:type="dxa"/>
            <w:vAlign w:val="center"/>
          </w:tcPr>
          <w:p w14:paraId="54E3241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13.1</w:t>
            </w:r>
          </w:p>
        </w:tc>
        <w:tc>
          <w:tcPr>
            <w:tcW w:w="6793" w:type="dxa"/>
            <w:vAlign w:val="center"/>
          </w:tcPr>
          <w:p w14:paraId="3318309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具备床旁运动控制盒，包含机架运动控制，床运动控制，限束器控制，</w:t>
            </w:r>
            <w:r>
              <w:rPr>
                <w:rStyle w:val="35"/>
                <w:rFonts w:hint="eastAsia" w:ascii="仿宋" w:hAnsi="仿宋" w:eastAsia="仿宋" w:cs="仿宋"/>
                <w:color w:val="auto"/>
                <w:sz w:val="24"/>
                <w:szCs w:val="24"/>
                <w:highlight w:val="none"/>
                <w:lang w:bidi="ar"/>
              </w:rPr>
              <w:t>FOV</w:t>
            </w:r>
            <w:r>
              <w:rPr>
                <w:rStyle w:val="36"/>
                <w:rFonts w:hint="eastAsia" w:ascii="仿宋" w:hAnsi="仿宋" w:eastAsia="仿宋" w:cs="仿宋"/>
                <w:color w:val="auto"/>
                <w:sz w:val="24"/>
                <w:szCs w:val="24"/>
                <w:highlight w:val="none"/>
                <w:lang w:bidi="ar"/>
              </w:rPr>
              <w:t>调节</w:t>
            </w:r>
            <w:r>
              <w:rPr>
                <w:rStyle w:val="36"/>
                <w:rFonts w:hint="eastAsia" w:ascii="仿宋" w:hAnsi="仿宋" w:eastAsia="仿宋" w:cs="仿宋"/>
                <w:color w:val="auto"/>
                <w:sz w:val="24"/>
                <w:szCs w:val="24"/>
                <w:highlight w:val="none"/>
                <w:lang w:eastAsia="zh-CN" w:bidi="ar"/>
              </w:rPr>
              <w:t>。</w:t>
            </w:r>
          </w:p>
        </w:tc>
      </w:tr>
      <w:tr w14:paraId="4C7ADF52">
        <w:tblPrEx>
          <w:tblCellMar>
            <w:top w:w="0" w:type="dxa"/>
            <w:left w:w="108" w:type="dxa"/>
            <w:bottom w:w="0" w:type="dxa"/>
            <w:right w:w="108" w:type="dxa"/>
          </w:tblCellMar>
        </w:tblPrEx>
        <w:tc>
          <w:tcPr>
            <w:tcW w:w="1729" w:type="dxa"/>
            <w:vAlign w:val="center"/>
          </w:tcPr>
          <w:p w14:paraId="33DBF70B">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13.2</w:t>
            </w:r>
          </w:p>
        </w:tc>
        <w:tc>
          <w:tcPr>
            <w:tcW w:w="6793" w:type="dxa"/>
            <w:vAlign w:val="center"/>
          </w:tcPr>
          <w:p w14:paraId="6DEF3B3A">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具备触控屏幕，且具备以下功能：射线锁定，运动锁定，</w:t>
            </w:r>
            <w:r>
              <w:rPr>
                <w:rStyle w:val="34"/>
                <w:rFonts w:hint="eastAsia" w:ascii="仿宋" w:hAnsi="仿宋" w:eastAsia="仿宋" w:cs="仿宋"/>
                <w:color w:val="auto"/>
                <w:sz w:val="24"/>
                <w:szCs w:val="24"/>
                <w:highlight w:val="none"/>
                <w:lang w:bidi="ar"/>
              </w:rPr>
              <w:t>Roadmap</w:t>
            </w:r>
            <w:r>
              <w:rPr>
                <w:rStyle w:val="33"/>
                <w:rFonts w:hint="eastAsia" w:ascii="仿宋" w:hAnsi="仿宋" w:eastAsia="仿宋" w:cs="仿宋"/>
                <w:color w:val="auto"/>
                <w:sz w:val="24"/>
                <w:szCs w:val="24"/>
                <w:highlight w:val="none"/>
                <w:lang w:bidi="ar"/>
              </w:rPr>
              <w:t>，智能参考，保存透视，保存参考图，计时器，取消透视报警，激光灯开关，平板探测器横竖切换，屏幕布局切换，透视剂量切换，减影</w:t>
            </w:r>
            <w:r>
              <w:rPr>
                <w:rStyle w:val="34"/>
                <w:rFonts w:hint="eastAsia" w:ascii="仿宋" w:hAnsi="仿宋" w:eastAsia="仿宋" w:cs="仿宋"/>
                <w:color w:val="auto"/>
                <w:sz w:val="24"/>
                <w:szCs w:val="24"/>
                <w:highlight w:val="none"/>
                <w:lang w:bidi="ar"/>
              </w:rPr>
              <w:t>/</w:t>
            </w:r>
            <w:r>
              <w:rPr>
                <w:rStyle w:val="33"/>
                <w:rFonts w:hint="eastAsia" w:ascii="仿宋" w:hAnsi="仿宋" w:eastAsia="仿宋" w:cs="仿宋"/>
                <w:color w:val="auto"/>
                <w:sz w:val="24"/>
                <w:szCs w:val="24"/>
                <w:highlight w:val="none"/>
                <w:lang w:bidi="ar"/>
              </w:rPr>
              <w:t>原像切换，图像播放控制</w:t>
            </w:r>
            <w:r>
              <w:rPr>
                <w:rStyle w:val="33"/>
                <w:rFonts w:hint="eastAsia" w:ascii="仿宋" w:hAnsi="仿宋" w:eastAsia="仿宋" w:cs="仿宋"/>
                <w:color w:val="auto"/>
                <w:sz w:val="24"/>
                <w:szCs w:val="24"/>
                <w:highlight w:val="none"/>
                <w:lang w:eastAsia="zh-CN" w:bidi="ar"/>
              </w:rPr>
              <w:t>。</w:t>
            </w:r>
          </w:p>
        </w:tc>
      </w:tr>
      <w:tr w14:paraId="3AF320AC">
        <w:tblPrEx>
          <w:tblCellMar>
            <w:top w:w="0" w:type="dxa"/>
            <w:left w:w="108" w:type="dxa"/>
            <w:bottom w:w="0" w:type="dxa"/>
            <w:right w:w="108" w:type="dxa"/>
          </w:tblCellMar>
        </w:tblPrEx>
        <w:tc>
          <w:tcPr>
            <w:tcW w:w="1729" w:type="dxa"/>
            <w:vAlign w:val="center"/>
          </w:tcPr>
          <w:p w14:paraId="028C31F2">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13.3</w:t>
            </w:r>
          </w:p>
        </w:tc>
        <w:tc>
          <w:tcPr>
            <w:tcW w:w="6793" w:type="dxa"/>
            <w:vAlign w:val="center"/>
          </w:tcPr>
          <w:p w14:paraId="556BFD0F">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Fonts w:hint="eastAsia" w:ascii="仿宋" w:hAnsi="仿宋" w:eastAsia="仿宋" w:cs="仿宋"/>
                <w:color w:val="auto"/>
                <w:kern w:val="0"/>
                <w:sz w:val="24"/>
                <w:szCs w:val="24"/>
                <w:highlight w:val="none"/>
                <w:lang w:bidi="ar"/>
              </w:rPr>
              <w:t>具备控制室播放控制盒</w:t>
            </w:r>
            <w:r>
              <w:rPr>
                <w:rFonts w:hint="eastAsia" w:ascii="仿宋" w:hAnsi="仿宋" w:eastAsia="仿宋" w:cs="仿宋"/>
                <w:color w:val="auto"/>
                <w:kern w:val="0"/>
                <w:sz w:val="24"/>
                <w:szCs w:val="24"/>
                <w:highlight w:val="none"/>
                <w:lang w:eastAsia="zh-CN" w:bidi="ar"/>
              </w:rPr>
              <w:t>。</w:t>
            </w:r>
          </w:p>
        </w:tc>
      </w:tr>
      <w:tr w14:paraId="6CE0F7C7">
        <w:tblPrEx>
          <w:tblCellMar>
            <w:top w:w="0" w:type="dxa"/>
            <w:left w:w="108" w:type="dxa"/>
            <w:bottom w:w="0" w:type="dxa"/>
            <w:right w:w="108" w:type="dxa"/>
          </w:tblCellMar>
        </w:tblPrEx>
        <w:tc>
          <w:tcPr>
            <w:tcW w:w="1729" w:type="dxa"/>
            <w:vAlign w:val="center"/>
          </w:tcPr>
          <w:p w14:paraId="218DF3FF">
            <w:pPr>
              <w:widowControl/>
              <w:spacing w:line="360" w:lineRule="auto"/>
              <w:jc w:val="left"/>
              <w:textAlignment w:val="center"/>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bidi="ar"/>
              </w:rPr>
              <w:t>13.4</w:t>
            </w:r>
          </w:p>
        </w:tc>
        <w:tc>
          <w:tcPr>
            <w:tcW w:w="6793" w:type="dxa"/>
            <w:vAlign w:val="center"/>
          </w:tcPr>
          <w:p w14:paraId="47B173CD">
            <w:pPr>
              <w:widowControl/>
              <w:spacing w:line="360" w:lineRule="auto"/>
              <w:jc w:val="left"/>
              <w:textAlignment w:val="center"/>
              <w:rPr>
                <w:rFonts w:hint="eastAsia" w:ascii="仿宋" w:hAnsi="仿宋" w:eastAsia="仿宋" w:cs="仿宋"/>
                <w:bCs/>
                <w:color w:val="auto"/>
                <w:sz w:val="24"/>
                <w:szCs w:val="24"/>
                <w:highlight w:val="none"/>
                <w:lang w:val="fr-FR" w:eastAsia="zh-CN"/>
              </w:rPr>
            </w:pPr>
            <w:r>
              <w:rPr>
                <w:rStyle w:val="33"/>
                <w:rFonts w:hint="eastAsia" w:ascii="仿宋" w:hAnsi="仿宋" w:eastAsia="仿宋" w:cs="仿宋"/>
                <w:color w:val="auto"/>
                <w:sz w:val="24"/>
                <w:szCs w:val="24"/>
                <w:highlight w:val="none"/>
                <w:lang w:bidi="ar"/>
              </w:rPr>
              <w:t>具备一键开机</w:t>
            </w:r>
            <w:r>
              <w:rPr>
                <w:rStyle w:val="34"/>
                <w:rFonts w:hint="eastAsia" w:ascii="仿宋" w:hAnsi="仿宋" w:eastAsia="仿宋" w:cs="仿宋"/>
                <w:color w:val="auto"/>
                <w:sz w:val="24"/>
                <w:szCs w:val="24"/>
                <w:highlight w:val="none"/>
                <w:lang w:bidi="ar"/>
              </w:rPr>
              <w:t>/</w:t>
            </w:r>
            <w:r>
              <w:rPr>
                <w:rStyle w:val="33"/>
                <w:rFonts w:hint="eastAsia" w:ascii="仿宋" w:hAnsi="仿宋" w:eastAsia="仿宋" w:cs="仿宋"/>
                <w:color w:val="auto"/>
                <w:sz w:val="24"/>
                <w:szCs w:val="24"/>
                <w:highlight w:val="none"/>
                <w:lang w:bidi="ar"/>
              </w:rPr>
              <w:t>强制关机，射线锁定，运动锁定，取消透视报警，</w:t>
            </w:r>
            <w:r>
              <w:rPr>
                <w:rStyle w:val="34"/>
                <w:rFonts w:hint="eastAsia" w:ascii="仿宋" w:hAnsi="仿宋" w:eastAsia="仿宋" w:cs="仿宋"/>
                <w:color w:val="auto"/>
                <w:sz w:val="24"/>
                <w:szCs w:val="24"/>
                <w:highlight w:val="none"/>
                <w:lang w:bidi="ar"/>
              </w:rPr>
              <w:t>X</w:t>
            </w:r>
            <w:r>
              <w:rPr>
                <w:rStyle w:val="33"/>
                <w:rFonts w:hint="eastAsia" w:ascii="仿宋" w:hAnsi="仿宋" w:eastAsia="仿宋" w:cs="仿宋"/>
                <w:color w:val="auto"/>
                <w:sz w:val="24"/>
                <w:szCs w:val="24"/>
                <w:highlight w:val="none"/>
                <w:lang w:bidi="ar"/>
              </w:rPr>
              <w:t>射线提示，图像播放控制，保存透视，保存图像，保存参考图，自定义高频使用功能</w:t>
            </w:r>
            <w:r>
              <w:rPr>
                <w:rStyle w:val="33"/>
                <w:rFonts w:hint="eastAsia" w:ascii="仿宋" w:hAnsi="仿宋" w:eastAsia="仿宋" w:cs="仿宋"/>
                <w:color w:val="auto"/>
                <w:sz w:val="24"/>
                <w:szCs w:val="24"/>
                <w:highlight w:val="none"/>
                <w:lang w:eastAsia="zh-CN" w:bidi="ar"/>
              </w:rPr>
              <w:t>。</w:t>
            </w:r>
          </w:p>
        </w:tc>
      </w:tr>
      <w:tr w14:paraId="30B9FA6D">
        <w:tblPrEx>
          <w:tblCellMar>
            <w:top w:w="0" w:type="dxa"/>
            <w:left w:w="108" w:type="dxa"/>
            <w:bottom w:w="0" w:type="dxa"/>
            <w:right w:w="108" w:type="dxa"/>
          </w:tblCellMar>
        </w:tblPrEx>
        <w:tc>
          <w:tcPr>
            <w:tcW w:w="1729" w:type="dxa"/>
            <w:vAlign w:val="center"/>
          </w:tcPr>
          <w:p w14:paraId="66433E2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13.5</w:t>
            </w:r>
          </w:p>
        </w:tc>
        <w:tc>
          <w:tcPr>
            <w:tcW w:w="6793" w:type="dxa"/>
            <w:vAlign w:val="center"/>
          </w:tcPr>
          <w:p w14:paraId="7A3EF992">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 xml:space="preserve">具备控制室三键手闸， 包含透视，曝光，CBCT扫描功能 </w:t>
            </w:r>
            <w:r>
              <w:rPr>
                <w:rFonts w:hint="eastAsia" w:ascii="仿宋" w:hAnsi="仿宋" w:eastAsia="仿宋" w:cs="仿宋"/>
                <w:color w:val="auto"/>
                <w:kern w:val="0"/>
                <w:sz w:val="24"/>
                <w:szCs w:val="24"/>
                <w:highlight w:val="none"/>
                <w:lang w:eastAsia="zh-CN" w:bidi="ar"/>
              </w:rPr>
              <w:t>。</w:t>
            </w:r>
          </w:p>
        </w:tc>
      </w:tr>
      <w:tr w14:paraId="26220A59">
        <w:tblPrEx>
          <w:tblCellMar>
            <w:top w:w="0" w:type="dxa"/>
            <w:left w:w="108" w:type="dxa"/>
            <w:bottom w:w="0" w:type="dxa"/>
            <w:right w:w="108" w:type="dxa"/>
          </w:tblCellMar>
        </w:tblPrEx>
        <w:tc>
          <w:tcPr>
            <w:tcW w:w="1729" w:type="dxa"/>
            <w:vAlign w:val="center"/>
          </w:tcPr>
          <w:p w14:paraId="54B2998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13.6</w:t>
            </w:r>
          </w:p>
        </w:tc>
        <w:tc>
          <w:tcPr>
            <w:tcW w:w="6793" w:type="dxa"/>
            <w:vAlign w:val="center"/>
          </w:tcPr>
          <w:p w14:paraId="435F1EF5">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床旁脚闸</w:t>
            </w:r>
            <w:r>
              <w:rPr>
                <w:rFonts w:hint="eastAsia" w:ascii="仿宋" w:hAnsi="仿宋" w:eastAsia="仿宋" w:cs="仿宋"/>
                <w:color w:val="auto"/>
                <w:kern w:val="0"/>
                <w:sz w:val="24"/>
                <w:szCs w:val="24"/>
                <w:highlight w:val="none"/>
                <w:lang w:eastAsia="zh-CN" w:bidi="ar"/>
              </w:rPr>
              <w:t>。</w:t>
            </w:r>
          </w:p>
        </w:tc>
      </w:tr>
      <w:tr w14:paraId="7285E369">
        <w:tblPrEx>
          <w:tblCellMar>
            <w:top w:w="0" w:type="dxa"/>
            <w:left w:w="108" w:type="dxa"/>
            <w:bottom w:w="0" w:type="dxa"/>
            <w:right w:w="108" w:type="dxa"/>
          </w:tblCellMar>
        </w:tblPrEx>
        <w:tc>
          <w:tcPr>
            <w:tcW w:w="1729" w:type="dxa"/>
            <w:vAlign w:val="center"/>
          </w:tcPr>
          <w:p w14:paraId="6C5C6CD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13.7</w:t>
            </w:r>
          </w:p>
        </w:tc>
        <w:tc>
          <w:tcPr>
            <w:tcW w:w="6793" w:type="dxa"/>
            <w:vAlign w:val="center"/>
          </w:tcPr>
          <w:p w14:paraId="68EA50BC">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Style w:val="33"/>
                <w:rFonts w:hint="eastAsia" w:ascii="仿宋" w:hAnsi="仿宋" w:eastAsia="仿宋" w:cs="仿宋"/>
                <w:color w:val="auto"/>
                <w:sz w:val="24"/>
                <w:szCs w:val="24"/>
                <w:highlight w:val="none"/>
                <w:lang w:bidi="ar"/>
              </w:rPr>
              <w:t>双向对讲机</w:t>
            </w:r>
            <w:r>
              <w:rPr>
                <w:rStyle w:val="33"/>
                <w:rFonts w:hint="eastAsia" w:ascii="仿宋" w:hAnsi="仿宋" w:eastAsia="仿宋" w:cs="仿宋"/>
                <w:color w:val="auto"/>
                <w:sz w:val="24"/>
                <w:szCs w:val="24"/>
                <w:highlight w:val="none"/>
                <w:lang w:eastAsia="zh-CN" w:bidi="ar"/>
              </w:rPr>
              <w:t>。</w:t>
            </w:r>
          </w:p>
        </w:tc>
      </w:tr>
      <w:tr w14:paraId="340A89B7">
        <w:tblPrEx>
          <w:tblCellMar>
            <w:top w:w="0" w:type="dxa"/>
            <w:left w:w="108" w:type="dxa"/>
            <w:bottom w:w="0" w:type="dxa"/>
            <w:right w:w="108" w:type="dxa"/>
          </w:tblCellMar>
        </w:tblPrEx>
        <w:tc>
          <w:tcPr>
            <w:tcW w:w="1729" w:type="dxa"/>
            <w:vAlign w:val="center"/>
          </w:tcPr>
          <w:p w14:paraId="7183E58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14</w:t>
            </w:r>
          </w:p>
        </w:tc>
        <w:tc>
          <w:tcPr>
            <w:tcW w:w="6793" w:type="dxa"/>
            <w:vAlign w:val="center"/>
          </w:tcPr>
          <w:p w14:paraId="56400635">
            <w:pPr>
              <w:widowControl/>
              <w:spacing w:line="360" w:lineRule="auto"/>
              <w:textAlignment w:val="center"/>
              <w:rPr>
                <w:rStyle w:val="33"/>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rPr>
              <w:t>心脏介入工具</w:t>
            </w:r>
          </w:p>
        </w:tc>
      </w:tr>
      <w:tr w14:paraId="04B326C5">
        <w:tblPrEx>
          <w:tblCellMar>
            <w:top w:w="0" w:type="dxa"/>
            <w:left w:w="108" w:type="dxa"/>
            <w:bottom w:w="0" w:type="dxa"/>
            <w:right w:w="108" w:type="dxa"/>
          </w:tblCellMar>
        </w:tblPrEx>
        <w:tc>
          <w:tcPr>
            <w:tcW w:w="1729" w:type="dxa"/>
            <w:vAlign w:val="center"/>
          </w:tcPr>
          <w:p w14:paraId="478194BD">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14.1</w:t>
            </w:r>
          </w:p>
        </w:tc>
        <w:tc>
          <w:tcPr>
            <w:tcW w:w="6793" w:type="dxa"/>
            <w:vAlign w:val="center"/>
          </w:tcPr>
          <w:p w14:paraId="596992CB">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支持标记、提取血管轮廓</w:t>
            </w:r>
            <w:r>
              <w:rPr>
                <w:rFonts w:hint="eastAsia" w:ascii="仿宋" w:hAnsi="仿宋" w:eastAsia="仿宋" w:cs="仿宋"/>
                <w:color w:val="auto"/>
                <w:kern w:val="0"/>
                <w:sz w:val="24"/>
                <w:szCs w:val="24"/>
                <w:highlight w:val="none"/>
                <w:lang w:eastAsia="zh-CN" w:bidi="ar"/>
              </w:rPr>
              <w:t>。</w:t>
            </w:r>
          </w:p>
        </w:tc>
      </w:tr>
      <w:tr w14:paraId="0A863A63">
        <w:tblPrEx>
          <w:tblCellMar>
            <w:top w:w="0" w:type="dxa"/>
            <w:left w:w="108" w:type="dxa"/>
            <w:bottom w:w="0" w:type="dxa"/>
            <w:right w:w="108" w:type="dxa"/>
          </w:tblCellMar>
        </w:tblPrEx>
        <w:tc>
          <w:tcPr>
            <w:tcW w:w="1729" w:type="dxa"/>
            <w:vAlign w:val="center"/>
          </w:tcPr>
          <w:p w14:paraId="1E49969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14.2</w:t>
            </w:r>
          </w:p>
        </w:tc>
        <w:tc>
          <w:tcPr>
            <w:tcW w:w="6793" w:type="dxa"/>
            <w:vAlign w:val="center"/>
          </w:tcPr>
          <w:p w14:paraId="660DA346">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支持血管直径、参考直径、狭窄直径、血管长度、狭窄长度、狭窄率等狭窄结果的计算和显示，支持标识线的编辑</w:t>
            </w:r>
            <w:r>
              <w:rPr>
                <w:rFonts w:hint="eastAsia" w:ascii="仿宋" w:hAnsi="仿宋" w:eastAsia="仿宋" w:cs="仿宋"/>
                <w:color w:val="auto"/>
                <w:kern w:val="0"/>
                <w:sz w:val="24"/>
                <w:szCs w:val="24"/>
                <w:highlight w:val="none"/>
                <w:lang w:eastAsia="zh-CN" w:bidi="ar"/>
              </w:rPr>
              <w:t>。</w:t>
            </w:r>
          </w:p>
        </w:tc>
      </w:tr>
      <w:tr w14:paraId="7A705725">
        <w:tblPrEx>
          <w:tblCellMar>
            <w:top w:w="0" w:type="dxa"/>
            <w:left w:w="108" w:type="dxa"/>
            <w:bottom w:w="0" w:type="dxa"/>
            <w:right w:w="108" w:type="dxa"/>
          </w:tblCellMar>
        </w:tblPrEx>
        <w:tc>
          <w:tcPr>
            <w:tcW w:w="1729" w:type="dxa"/>
            <w:vAlign w:val="center"/>
          </w:tcPr>
          <w:p w14:paraId="5FE3235C">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14.3</w:t>
            </w:r>
          </w:p>
        </w:tc>
        <w:tc>
          <w:tcPr>
            <w:tcW w:w="6793" w:type="dxa"/>
            <w:vAlign w:val="center"/>
          </w:tcPr>
          <w:p w14:paraId="433EF7F9">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支持狭窄报告的截图保存</w:t>
            </w:r>
            <w:r>
              <w:rPr>
                <w:rFonts w:hint="eastAsia" w:ascii="仿宋" w:hAnsi="仿宋" w:eastAsia="仿宋" w:cs="仿宋"/>
                <w:color w:val="auto"/>
                <w:kern w:val="0"/>
                <w:sz w:val="24"/>
                <w:szCs w:val="24"/>
                <w:highlight w:val="none"/>
                <w:lang w:eastAsia="zh-CN" w:bidi="ar"/>
              </w:rPr>
              <w:t>。</w:t>
            </w:r>
          </w:p>
        </w:tc>
      </w:tr>
      <w:tr w14:paraId="1917D630">
        <w:tblPrEx>
          <w:tblCellMar>
            <w:top w:w="0" w:type="dxa"/>
            <w:left w:w="108" w:type="dxa"/>
            <w:bottom w:w="0" w:type="dxa"/>
            <w:right w:w="108" w:type="dxa"/>
          </w:tblCellMar>
        </w:tblPrEx>
        <w:tc>
          <w:tcPr>
            <w:tcW w:w="1729" w:type="dxa"/>
            <w:vAlign w:val="center"/>
          </w:tcPr>
          <w:p w14:paraId="7507BF7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14.4</w:t>
            </w:r>
          </w:p>
        </w:tc>
        <w:tc>
          <w:tcPr>
            <w:tcW w:w="6793" w:type="dxa"/>
            <w:vAlign w:val="center"/>
          </w:tcPr>
          <w:p w14:paraId="03656831">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支持支架精细显影</w:t>
            </w:r>
            <w:r>
              <w:rPr>
                <w:rFonts w:hint="eastAsia" w:ascii="仿宋" w:hAnsi="仿宋" w:eastAsia="仿宋" w:cs="仿宋"/>
                <w:color w:val="auto"/>
                <w:kern w:val="0"/>
                <w:sz w:val="24"/>
                <w:szCs w:val="24"/>
                <w:highlight w:val="none"/>
                <w:lang w:eastAsia="zh-CN" w:bidi="ar"/>
              </w:rPr>
              <w:t>。</w:t>
            </w:r>
          </w:p>
        </w:tc>
      </w:tr>
      <w:tr w14:paraId="6243640A">
        <w:tblPrEx>
          <w:tblCellMar>
            <w:top w:w="0" w:type="dxa"/>
            <w:left w:w="108" w:type="dxa"/>
            <w:bottom w:w="0" w:type="dxa"/>
            <w:right w:w="108" w:type="dxa"/>
          </w:tblCellMar>
        </w:tblPrEx>
        <w:tc>
          <w:tcPr>
            <w:tcW w:w="1729" w:type="dxa"/>
            <w:vAlign w:val="center"/>
          </w:tcPr>
          <w:p w14:paraId="55A804A4">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14.5</w:t>
            </w:r>
          </w:p>
        </w:tc>
        <w:tc>
          <w:tcPr>
            <w:tcW w:w="6793" w:type="dxa"/>
            <w:vAlign w:val="center"/>
          </w:tcPr>
          <w:p w14:paraId="43EC4145">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具备冠脉增强功能</w:t>
            </w:r>
            <w:r>
              <w:rPr>
                <w:rFonts w:hint="eastAsia" w:ascii="仿宋" w:hAnsi="仿宋" w:eastAsia="仿宋" w:cs="仿宋"/>
                <w:color w:val="auto"/>
                <w:kern w:val="0"/>
                <w:sz w:val="24"/>
                <w:szCs w:val="24"/>
                <w:highlight w:val="none"/>
                <w:lang w:eastAsia="zh-CN" w:bidi="ar"/>
              </w:rPr>
              <w:t>。</w:t>
            </w:r>
          </w:p>
        </w:tc>
      </w:tr>
      <w:tr w14:paraId="6C902E44">
        <w:tblPrEx>
          <w:tblCellMar>
            <w:top w:w="0" w:type="dxa"/>
            <w:left w:w="108" w:type="dxa"/>
            <w:bottom w:w="0" w:type="dxa"/>
            <w:right w:w="108" w:type="dxa"/>
          </w:tblCellMar>
        </w:tblPrEx>
        <w:tc>
          <w:tcPr>
            <w:tcW w:w="1729" w:type="dxa"/>
            <w:vAlign w:val="center"/>
          </w:tcPr>
          <w:p w14:paraId="5AA04E1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14.6</w:t>
            </w:r>
          </w:p>
        </w:tc>
        <w:tc>
          <w:tcPr>
            <w:tcW w:w="6793" w:type="dxa"/>
            <w:vAlign w:val="center"/>
          </w:tcPr>
          <w:p w14:paraId="24D6FDDB">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具备冠脉定量分析和左心室定量分析功能</w:t>
            </w:r>
            <w:r>
              <w:rPr>
                <w:rFonts w:hint="eastAsia" w:ascii="仿宋" w:hAnsi="仿宋" w:eastAsia="仿宋" w:cs="仿宋"/>
                <w:color w:val="auto"/>
                <w:kern w:val="0"/>
                <w:sz w:val="24"/>
                <w:szCs w:val="24"/>
                <w:highlight w:val="none"/>
                <w:lang w:eastAsia="zh-CN" w:bidi="ar"/>
              </w:rPr>
              <w:t>。</w:t>
            </w:r>
          </w:p>
        </w:tc>
      </w:tr>
      <w:tr w14:paraId="07F25ADD">
        <w:tblPrEx>
          <w:tblCellMar>
            <w:top w:w="0" w:type="dxa"/>
            <w:left w:w="108" w:type="dxa"/>
            <w:bottom w:w="0" w:type="dxa"/>
            <w:right w:w="108" w:type="dxa"/>
          </w:tblCellMar>
        </w:tblPrEx>
        <w:tc>
          <w:tcPr>
            <w:tcW w:w="1729" w:type="dxa"/>
            <w:vAlign w:val="center"/>
          </w:tcPr>
          <w:p w14:paraId="1211D11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15</w:t>
            </w:r>
          </w:p>
        </w:tc>
        <w:tc>
          <w:tcPr>
            <w:tcW w:w="6793" w:type="dxa"/>
            <w:vAlign w:val="center"/>
          </w:tcPr>
          <w:p w14:paraId="6D8B301E">
            <w:pPr>
              <w:widowControl/>
              <w:spacing w:line="360" w:lineRule="auto"/>
              <w:textAlignment w:val="center"/>
              <w:rPr>
                <w:rStyle w:val="33"/>
                <w:rFonts w:hint="eastAsia" w:ascii="仿宋" w:hAnsi="仿宋" w:eastAsia="仿宋" w:cs="仿宋"/>
                <w:color w:val="auto"/>
                <w:sz w:val="24"/>
                <w:szCs w:val="24"/>
                <w:highlight w:val="none"/>
                <w:lang w:bidi="ar"/>
              </w:rPr>
            </w:pPr>
            <w:r>
              <w:rPr>
                <w:rFonts w:hint="eastAsia" w:ascii="仿宋" w:hAnsi="仿宋" w:eastAsia="仿宋" w:cs="仿宋"/>
                <w:b/>
                <w:bCs/>
                <w:color w:val="auto"/>
                <w:kern w:val="0"/>
                <w:sz w:val="24"/>
                <w:szCs w:val="24"/>
                <w:highlight w:val="none"/>
                <w:lang w:bidi="ar"/>
              </w:rPr>
              <w:t>3D DSA功能</w:t>
            </w:r>
          </w:p>
        </w:tc>
      </w:tr>
      <w:tr w14:paraId="0C5759B0">
        <w:tblPrEx>
          <w:tblCellMar>
            <w:top w:w="0" w:type="dxa"/>
            <w:left w:w="108" w:type="dxa"/>
            <w:bottom w:w="0" w:type="dxa"/>
            <w:right w:w="108" w:type="dxa"/>
          </w:tblCellMar>
        </w:tblPrEx>
        <w:tc>
          <w:tcPr>
            <w:tcW w:w="1729" w:type="dxa"/>
            <w:vAlign w:val="center"/>
          </w:tcPr>
          <w:p w14:paraId="06E23C5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15.1</w:t>
            </w:r>
          </w:p>
        </w:tc>
        <w:tc>
          <w:tcPr>
            <w:tcW w:w="6793" w:type="dxa"/>
            <w:vAlign w:val="center"/>
          </w:tcPr>
          <w:p w14:paraId="414E87AB">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支持任意方向的三维成像，实时数码显示机架位置，多平面重建:可在冠状,矢状及轴位观察</w:t>
            </w:r>
            <w:r>
              <w:rPr>
                <w:rFonts w:hint="eastAsia" w:ascii="仿宋" w:hAnsi="仿宋" w:eastAsia="仿宋" w:cs="仿宋"/>
                <w:color w:val="auto"/>
                <w:kern w:val="0"/>
                <w:sz w:val="24"/>
                <w:szCs w:val="24"/>
                <w:highlight w:val="none"/>
                <w:lang w:eastAsia="zh-CN" w:bidi="ar"/>
              </w:rPr>
              <w:t>。</w:t>
            </w:r>
          </w:p>
        </w:tc>
      </w:tr>
      <w:tr w14:paraId="1613F27C">
        <w:tblPrEx>
          <w:tblCellMar>
            <w:top w:w="0" w:type="dxa"/>
            <w:left w:w="108" w:type="dxa"/>
            <w:bottom w:w="0" w:type="dxa"/>
            <w:right w:w="108" w:type="dxa"/>
          </w:tblCellMar>
        </w:tblPrEx>
        <w:tc>
          <w:tcPr>
            <w:tcW w:w="1729" w:type="dxa"/>
            <w:vAlign w:val="center"/>
          </w:tcPr>
          <w:p w14:paraId="50083DE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15.2</w:t>
            </w:r>
          </w:p>
        </w:tc>
        <w:tc>
          <w:tcPr>
            <w:tcW w:w="6793" w:type="dxa"/>
            <w:vAlign w:val="center"/>
          </w:tcPr>
          <w:p w14:paraId="4A675E56">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支持长度测量，体积计算，放大重建，减影非减影重建</w:t>
            </w:r>
            <w:r>
              <w:rPr>
                <w:rFonts w:hint="eastAsia" w:ascii="仿宋" w:hAnsi="仿宋" w:eastAsia="仿宋" w:cs="仿宋"/>
                <w:color w:val="auto"/>
                <w:kern w:val="0"/>
                <w:sz w:val="24"/>
                <w:szCs w:val="24"/>
                <w:highlight w:val="none"/>
                <w:lang w:eastAsia="zh-CN" w:bidi="ar"/>
              </w:rPr>
              <w:t>。</w:t>
            </w:r>
          </w:p>
        </w:tc>
      </w:tr>
      <w:tr w14:paraId="34EE8528">
        <w:tblPrEx>
          <w:tblCellMar>
            <w:top w:w="0" w:type="dxa"/>
            <w:left w:w="108" w:type="dxa"/>
            <w:bottom w:w="0" w:type="dxa"/>
            <w:right w:w="108" w:type="dxa"/>
          </w:tblCellMar>
        </w:tblPrEx>
        <w:tc>
          <w:tcPr>
            <w:tcW w:w="1729" w:type="dxa"/>
            <w:vAlign w:val="center"/>
          </w:tcPr>
          <w:p w14:paraId="41811A39">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16</w:t>
            </w:r>
          </w:p>
        </w:tc>
        <w:tc>
          <w:tcPr>
            <w:tcW w:w="6793" w:type="dxa"/>
            <w:vAlign w:val="center"/>
          </w:tcPr>
          <w:p w14:paraId="27839B98">
            <w:pPr>
              <w:widowControl/>
              <w:spacing w:line="360" w:lineRule="auto"/>
              <w:jc w:val="left"/>
              <w:textAlignment w:val="center"/>
              <w:rPr>
                <w:rStyle w:val="33"/>
                <w:rFonts w:hint="eastAsia" w:ascii="仿宋" w:hAnsi="仿宋" w:eastAsia="仿宋" w:cs="仿宋"/>
                <w:color w:val="auto"/>
                <w:sz w:val="24"/>
                <w:szCs w:val="24"/>
                <w:highlight w:val="none"/>
                <w:lang w:bidi="ar"/>
              </w:rPr>
            </w:pPr>
            <w:r>
              <w:rPr>
                <w:rFonts w:hint="eastAsia" w:ascii="仿宋" w:hAnsi="仿宋" w:eastAsia="仿宋" w:cs="仿宋"/>
                <w:b/>
                <w:bCs/>
                <w:color w:val="auto"/>
                <w:kern w:val="0"/>
                <w:sz w:val="24"/>
                <w:szCs w:val="24"/>
                <w:highlight w:val="none"/>
                <w:lang w:bidi="ar"/>
              </w:rPr>
              <w:t>类CT成像功能</w:t>
            </w:r>
          </w:p>
        </w:tc>
      </w:tr>
      <w:tr w14:paraId="485E2D65">
        <w:tblPrEx>
          <w:tblCellMar>
            <w:top w:w="0" w:type="dxa"/>
            <w:left w:w="108" w:type="dxa"/>
            <w:bottom w:w="0" w:type="dxa"/>
            <w:right w:w="108" w:type="dxa"/>
          </w:tblCellMar>
        </w:tblPrEx>
        <w:tc>
          <w:tcPr>
            <w:tcW w:w="1729" w:type="dxa"/>
            <w:vAlign w:val="center"/>
          </w:tcPr>
          <w:p w14:paraId="6EDA0078">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16.1</w:t>
            </w:r>
          </w:p>
        </w:tc>
        <w:tc>
          <w:tcPr>
            <w:tcW w:w="6793" w:type="dxa"/>
            <w:vAlign w:val="center"/>
          </w:tcPr>
          <w:p w14:paraId="2C53AC1D">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可让血管机提供CT一样的成像来显示骨头和软组织。拥有多种协议可以采集从神经到腹部及高清晰图像。所有的采集协议可以从床旁的液晶触摸屏上控制。支持高速采集，以保证得到高标准CT一样的软组织容积成像，配备的神经、腹部等不同位置的专用检查程序。</w:t>
            </w:r>
            <w:r>
              <w:rPr>
                <w:rFonts w:hint="eastAsia" w:ascii="仿宋" w:hAnsi="仿宋" w:eastAsia="仿宋" w:cs="仿宋"/>
                <w:color w:val="auto"/>
                <w:kern w:val="0"/>
                <w:sz w:val="24"/>
                <w:szCs w:val="24"/>
                <w:highlight w:val="none"/>
                <w:lang w:eastAsia="zh-CN" w:bidi="ar"/>
              </w:rPr>
              <w:t>。</w:t>
            </w:r>
          </w:p>
        </w:tc>
      </w:tr>
      <w:tr w14:paraId="77D2ED0B">
        <w:tblPrEx>
          <w:tblCellMar>
            <w:top w:w="0" w:type="dxa"/>
            <w:left w:w="108" w:type="dxa"/>
            <w:bottom w:w="0" w:type="dxa"/>
            <w:right w:w="108" w:type="dxa"/>
          </w:tblCellMar>
        </w:tblPrEx>
        <w:tc>
          <w:tcPr>
            <w:tcW w:w="1729" w:type="dxa"/>
            <w:vAlign w:val="center"/>
          </w:tcPr>
          <w:p w14:paraId="2CB612E1">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16.2</w:t>
            </w:r>
          </w:p>
        </w:tc>
        <w:tc>
          <w:tcPr>
            <w:tcW w:w="6793" w:type="dxa"/>
            <w:vAlign w:val="center"/>
          </w:tcPr>
          <w:p w14:paraId="27580FB7">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三维图像可任意角度观察</w:t>
            </w:r>
            <w:r>
              <w:rPr>
                <w:rFonts w:hint="eastAsia" w:ascii="仿宋" w:hAnsi="仿宋" w:eastAsia="仿宋" w:cs="仿宋"/>
                <w:color w:val="auto"/>
                <w:kern w:val="0"/>
                <w:sz w:val="24"/>
                <w:szCs w:val="24"/>
                <w:highlight w:val="none"/>
                <w:lang w:eastAsia="zh-CN" w:bidi="ar"/>
              </w:rPr>
              <w:t>。</w:t>
            </w:r>
          </w:p>
        </w:tc>
      </w:tr>
      <w:tr w14:paraId="2D4D42CE">
        <w:tblPrEx>
          <w:tblCellMar>
            <w:top w:w="0" w:type="dxa"/>
            <w:left w:w="108" w:type="dxa"/>
            <w:bottom w:w="0" w:type="dxa"/>
            <w:right w:w="108" w:type="dxa"/>
          </w:tblCellMar>
        </w:tblPrEx>
        <w:tc>
          <w:tcPr>
            <w:tcW w:w="1729" w:type="dxa"/>
            <w:vAlign w:val="center"/>
          </w:tcPr>
          <w:p w14:paraId="79A4CAC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16.3</w:t>
            </w:r>
          </w:p>
        </w:tc>
        <w:tc>
          <w:tcPr>
            <w:tcW w:w="6793" w:type="dxa"/>
            <w:vAlign w:val="center"/>
          </w:tcPr>
          <w:p w14:paraId="36CA45ED">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断面图像可任意角度观察，断面可任意调节层厚最薄层为0.5mm</w:t>
            </w:r>
            <w:r>
              <w:rPr>
                <w:rFonts w:hint="eastAsia" w:ascii="仿宋" w:hAnsi="仿宋" w:eastAsia="仿宋" w:cs="仿宋"/>
                <w:color w:val="auto"/>
                <w:kern w:val="0"/>
                <w:sz w:val="24"/>
                <w:szCs w:val="24"/>
                <w:highlight w:val="none"/>
                <w:lang w:eastAsia="zh-CN" w:bidi="ar"/>
              </w:rPr>
              <w:t>。</w:t>
            </w:r>
          </w:p>
        </w:tc>
      </w:tr>
      <w:tr w14:paraId="5389C22C">
        <w:tblPrEx>
          <w:tblCellMar>
            <w:top w:w="0" w:type="dxa"/>
            <w:left w:w="108" w:type="dxa"/>
            <w:bottom w:w="0" w:type="dxa"/>
            <w:right w:w="108" w:type="dxa"/>
          </w:tblCellMar>
        </w:tblPrEx>
        <w:tc>
          <w:tcPr>
            <w:tcW w:w="1729" w:type="dxa"/>
            <w:vAlign w:val="center"/>
          </w:tcPr>
          <w:p w14:paraId="385F90C3">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16.4</w:t>
            </w:r>
          </w:p>
        </w:tc>
        <w:tc>
          <w:tcPr>
            <w:tcW w:w="6793" w:type="dxa"/>
            <w:vAlign w:val="center"/>
          </w:tcPr>
          <w:p w14:paraId="39FA52E0">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同一个重建图像可以进行多次长度测量包括快速测量</w:t>
            </w:r>
            <w:r>
              <w:rPr>
                <w:rFonts w:hint="eastAsia" w:ascii="仿宋" w:hAnsi="仿宋" w:eastAsia="仿宋" w:cs="仿宋"/>
                <w:color w:val="auto"/>
                <w:kern w:val="0"/>
                <w:sz w:val="24"/>
                <w:szCs w:val="24"/>
                <w:highlight w:val="none"/>
                <w:lang w:eastAsia="zh-CN" w:bidi="ar"/>
              </w:rPr>
              <w:t>。</w:t>
            </w:r>
          </w:p>
        </w:tc>
      </w:tr>
      <w:tr w14:paraId="115FC1AD">
        <w:tblPrEx>
          <w:tblCellMar>
            <w:top w:w="0" w:type="dxa"/>
            <w:left w:w="108" w:type="dxa"/>
            <w:bottom w:w="0" w:type="dxa"/>
            <w:right w:w="108" w:type="dxa"/>
          </w:tblCellMar>
        </w:tblPrEx>
        <w:tc>
          <w:tcPr>
            <w:tcW w:w="1729" w:type="dxa"/>
            <w:vAlign w:val="center"/>
          </w:tcPr>
          <w:p w14:paraId="45218052">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16.5</w:t>
            </w:r>
          </w:p>
        </w:tc>
        <w:tc>
          <w:tcPr>
            <w:tcW w:w="6793" w:type="dxa"/>
            <w:vAlign w:val="center"/>
          </w:tcPr>
          <w:p w14:paraId="0B2BCCF1">
            <w:pPr>
              <w:widowControl/>
              <w:spacing w:line="360" w:lineRule="auto"/>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类CT图像可以和血管三维重建图像融合</w:t>
            </w:r>
            <w:r>
              <w:rPr>
                <w:rFonts w:hint="eastAsia" w:ascii="仿宋" w:hAnsi="仿宋" w:eastAsia="仿宋" w:cs="仿宋"/>
                <w:color w:val="auto"/>
                <w:kern w:val="0"/>
                <w:sz w:val="24"/>
                <w:szCs w:val="24"/>
                <w:highlight w:val="none"/>
                <w:lang w:eastAsia="zh-CN" w:bidi="ar"/>
              </w:rPr>
              <w:t>。</w:t>
            </w:r>
          </w:p>
        </w:tc>
      </w:tr>
      <w:tr w14:paraId="4885945A">
        <w:tblPrEx>
          <w:tblCellMar>
            <w:top w:w="0" w:type="dxa"/>
            <w:left w:w="108" w:type="dxa"/>
            <w:bottom w:w="0" w:type="dxa"/>
            <w:right w:w="108" w:type="dxa"/>
          </w:tblCellMar>
        </w:tblPrEx>
        <w:tc>
          <w:tcPr>
            <w:tcW w:w="1729" w:type="dxa"/>
            <w:vAlign w:val="center"/>
          </w:tcPr>
          <w:p w14:paraId="12712E22">
            <w:pPr>
              <w:widowControl/>
              <w:spacing w:line="360" w:lineRule="auto"/>
              <w:jc w:val="left"/>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17</w:t>
            </w:r>
          </w:p>
        </w:tc>
        <w:tc>
          <w:tcPr>
            <w:tcW w:w="6793" w:type="dxa"/>
            <w:vAlign w:val="center"/>
          </w:tcPr>
          <w:p w14:paraId="33D497DA">
            <w:pPr>
              <w:widowControl/>
              <w:spacing w:line="360" w:lineRule="auto"/>
              <w:jc w:val="left"/>
              <w:textAlignment w:val="center"/>
              <w:rPr>
                <w:rStyle w:val="33"/>
                <w:rFonts w:hint="eastAsia" w:ascii="仿宋" w:hAnsi="仿宋" w:eastAsia="仿宋" w:cs="仿宋"/>
                <w:b/>
                <w:bCs/>
                <w:color w:val="auto"/>
                <w:sz w:val="24"/>
                <w:szCs w:val="24"/>
                <w:highlight w:val="none"/>
                <w:lang w:bidi="ar"/>
              </w:rPr>
            </w:pPr>
            <w:r>
              <w:rPr>
                <w:rFonts w:hint="eastAsia" w:ascii="仿宋" w:hAnsi="仿宋" w:eastAsia="仿宋" w:cs="仿宋"/>
                <w:b/>
                <w:bCs/>
                <w:color w:val="auto"/>
                <w:kern w:val="0"/>
                <w:sz w:val="24"/>
                <w:szCs w:val="24"/>
                <w:highlight w:val="none"/>
                <w:lang w:bidi="ar"/>
              </w:rPr>
              <w:t>第三方配置清单</w:t>
            </w:r>
          </w:p>
        </w:tc>
      </w:tr>
      <w:tr w14:paraId="6653C1C3">
        <w:tblPrEx>
          <w:tblCellMar>
            <w:top w:w="0" w:type="dxa"/>
            <w:left w:w="108" w:type="dxa"/>
            <w:bottom w:w="0" w:type="dxa"/>
            <w:right w:w="108" w:type="dxa"/>
          </w:tblCellMar>
        </w:tblPrEx>
        <w:tc>
          <w:tcPr>
            <w:tcW w:w="1729" w:type="dxa"/>
            <w:vAlign w:val="center"/>
          </w:tcPr>
          <w:p w14:paraId="392434C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17.1</w:t>
            </w:r>
          </w:p>
        </w:tc>
        <w:tc>
          <w:tcPr>
            <w:tcW w:w="6793" w:type="dxa"/>
            <w:vAlign w:val="center"/>
          </w:tcPr>
          <w:p w14:paraId="022A9287">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高压注射器（单通道，针筒通用）</w:t>
            </w:r>
            <w:r>
              <w:rPr>
                <w:rFonts w:hint="eastAsia" w:ascii="仿宋" w:hAnsi="仿宋" w:eastAsia="仿宋" w:cs="仿宋"/>
                <w:color w:val="auto"/>
                <w:kern w:val="0"/>
                <w:sz w:val="24"/>
                <w:szCs w:val="24"/>
                <w:highlight w:val="none"/>
                <w:lang w:eastAsia="zh-CN" w:bidi="ar"/>
              </w:rPr>
              <w:t>。</w:t>
            </w:r>
          </w:p>
        </w:tc>
      </w:tr>
      <w:tr w14:paraId="352776E0">
        <w:tblPrEx>
          <w:tblCellMar>
            <w:top w:w="0" w:type="dxa"/>
            <w:left w:w="108" w:type="dxa"/>
            <w:bottom w:w="0" w:type="dxa"/>
            <w:right w:w="108" w:type="dxa"/>
          </w:tblCellMar>
        </w:tblPrEx>
        <w:tc>
          <w:tcPr>
            <w:tcW w:w="1729" w:type="dxa"/>
            <w:vAlign w:val="center"/>
          </w:tcPr>
          <w:p w14:paraId="69020EC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17.1.1</w:t>
            </w:r>
          </w:p>
        </w:tc>
        <w:tc>
          <w:tcPr>
            <w:tcW w:w="6793" w:type="dxa"/>
            <w:vAlign w:val="center"/>
          </w:tcPr>
          <w:p w14:paraId="21572322">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实时检测和显示压力，当超过限定压力系统会自动减速，当超过极限压力立即停止注射和报警</w:t>
            </w:r>
            <w:r>
              <w:rPr>
                <w:rFonts w:hint="eastAsia" w:ascii="仿宋" w:hAnsi="仿宋" w:eastAsia="仿宋" w:cs="仿宋"/>
                <w:color w:val="auto"/>
                <w:kern w:val="0"/>
                <w:sz w:val="24"/>
                <w:szCs w:val="24"/>
                <w:highlight w:val="none"/>
                <w:lang w:eastAsia="zh-CN" w:bidi="ar"/>
              </w:rPr>
              <w:t>。</w:t>
            </w:r>
          </w:p>
        </w:tc>
      </w:tr>
      <w:tr w14:paraId="0D5E0B99">
        <w:tblPrEx>
          <w:tblCellMar>
            <w:top w:w="0" w:type="dxa"/>
            <w:left w:w="108" w:type="dxa"/>
            <w:bottom w:w="0" w:type="dxa"/>
            <w:right w:w="108" w:type="dxa"/>
          </w:tblCellMar>
        </w:tblPrEx>
        <w:tc>
          <w:tcPr>
            <w:tcW w:w="1729" w:type="dxa"/>
            <w:vAlign w:val="center"/>
          </w:tcPr>
          <w:p w14:paraId="3C467CF5">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17.1.2</w:t>
            </w:r>
          </w:p>
        </w:tc>
        <w:tc>
          <w:tcPr>
            <w:tcW w:w="6793" w:type="dxa"/>
            <w:vAlign w:val="center"/>
          </w:tcPr>
          <w:p w14:paraId="53292542">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注射器容量150ml规格</w:t>
            </w:r>
            <w:r>
              <w:rPr>
                <w:rFonts w:hint="eastAsia" w:ascii="仿宋" w:hAnsi="仿宋" w:eastAsia="仿宋" w:cs="仿宋"/>
                <w:color w:val="auto"/>
                <w:kern w:val="0"/>
                <w:sz w:val="24"/>
                <w:szCs w:val="24"/>
                <w:highlight w:val="none"/>
                <w:lang w:eastAsia="zh-CN" w:bidi="ar"/>
              </w:rPr>
              <w:t>。</w:t>
            </w:r>
          </w:p>
        </w:tc>
      </w:tr>
      <w:tr w14:paraId="4376502F">
        <w:tblPrEx>
          <w:tblCellMar>
            <w:top w:w="0" w:type="dxa"/>
            <w:left w:w="108" w:type="dxa"/>
            <w:bottom w:w="0" w:type="dxa"/>
            <w:right w:w="108" w:type="dxa"/>
          </w:tblCellMar>
        </w:tblPrEx>
        <w:tc>
          <w:tcPr>
            <w:tcW w:w="1729" w:type="dxa"/>
            <w:vAlign w:val="center"/>
          </w:tcPr>
          <w:p w14:paraId="4938420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17.2</w:t>
            </w:r>
          </w:p>
        </w:tc>
        <w:tc>
          <w:tcPr>
            <w:tcW w:w="6793" w:type="dxa"/>
            <w:vAlign w:val="center"/>
          </w:tcPr>
          <w:p w14:paraId="1973B19A">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心电监护仪（双有创）</w:t>
            </w:r>
            <w:r>
              <w:rPr>
                <w:rFonts w:hint="eastAsia" w:ascii="仿宋" w:hAnsi="仿宋" w:eastAsia="仿宋" w:cs="仿宋"/>
                <w:color w:val="auto"/>
                <w:kern w:val="0"/>
                <w:sz w:val="24"/>
                <w:szCs w:val="24"/>
                <w:highlight w:val="none"/>
                <w:lang w:eastAsia="zh-CN" w:bidi="ar"/>
              </w:rPr>
              <w:t>。</w:t>
            </w:r>
          </w:p>
        </w:tc>
      </w:tr>
      <w:tr w14:paraId="7BAAB9EE">
        <w:tblPrEx>
          <w:tblCellMar>
            <w:top w:w="0" w:type="dxa"/>
            <w:left w:w="108" w:type="dxa"/>
            <w:bottom w:w="0" w:type="dxa"/>
            <w:right w:w="108" w:type="dxa"/>
          </w:tblCellMar>
        </w:tblPrEx>
        <w:tc>
          <w:tcPr>
            <w:tcW w:w="1729" w:type="dxa"/>
            <w:vAlign w:val="center"/>
          </w:tcPr>
          <w:p w14:paraId="4885389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17.2.1</w:t>
            </w:r>
          </w:p>
        </w:tc>
        <w:tc>
          <w:tcPr>
            <w:tcW w:w="6793" w:type="dxa"/>
            <w:vAlign w:val="center"/>
          </w:tcPr>
          <w:p w14:paraId="3BBF327B">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适用范围：成人、儿童</w:t>
            </w:r>
            <w:r>
              <w:rPr>
                <w:rFonts w:hint="eastAsia" w:ascii="仿宋" w:hAnsi="仿宋" w:eastAsia="仿宋" w:cs="仿宋"/>
                <w:color w:val="auto"/>
                <w:kern w:val="0"/>
                <w:sz w:val="24"/>
                <w:szCs w:val="24"/>
                <w:highlight w:val="none"/>
                <w:lang w:eastAsia="zh-CN" w:bidi="ar"/>
              </w:rPr>
              <w:t>。</w:t>
            </w:r>
          </w:p>
        </w:tc>
      </w:tr>
      <w:tr w14:paraId="6D716BF0">
        <w:tblPrEx>
          <w:tblCellMar>
            <w:top w:w="0" w:type="dxa"/>
            <w:left w:w="108" w:type="dxa"/>
            <w:bottom w:w="0" w:type="dxa"/>
            <w:right w:w="108" w:type="dxa"/>
          </w:tblCellMar>
        </w:tblPrEx>
        <w:tc>
          <w:tcPr>
            <w:tcW w:w="1729" w:type="dxa"/>
            <w:vAlign w:val="center"/>
          </w:tcPr>
          <w:p w14:paraId="328F8DFF">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17.2.2</w:t>
            </w:r>
          </w:p>
        </w:tc>
        <w:tc>
          <w:tcPr>
            <w:tcW w:w="6793" w:type="dxa"/>
            <w:vAlign w:val="center"/>
          </w:tcPr>
          <w:p w14:paraId="6ECC1782">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具备心电、呼吸、无创血压、血氧饱和度、脉率和体温监测功能（包含双体温探头）</w:t>
            </w:r>
            <w:r>
              <w:rPr>
                <w:rFonts w:hint="eastAsia" w:ascii="仿宋" w:hAnsi="仿宋" w:eastAsia="仿宋" w:cs="仿宋"/>
                <w:color w:val="auto"/>
                <w:kern w:val="0"/>
                <w:sz w:val="24"/>
                <w:szCs w:val="24"/>
                <w:highlight w:val="none"/>
                <w:lang w:eastAsia="zh-CN" w:bidi="ar"/>
              </w:rPr>
              <w:t>。</w:t>
            </w:r>
          </w:p>
        </w:tc>
      </w:tr>
      <w:tr w14:paraId="21A503BD">
        <w:tblPrEx>
          <w:tblCellMar>
            <w:top w:w="0" w:type="dxa"/>
            <w:left w:w="108" w:type="dxa"/>
            <w:bottom w:w="0" w:type="dxa"/>
            <w:right w:w="108" w:type="dxa"/>
          </w:tblCellMar>
        </w:tblPrEx>
        <w:tc>
          <w:tcPr>
            <w:tcW w:w="1729" w:type="dxa"/>
            <w:vAlign w:val="center"/>
          </w:tcPr>
          <w:p w14:paraId="3203BFF6">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17.2.3</w:t>
            </w:r>
          </w:p>
        </w:tc>
        <w:tc>
          <w:tcPr>
            <w:tcW w:w="6793" w:type="dxa"/>
            <w:vAlign w:val="center"/>
          </w:tcPr>
          <w:p w14:paraId="59D56EEC">
            <w:pPr>
              <w:widowControl/>
              <w:spacing w:line="360" w:lineRule="auto"/>
              <w:jc w:val="left"/>
              <w:textAlignment w:val="center"/>
              <w:rPr>
                <w:rStyle w:val="33"/>
                <w:rFonts w:hint="eastAsia" w:ascii="仿宋" w:hAnsi="仿宋" w:eastAsia="仿宋" w:cs="仿宋"/>
                <w:color w:val="auto"/>
                <w:sz w:val="24"/>
                <w:szCs w:val="24"/>
                <w:highlight w:val="none"/>
                <w:lang w:bidi="ar"/>
              </w:rPr>
            </w:pPr>
            <w:r>
              <w:rPr>
                <w:rFonts w:hint="eastAsia" w:ascii="仿宋" w:hAnsi="仿宋" w:eastAsia="仿宋" w:cs="仿宋"/>
                <w:color w:val="auto"/>
                <w:kern w:val="0"/>
                <w:sz w:val="24"/>
                <w:szCs w:val="24"/>
                <w:highlight w:val="none"/>
                <w:lang w:bidi="ar"/>
              </w:rPr>
              <w:t>具备双有创血压、呼末二氧化碳（EtCO2）功能。</w:t>
            </w:r>
          </w:p>
        </w:tc>
      </w:tr>
      <w:tr w14:paraId="05999598">
        <w:tblPrEx>
          <w:tblCellMar>
            <w:top w:w="0" w:type="dxa"/>
            <w:left w:w="108" w:type="dxa"/>
            <w:bottom w:w="0" w:type="dxa"/>
            <w:right w:w="108" w:type="dxa"/>
          </w:tblCellMar>
        </w:tblPrEx>
        <w:tc>
          <w:tcPr>
            <w:tcW w:w="1729" w:type="dxa"/>
            <w:vAlign w:val="center"/>
          </w:tcPr>
          <w:p w14:paraId="259CBFFB">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17.2.4</w:t>
            </w:r>
          </w:p>
        </w:tc>
        <w:tc>
          <w:tcPr>
            <w:tcW w:w="6793" w:type="dxa"/>
            <w:vAlign w:val="center"/>
          </w:tcPr>
          <w:p w14:paraId="46A232E0">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标配蓄电池及有创压力连线</w:t>
            </w:r>
            <w:r>
              <w:rPr>
                <w:rFonts w:hint="eastAsia" w:ascii="仿宋" w:hAnsi="仿宋" w:eastAsia="仿宋" w:cs="仿宋"/>
                <w:color w:val="auto"/>
                <w:kern w:val="0"/>
                <w:sz w:val="24"/>
                <w:szCs w:val="24"/>
                <w:highlight w:val="none"/>
                <w:lang w:eastAsia="zh-CN" w:bidi="ar"/>
              </w:rPr>
              <w:t>。</w:t>
            </w:r>
          </w:p>
        </w:tc>
      </w:tr>
      <w:tr w14:paraId="4F46079E">
        <w:tblPrEx>
          <w:tblCellMar>
            <w:top w:w="0" w:type="dxa"/>
            <w:left w:w="108" w:type="dxa"/>
            <w:bottom w:w="0" w:type="dxa"/>
            <w:right w:w="108" w:type="dxa"/>
          </w:tblCellMar>
        </w:tblPrEx>
        <w:tc>
          <w:tcPr>
            <w:tcW w:w="1729" w:type="dxa"/>
            <w:vAlign w:val="center"/>
          </w:tcPr>
          <w:p w14:paraId="0D9798B7">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17.3</w:t>
            </w:r>
          </w:p>
        </w:tc>
        <w:tc>
          <w:tcPr>
            <w:tcW w:w="6793" w:type="dxa"/>
            <w:vAlign w:val="center"/>
          </w:tcPr>
          <w:p w14:paraId="7C751153">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铅衣（分体）、铅帽、铅眼镜、铅围脖（XXL2套、XL3套）</w:t>
            </w:r>
            <w:r>
              <w:rPr>
                <w:rFonts w:hint="eastAsia" w:ascii="仿宋" w:hAnsi="仿宋" w:eastAsia="仿宋" w:cs="仿宋"/>
                <w:color w:val="auto"/>
                <w:kern w:val="0"/>
                <w:sz w:val="24"/>
                <w:szCs w:val="24"/>
                <w:highlight w:val="none"/>
                <w:lang w:eastAsia="zh-CN" w:bidi="ar"/>
              </w:rPr>
              <w:t>。</w:t>
            </w:r>
          </w:p>
        </w:tc>
      </w:tr>
      <w:tr w14:paraId="217313C5">
        <w:tblPrEx>
          <w:tblCellMar>
            <w:top w:w="0" w:type="dxa"/>
            <w:left w:w="108" w:type="dxa"/>
            <w:bottom w:w="0" w:type="dxa"/>
            <w:right w:w="108" w:type="dxa"/>
          </w:tblCellMar>
        </w:tblPrEx>
        <w:tc>
          <w:tcPr>
            <w:tcW w:w="1729" w:type="dxa"/>
            <w:vAlign w:val="center"/>
          </w:tcPr>
          <w:p w14:paraId="444EFF7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17.4</w:t>
            </w:r>
          </w:p>
        </w:tc>
        <w:tc>
          <w:tcPr>
            <w:tcW w:w="6793" w:type="dxa"/>
            <w:vAlign w:val="center"/>
          </w:tcPr>
          <w:p w14:paraId="5E74A387">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定制化办公桌符合手术室要求且能放置DSA设备包括工作站</w:t>
            </w:r>
            <w:r>
              <w:rPr>
                <w:rFonts w:hint="eastAsia" w:ascii="仿宋" w:hAnsi="仿宋" w:eastAsia="仿宋" w:cs="仿宋"/>
                <w:color w:val="auto"/>
                <w:kern w:val="0"/>
                <w:sz w:val="24"/>
                <w:szCs w:val="24"/>
                <w:highlight w:val="none"/>
                <w:lang w:eastAsia="zh-CN" w:bidi="ar"/>
              </w:rPr>
              <w:t>。</w:t>
            </w:r>
          </w:p>
        </w:tc>
      </w:tr>
      <w:tr w14:paraId="6B74988C">
        <w:tblPrEx>
          <w:tblCellMar>
            <w:top w:w="0" w:type="dxa"/>
            <w:left w:w="108" w:type="dxa"/>
            <w:bottom w:w="0" w:type="dxa"/>
            <w:right w:w="108" w:type="dxa"/>
          </w:tblCellMar>
        </w:tblPrEx>
        <w:tc>
          <w:tcPr>
            <w:tcW w:w="1729" w:type="dxa"/>
            <w:vAlign w:val="center"/>
          </w:tcPr>
          <w:p w14:paraId="441BE03A">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17.5</w:t>
            </w:r>
          </w:p>
        </w:tc>
        <w:tc>
          <w:tcPr>
            <w:tcW w:w="6793" w:type="dxa"/>
            <w:vAlign w:val="center"/>
          </w:tcPr>
          <w:p w14:paraId="3FE4FE3C">
            <w:pPr>
              <w:widowControl/>
              <w:spacing w:line="360" w:lineRule="auto"/>
              <w:jc w:val="left"/>
              <w:textAlignment w:val="center"/>
              <w:rPr>
                <w:rStyle w:val="33"/>
                <w:rFonts w:hint="eastAsia" w:ascii="仿宋" w:hAnsi="仿宋" w:eastAsia="仿宋" w:cs="仿宋"/>
                <w:color w:val="auto"/>
                <w:sz w:val="24"/>
                <w:szCs w:val="24"/>
                <w:highlight w:val="none"/>
                <w:lang w:eastAsia="zh-CN" w:bidi="ar"/>
              </w:rPr>
            </w:pPr>
            <w:r>
              <w:rPr>
                <w:rFonts w:hint="eastAsia" w:ascii="仿宋" w:hAnsi="仿宋" w:eastAsia="仿宋" w:cs="仿宋"/>
                <w:color w:val="auto"/>
                <w:kern w:val="0"/>
                <w:sz w:val="24"/>
                <w:szCs w:val="24"/>
                <w:highlight w:val="none"/>
                <w:lang w:bidi="ar"/>
              </w:rPr>
              <w:t>符合人体工学转椅5套</w:t>
            </w:r>
            <w:r>
              <w:rPr>
                <w:rFonts w:hint="eastAsia" w:ascii="仿宋" w:hAnsi="仿宋" w:eastAsia="仿宋" w:cs="仿宋"/>
                <w:color w:val="auto"/>
                <w:kern w:val="0"/>
                <w:sz w:val="24"/>
                <w:szCs w:val="24"/>
                <w:highlight w:val="none"/>
                <w:lang w:eastAsia="zh-CN" w:bidi="ar"/>
              </w:rPr>
              <w:t>。</w:t>
            </w:r>
          </w:p>
        </w:tc>
      </w:tr>
      <w:tr w14:paraId="63952F29">
        <w:tblPrEx>
          <w:tblCellMar>
            <w:top w:w="0" w:type="dxa"/>
            <w:left w:w="108" w:type="dxa"/>
            <w:bottom w:w="0" w:type="dxa"/>
            <w:right w:w="108" w:type="dxa"/>
          </w:tblCellMar>
        </w:tblPrEx>
        <w:tc>
          <w:tcPr>
            <w:tcW w:w="1729" w:type="dxa"/>
            <w:vAlign w:val="center"/>
          </w:tcPr>
          <w:p w14:paraId="36BCDEDA">
            <w:pPr>
              <w:widowControl/>
              <w:spacing w:line="360" w:lineRule="auto"/>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bidi="ar"/>
              </w:rPr>
              <w:t>17.</w:t>
            </w:r>
            <w:r>
              <w:rPr>
                <w:rFonts w:hint="eastAsia" w:ascii="仿宋" w:hAnsi="仿宋" w:eastAsia="仿宋" w:cs="仿宋"/>
                <w:color w:val="auto"/>
                <w:kern w:val="0"/>
                <w:sz w:val="24"/>
                <w:szCs w:val="24"/>
                <w:highlight w:val="none"/>
                <w:lang w:val="en-US" w:eastAsia="zh-CN" w:bidi="ar"/>
              </w:rPr>
              <w:t>6</w:t>
            </w:r>
          </w:p>
        </w:tc>
        <w:tc>
          <w:tcPr>
            <w:tcW w:w="6793" w:type="dxa"/>
            <w:vAlign w:val="center"/>
          </w:tcPr>
          <w:p w14:paraId="106529D0">
            <w:pPr>
              <w:widowControl/>
              <w:spacing w:line="360" w:lineRule="auto"/>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医用显示屏一套供医生术前调阅病人影像资料</w:t>
            </w:r>
          </w:p>
        </w:tc>
      </w:tr>
    </w:tbl>
    <w:p w14:paraId="7450F092">
      <w:pPr>
        <w:pStyle w:val="18"/>
        <w:widowControl/>
        <w:spacing w:beforeAutospacing="0" w:afterAutospacing="0" w:line="555"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2</w:t>
      </w:r>
      <w:r>
        <w:rPr>
          <w:rFonts w:hint="eastAsia" w:ascii="仿宋" w:hAnsi="仿宋" w:eastAsia="仿宋" w:cs="仿宋"/>
          <w:b/>
          <w:bCs/>
          <w:color w:val="auto"/>
          <w:sz w:val="24"/>
          <w:szCs w:val="24"/>
          <w:highlight w:val="none"/>
          <w:lang w:eastAsia="zh-CN" w:bidi="ar"/>
        </w:rPr>
        <w:t>、</w:t>
      </w:r>
      <w:r>
        <w:rPr>
          <w:rFonts w:hint="eastAsia" w:ascii="仿宋" w:hAnsi="仿宋" w:eastAsia="仿宋" w:cs="仿宋"/>
          <w:b/>
          <w:bCs/>
          <w:color w:val="auto"/>
          <w:sz w:val="24"/>
          <w:szCs w:val="24"/>
          <w:highlight w:val="none"/>
        </w:rPr>
        <w:t>多道生理记录仪技术参数：</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4"/>
        <w:gridCol w:w="7128"/>
      </w:tblGrid>
      <w:tr w14:paraId="7FF3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691B5C4">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128" w:type="dxa"/>
          </w:tcPr>
          <w:p w14:paraId="30893612">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技术功能</w:t>
            </w:r>
          </w:p>
        </w:tc>
      </w:tr>
      <w:tr w14:paraId="231E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3F96E41">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7128" w:type="dxa"/>
          </w:tcPr>
          <w:p w14:paraId="6BB951C7">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适用范围</w:t>
            </w:r>
          </w:p>
        </w:tc>
      </w:tr>
      <w:tr w14:paraId="4D1B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EFC5B85">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1.1</w:t>
            </w:r>
          </w:p>
        </w:tc>
        <w:tc>
          <w:tcPr>
            <w:tcW w:w="7128" w:type="dxa"/>
          </w:tcPr>
          <w:p w14:paraId="07322BE6">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用于开展电生理检查，记录和标测心腔内、体表电位图，用以诊断心律失常及电生理手术。</w:t>
            </w:r>
          </w:p>
        </w:tc>
      </w:tr>
      <w:tr w14:paraId="3D7F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D73205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7128" w:type="dxa"/>
          </w:tcPr>
          <w:p w14:paraId="75D9DEB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w:t>
            </w:r>
            <w:r>
              <w:rPr>
                <w:rFonts w:hint="eastAsia" w:ascii="仿宋" w:hAnsi="仿宋" w:eastAsia="仿宋" w:cs="仿宋"/>
                <w:color w:val="auto"/>
                <w:kern w:val="0"/>
                <w:sz w:val="24"/>
                <w:szCs w:val="24"/>
                <w:highlight w:val="none"/>
              </w:rPr>
              <w:t>冠脉照影、支架和起搏器的安装、先心封堵手术中有创压力监测。</w:t>
            </w:r>
          </w:p>
        </w:tc>
      </w:tr>
      <w:tr w14:paraId="79F3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2895E4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7128" w:type="dxa"/>
          </w:tcPr>
          <w:p w14:paraId="75B47F4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用于心内科电生理临床研究，以及相关的学术交流。</w:t>
            </w:r>
          </w:p>
        </w:tc>
      </w:tr>
      <w:tr w14:paraId="4836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EE0FA1F">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7128" w:type="dxa"/>
          </w:tcPr>
          <w:p w14:paraId="053B53B4">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多道生理记录仪技术参数</w:t>
            </w:r>
          </w:p>
        </w:tc>
      </w:tr>
      <w:tr w14:paraId="0C5A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AB46F8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7128" w:type="dxa"/>
          </w:tcPr>
          <w:p w14:paraId="792B041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体表通道：12道全体表SECG通道。</w:t>
            </w:r>
          </w:p>
        </w:tc>
      </w:tr>
      <w:tr w14:paraId="3BA5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640F13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7128" w:type="dxa"/>
          </w:tcPr>
          <w:p w14:paraId="44BD879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心内通道：</w:t>
            </w:r>
            <w:r>
              <w:rPr>
                <w:rFonts w:hint="eastAsia" w:ascii="仿宋" w:hAnsi="仿宋" w:eastAsia="仿宋" w:cs="仿宋"/>
                <w:color w:val="auto"/>
                <w:sz w:val="24"/>
                <w:szCs w:val="24"/>
                <w:highlight w:val="none"/>
              </w:rPr>
              <w:t>≥ 16道输入通道。</w:t>
            </w:r>
          </w:p>
        </w:tc>
      </w:tr>
      <w:tr w14:paraId="128C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BC6712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7128" w:type="dxa"/>
          </w:tcPr>
          <w:p w14:paraId="14961DE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有创血压BP通道</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2道。</w:t>
            </w:r>
          </w:p>
        </w:tc>
      </w:tr>
      <w:tr w14:paraId="044F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9379AB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7128" w:type="dxa"/>
          </w:tcPr>
          <w:p w14:paraId="057167B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导管的插接有可视化的图示</w:t>
            </w:r>
            <w:r>
              <w:rPr>
                <w:rFonts w:hint="eastAsia" w:ascii="仿宋" w:hAnsi="仿宋" w:eastAsia="仿宋" w:cs="仿宋"/>
                <w:color w:val="auto"/>
                <w:kern w:val="0"/>
                <w:sz w:val="24"/>
                <w:szCs w:val="24"/>
                <w:highlight w:val="none"/>
              </w:rPr>
              <w:t>。</w:t>
            </w:r>
          </w:p>
        </w:tc>
      </w:tr>
      <w:tr w14:paraId="25FB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193E83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7128" w:type="dxa"/>
          </w:tcPr>
          <w:p w14:paraId="64006A9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具备外刺激仪接口。</w:t>
            </w:r>
          </w:p>
        </w:tc>
      </w:tr>
      <w:tr w14:paraId="2C98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AD13EC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7128" w:type="dxa"/>
          </w:tcPr>
          <w:p w14:paraId="2D1BCA2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具有体表信号输出功能。</w:t>
            </w:r>
          </w:p>
        </w:tc>
      </w:tr>
      <w:tr w14:paraId="5327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FDEFE1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7128" w:type="dxa"/>
          </w:tcPr>
          <w:p w14:paraId="49B6D8B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高通滤波：多档可选；低通滤波：多档可选。</w:t>
            </w:r>
          </w:p>
        </w:tc>
      </w:tr>
      <w:tr w14:paraId="4570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918EF0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7128" w:type="dxa"/>
          </w:tcPr>
          <w:p w14:paraId="3421231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工频滤波：可对任意导联单独进行自适应、50Hz滤波开关设置。</w:t>
            </w:r>
          </w:p>
        </w:tc>
      </w:tr>
      <w:tr w14:paraId="0862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2C8320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r>
              <w:rPr>
                <w:rFonts w:hint="eastAsia" w:ascii="仿宋" w:hAnsi="仿宋" w:eastAsia="仿宋" w:cs="仿宋"/>
                <w:b/>
                <w:color w:val="auto"/>
                <w:kern w:val="0"/>
                <w:sz w:val="24"/>
                <w:szCs w:val="24"/>
                <w:highlight w:val="none"/>
              </w:rPr>
              <w:t>▲</w:t>
            </w:r>
          </w:p>
        </w:tc>
        <w:tc>
          <w:tcPr>
            <w:tcW w:w="7128" w:type="dxa"/>
          </w:tcPr>
          <w:p w14:paraId="5B4F801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具备ABL专用通道接口(提供检测报告证明）。</w:t>
            </w:r>
          </w:p>
        </w:tc>
      </w:tr>
      <w:tr w14:paraId="39F2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305C65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w:t>
            </w:r>
          </w:p>
        </w:tc>
        <w:tc>
          <w:tcPr>
            <w:tcW w:w="7128" w:type="dxa"/>
          </w:tcPr>
          <w:p w14:paraId="3A15FD2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采样率</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4KHz、</w:t>
            </w:r>
            <w:r>
              <w:rPr>
                <w:rFonts w:hint="eastAsia" w:ascii="仿宋" w:hAnsi="仿宋" w:eastAsia="仿宋" w:cs="仿宋"/>
                <w:color w:val="auto"/>
                <w:sz w:val="24"/>
                <w:szCs w:val="24"/>
                <w:highlight w:val="none"/>
              </w:rPr>
              <w:t>16bit/通道。</w:t>
            </w:r>
          </w:p>
        </w:tc>
      </w:tr>
      <w:tr w14:paraId="6FBF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09AFA3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p>
        </w:tc>
        <w:tc>
          <w:tcPr>
            <w:tcW w:w="7128" w:type="dxa"/>
          </w:tcPr>
          <w:p w14:paraId="0A5BF10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体表输入阻抗≥5.5MΩ，心内输入阻抗≥5.0 MΩ</w:t>
            </w:r>
            <w:r>
              <w:rPr>
                <w:rFonts w:hint="eastAsia" w:ascii="仿宋" w:hAnsi="仿宋" w:eastAsia="仿宋" w:cs="仿宋"/>
                <w:color w:val="auto"/>
                <w:kern w:val="0"/>
                <w:sz w:val="24"/>
                <w:szCs w:val="24"/>
                <w:highlight w:val="none"/>
              </w:rPr>
              <w:t>(提供检测报告证明）</w:t>
            </w:r>
            <w:r>
              <w:rPr>
                <w:rFonts w:hint="eastAsia" w:ascii="仿宋" w:hAnsi="仿宋" w:eastAsia="仿宋" w:cs="仿宋"/>
                <w:b/>
                <w:color w:val="auto"/>
                <w:kern w:val="0"/>
                <w:sz w:val="24"/>
                <w:szCs w:val="24"/>
                <w:highlight w:val="none"/>
              </w:rPr>
              <w:t>。</w:t>
            </w:r>
          </w:p>
        </w:tc>
      </w:tr>
      <w:tr w14:paraId="4354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492885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r>
              <w:rPr>
                <w:rFonts w:hint="eastAsia" w:ascii="仿宋" w:hAnsi="仿宋" w:eastAsia="仿宋" w:cs="仿宋"/>
                <w:b/>
                <w:color w:val="auto"/>
                <w:kern w:val="0"/>
                <w:sz w:val="24"/>
                <w:szCs w:val="24"/>
                <w:highlight w:val="none"/>
              </w:rPr>
              <w:t>▲</w:t>
            </w:r>
          </w:p>
        </w:tc>
        <w:tc>
          <w:tcPr>
            <w:tcW w:w="7128" w:type="dxa"/>
          </w:tcPr>
          <w:p w14:paraId="052CA0E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体表共模抑制比≥99dB，心内共模抑制比≥99dB</w:t>
            </w:r>
            <w:r>
              <w:rPr>
                <w:rFonts w:hint="eastAsia" w:ascii="仿宋" w:hAnsi="仿宋" w:eastAsia="仿宋" w:cs="仿宋"/>
                <w:color w:val="auto"/>
                <w:kern w:val="0"/>
                <w:sz w:val="24"/>
                <w:szCs w:val="24"/>
                <w:highlight w:val="none"/>
              </w:rPr>
              <w:t>(提供检测报告证明）</w:t>
            </w:r>
            <w:r>
              <w:rPr>
                <w:rFonts w:hint="eastAsia" w:ascii="仿宋" w:hAnsi="仿宋" w:eastAsia="仿宋" w:cs="仿宋"/>
                <w:b/>
                <w:color w:val="auto"/>
                <w:kern w:val="0"/>
                <w:sz w:val="24"/>
                <w:szCs w:val="24"/>
                <w:highlight w:val="none"/>
              </w:rPr>
              <w:t>。</w:t>
            </w:r>
          </w:p>
        </w:tc>
      </w:tr>
      <w:tr w14:paraId="19A64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EFC62F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w:t>
            </w:r>
          </w:p>
        </w:tc>
        <w:tc>
          <w:tcPr>
            <w:tcW w:w="7128" w:type="dxa"/>
          </w:tcPr>
          <w:p w14:paraId="6C687D3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体表、心内增益多档可调，</w:t>
            </w:r>
            <w:r>
              <w:rPr>
                <w:rFonts w:hint="eastAsia" w:ascii="仿宋" w:hAnsi="仿宋" w:eastAsia="仿宋" w:cs="仿宋"/>
                <w:color w:val="auto"/>
                <w:sz w:val="24"/>
                <w:szCs w:val="24"/>
                <w:highlight w:val="none"/>
              </w:rPr>
              <w:t>体表心电和心内心电必须具有1、2、5、10、20、40、50、100 、200、400 mm/mV档增益可调</w:t>
            </w:r>
            <w:r>
              <w:rPr>
                <w:rFonts w:hint="eastAsia" w:ascii="仿宋" w:hAnsi="仿宋" w:eastAsia="仿宋" w:cs="仿宋"/>
                <w:color w:val="auto"/>
                <w:kern w:val="0"/>
                <w:sz w:val="24"/>
                <w:szCs w:val="24"/>
                <w:highlight w:val="none"/>
              </w:rPr>
              <w:t xml:space="preserve"> (提供检测报告证明）</w:t>
            </w:r>
            <w:r>
              <w:rPr>
                <w:rFonts w:hint="eastAsia" w:ascii="仿宋" w:hAnsi="仿宋" w:eastAsia="仿宋" w:cs="仿宋"/>
                <w:color w:val="auto"/>
                <w:sz w:val="24"/>
                <w:szCs w:val="24"/>
                <w:highlight w:val="none"/>
              </w:rPr>
              <w:t>。</w:t>
            </w:r>
          </w:p>
        </w:tc>
      </w:tr>
      <w:tr w14:paraId="70CB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7BAD82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w:t>
            </w:r>
          </w:p>
        </w:tc>
        <w:tc>
          <w:tcPr>
            <w:tcW w:w="7128" w:type="dxa"/>
          </w:tcPr>
          <w:p w14:paraId="3EF20EC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血压测量范围-10-300 mmHg。血压灵敏度控制10、20、40、50mmHg/DIV。</w:t>
            </w:r>
          </w:p>
        </w:tc>
      </w:tr>
      <w:tr w14:paraId="1463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7D1E9C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w:t>
            </w:r>
          </w:p>
        </w:tc>
        <w:tc>
          <w:tcPr>
            <w:tcW w:w="7128" w:type="dxa"/>
          </w:tcPr>
          <w:p w14:paraId="57D7524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系统能自动生成单极标测功能。</w:t>
            </w:r>
          </w:p>
        </w:tc>
      </w:tr>
      <w:tr w14:paraId="5C76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901AC5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w:t>
            </w:r>
            <w:r>
              <w:rPr>
                <w:rFonts w:hint="eastAsia" w:ascii="仿宋" w:hAnsi="仿宋" w:eastAsia="仿宋" w:cs="仿宋"/>
                <w:b/>
                <w:color w:val="auto"/>
                <w:kern w:val="0"/>
                <w:sz w:val="24"/>
                <w:szCs w:val="24"/>
                <w:highlight w:val="none"/>
              </w:rPr>
              <w:t>▲</w:t>
            </w:r>
          </w:p>
        </w:tc>
        <w:tc>
          <w:tcPr>
            <w:tcW w:w="7128" w:type="dxa"/>
          </w:tcPr>
          <w:p w14:paraId="31FABF7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体表12选一功能：可将12导体表中的任意一道体表信号输出到其他具有触发功能的设备上，放大倍数500、1000、1500、2000、2500、3000、3500、4000（提供检测报告证明）。</w:t>
            </w:r>
          </w:p>
        </w:tc>
      </w:tr>
      <w:tr w14:paraId="6CA9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shd w:val="clear" w:color="auto" w:fill="auto"/>
          </w:tcPr>
          <w:p w14:paraId="3C9AF5E1">
            <w:pPr>
              <w:pStyle w:val="47"/>
              <w:widowControl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7</w:t>
            </w:r>
          </w:p>
        </w:tc>
        <w:tc>
          <w:tcPr>
            <w:tcW w:w="7128" w:type="dxa"/>
            <w:shd w:val="clear" w:color="auto" w:fill="auto"/>
          </w:tcPr>
          <w:p w14:paraId="3389B59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具有外置电生理刺激仪生产能力，满足科室持续发展需求</w:t>
            </w:r>
            <w:r>
              <w:rPr>
                <w:rFonts w:hint="eastAsia" w:ascii="仿宋" w:hAnsi="仿宋" w:eastAsia="仿宋" w:cs="仿宋"/>
                <w:color w:val="auto"/>
                <w:kern w:val="0"/>
                <w:sz w:val="24"/>
                <w:szCs w:val="24"/>
                <w:highlight w:val="none"/>
              </w:rPr>
              <w:t>（提供产品注册证证明）</w:t>
            </w:r>
          </w:p>
        </w:tc>
      </w:tr>
      <w:tr w14:paraId="7417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2BC6F38A">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vertAlign w:val="baseline"/>
                <w:lang w:val="en-US" w:eastAsia="zh-CN"/>
              </w:rPr>
              <w:t>2.18</w:t>
            </w:r>
          </w:p>
        </w:tc>
        <w:tc>
          <w:tcPr>
            <w:tcW w:w="7128" w:type="dxa"/>
            <w:vAlign w:val="top"/>
          </w:tcPr>
          <w:p w14:paraId="6394A1C4">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能升级为同一厂家三维标测系统</w:t>
            </w:r>
            <w:r>
              <w:rPr>
                <w:rFonts w:hint="eastAsia" w:ascii="仿宋" w:hAnsi="仿宋" w:eastAsia="仿宋" w:cs="仿宋"/>
                <w:color w:val="auto"/>
                <w:kern w:val="0"/>
                <w:sz w:val="24"/>
                <w:szCs w:val="24"/>
                <w:highlight w:val="none"/>
                <w:lang w:eastAsia="zh-CN"/>
              </w:rPr>
              <w:t>。</w:t>
            </w:r>
          </w:p>
        </w:tc>
      </w:tr>
      <w:tr w14:paraId="66D0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EC67FE2">
            <w:pPr>
              <w:pStyle w:val="47"/>
              <w:widowControl w:val="0"/>
              <w:spacing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19</w:t>
            </w:r>
          </w:p>
        </w:tc>
        <w:tc>
          <w:tcPr>
            <w:tcW w:w="7128" w:type="dxa"/>
          </w:tcPr>
          <w:p w14:paraId="4EC2969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产品有效使用年限≥7年。</w:t>
            </w:r>
          </w:p>
        </w:tc>
      </w:tr>
      <w:tr w14:paraId="3E78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8E81878">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7128" w:type="dxa"/>
          </w:tcPr>
          <w:p w14:paraId="27D7F5B2">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多道生理记录仪</w:t>
            </w:r>
            <w:r>
              <w:rPr>
                <w:rFonts w:hint="eastAsia" w:ascii="仿宋" w:hAnsi="仿宋" w:eastAsia="仿宋" w:cs="仿宋"/>
                <w:b/>
                <w:bCs/>
                <w:color w:val="auto"/>
                <w:kern w:val="0"/>
                <w:sz w:val="24"/>
                <w:szCs w:val="24"/>
                <w:highlight w:val="none"/>
              </w:rPr>
              <w:t>硬</w:t>
            </w:r>
            <w:r>
              <w:rPr>
                <w:rFonts w:hint="eastAsia" w:ascii="仿宋" w:hAnsi="仿宋" w:eastAsia="仿宋" w:cs="仿宋"/>
                <w:b/>
                <w:bCs/>
                <w:color w:val="auto"/>
                <w:sz w:val="24"/>
                <w:szCs w:val="24"/>
                <w:highlight w:val="none"/>
              </w:rPr>
              <w:t>件配置</w:t>
            </w:r>
          </w:p>
        </w:tc>
      </w:tr>
      <w:tr w14:paraId="0E82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3B9B4B49">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baseline"/>
                <w:lang w:val="en-US" w:eastAsia="zh-CN"/>
              </w:rPr>
              <w:t>3.1</w:t>
            </w:r>
          </w:p>
        </w:tc>
        <w:tc>
          <w:tcPr>
            <w:tcW w:w="7128" w:type="dxa"/>
            <w:vAlign w:val="top"/>
          </w:tcPr>
          <w:p w14:paraId="015665D0">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计算机主机：双核CPU</w:t>
            </w:r>
            <w:r>
              <w:rPr>
                <w:rFonts w:hint="eastAsia" w:ascii="仿宋" w:hAnsi="仿宋" w:eastAsia="仿宋" w:cs="仿宋"/>
                <w:color w:val="auto"/>
                <w:kern w:val="0"/>
                <w:sz w:val="24"/>
                <w:szCs w:val="24"/>
                <w:highlight w:val="none"/>
                <w:lang w:val="en-US" w:eastAsia="zh-CN"/>
              </w:rPr>
              <w:t>或以上</w:t>
            </w:r>
            <w:r>
              <w:rPr>
                <w:rFonts w:hint="eastAsia" w:ascii="仿宋" w:hAnsi="仿宋" w:eastAsia="仿宋" w:cs="仿宋"/>
                <w:color w:val="auto"/>
                <w:kern w:val="0"/>
                <w:sz w:val="24"/>
                <w:szCs w:val="24"/>
                <w:highlight w:val="none"/>
              </w:rPr>
              <w:t>、内存</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2G、硬盘</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1TB,必须具有双硬盘双系统功能。</w:t>
            </w:r>
          </w:p>
        </w:tc>
      </w:tr>
      <w:tr w14:paraId="172D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96E24A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7128" w:type="dxa"/>
          </w:tcPr>
          <w:p w14:paraId="700426F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DVD刻录机：4.7GB普通大容量刻录光盘，支持同盘多个病例刻录。</w:t>
            </w:r>
          </w:p>
        </w:tc>
      </w:tr>
      <w:tr w14:paraId="2B2A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569312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7128" w:type="dxa"/>
          </w:tcPr>
          <w:p w14:paraId="7983802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前置放大器到计算机的高质量信号传输方式：</w:t>
            </w:r>
            <w:r>
              <w:rPr>
                <w:rFonts w:hint="eastAsia" w:ascii="仿宋" w:hAnsi="仿宋" w:eastAsia="仿宋" w:cs="仿宋"/>
                <w:bCs/>
                <w:color w:val="auto"/>
                <w:kern w:val="0"/>
                <w:sz w:val="24"/>
                <w:szCs w:val="24"/>
                <w:highlight w:val="none"/>
              </w:rPr>
              <w:t>光纤数字传输。</w:t>
            </w:r>
          </w:p>
        </w:tc>
      </w:tr>
      <w:tr w14:paraId="49AD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BDD90F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7128" w:type="dxa"/>
          </w:tcPr>
          <w:p w14:paraId="5C1E46C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前置放大器到计算机的高质量信号传输方式：</w:t>
            </w:r>
            <w:r>
              <w:rPr>
                <w:rFonts w:hint="eastAsia" w:ascii="仿宋" w:hAnsi="仿宋" w:eastAsia="仿宋" w:cs="仿宋"/>
                <w:bCs/>
                <w:color w:val="auto"/>
                <w:kern w:val="0"/>
                <w:sz w:val="24"/>
                <w:szCs w:val="24"/>
                <w:highlight w:val="none"/>
              </w:rPr>
              <w:t>光纤数字传输。</w:t>
            </w:r>
          </w:p>
        </w:tc>
      </w:tr>
      <w:tr w14:paraId="2B08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630EE7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7128" w:type="dxa"/>
          </w:tcPr>
          <w:p w14:paraId="0C806AE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打印系统：高速高分辨率激光打印机一台。</w:t>
            </w:r>
          </w:p>
        </w:tc>
      </w:tr>
      <w:tr w14:paraId="5F4B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729EA836">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baseline"/>
                <w:lang w:val="en-US" w:eastAsia="zh-CN"/>
              </w:rPr>
              <w:t>3.6</w:t>
            </w:r>
          </w:p>
        </w:tc>
        <w:tc>
          <w:tcPr>
            <w:tcW w:w="7128" w:type="dxa"/>
            <w:vAlign w:val="top"/>
          </w:tcPr>
          <w:p w14:paraId="70CE142C">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专用可移动的设备台车</w:t>
            </w:r>
            <w:r>
              <w:rPr>
                <w:rFonts w:hint="eastAsia" w:ascii="仿宋" w:hAnsi="仿宋" w:eastAsia="仿宋" w:cs="仿宋"/>
                <w:color w:val="auto"/>
                <w:sz w:val="24"/>
                <w:szCs w:val="24"/>
                <w:highlight w:val="none"/>
                <w:lang w:eastAsia="zh-CN"/>
              </w:rPr>
              <w:t>。</w:t>
            </w:r>
          </w:p>
        </w:tc>
      </w:tr>
      <w:tr w14:paraId="2B8E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43315F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p>
        </w:tc>
        <w:tc>
          <w:tcPr>
            <w:tcW w:w="7128" w:type="dxa"/>
          </w:tcPr>
          <w:p w14:paraId="4E65B2E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电源系统：专用隔离供电系统。</w:t>
            </w:r>
          </w:p>
        </w:tc>
      </w:tr>
      <w:tr w14:paraId="5D0F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7B7C97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w:t>
            </w:r>
          </w:p>
        </w:tc>
        <w:tc>
          <w:tcPr>
            <w:tcW w:w="7128" w:type="dxa"/>
          </w:tcPr>
          <w:p w14:paraId="5AE5211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整机具有除颤防护功能，安全标准要达到国家医疗仪器的最高标准：Ⅰ类，CF级。</w:t>
            </w:r>
          </w:p>
        </w:tc>
      </w:tr>
      <w:tr w14:paraId="781E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A98FE5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w:t>
            </w:r>
          </w:p>
        </w:tc>
        <w:tc>
          <w:tcPr>
            <w:tcW w:w="7128" w:type="dxa"/>
          </w:tcPr>
          <w:p w14:paraId="3A05B0A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心内插盒单板支持电极输入数</w:t>
            </w:r>
            <w:r>
              <w:rPr>
                <w:rFonts w:hint="eastAsia" w:ascii="仿宋" w:hAnsi="仿宋" w:eastAsia="仿宋" w:cs="仿宋"/>
                <w:color w:val="auto"/>
                <w:sz w:val="24"/>
                <w:szCs w:val="24"/>
                <w:highlight w:val="none"/>
              </w:rPr>
              <w:t>≥30个</w:t>
            </w:r>
            <w:r>
              <w:rPr>
                <w:rFonts w:hint="eastAsia" w:ascii="仿宋" w:hAnsi="仿宋" w:eastAsia="仿宋" w:cs="仿宋"/>
                <w:color w:val="auto"/>
                <w:kern w:val="0"/>
                <w:sz w:val="24"/>
                <w:szCs w:val="24"/>
                <w:highlight w:val="none"/>
              </w:rPr>
              <w:t>（应提供清晰的实物照片或照片打印证明资料）</w:t>
            </w:r>
          </w:p>
        </w:tc>
      </w:tr>
      <w:tr w14:paraId="2182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96FFA0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128" w:type="dxa"/>
          </w:tcPr>
          <w:p w14:paraId="5DD5520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多道生理记录仪</w:t>
            </w:r>
            <w:r>
              <w:rPr>
                <w:rFonts w:hint="eastAsia" w:ascii="仿宋" w:hAnsi="仿宋" w:eastAsia="仿宋" w:cs="仿宋"/>
                <w:b/>
                <w:color w:val="auto"/>
                <w:kern w:val="0"/>
                <w:sz w:val="24"/>
                <w:szCs w:val="24"/>
                <w:highlight w:val="none"/>
              </w:rPr>
              <w:t>软件配置</w:t>
            </w:r>
          </w:p>
        </w:tc>
      </w:tr>
      <w:tr w14:paraId="7CF3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4C3D4868">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baseline"/>
                <w:lang w:val="en-US" w:eastAsia="zh-CN"/>
              </w:rPr>
              <w:t>4.1</w:t>
            </w:r>
          </w:p>
        </w:tc>
        <w:tc>
          <w:tcPr>
            <w:tcW w:w="7128" w:type="dxa"/>
            <w:vAlign w:val="top"/>
          </w:tcPr>
          <w:p w14:paraId="3721A841">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正版Windows 10 </w:t>
            </w:r>
            <w:r>
              <w:rPr>
                <w:rFonts w:hint="eastAsia" w:ascii="仿宋" w:hAnsi="仿宋" w:eastAsia="仿宋" w:cs="仿宋"/>
                <w:color w:val="auto"/>
                <w:sz w:val="24"/>
                <w:szCs w:val="24"/>
                <w:highlight w:val="none"/>
                <w:lang w:val="en-US" w:eastAsia="zh-CN"/>
              </w:rPr>
              <w:t>或以上</w:t>
            </w:r>
            <w:r>
              <w:rPr>
                <w:rFonts w:hint="eastAsia" w:ascii="仿宋" w:hAnsi="仿宋" w:eastAsia="仿宋" w:cs="仿宋"/>
                <w:color w:val="auto"/>
                <w:sz w:val="24"/>
                <w:szCs w:val="24"/>
                <w:highlight w:val="none"/>
              </w:rPr>
              <w:t>操作系统、Microsoft Office软件、DSP处理系统。</w:t>
            </w:r>
          </w:p>
        </w:tc>
      </w:tr>
      <w:tr w14:paraId="4632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7A6B5E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p>
        </w:tc>
        <w:tc>
          <w:tcPr>
            <w:tcW w:w="7128" w:type="dxa"/>
          </w:tcPr>
          <w:p w14:paraId="63933E3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根据不同术者习惯、手术需要，设置多套模板程序，在术中快速切换。</w:t>
            </w:r>
          </w:p>
        </w:tc>
      </w:tr>
      <w:tr w14:paraId="4DB3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4C6100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7128" w:type="dxa"/>
          </w:tcPr>
          <w:p w14:paraId="4020322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系统能控制导管电极的任意组合，自动完成导管间隔、连续、跳跃三种排列方式。</w:t>
            </w:r>
          </w:p>
        </w:tc>
      </w:tr>
      <w:tr w14:paraId="5F2C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335D3D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7128" w:type="dxa"/>
          </w:tcPr>
          <w:p w14:paraId="7536BE4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任意心内通道发放刺激，任意通道激动顺序标测功能。</w:t>
            </w:r>
          </w:p>
        </w:tc>
      </w:tr>
      <w:tr w14:paraId="103E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A04707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7128" w:type="dxa"/>
          </w:tcPr>
          <w:p w14:paraId="4DDEF20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任意心内通道发放刺激，任意通道激动顺序标测功能。</w:t>
            </w:r>
          </w:p>
        </w:tc>
      </w:tr>
      <w:tr w14:paraId="27FF2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94" w:type="dxa"/>
          </w:tcPr>
          <w:p w14:paraId="5B8B1E1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p>
        </w:tc>
        <w:tc>
          <w:tcPr>
            <w:tcW w:w="7128" w:type="dxa"/>
          </w:tcPr>
          <w:p w14:paraId="08C8E8B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触发方式：连续刺激、R波感知、RS2方式。</w:t>
            </w:r>
          </w:p>
        </w:tc>
      </w:tr>
      <w:tr w14:paraId="3608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81389B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w:t>
            </w:r>
          </w:p>
        </w:tc>
        <w:tc>
          <w:tcPr>
            <w:tcW w:w="7128" w:type="dxa"/>
          </w:tcPr>
          <w:p w14:paraId="56D9EC2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可实现分屏对比、Holter实时查找、Mark实时标注、刺激自动存储、实时存储回放、后台图形编辑、激光打印、支持多屏显示、支持USB移动硬盘和光盘存储。</w:t>
            </w:r>
          </w:p>
        </w:tc>
      </w:tr>
      <w:tr w14:paraId="6723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A198B9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7128" w:type="dxa"/>
          </w:tcPr>
          <w:p w14:paraId="2F4FCF7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可实现分屏对比、Holter实时查找、Mark实时标注、刺激自动存储、实时存储回放、后台图形编辑、激光打印、支持多屏显示、支持USB移动硬盘和光盘存储。</w:t>
            </w:r>
          </w:p>
        </w:tc>
      </w:tr>
      <w:tr w14:paraId="3891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75B9E3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p>
        </w:tc>
        <w:tc>
          <w:tcPr>
            <w:tcW w:w="7128" w:type="dxa"/>
          </w:tcPr>
          <w:p w14:paraId="37B81A6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具备“三机一体”功能：通过鼠标能控制多导仪、射频仪、内置式程控刺激仪的所有操作；实现三机无缝隙联动。</w:t>
            </w:r>
          </w:p>
        </w:tc>
      </w:tr>
      <w:tr w14:paraId="0007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3687DD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4.10</w:t>
            </w:r>
          </w:p>
        </w:tc>
        <w:tc>
          <w:tcPr>
            <w:tcW w:w="7128" w:type="dxa"/>
          </w:tcPr>
          <w:p w14:paraId="7BC0454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实时刺激探测功能：意导联均可以在设定的刺激触发位置与选定的参数图自动对位。</w:t>
            </w:r>
          </w:p>
        </w:tc>
      </w:tr>
    </w:tbl>
    <w:p w14:paraId="08D15845">
      <w:pPr>
        <w:pStyle w:val="18"/>
        <w:widowControl/>
        <w:spacing w:beforeAutospacing="0" w:afterAutospacing="0" w:line="555" w:lineRule="atLeas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bidi="ar"/>
        </w:rPr>
        <w:t>3</w:t>
      </w:r>
      <w:r>
        <w:rPr>
          <w:rFonts w:hint="eastAsia" w:ascii="仿宋" w:hAnsi="仿宋" w:eastAsia="仿宋" w:cs="仿宋"/>
          <w:b/>
          <w:bCs/>
          <w:color w:val="auto"/>
          <w:sz w:val="24"/>
          <w:szCs w:val="24"/>
          <w:highlight w:val="none"/>
          <w:lang w:eastAsia="zh-CN" w:bidi="ar"/>
        </w:rPr>
        <w:t>、</w:t>
      </w:r>
      <w:r>
        <w:rPr>
          <w:rFonts w:hint="eastAsia" w:ascii="仿宋" w:hAnsi="仿宋" w:eastAsia="仿宋" w:cs="仿宋"/>
          <w:b/>
          <w:bCs/>
          <w:color w:val="auto"/>
          <w:sz w:val="24"/>
          <w:szCs w:val="24"/>
          <w:highlight w:val="none"/>
        </w:rPr>
        <w:t>血管内超声系统技术参数：</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4"/>
        <w:gridCol w:w="7128"/>
      </w:tblGrid>
      <w:tr w14:paraId="4AA96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4614EE8">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128" w:type="dxa"/>
          </w:tcPr>
          <w:p w14:paraId="583B8E21">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技术功能</w:t>
            </w:r>
          </w:p>
        </w:tc>
      </w:tr>
      <w:tr w14:paraId="2CCF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DAD5723">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7128" w:type="dxa"/>
          </w:tcPr>
          <w:p w14:paraId="6793934D">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硬件参数</w:t>
            </w:r>
          </w:p>
        </w:tc>
      </w:tr>
      <w:tr w14:paraId="640A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AE2B70B">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1.1</w:t>
            </w:r>
          </w:p>
        </w:tc>
        <w:tc>
          <w:tcPr>
            <w:tcW w:w="7128" w:type="dxa"/>
          </w:tcPr>
          <w:p w14:paraId="73886352">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诊疗一体化多模式引导的血管内超声成像系统，具备冠脉血管内超声功能、血流储备分数功能，可得到整段血管的切面像，显示管壁的厚度及形态，辨认钙化斑块性质，内膜撕裂、夹层分离、膝下动脉、支架贴壁等。</w:t>
            </w:r>
          </w:p>
        </w:tc>
      </w:tr>
      <w:tr w14:paraId="0CE6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38BBFA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7128" w:type="dxa"/>
          </w:tcPr>
          <w:p w14:paraId="26D57CC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主机兼容多个频率超声成像导管,用于实时查看血管和心脏解剖结构，能够精确测定管腔、血管直径以及判断病变严重程度及性质</w:t>
            </w:r>
            <w:r>
              <w:rPr>
                <w:rFonts w:hint="eastAsia" w:ascii="仿宋" w:hAnsi="仿宋" w:eastAsia="仿宋" w:cs="仿宋"/>
                <w:color w:val="auto"/>
                <w:kern w:val="0"/>
                <w:sz w:val="24"/>
                <w:szCs w:val="24"/>
                <w:highlight w:val="none"/>
              </w:rPr>
              <w:t>。</w:t>
            </w:r>
          </w:p>
        </w:tc>
      </w:tr>
      <w:tr w14:paraId="33A9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7CA5EB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b/>
                <w:color w:val="auto"/>
                <w:kern w:val="0"/>
                <w:sz w:val="24"/>
                <w:szCs w:val="24"/>
                <w:highlight w:val="none"/>
              </w:rPr>
              <w:t>▲</w:t>
            </w:r>
          </w:p>
        </w:tc>
        <w:tc>
          <w:tcPr>
            <w:tcW w:w="7128" w:type="dxa"/>
          </w:tcPr>
          <w:p w14:paraId="56F7D27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具备血流储备分数 FFR功能。</w:t>
            </w:r>
          </w:p>
        </w:tc>
      </w:tr>
      <w:tr w14:paraId="7FF6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0E776C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7128" w:type="dxa"/>
          </w:tcPr>
          <w:p w14:paraId="273E47A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具备显示功能学数值， 包括：Pa，Pd，Pa/Pd 数值</w:t>
            </w:r>
          </w:p>
        </w:tc>
      </w:tr>
      <w:tr w14:paraId="71E2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68568C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7128" w:type="dxa"/>
          </w:tcPr>
          <w:p w14:paraId="2C95F7C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 9MHz~60MHz 机械旋转式超声导管技术，可用于冠状动脉和心腔内介入治疗功能。</w:t>
            </w:r>
          </w:p>
        </w:tc>
      </w:tr>
      <w:tr w14:paraId="5139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340F554F">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1.6</w:t>
            </w:r>
          </w:p>
        </w:tc>
        <w:tc>
          <w:tcPr>
            <w:tcW w:w="7128" w:type="dxa"/>
            <w:vAlign w:val="top"/>
          </w:tcPr>
          <w:p w14:paraId="59BCA77A">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配置医用级≥ 13英寸医用级平板电脑，高分辨率≥ 1920 x 1080，彩色 LED 背光触控显示器 ( 含内置式麦克风、扬声器、蓝牙、Wifi)，支持多点触控。</w:t>
            </w:r>
          </w:p>
        </w:tc>
      </w:tr>
      <w:tr w14:paraId="4AA1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3F1B8F9E">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1.7</w:t>
            </w:r>
          </w:p>
        </w:tc>
        <w:tc>
          <w:tcPr>
            <w:tcW w:w="7128" w:type="dxa"/>
            <w:vAlign w:val="top"/>
          </w:tcPr>
          <w:p w14:paraId="7F9928D9">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系统有 2 个以上2.0USB 接口 1 个以上3.0USB 接口，1 个耳机接口 1 个网线接口。</w:t>
            </w:r>
          </w:p>
        </w:tc>
      </w:tr>
      <w:tr w14:paraId="0B5A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0AA1C83F">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1.8</w:t>
            </w:r>
          </w:p>
        </w:tc>
        <w:tc>
          <w:tcPr>
            <w:tcW w:w="7128" w:type="dxa"/>
            <w:vAlign w:val="top"/>
          </w:tcPr>
          <w:p w14:paraId="6BF01BD9">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平板电脑不低于 Intel i7 四核处理器，集成显卡，频率 4.70 GHz。</w:t>
            </w:r>
          </w:p>
        </w:tc>
      </w:tr>
      <w:tr w14:paraId="7920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FE4696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7128" w:type="dxa"/>
          </w:tcPr>
          <w:p w14:paraId="1A23D4A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内置高速硬盘，可存储≥ 300 个病人数据。</w:t>
            </w:r>
          </w:p>
        </w:tc>
      </w:tr>
      <w:tr w14:paraId="2943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99F156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w:t>
            </w:r>
          </w:p>
        </w:tc>
        <w:tc>
          <w:tcPr>
            <w:tcW w:w="7128" w:type="dxa"/>
          </w:tcPr>
          <w:p w14:paraId="229272F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平板电脑支架可调节俯仰角度，调节范围≥ 45°。同时平板可拆卸。</w:t>
            </w:r>
          </w:p>
        </w:tc>
      </w:tr>
      <w:tr w14:paraId="37A6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014CC0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p>
        </w:tc>
        <w:tc>
          <w:tcPr>
            <w:tcW w:w="7128" w:type="dxa"/>
          </w:tcPr>
          <w:p w14:paraId="7992458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冠脉血流储备分数数据与血管内超声主机通过无线方式或者有线方式传输。</w:t>
            </w:r>
          </w:p>
        </w:tc>
      </w:tr>
      <w:tr w14:paraId="2883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F043F3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7128" w:type="dxa"/>
          </w:tcPr>
          <w:p w14:paraId="3EB1FF1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配备无线鼠标，通过鼠标进行操作，描绘图像，符合用户习惯。</w:t>
            </w:r>
          </w:p>
        </w:tc>
      </w:tr>
      <w:tr w14:paraId="674FA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5976DC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p>
        </w:tc>
        <w:tc>
          <w:tcPr>
            <w:tcW w:w="7128" w:type="dxa"/>
          </w:tcPr>
          <w:p w14:paraId="5027CB9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配置医用级键盘，IP68 防护等级。</w:t>
            </w:r>
          </w:p>
        </w:tc>
      </w:tr>
      <w:tr w14:paraId="6979C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59043C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p>
        </w:tc>
        <w:tc>
          <w:tcPr>
            <w:tcW w:w="7128" w:type="dxa"/>
          </w:tcPr>
          <w:p w14:paraId="0784E7D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医疗级别的电气隔离装置，可以减少电流泄漏。</w:t>
            </w:r>
          </w:p>
        </w:tc>
      </w:tr>
      <w:tr w14:paraId="46D2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A84FA17">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7128" w:type="dxa"/>
          </w:tcPr>
          <w:p w14:paraId="7D8B45A8">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马达参数</w:t>
            </w:r>
          </w:p>
        </w:tc>
      </w:tr>
      <w:tr w14:paraId="7574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B73835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7128" w:type="dxa"/>
          </w:tcPr>
          <w:p w14:paraId="3EEFC72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马达驱动单元兼具自动回撤和手动回撤功能，可显示回撤距离，与回撤速度。</w:t>
            </w:r>
          </w:p>
        </w:tc>
      </w:tr>
      <w:tr w14:paraId="65E1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0947F3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7128" w:type="dxa"/>
          </w:tcPr>
          <w:p w14:paraId="50BA77F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配置快速马达（≥4 种自动回撤速度）</w:t>
            </w:r>
          </w:p>
        </w:tc>
      </w:tr>
      <w:tr w14:paraId="13ED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71C290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7128" w:type="dxa"/>
          </w:tcPr>
          <w:p w14:paraId="3923610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马达上可显示回撤距离、回撤速度。</w:t>
            </w:r>
          </w:p>
        </w:tc>
      </w:tr>
      <w:tr w14:paraId="75B3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BF2BE7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7128" w:type="dxa"/>
          </w:tcPr>
          <w:p w14:paraId="5085CA2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马达上可控制进行自动回撤、成像、重置当前位置到 0mm。</w:t>
            </w:r>
          </w:p>
        </w:tc>
      </w:tr>
      <w:tr w14:paraId="0E86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83F8C1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7128" w:type="dxa"/>
          </w:tcPr>
          <w:p w14:paraId="3EA1B1A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马达上回撤距离显示的分辨率为≤ 0.5mm（当前位置值 &lt;100mm 时）。</w:t>
            </w:r>
          </w:p>
        </w:tc>
      </w:tr>
      <w:tr w14:paraId="14E0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969081B">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7128" w:type="dxa"/>
          </w:tcPr>
          <w:p w14:paraId="6DB85B57">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FFR功能参数</w:t>
            </w:r>
          </w:p>
        </w:tc>
      </w:tr>
      <w:tr w14:paraId="3D96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72D326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7128" w:type="dxa"/>
          </w:tcPr>
          <w:p w14:paraId="2CA99C5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血流储备分数压力信号发送和接收器轻巧简便，在导管室有多种安装方式，便于在几个导管室之间移动使用。</w:t>
            </w:r>
          </w:p>
        </w:tc>
      </w:tr>
      <w:tr w14:paraId="3EC3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EE7E84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7128" w:type="dxa"/>
          </w:tcPr>
          <w:p w14:paraId="4F77FDB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血流储备分数压力信号发送和接收器可将 Pd 和 Pa 压力转换为数字和模拟信号。系统通过蓝牙连接并进行信号传输。模拟信号可通过线缆传输到血液动力学监测系统。</w:t>
            </w:r>
          </w:p>
        </w:tc>
      </w:tr>
      <w:tr w14:paraId="1BCB1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D4E42C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7128" w:type="dxa"/>
          </w:tcPr>
          <w:p w14:paraId="41C24A3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可连接有线压力导丝，实时接收、处理和传输主动脉压（Pa）和远端（Pd）血压信号。 连接压力导丝后，可自动进行压力导丝校准。</w:t>
            </w:r>
          </w:p>
        </w:tc>
      </w:tr>
      <w:tr w14:paraId="18C4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3A9631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7128" w:type="dxa"/>
          </w:tcPr>
          <w:p w14:paraId="54D5194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蓝牙工作频率≥2.4GHz，最大通讯距离可达视距≥ 60 米。</w:t>
            </w:r>
          </w:p>
        </w:tc>
      </w:tr>
      <w:tr w14:paraId="1013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5EFE36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7128" w:type="dxa"/>
          </w:tcPr>
          <w:p w14:paraId="4D3B56C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从光学压力导丝输入到 Pd out 的延迟 &lt;25ms。</w:t>
            </w:r>
          </w:p>
        </w:tc>
      </w:tr>
      <w:tr w14:paraId="42F2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50531B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7128" w:type="dxa"/>
          </w:tcPr>
          <w:p w14:paraId="3D50BA0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主动脉压（Pa） 显示降噪设置。</w:t>
            </w:r>
          </w:p>
        </w:tc>
      </w:tr>
      <w:tr w14:paraId="6BB3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951CB15">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7128" w:type="dxa"/>
          </w:tcPr>
          <w:p w14:paraId="321866DF">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软件参数</w:t>
            </w:r>
          </w:p>
        </w:tc>
      </w:tr>
      <w:tr w14:paraId="7900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4EF285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7128" w:type="dxa"/>
          </w:tcPr>
          <w:p w14:paraId="11C3D89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具有自动化血管壁和血管内腔测量功能的计算软件，该功能可通过计算机图像分析功能自动检测和识别截面管腔和血管边界。</w:t>
            </w:r>
          </w:p>
        </w:tc>
      </w:tr>
      <w:tr w14:paraId="1EC5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A580CF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r>
              <w:rPr>
                <w:rFonts w:hint="eastAsia" w:ascii="仿宋" w:hAnsi="仿宋" w:eastAsia="仿宋" w:cs="仿宋"/>
                <w:b/>
                <w:color w:val="auto"/>
                <w:kern w:val="0"/>
                <w:sz w:val="24"/>
                <w:szCs w:val="24"/>
                <w:highlight w:val="none"/>
              </w:rPr>
              <w:t>▲</w:t>
            </w:r>
          </w:p>
        </w:tc>
        <w:tc>
          <w:tcPr>
            <w:tcW w:w="7128" w:type="dxa"/>
          </w:tcPr>
          <w:p w14:paraId="6FA1BCF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系统具有辅助血管评估功能。</w:t>
            </w:r>
          </w:p>
        </w:tc>
      </w:tr>
      <w:tr w14:paraId="2396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D94415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7128" w:type="dxa"/>
          </w:tcPr>
          <w:p w14:paraId="60CD775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系统具有辅助血管评估功能，识别血管边界、识别管腔边界。</w:t>
            </w:r>
          </w:p>
        </w:tc>
      </w:tr>
      <w:tr w14:paraId="4084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7A7387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7128" w:type="dxa"/>
          </w:tcPr>
          <w:p w14:paraId="7DF334C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可以对预测的边界进行手动调整，可直接通过拖动边界或控制点进行调整。</w:t>
            </w:r>
          </w:p>
        </w:tc>
      </w:tr>
      <w:tr w14:paraId="5E57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7E1148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r>
              <w:rPr>
                <w:rFonts w:hint="eastAsia" w:ascii="仿宋" w:hAnsi="仿宋" w:eastAsia="仿宋" w:cs="仿宋"/>
                <w:b/>
                <w:color w:val="auto"/>
                <w:kern w:val="0"/>
                <w:sz w:val="24"/>
                <w:szCs w:val="24"/>
                <w:highlight w:val="none"/>
              </w:rPr>
              <w:t>▲</w:t>
            </w:r>
          </w:p>
        </w:tc>
        <w:tc>
          <w:tcPr>
            <w:tcW w:w="7128" w:type="dxa"/>
          </w:tcPr>
          <w:p w14:paraId="0F2F8EE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自动计算所预测边界的面积。</w:t>
            </w:r>
          </w:p>
        </w:tc>
      </w:tr>
      <w:tr w14:paraId="216D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388232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p>
        </w:tc>
        <w:tc>
          <w:tcPr>
            <w:tcW w:w="7128" w:type="dxa"/>
          </w:tcPr>
          <w:p w14:paraId="4B8CA28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自动计算当前帧的斑块负荷。</w:t>
            </w:r>
          </w:p>
        </w:tc>
      </w:tr>
      <w:tr w14:paraId="0E0B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BD46A1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w:t>
            </w:r>
          </w:p>
        </w:tc>
        <w:tc>
          <w:tcPr>
            <w:tcW w:w="7128" w:type="dxa"/>
          </w:tcPr>
          <w:p w14:paraId="605F943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系统具有辅助血管评估功能，反应时间＜1s 。</w:t>
            </w:r>
          </w:p>
        </w:tc>
      </w:tr>
      <w:tr w14:paraId="6410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E41E86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7128" w:type="dxa"/>
          </w:tcPr>
          <w:p w14:paraId="585619F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自动识标记管腔狭窄区域（近端与远端）以及最小关键帧。</w:t>
            </w:r>
          </w:p>
        </w:tc>
      </w:tr>
      <w:tr w14:paraId="02EFE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DB52E7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p>
        </w:tc>
        <w:tc>
          <w:tcPr>
            <w:tcW w:w="7128" w:type="dxa"/>
          </w:tcPr>
          <w:p w14:paraId="2D15D9C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具有斑点抑制功能，通过选择斑点抑制模式，提供图像处理以帮助除去图像中因血细胞。</w:t>
            </w:r>
          </w:p>
        </w:tc>
      </w:tr>
      <w:tr w14:paraId="604A0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B96D57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4.10</w:t>
            </w:r>
          </w:p>
        </w:tc>
        <w:tc>
          <w:tcPr>
            <w:tcW w:w="7128" w:type="dxa"/>
          </w:tcPr>
          <w:p w14:paraId="7A55955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移动反射而形成的 “血斑”，使图像更清晰。</w:t>
            </w:r>
          </w:p>
        </w:tc>
      </w:tr>
      <w:tr w14:paraId="515D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518BF6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c>
          <w:tcPr>
            <w:tcW w:w="7128" w:type="dxa"/>
          </w:tcPr>
          <w:p w14:paraId="59DEC58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具有噪声抑制模式，通过选择噪声抑制模式，降低噪声信号，提高图像分辨度。</w:t>
            </w:r>
          </w:p>
        </w:tc>
      </w:tr>
      <w:tr w14:paraId="27EF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35D836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w:t>
            </w:r>
          </w:p>
        </w:tc>
        <w:tc>
          <w:tcPr>
            <w:tcW w:w="7128" w:type="dxa"/>
          </w:tcPr>
          <w:p w14:paraId="0BD3A36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具有内腔加深模式，通过选择内腔加深模式，区分血液与其他组织结构。</w:t>
            </w:r>
          </w:p>
        </w:tc>
      </w:tr>
      <w:tr w14:paraId="19EA0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59E705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w:t>
            </w:r>
          </w:p>
        </w:tc>
        <w:tc>
          <w:tcPr>
            <w:tcW w:w="7128" w:type="dxa"/>
          </w:tcPr>
          <w:p w14:paraId="35D66DA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具有图像处理功能：远场增强、近场抑制和图像特选功能。</w:t>
            </w:r>
          </w:p>
        </w:tc>
      </w:tr>
      <w:tr w14:paraId="6D2B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0C8FD4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w:t>
            </w:r>
          </w:p>
        </w:tc>
        <w:tc>
          <w:tcPr>
            <w:tcW w:w="7128" w:type="dxa"/>
          </w:tcPr>
          <w:p w14:paraId="56CDCBE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系统可以适用增益、景深等调节功能对图像进行优化。</w:t>
            </w:r>
          </w:p>
        </w:tc>
      </w:tr>
      <w:tr w14:paraId="3686A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vAlign w:val="top"/>
          </w:tcPr>
          <w:p w14:paraId="09B8F033">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4.15</w:t>
            </w:r>
          </w:p>
        </w:tc>
        <w:tc>
          <w:tcPr>
            <w:tcW w:w="7128" w:type="dxa"/>
            <w:vAlign w:val="top"/>
          </w:tcPr>
          <w:p w14:paraId="3BEDBDA9">
            <w:pPr>
              <w:pStyle w:val="4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vertAlign w:val="baseline"/>
                <w:lang w:val="en-US" w:eastAsia="zh-CN"/>
              </w:rPr>
              <w:t>软件可对图像的亮度进行≥9级调节，以调整出更易识别边界的图像。</w:t>
            </w:r>
          </w:p>
        </w:tc>
      </w:tr>
      <w:tr w14:paraId="10B8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3EDA8A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4.16</w:t>
            </w:r>
          </w:p>
        </w:tc>
        <w:tc>
          <w:tcPr>
            <w:tcW w:w="7128" w:type="dxa"/>
          </w:tcPr>
          <w:p w14:paraId="2EC1916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呈现血管横截面长轴影像，长轴影像可以进行 360 度旋转观测。</w:t>
            </w:r>
          </w:p>
        </w:tc>
      </w:tr>
      <w:tr w14:paraId="3ED14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3B55EE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4.17</w:t>
            </w:r>
          </w:p>
        </w:tc>
        <w:tc>
          <w:tcPr>
            <w:tcW w:w="7128" w:type="dxa"/>
          </w:tcPr>
          <w:p w14:paraId="0B1B2F0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界面扁平化：功能键扁平化设置，快速直接访问 / 切换软件功能。</w:t>
            </w:r>
          </w:p>
        </w:tc>
      </w:tr>
      <w:tr w14:paraId="0791F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474099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4.18</w:t>
            </w:r>
          </w:p>
        </w:tc>
        <w:tc>
          <w:tcPr>
            <w:tcW w:w="7128" w:type="dxa"/>
          </w:tcPr>
          <w:p w14:paraId="3D34D0F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图像可进行缩放查看，可通过手势或鼠标控制。</w:t>
            </w:r>
          </w:p>
        </w:tc>
      </w:tr>
      <w:tr w14:paraId="7A06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67D310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4.19</w:t>
            </w:r>
          </w:p>
        </w:tc>
        <w:tc>
          <w:tcPr>
            <w:tcW w:w="7128" w:type="dxa"/>
          </w:tcPr>
          <w:p w14:paraId="7A0BDE5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具有录像播放功能，播放整个回撤过程中的 IVUS 图像，播放速度可调节 1mm/s、 2mm/s、3mm/s 以及当前录制的自动回撤速度。</w:t>
            </w:r>
          </w:p>
        </w:tc>
      </w:tr>
      <w:tr w14:paraId="4230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E8CDDA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4.20</w:t>
            </w:r>
          </w:p>
        </w:tc>
        <w:tc>
          <w:tcPr>
            <w:tcW w:w="7128" w:type="dxa"/>
          </w:tcPr>
          <w:p w14:paraId="65F61AA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具备标签缩略图功能：将标签的帧的缩略图显示在截面视图之下，允许您快速地识别并导航到加标签的帧，同时显示相应的截面图像。</w:t>
            </w:r>
          </w:p>
        </w:tc>
      </w:tr>
      <w:tr w14:paraId="33B7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3CC5A4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w:t>
            </w:r>
          </w:p>
        </w:tc>
        <w:tc>
          <w:tcPr>
            <w:tcW w:w="7128" w:type="dxa"/>
          </w:tcPr>
          <w:p w14:paraId="5EF87F0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长轴标签功能：开启该功能后，长轴远端和近端自动标记，利于术中快速识别。</w:t>
            </w:r>
          </w:p>
        </w:tc>
      </w:tr>
      <w:tr w14:paraId="06A0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A919A8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w:t>
            </w:r>
          </w:p>
        </w:tc>
        <w:tc>
          <w:tcPr>
            <w:tcW w:w="7128" w:type="dxa"/>
          </w:tcPr>
          <w:p w14:paraId="5B1DBB9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DICOM 3.0 标准存储影像。存储方式：上传 PACS 系统至移动存储器。</w:t>
            </w:r>
          </w:p>
        </w:tc>
      </w:tr>
      <w:tr w14:paraId="258F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BDF1A1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w:t>
            </w:r>
          </w:p>
        </w:tc>
        <w:tc>
          <w:tcPr>
            <w:tcW w:w="7128" w:type="dxa"/>
          </w:tcPr>
          <w:p w14:paraId="069793D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可提供图像直接以 Windows 兼容的 .wmv 视频输出格式及 PNG 或者 JPG 格式的静态图片。</w:t>
            </w:r>
          </w:p>
        </w:tc>
      </w:tr>
      <w:tr w14:paraId="4C11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844412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w:t>
            </w:r>
          </w:p>
        </w:tc>
        <w:tc>
          <w:tcPr>
            <w:tcW w:w="7128" w:type="dxa"/>
          </w:tcPr>
          <w:p w14:paraId="06C2706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DICOM 3.0 格式病例存档，并提供 JPEG High Quality, JPEG Med Quality, JPEG Low Quality, JPEG NH Lossless, None 五种大小的压缩格式。</w:t>
            </w:r>
          </w:p>
        </w:tc>
      </w:tr>
      <w:tr w14:paraId="1B23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EE87DF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4.25</w:t>
            </w:r>
          </w:p>
        </w:tc>
        <w:tc>
          <w:tcPr>
            <w:tcW w:w="7128" w:type="dxa"/>
          </w:tcPr>
          <w:p w14:paraId="532E891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系统可自动识别不同频率的导管。</w:t>
            </w:r>
          </w:p>
        </w:tc>
      </w:tr>
      <w:tr w14:paraId="02B1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12F005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4.26</w:t>
            </w:r>
          </w:p>
        </w:tc>
        <w:tc>
          <w:tcPr>
            <w:tcW w:w="7128" w:type="dxa"/>
          </w:tcPr>
          <w:p w14:paraId="37AF76C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手动回撤视图：可显示远端和近端关键帧标记的位置。</w:t>
            </w:r>
          </w:p>
        </w:tc>
      </w:tr>
      <w:tr w14:paraId="7B78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4CE4E9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4.27</w:t>
            </w:r>
          </w:p>
        </w:tc>
        <w:tc>
          <w:tcPr>
            <w:tcW w:w="7128" w:type="dxa"/>
          </w:tcPr>
          <w:p w14:paraId="0B08403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光学传感技术压力导丝测量 FFR 值和 DRF 值。</w:t>
            </w:r>
          </w:p>
        </w:tc>
      </w:tr>
      <w:tr w14:paraId="259E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EA1640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4.28</w:t>
            </w:r>
            <w:r>
              <w:rPr>
                <w:rFonts w:hint="eastAsia" w:ascii="仿宋" w:hAnsi="仿宋" w:eastAsia="仿宋" w:cs="仿宋"/>
                <w:b/>
                <w:color w:val="auto"/>
                <w:kern w:val="0"/>
                <w:sz w:val="24"/>
                <w:szCs w:val="24"/>
                <w:highlight w:val="none"/>
              </w:rPr>
              <w:t>▲</w:t>
            </w:r>
          </w:p>
        </w:tc>
        <w:tc>
          <w:tcPr>
            <w:tcW w:w="7128" w:type="dxa"/>
          </w:tcPr>
          <w:p w14:paraId="27B3186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DFR（静息态舒张期压力比率）在无需 ATP，腺苷等药物使用的情况下连续记录 5 个心动周期血管压力数据并测量功能学值。</w:t>
            </w:r>
          </w:p>
        </w:tc>
      </w:tr>
      <w:tr w14:paraId="3C97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88CF87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4.29</w:t>
            </w:r>
          </w:p>
        </w:tc>
        <w:tc>
          <w:tcPr>
            <w:tcW w:w="7128" w:type="dxa"/>
          </w:tcPr>
          <w:p w14:paraId="576E01F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FFR 图像的显示范围可调整：0 to 50 mm/Hg, 0 to 100 mm/Hg, 0 to 160 mm/Hg, 0 to 200 mm/Hg, 0 to 250 mm/Hg。</w:t>
            </w:r>
          </w:p>
        </w:tc>
      </w:tr>
      <w:tr w14:paraId="7E46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46B0FCF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4.30</w:t>
            </w:r>
            <w:r>
              <w:rPr>
                <w:rFonts w:hint="eastAsia" w:ascii="仿宋" w:hAnsi="仿宋" w:eastAsia="仿宋" w:cs="仿宋"/>
                <w:b/>
                <w:color w:val="auto"/>
                <w:kern w:val="0"/>
                <w:sz w:val="24"/>
                <w:szCs w:val="24"/>
                <w:highlight w:val="none"/>
              </w:rPr>
              <w:t>▲</w:t>
            </w:r>
          </w:p>
        </w:tc>
        <w:tc>
          <w:tcPr>
            <w:tcW w:w="7128" w:type="dxa"/>
          </w:tcPr>
          <w:p w14:paraId="6DB2690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可同时显示≥ 4 次搏动的 DFR 趋势线与单个 DFR 值的趋势图。</w:t>
            </w:r>
          </w:p>
        </w:tc>
      </w:tr>
      <w:tr w14:paraId="25A3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388C5B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w:t>
            </w:r>
          </w:p>
        </w:tc>
        <w:tc>
          <w:tcPr>
            <w:tcW w:w="7128" w:type="dxa"/>
          </w:tcPr>
          <w:p w14:paraId="394A03F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优化取值软件能在 FFR 计算中自动排除由移除压力导丝和冲洗导引导管引起压力波形信号中断发生的技术伪影。</w:t>
            </w:r>
          </w:p>
        </w:tc>
      </w:tr>
      <w:tr w14:paraId="3F96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E61449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w:t>
            </w:r>
          </w:p>
        </w:tc>
        <w:tc>
          <w:tcPr>
            <w:tcW w:w="7128" w:type="dxa"/>
          </w:tcPr>
          <w:p w14:paraId="2466B39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FFR 录制时，软件可自动计算当前 run 中 Pd/Pa 的最小值作为 FFR 值， FFR 取值可以重置，以计算当前 run 剩余时间内的 FFR 值。重置操作可重复多次。可以撤销所有重置。</w:t>
            </w:r>
          </w:p>
        </w:tc>
      </w:tr>
      <w:tr w14:paraId="6121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28B01D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w:t>
            </w:r>
          </w:p>
        </w:tc>
        <w:tc>
          <w:tcPr>
            <w:tcW w:w="7128" w:type="dxa"/>
          </w:tcPr>
          <w:p w14:paraId="0873FAA8">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对回顾中的 FFR 记录，软件可自动计算整个过程中 Pd/Pa 的最小值作为 FFR 值，可将任意时间点的 Pd/Pa 设置为 FFR 值。设置值操作可重复多次，可以撤销所有设置。</w:t>
            </w:r>
          </w:p>
        </w:tc>
      </w:tr>
      <w:tr w14:paraId="6645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9D0E358">
            <w:pPr>
              <w:pStyle w:val="47"/>
              <w:widowControl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7128" w:type="dxa"/>
          </w:tcPr>
          <w:p w14:paraId="4403533B">
            <w:pPr>
              <w:pStyle w:val="47"/>
              <w:widowControl w:val="0"/>
              <w:spacing w:line="360" w:lineRule="auto"/>
              <w:ind w:firstLine="0" w:firstLineChars="0"/>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导管参数</w:t>
            </w:r>
          </w:p>
        </w:tc>
      </w:tr>
      <w:tr w14:paraId="0A40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7D49F0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p>
        </w:tc>
        <w:tc>
          <w:tcPr>
            <w:tcW w:w="7128" w:type="dxa"/>
          </w:tcPr>
          <w:p w14:paraId="19DD3D5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可匹配≥50MHz血管内超声诊断导管。</w:t>
            </w:r>
          </w:p>
        </w:tc>
      </w:tr>
      <w:tr w14:paraId="0BF9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23D6931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p>
        </w:tc>
        <w:tc>
          <w:tcPr>
            <w:tcW w:w="7128" w:type="dxa"/>
          </w:tcPr>
          <w:p w14:paraId="3DAF86F6">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传感器设计：宽频传感器，提高分辨率的同时保持对大血管穿透深度。</w:t>
            </w:r>
          </w:p>
        </w:tc>
      </w:tr>
      <w:tr w14:paraId="01C1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218097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w:t>
            </w:r>
          </w:p>
        </w:tc>
        <w:tc>
          <w:tcPr>
            <w:tcW w:w="7128" w:type="dxa"/>
          </w:tcPr>
          <w:p w14:paraId="0FE7EE7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轴向分辨率≤ 35μm。</w:t>
            </w:r>
          </w:p>
        </w:tc>
      </w:tr>
      <w:tr w14:paraId="769B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AF0112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7128" w:type="dxa"/>
          </w:tcPr>
          <w:p w14:paraId="4F45EEE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最小兼容导管：≤5F 导引导管。</w:t>
            </w:r>
          </w:p>
        </w:tc>
      </w:tr>
      <w:tr w14:paraId="199A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C57C1B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w:t>
            </w:r>
          </w:p>
        </w:tc>
        <w:tc>
          <w:tcPr>
            <w:tcW w:w="7128" w:type="dxa"/>
          </w:tcPr>
          <w:p w14:paraId="76A4B25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进入外廓：≤2.0F。</w:t>
            </w:r>
          </w:p>
        </w:tc>
      </w:tr>
      <w:tr w14:paraId="258F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5457CE1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5.6</w:t>
            </w:r>
          </w:p>
        </w:tc>
        <w:tc>
          <w:tcPr>
            <w:tcW w:w="7128" w:type="dxa"/>
          </w:tcPr>
          <w:p w14:paraId="6FBC66BD">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远端外径：≤2.6F。</w:t>
            </w:r>
          </w:p>
        </w:tc>
      </w:tr>
      <w:tr w14:paraId="1212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01172D4">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5.7</w:t>
            </w:r>
          </w:p>
        </w:tc>
        <w:tc>
          <w:tcPr>
            <w:tcW w:w="7128" w:type="dxa"/>
          </w:tcPr>
          <w:p w14:paraId="37DCB85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导管通过外径（导丝交换口处）：≤3.1F。</w:t>
            </w:r>
          </w:p>
        </w:tc>
      </w:tr>
      <w:tr w14:paraId="2484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079B5BA">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5.8▲</w:t>
            </w:r>
          </w:p>
        </w:tc>
        <w:tc>
          <w:tcPr>
            <w:tcW w:w="7128" w:type="dxa"/>
          </w:tcPr>
          <w:p w14:paraId="4B8B98B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手动回撤，最大采集数≥ 12000 帧图像。</w:t>
            </w:r>
          </w:p>
        </w:tc>
      </w:tr>
      <w:tr w14:paraId="60E5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06ED837">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5.9</w:t>
            </w:r>
          </w:p>
        </w:tc>
        <w:tc>
          <w:tcPr>
            <w:tcW w:w="7128" w:type="dxa"/>
          </w:tcPr>
          <w:p w14:paraId="40E06479">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可以匹配 15MHz 外周血管超声导管。</w:t>
            </w:r>
          </w:p>
        </w:tc>
      </w:tr>
      <w:tr w14:paraId="704A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58967B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5.10</w:t>
            </w:r>
          </w:p>
        </w:tc>
        <w:tc>
          <w:tcPr>
            <w:tcW w:w="7128" w:type="dxa"/>
          </w:tcPr>
          <w:p w14:paraId="1AE651B0">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压力导丝 整体由压力导丝、扭矩装置和光缆组成。</w:t>
            </w:r>
          </w:p>
        </w:tc>
      </w:tr>
      <w:tr w14:paraId="48ED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6729311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w:t>
            </w:r>
          </w:p>
        </w:tc>
        <w:tc>
          <w:tcPr>
            <w:tcW w:w="7128" w:type="dxa"/>
          </w:tcPr>
          <w:p w14:paraId="3993C5EC">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压力导丝可用于测量冠脉病变两端的压力，也可在冠脉介入手术中作为导丝，引导导管通过血管。</w:t>
            </w:r>
          </w:p>
        </w:tc>
      </w:tr>
      <w:tr w14:paraId="66DD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35ABF533">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w:t>
            </w:r>
          </w:p>
        </w:tc>
        <w:tc>
          <w:tcPr>
            <w:tcW w:w="7128" w:type="dxa"/>
          </w:tcPr>
          <w:p w14:paraId="3F07AD0F">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压力导丝压力准确性：+/-3% 或 +/-3mmHg( 取较大值 )。</w:t>
            </w:r>
          </w:p>
        </w:tc>
      </w:tr>
      <w:tr w14:paraId="2393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7A9BA3A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w:t>
            </w:r>
          </w:p>
        </w:tc>
        <w:tc>
          <w:tcPr>
            <w:tcW w:w="7128" w:type="dxa"/>
          </w:tcPr>
          <w:p w14:paraId="7D4D0102">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压力导丝零点热效应：0.3mmHg/℃。</w:t>
            </w:r>
          </w:p>
        </w:tc>
      </w:tr>
      <w:tr w14:paraId="1ACD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18537DFB">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w:t>
            </w:r>
          </w:p>
        </w:tc>
        <w:tc>
          <w:tcPr>
            <w:tcW w:w="7128" w:type="dxa"/>
          </w:tcPr>
          <w:p w14:paraId="08FD821E">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压力导丝零点漂移：&lt;3mmHg/H。</w:t>
            </w:r>
          </w:p>
        </w:tc>
      </w:tr>
      <w:tr w14:paraId="670A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4" w:type="dxa"/>
          </w:tcPr>
          <w:p w14:paraId="0F54EBB1">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w:t>
            </w:r>
          </w:p>
        </w:tc>
        <w:tc>
          <w:tcPr>
            <w:tcW w:w="7128" w:type="dxa"/>
          </w:tcPr>
          <w:p w14:paraId="15D97105">
            <w:pPr>
              <w:pStyle w:val="47"/>
              <w:widowControl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压力导丝频率响应：&gt;25Hz。</w:t>
            </w:r>
          </w:p>
        </w:tc>
      </w:tr>
    </w:tbl>
    <w:p w14:paraId="61E0413A">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（三）商务要求：</w:t>
      </w:r>
    </w:p>
    <w:p w14:paraId="11CEC7C1">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1.项目的供货期和质保期</w:t>
      </w:r>
    </w:p>
    <w:p w14:paraId="7D7DD045">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1.1供货期：</w:t>
      </w:r>
      <w:r>
        <w:rPr>
          <w:rFonts w:hint="eastAsia" w:ascii="仿宋" w:hAnsi="仿宋" w:eastAsia="仿宋" w:cs="仿宋"/>
          <w:color w:val="auto"/>
          <w:sz w:val="24"/>
          <w:szCs w:val="24"/>
          <w:highlight w:val="none"/>
          <w:lang w:eastAsia="zh-Hans"/>
        </w:rPr>
        <w:t>合同签订后</w:t>
      </w:r>
      <w:r>
        <w:rPr>
          <w:rFonts w:hint="eastAsia" w:ascii="仿宋" w:hAnsi="仿宋" w:eastAsia="仿宋" w:cs="仿宋"/>
          <w:color w:val="auto"/>
          <w:sz w:val="24"/>
          <w:szCs w:val="24"/>
          <w:highlight w:val="none"/>
        </w:rPr>
        <w:t>并收到采购人书面通知后的90</w:t>
      </w:r>
      <w:r>
        <w:rPr>
          <w:rFonts w:hint="eastAsia" w:ascii="仿宋" w:hAnsi="仿宋" w:eastAsia="仿宋" w:cs="仿宋"/>
          <w:color w:val="auto"/>
          <w:sz w:val="24"/>
          <w:szCs w:val="24"/>
          <w:highlight w:val="none"/>
          <w:lang w:eastAsia="zh-Hans"/>
        </w:rPr>
        <w:t>个日历日内（含场地安装改造时间）完成安装、调试、验收。</w:t>
      </w:r>
    </w:p>
    <w:p w14:paraId="7C27DF5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1.2质保期：</w:t>
      </w:r>
    </w:p>
    <w:p w14:paraId="1B37F60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本包组其中数字减影血管造影系统（DSA）质保期为</w:t>
      </w:r>
      <w:r>
        <w:rPr>
          <w:rFonts w:hint="eastAsia" w:ascii="仿宋" w:hAnsi="仿宋" w:eastAsia="仿宋" w:cs="仿宋"/>
          <w:color w:val="auto"/>
          <w:sz w:val="24"/>
          <w:szCs w:val="24"/>
          <w:highlight w:val="none"/>
          <w:u w:val="none"/>
          <w:lang w:val="en-US" w:eastAsia="zh-CN"/>
        </w:rPr>
        <w:t>五</w:t>
      </w:r>
      <w:r>
        <w:rPr>
          <w:rFonts w:hint="eastAsia" w:ascii="仿宋" w:hAnsi="仿宋" w:eastAsia="仿宋" w:cs="仿宋"/>
          <w:color w:val="auto"/>
          <w:sz w:val="24"/>
          <w:szCs w:val="24"/>
          <w:highlight w:val="none"/>
          <w:lang w:val="en-US" w:eastAsia="zh-CN"/>
        </w:rPr>
        <w:t>年；多道生理记录仪和血管内超声系统的质保期为三年。</w:t>
      </w:r>
    </w:p>
    <w:p w14:paraId="33321F69">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质保期内出现任何质量问题（人为破坏或自然灾害等不可抗力除外），由中标人负责更换或维修，其费用包含（工时费、 材料费、管理费、财务费等） 在其投标报价中。质保期从整体设备验收合格日期起开始计算。质保期满后，无论采购人是否另行选择维保中标人，中标人应及时优惠提供所需的备品备件。</w:t>
      </w:r>
    </w:p>
    <w:p w14:paraId="7F26C3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1.3中标人必须严格按照合同文件要求及中标人在投标/响应文件中所投设备的品牌型号提供设备，中标人应保证其提供的设备（包括零部件）是全新的、 完整的、原装的正规行货，出厂日期在投标日期之后并且符合国家检测标准以及该设备的出厂标准和原装配置，并在各个方面符合合同规定的质量、规格和性能。</w:t>
      </w:r>
    </w:p>
    <w:p w14:paraId="49C5AE4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2.付款方式和交货地点</w:t>
      </w:r>
    </w:p>
    <w:p w14:paraId="1422D31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付款方式：合同签订后并收到中标人同等发票后20个工作日内支付合同总金额的30%，货到安装调试完成后并收到中标人同等发票后20个工作日内支付合同总金额的50%，设备正常运行一个月后，并收到中标人同等发票后20个工作日内支付合同总金额的20%。(以合同签订为准)</w:t>
      </w:r>
    </w:p>
    <w:p w14:paraId="3BA760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2.2交货地点：麦盖提人民医院指定地点。</w:t>
      </w:r>
    </w:p>
    <w:p w14:paraId="09AFB11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3.售后服务及培训</w:t>
      </w:r>
    </w:p>
    <w:p w14:paraId="4825B21B">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中标人须到采购人提供的现场免费安装、调试设备，进行操作试验，直至运行正常，为设备操作人员终身免费提供技术服务、技术支持及咨询服务，在任何时候、任何地点均可享受到终生的免费咨询服务。维修响应 7x24 小时响应，在质保期内出现故障中标人在接到故障报修电话后，4小时故障响应，12小时之内工程师修复，疆内常备配件库房。在保修期内不定期免费进行状态检测。</w:t>
      </w:r>
    </w:p>
    <w:p w14:paraId="0310AFDB">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3.2在质保期内，派遣维修或技术人员巡访设备使用单位，协助并指导运维人员进行日常维护保养工作，并与直接使用人交流设备使用相关事宜。</w:t>
      </w:r>
    </w:p>
    <w:p w14:paraId="75E63DA8">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3.3售后人员：由原厂高级工程师负责售后问题。</w:t>
      </w:r>
    </w:p>
    <w:p w14:paraId="14F0EE15">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3.4厂家在疆内常驻销售经理和售后维修等人员，提供联系方式、身份信息、社保证明等证明材料。</w:t>
      </w:r>
    </w:p>
    <w:p w14:paraId="5F084EFB">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3.5中标人必须积极配合采购人共同参与项目验收。主动向采购人有关技术人员在使用现场提供全套技术指导及培训。</w:t>
      </w:r>
    </w:p>
    <w:p w14:paraId="20ECE0EB">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3.6中标人应派相关技术人员到现场免费进行指导安装，解决安装过程中的相关问题。</w:t>
      </w:r>
    </w:p>
    <w:p w14:paraId="606D71FD">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3.7售后服务承诺：中标人应对质保期内及其以后的服务做出承诺，并具有切实可行的措施,不能及时兑现服务承诺内容而影响使用方使用，中标人应当给予补偿。</w:t>
      </w:r>
    </w:p>
    <w:p w14:paraId="447D33E6">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3.8如收到服务需求不合要求情况，可双方协商决定，但决定权在采购人，采购人有权利退回所购买产品。</w:t>
      </w:r>
    </w:p>
    <w:p w14:paraId="797E0F66">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3.9人员培训：针对本院实际情况指定培训计划，中标人应提供技术培训，保证使用人员正常操作设备的各种功能。在质保期内为采购人提供至少三人的培训服务，确保用户方至少两名操作人员可熟悉使用，中标人应保证在采购人指定交货地点对设备操作人员提供不少于 </w:t>
      </w:r>
      <w:r>
        <w:rPr>
          <w:rFonts w:hint="eastAsia" w:ascii="仿宋" w:hAnsi="仿宋" w:eastAsia="仿宋" w:cs="仿宋"/>
          <w:color w:val="auto"/>
          <w:sz w:val="24"/>
          <w:szCs w:val="24"/>
          <w:highlight w:val="none"/>
          <w:lang w:val="en-US" w:eastAsia="zh-CN"/>
        </w:rPr>
        <w:t xml:space="preserve">一周 </w:t>
      </w:r>
      <w:r>
        <w:rPr>
          <w:rFonts w:hint="eastAsia" w:ascii="仿宋" w:hAnsi="仿宋" w:eastAsia="仿宋" w:cs="仿宋"/>
          <w:color w:val="auto"/>
          <w:sz w:val="24"/>
          <w:szCs w:val="24"/>
          <w:highlight w:val="none"/>
        </w:rPr>
        <w:t>的免费培训。培训配备受过专业培训的售后服务人员、技术支持人员及咨询服务、在任何时候、任何地点均可享受到终生的免费咨询服务。中标人投标时应提供详细的培训方案。培训教员的差旅费、食宿费、培训教材等费用，应计入投标报价， 随时排除所有设备故障进行明确的计划阐述，并对所有设备保修期过后维保进行阐述。</w:t>
      </w:r>
    </w:p>
    <w:p w14:paraId="4F4F432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4.包装、调试、验收</w:t>
      </w:r>
    </w:p>
    <w:p w14:paraId="3B9173FE">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4.1中标人</w:t>
      </w:r>
      <w:r>
        <w:rPr>
          <w:rFonts w:hint="eastAsia" w:ascii="仿宋" w:hAnsi="仿宋" w:eastAsia="仿宋" w:cs="仿宋"/>
          <w:color w:val="auto"/>
          <w:sz w:val="24"/>
          <w:szCs w:val="24"/>
          <w:highlight w:val="none"/>
          <w:lang w:eastAsia="zh-Hans"/>
        </w:rPr>
        <w:t>将所供设备运送至交货地点，采购人、</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双方共同拆箱，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将合同设备安装调试完成并移交所有资料文档后向采购人提出验收申请，采购人于收到</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验收申请后7日内组织履约验收，验收完毕由采购人及</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在验收报告上签名。</w:t>
      </w:r>
    </w:p>
    <w:p w14:paraId="539FCE9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4.2数字减影血管造影系统（DSA）改造、移机及安装要求</w:t>
      </w:r>
    </w:p>
    <w:p w14:paraId="76189C4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4.2.1本次数字减影血管造影系统（DSA）安装及后期移机均为交钥匙安装工程，中标人须负责原有场地安装设计和指定位置的场地改造(包括但不限于对原有场地中设备进行拆除、移机、组装、吊轨安装、场地加固、强弱电改造及接入、PACS 接入、辐射环评及放射性职业病危害控制效果评价技术服务等)所有设备投入使用前的改造及安装工作，并保证通过相关部门验收及满足投入使用的各项条件，免费质保期同该项目的设备质保期，如国家有明确具体维保年限，则按照国家规定年限为准。</w:t>
      </w:r>
    </w:p>
    <w:p w14:paraId="622B069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4.2.2数字减影血管造影系统（DSA）设备安装后完成手术室内温湿调节系统改造工作，以确保不影响原手术室层流净化级别。</w:t>
      </w:r>
    </w:p>
    <w:p w14:paraId="2F993CF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4.2.3中标人负责协助装机后的放射类许可证、放射诊疗许可证、辐射安全许可证的办理，所涉及费用等均由中标人负责。</w:t>
      </w:r>
    </w:p>
    <w:p w14:paraId="4649032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4.2.4本项目中如有涉及水、电、气设备安装及调试、室外高空作业等项目的中标人承诺使用具有国家认可资质的操作人员（资质证书仍在有效期内）实施，否则由此造成的后果由中标人负责。</w:t>
      </w:r>
    </w:p>
    <w:p w14:paraId="0F3F075C">
      <w:pPr>
        <w:spacing w:line="360" w:lineRule="auto"/>
        <w:ind w:left="70" w:firstLine="56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Hans"/>
        </w:rPr>
        <w:t>采购人依照相关验收规范、设备出厂技术标准、招标文件及投标文件要求对全部设备、产品、型号、规格、数量、外型、外观、包装及资料、文件（如装箱单、保修单、随箱介质等）进行验收。验收按国家有关的标准规定、规范进行。验收时如发现所交付的设备有短装、次品、损坏或其它不符合本合同规定之情形者，采购人应做出详尽的现场记录，或由采购人、</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双方签署备忘录。此现场记录或备忘录可用作补充、缺失和更换损坏部件的有效证据。由此产生的有关费用由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承担，验收期限相应后延。</w:t>
      </w:r>
    </w:p>
    <w:p w14:paraId="3FB133AE">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Hans"/>
        </w:rPr>
        <w:t>如在验收中发现设备达不到验收标准或合同及合同相关技术文件规定，</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应及时安排更换，以保证合同设备安装调试的成功完成,使设备最终达到合同或合同相关技术文件中规定的性能和要求。更换的相关费用由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承担并承担由此造成的一切损失。</w:t>
      </w:r>
    </w:p>
    <w:p w14:paraId="308BD4A4">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提供的产品原始样本，技术资料和招标文件技术一致，符合我国有关技术规范和标准。</w:t>
      </w:r>
    </w:p>
    <w:p w14:paraId="7A8DFBB8">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Hans"/>
        </w:rPr>
        <w:t>验收时，</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要提供有效的该产品的注册证（或备案证明，注明使用期限）、产品合格证、合同标明产品的产地、首次本地计量检测合格证(包括强检和非强检医疗设备)。</w:t>
      </w:r>
    </w:p>
    <w:p w14:paraId="121B4D86">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Hans"/>
        </w:rPr>
        <w:t>如</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没有及时提供相关证件（如合格证等），有可能影响验收进程，所导致的经济损失，由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自行承担。</w:t>
      </w:r>
    </w:p>
    <w:p w14:paraId="3ADB3AB8">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负责相关验收投入使用前所需的所有</w:t>
      </w:r>
      <w:r>
        <w:rPr>
          <w:rFonts w:hint="eastAsia" w:ascii="仿宋" w:hAnsi="仿宋" w:eastAsia="仿宋" w:cs="仿宋"/>
          <w:color w:val="auto"/>
          <w:sz w:val="24"/>
          <w:szCs w:val="24"/>
          <w:highlight w:val="none"/>
        </w:rPr>
        <w:t>防辐射</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环评、</w:t>
      </w:r>
      <w:r>
        <w:rPr>
          <w:rFonts w:hint="eastAsia" w:ascii="仿宋" w:hAnsi="仿宋" w:eastAsia="仿宋" w:cs="仿宋"/>
          <w:color w:val="auto"/>
          <w:sz w:val="24"/>
          <w:szCs w:val="24"/>
          <w:highlight w:val="none"/>
          <w:lang w:eastAsia="zh-Hans"/>
        </w:rPr>
        <w:t>性能检测、质控等检测</w:t>
      </w:r>
      <w:r>
        <w:rPr>
          <w:rFonts w:hint="eastAsia" w:ascii="仿宋" w:hAnsi="仿宋" w:eastAsia="仿宋" w:cs="仿宋"/>
          <w:color w:val="auto"/>
          <w:sz w:val="24"/>
          <w:szCs w:val="24"/>
          <w:highlight w:val="none"/>
        </w:rPr>
        <w:t>（若有）</w:t>
      </w:r>
      <w:r>
        <w:rPr>
          <w:rFonts w:hint="eastAsia" w:ascii="仿宋" w:hAnsi="仿宋" w:eastAsia="仿宋" w:cs="仿宋"/>
          <w:color w:val="auto"/>
          <w:sz w:val="24"/>
          <w:szCs w:val="24"/>
          <w:highlight w:val="none"/>
          <w:lang w:eastAsia="zh-Hans"/>
        </w:rPr>
        <w:t>。</w:t>
      </w:r>
    </w:p>
    <w:p w14:paraId="18F6DBD8">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Hans"/>
        </w:rPr>
        <w:t>必要时可邀请相关的专业人员或机构参与验收。</w:t>
      </w:r>
    </w:p>
    <w:p w14:paraId="6ADA6D36">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Hans"/>
        </w:rPr>
        <w:t>最终验收前，</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需提供所有测试报告及文件。</w:t>
      </w:r>
    </w:p>
    <w:p w14:paraId="1936EA29">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最终验收在所有设备安装调试完毕后进行。在此期间</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需派人员参加，若</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所供产品出现故障，则</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应及时修复并做好记录，该记录将作为产品性能测试的原始资料和验收结论。</w:t>
      </w:r>
    </w:p>
    <w:p w14:paraId="0EEA99E2">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需为验收提供必需的一切条件及相关费用。</w:t>
      </w:r>
    </w:p>
    <w:p w14:paraId="30510440">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Hans"/>
        </w:rPr>
        <w:t>验收交付前的保管安全责任由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w:t>
      </w:r>
    </w:p>
    <w:p w14:paraId="335710AB">
      <w:pP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完成安装验收后，负责及时处理并运走该货物的包装木箱、纸皮箱等物品。</w:t>
      </w:r>
    </w:p>
    <w:p w14:paraId="1EA02053">
      <w:pPr>
        <w:pStyle w:val="18"/>
        <w:widowControl/>
        <w:spacing w:beforeAutospacing="0" w:afterAutospacing="0" w:line="555" w:lineRule="atLeast"/>
        <w:ind w:left="420" w:leftChars="200"/>
        <w:rPr>
          <w:rFonts w:hint="eastAsia" w:ascii="仿宋" w:hAnsi="仿宋" w:eastAsia="仿宋" w:cs="仿宋"/>
          <w:b/>
          <w:bCs/>
          <w:color w:val="auto"/>
          <w:sz w:val="24"/>
          <w:szCs w:val="24"/>
          <w:highlight w:val="none"/>
          <w:lang w:val="en-US" w:eastAsia="zh-CN"/>
        </w:rPr>
      </w:pPr>
    </w:p>
    <w:p w14:paraId="710A5F89">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63B267D8">
      <w:pPr>
        <w:pStyle w:val="18"/>
        <w:widowControl/>
        <w:spacing w:beforeAutospacing="0" w:afterAutospacing="0" w:line="555" w:lineRule="atLeast"/>
        <w:ind w:left="420" w:left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标项2：</w:t>
      </w:r>
    </w:p>
    <w:p w14:paraId="06BD6D65">
      <w:pPr>
        <w:pStyle w:val="18"/>
        <w:widowControl/>
        <w:spacing w:beforeAutospacing="0" w:afterAutospacing="0" w:line="360" w:lineRule="auto"/>
        <w:ind w:left="420" w:left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（一）采购标的汇总表 </w:t>
      </w:r>
    </w:p>
    <w:tbl>
      <w:tblPr>
        <w:tblStyle w:val="2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3730"/>
        <w:gridCol w:w="955"/>
        <w:gridCol w:w="1022"/>
        <w:gridCol w:w="1453"/>
        <w:gridCol w:w="1453"/>
      </w:tblGrid>
      <w:tr w14:paraId="5B05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jc w:val="center"/>
        </w:trPr>
        <w:tc>
          <w:tcPr>
            <w:tcW w:w="744" w:type="dxa"/>
            <w:shd w:val="clear" w:color="auto" w:fill="auto"/>
            <w:tcMar>
              <w:left w:w="105" w:type="dxa"/>
              <w:right w:w="105" w:type="dxa"/>
            </w:tcMar>
            <w:vAlign w:val="center"/>
          </w:tcPr>
          <w:p w14:paraId="4BA96590">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序号</w:t>
            </w:r>
          </w:p>
        </w:tc>
        <w:tc>
          <w:tcPr>
            <w:tcW w:w="3730" w:type="dxa"/>
            <w:shd w:val="clear" w:color="auto" w:fill="auto"/>
            <w:tcMar>
              <w:left w:w="105" w:type="dxa"/>
              <w:right w:w="105" w:type="dxa"/>
            </w:tcMar>
            <w:vAlign w:val="center"/>
          </w:tcPr>
          <w:p w14:paraId="673EF78B">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标的名称</w:t>
            </w:r>
          </w:p>
        </w:tc>
        <w:tc>
          <w:tcPr>
            <w:tcW w:w="955" w:type="dxa"/>
            <w:shd w:val="clear" w:color="auto" w:fill="auto"/>
            <w:tcMar>
              <w:left w:w="105" w:type="dxa"/>
              <w:right w:w="105" w:type="dxa"/>
            </w:tcMar>
            <w:vAlign w:val="center"/>
          </w:tcPr>
          <w:p w14:paraId="70052ACA">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计量</w:t>
            </w:r>
          </w:p>
          <w:p w14:paraId="0D20889C">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单位</w:t>
            </w:r>
          </w:p>
        </w:tc>
        <w:tc>
          <w:tcPr>
            <w:tcW w:w="1022" w:type="dxa"/>
            <w:shd w:val="clear" w:color="auto" w:fill="auto"/>
            <w:tcMar>
              <w:left w:w="105" w:type="dxa"/>
              <w:right w:w="105" w:type="dxa"/>
            </w:tcMar>
            <w:vAlign w:val="center"/>
          </w:tcPr>
          <w:p w14:paraId="18529AED">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数量</w:t>
            </w:r>
          </w:p>
        </w:tc>
        <w:tc>
          <w:tcPr>
            <w:tcW w:w="1453" w:type="dxa"/>
            <w:shd w:val="clear" w:color="auto" w:fill="auto"/>
            <w:tcMar>
              <w:left w:w="105" w:type="dxa"/>
              <w:right w:w="105" w:type="dxa"/>
            </w:tcMar>
            <w:vAlign w:val="center"/>
          </w:tcPr>
          <w:p w14:paraId="49FC6F00">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是否</w:t>
            </w:r>
          </w:p>
          <w:p w14:paraId="362839D5">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进口</w:t>
            </w:r>
          </w:p>
        </w:tc>
        <w:tc>
          <w:tcPr>
            <w:tcW w:w="1453" w:type="dxa"/>
            <w:shd w:val="clear" w:color="auto" w:fill="auto"/>
            <w:tcMar>
              <w:left w:w="105" w:type="dxa"/>
              <w:right w:w="105" w:type="dxa"/>
            </w:tcMar>
            <w:vAlign w:val="center"/>
          </w:tcPr>
          <w:p w14:paraId="2B46DF13">
            <w:pPr>
              <w:pStyle w:val="18"/>
              <w:widowControl/>
              <w:wordWrap w:val="0"/>
              <w:spacing w:beforeAutospacing="0" w:afterAutospacing="0" w:line="360" w:lineRule="auto"/>
              <w:jc w:val="center"/>
              <w:rPr>
                <w:rStyle w:val="24"/>
                <w:rFonts w:hint="eastAsia" w:ascii="仿宋" w:hAnsi="仿宋" w:eastAsia="仿宋" w:cs="仿宋"/>
                <w:color w:val="auto"/>
                <w:spacing w:val="-20"/>
                <w:sz w:val="24"/>
                <w:szCs w:val="24"/>
                <w:highlight w:val="none"/>
              </w:rPr>
            </w:pPr>
            <w:r>
              <w:rPr>
                <w:rStyle w:val="24"/>
                <w:rFonts w:hint="eastAsia" w:ascii="仿宋" w:hAnsi="仿宋" w:eastAsia="仿宋" w:cs="仿宋"/>
                <w:color w:val="auto"/>
                <w:spacing w:val="-20"/>
                <w:sz w:val="24"/>
                <w:szCs w:val="24"/>
                <w:highlight w:val="none"/>
              </w:rPr>
              <w:t>核心设备</w:t>
            </w:r>
          </w:p>
        </w:tc>
      </w:tr>
      <w:tr w14:paraId="5C39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744" w:type="dxa"/>
            <w:shd w:val="clear" w:color="auto" w:fill="auto"/>
            <w:tcMar>
              <w:left w:w="105" w:type="dxa"/>
              <w:right w:w="105" w:type="dxa"/>
            </w:tcMar>
            <w:vAlign w:val="center"/>
          </w:tcPr>
          <w:p w14:paraId="11EFE91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3730" w:type="dxa"/>
            <w:shd w:val="clear" w:color="auto" w:fill="auto"/>
            <w:tcMar>
              <w:left w:w="105" w:type="dxa"/>
              <w:right w:w="105" w:type="dxa"/>
            </w:tcMar>
            <w:vAlign w:val="center"/>
          </w:tcPr>
          <w:p w14:paraId="56B9654F">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过氧化氢低温等离子体灭菌器</w:t>
            </w:r>
          </w:p>
        </w:tc>
        <w:tc>
          <w:tcPr>
            <w:tcW w:w="955" w:type="dxa"/>
            <w:shd w:val="clear" w:color="auto" w:fill="auto"/>
            <w:tcMar>
              <w:left w:w="105" w:type="dxa"/>
              <w:right w:w="105" w:type="dxa"/>
            </w:tcMar>
            <w:vAlign w:val="center"/>
          </w:tcPr>
          <w:p w14:paraId="3B970021">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套</w:t>
            </w:r>
          </w:p>
        </w:tc>
        <w:tc>
          <w:tcPr>
            <w:tcW w:w="1022" w:type="dxa"/>
            <w:shd w:val="clear" w:color="auto" w:fill="auto"/>
            <w:tcMar>
              <w:left w:w="105" w:type="dxa"/>
              <w:right w:w="105" w:type="dxa"/>
            </w:tcMar>
            <w:vAlign w:val="center"/>
          </w:tcPr>
          <w:p w14:paraId="5794484B">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7D74A95F">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27A49846">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w:t>
            </w:r>
          </w:p>
        </w:tc>
      </w:tr>
      <w:tr w14:paraId="01D2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6CA7CA2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w:t>
            </w:r>
          </w:p>
        </w:tc>
        <w:tc>
          <w:tcPr>
            <w:tcW w:w="3730" w:type="dxa"/>
            <w:shd w:val="clear" w:color="auto" w:fill="auto"/>
            <w:tcMar>
              <w:left w:w="105" w:type="dxa"/>
              <w:right w:w="105" w:type="dxa"/>
            </w:tcMar>
            <w:vAlign w:val="center"/>
          </w:tcPr>
          <w:p w14:paraId="631EA849">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脉动真空灭菌器</w:t>
            </w:r>
          </w:p>
        </w:tc>
        <w:tc>
          <w:tcPr>
            <w:tcW w:w="955" w:type="dxa"/>
            <w:shd w:val="clear" w:color="auto" w:fill="auto"/>
            <w:tcMar>
              <w:left w:w="105" w:type="dxa"/>
              <w:right w:w="105" w:type="dxa"/>
            </w:tcMar>
            <w:vAlign w:val="center"/>
          </w:tcPr>
          <w:p w14:paraId="51871F0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4EDD8768">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7223C1BB">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6D25FAB2">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是</w:t>
            </w:r>
          </w:p>
        </w:tc>
      </w:tr>
      <w:tr w14:paraId="6557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3AC306C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3</w:t>
            </w:r>
          </w:p>
        </w:tc>
        <w:tc>
          <w:tcPr>
            <w:tcW w:w="3730" w:type="dxa"/>
            <w:shd w:val="clear" w:color="auto" w:fill="auto"/>
            <w:tcMar>
              <w:left w:w="105" w:type="dxa"/>
              <w:right w:w="105" w:type="dxa"/>
            </w:tcMar>
            <w:vAlign w:val="center"/>
          </w:tcPr>
          <w:p w14:paraId="22A65A4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脉动真空清洗消毒器</w:t>
            </w:r>
          </w:p>
        </w:tc>
        <w:tc>
          <w:tcPr>
            <w:tcW w:w="955" w:type="dxa"/>
            <w:shd w:val="clear" w:color="auto" w:fill="auto"/>
            <w:tcMar>
              <w:left w:w="105" w:type="dxa"/>
              <w:right w:w="105" w:type="dxa"/>
            </w:tcMar>
            <w:vAlign w:val="center"/>
          </w:tcPr>
          <w:p w14:paraId="31205905">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2966AF36">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3F634317">
            <w:pPr>
              <w:pStyle w:val="18"/>
              <w:widowControl/>
              <w:wordWrap w:val="0"/>
              <w:spacing w:beforeAutospacing="0" w:afterAutospacing="0"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3745E74B">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1335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29D88FCA">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4</w:t>
            </w:r>
          </w:p>
        </w:tc>
        <w:tc>
          <w:tcPr>
            <w:tcW w:w="3730" w:type="dxa"/>
            <w:shd w:val="clear" w:color="auto" w:fill="auto"/>
            <w:tcMar>
              <w:left w:w="105" w:type="dxa"/>
              <w:right w:w="105" w:type="dxa"/>
            </w:tcMar>
            <w:vAlign w:val="center"/>
          </w:tcPr>
          <w:p w14:paraId="06CC907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超声波清洗机</w:t>
            </w:r>
          </w:p>
        </w:tc>
        <w:tc>
          <w:tcPr>
            <w:tcW w:w="955" w:type="dxa"/>
            <w:shd w:val="clear" w:color="auto" w:fill="auto"/>
            <w:tcMar>
              <w:left w:w="105" w:type="dxa"/>
              <w:right w:w="105" w:type="dxa"/>
            </w:tcMar>
            <w:vAlign w:val="center"/>
          </w:tcPr>
          <w:p w14:paraId="6A03E57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3AB2EA01">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2BDCBE0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77E220D6">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02A0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416FF038">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5</w:t>
            </w:r>
          </w:p>
        </w:tc>
        <w:tc>
          <w:tcPr>
            <w:tcW w:w="3730" w:type="dxa"/>
            <w:shd w:val="clear" w:color="auto" w:fill="auto"/>
            <w:tcMar>
              <w:left w:w="105" w:type="dxa"/>
              <w:right w:w="105" w:type="dxa"/>
            </w:tcMar>
            <w:vAlign w:val="center"/>
          </w:tcPr>
          <w:p w14:paraId="510462D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医用干燥柜</w:t>
            </w:r>
          </w:p>
        </w:tc>
        <w:tc>
          <w:tcPr>
            <w:tcW w:w="955" w:type="dxa"/>
            <w:shd w:val="clear" w:color="auto" w:fill="auto"/>
            <w:tcMar>
              <w:left w:w="105" w:type="dxa"/>
              <w:right w:w="105" w:type="dxa"/>
            </w:tcMar>
            <w:vAlign w:val="center"/>
          </w:tcPr>
          <w:p w14:paraId="56F21231">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14E12C6F">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06A7766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4CBE57B9">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777E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4F4CB66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6</w:t>
            </w:r>
          </w:p>
        </w:tc>
        <w:tc>
          <w:tcPr>
            <w:tcW w:w="3730" w:type="dxa"/>
            <w:shd w:val="clear" w:color="auto" w:fill="auto"/>
            <w:tcMar>
              <w:left w:w="105" w:type="dxa"/>
              <w:right w:w="105" w:type="dxa"/>
            </w:tcMar>
            <w:vAlign w:val="center"/>
          </w:tcPr>
          <w:p w14:paraId="1592111B">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污物清洗槽</w:t>
            </w:r>
          </w:p>
        </w:tc>
        <w:tc>
          <w:tcPr>
            <w:tcW w:w="955" w:type="dxa"/>
            <w:shd w:val="clear" w:color="auto" w:fill="auto"/>
            <w:tcMar>
              <w:left w:w="105" w:type="dxa"/>
              <w:right w:w="105" w:type="dxa"/>
            </w:tcMar>
            <w:vAlign w:val="center"/>
          </w:tcPr>
          <w:p w14:paraId="231E641B">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27BBB249">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1F1D200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461CA09A">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3382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65A87384">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7</w:t>
            </w:r>
          </w:p>
        </w:tc>
        <w:tc>
          <w:tcPr>
            <w:tcW w:w="3730" w:type="dxa"/>
            <w:shd w:val="clear" w:color="auto" w:fill="auto"/>
            <w:tcMar>
              <w:left w:w="105" w:type="dxa"/>
              <w:right w:w="105" w:type="dxa"/>
            </w:tcMar>
            <w:vAlign w:val="center"/>
          </w:tcPr>
          <w:p w14:paraId="58D13EF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平板货架</w:t>
            </w:r>
          </w:p>
        </w:tc>
        <w:tc>
          <w:tcPr>
            <w:tcW w:w="955" w:type="dxa"/>
            <w:shd w:val="clear" w:color="auto" w:fill="auto"/>
            <w:tcMar>
              <w:left w:w="105" w:type="dxa"/>
              <w:right w:w="105" w:type="dxa"/>
            </w:tcMar>
            <w:vAlign w:val="center"/>
          </w:tcPr>
          <w:p w14:paraId="57C062E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3A5C53E0">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0E6657A4">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71614373">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78C0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733C69FB">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8</w:t>
            </w:r>
          </w:p>
        </w:tc>
        <w:tc>
          <w:tcPr>
            <w:tcW w:w="3730" w:type="dxa"/>
            <w:shd w:val="clear" w:color="auto" w:fill="auto"/>
            <w:tcMar>
              <w:left w:w="105" w:type="dxa"/>
              <w:right w:w="105" w:type="dxa"/>
            </w:tcMar>
            <w:vAlign w:val="center"/>
          </w:tcPr>
          <w:p w14:paraId="7E53D75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全自动切割机</w:t>
            </w:r>
          </w:p>
        </w:tc>
        <w:tc>
          <w:tcPr>
            <w:tcW w:w="955" w:type="dxa"/>
            <w:shd w:val="clear" w:color="auto" w:fill="auto"/>
            <w:tcMar>
              <w:left w:w="105" w:type="dxa"/>
              <w:right w:w="105" w:type="dxa"/>
            </w:tcMar>
            <w:vAlign w:val="center"/>
          </w:tcPr>
          <w:p w14:paraId="2019A944">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541136B4">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5A0EA16A">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20584061">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7225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231A3F7B">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9</w:t>
            </w:r>
          </w:p>
        </w:tc>
        <w:tc>
          <w:tcPr>
            <w:tcW w:w="3730" w:type="dxa"/>
            <w:shd w:val="clear" w:color="auto" w:fill="auto"/>
            <w:tcMar>
              <w:left w:w="105" w:type="dxa"/>
              <w:right w:w="105" w:type="dxa"/>
            </w:tcMar>
            <w:vAlign w:val="center"/>
          </w:tcPr>
          <w:p w14:paraId="40EF273C">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多功能台</w:t>
            </w:r>
          </w:p>
        </w:tc>
        <w:tc>
          <w:tcPr>
            <w:tcW w:w="955" w:type="dxa"/>
            <w:shd w:val="clear" w:color="auto" w:fill="auto"/>
            <w:tcMar>
              <w:left w:w="105" w:type="dxa"/>
              <w:right w:w="105" w:type="dxa"/>
            </w:tcMar>
            <w:vAlign w:val="center"/>
          </w:tcPr>
          <w:p w14:paraId="54825CE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67802A79">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5EE022AC">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24605BE7">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4166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65E25135">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10</w:t>
            </w:r>
          </w:p>
        </w:tc>
        <w:tc>
          <w:tcPr>
            <w:tcW w:w="3730" w:type="dxa"/>
            <w:shd w:val="clear" w:color="auto" w:fill="auto"/>
            <w:tcMar>
              <w:left w:w="105" w:type="dxa"/>
              <w:right w:w="105" w:type="dxa"/>
            </w:tcMar>
            <w:vAlign w:val="center"/>
          </w:tcPr>
          <w:p w14:paraId="4B7A3B6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器械检查打包台</w:t>
            </w:r>
          </w:p>
        </w:tc>
        <w:tc>
          <w:tcPr>
            <w:tcW w:w="955" w:type="dxa"/>
            <w:shd w:val="clear" w:color="auto" w:fill="auto"/>
            <w:tcMar>
              <w:left w:w="105" w:type="dxa"/>
              <w:right w:w="105" w:type="dxa"/>
            </w:tcMar>
            <w:vAlign w:val="center"/>
          </w:tcPr>
          <w:p w14:paraId="39C4FA0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4CCCA29E">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160CE3B1">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107CD96E">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299A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7191D78D">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11</w:t>
            </w:r>
          </w:p>
        </w:tc>
        <w:tc>
          <w:tcPr>
            <w:tcW w:w="3730" w:type="dxa"/>
            <w:shd w:val="clear" w:color="auto" w:fill="auto"/>
            <w:tcMar>
              <w:left w:w="105" w:type="dxa"/>
              <w:right w:w="105" w:type="dxa"/>
            </w:tcMar>
            <w:vAlign w:val="center"/>
          </w:tcPr>
          <w:p w14:paraId="7338B832">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干燥物品打包台</w:t>
            </w:r>
          </w:p>
        </w:tc>
        <w:tc>
          <w:tcPr>
            <w:tcW w:w="955" w:type="dxa"/>
            <w:shd w:val="clear" w:color="auto" w:fill="auto"/>
            <w:tcMar>
              <w:left w:w="105" w:type="dxa"/>
              <w:right w:w="105" w:type="dxa"/>
            </w:tcMar>
            <w:vAlign w:val="center"/>
          </w:tcPr>
          <w:p w14:paraId="67245F2B">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14DB579C">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49E38D2F">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4A32E015">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44AC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59BA3BD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12</w:t>
            </w:r>
          </w:p>
        </w:tc>
        <w:tc>
          <w:tcPr>
            <w:tcW w:w="3730" w:type="dxa"/>
            <w:shd w:val="clear" w:color="auto" w:fill="auto"/>
            <w:tcMar>
              <w:left w:w="105" w:type="dxa"/>
              <w:right w:w="105" w:type="dxa"/>
            </w:tcMar>
            <w:vAlign w:val="center"/>
          </w:tcPr>
          <w:p w14:paraId="52F330F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包布检查打包台</w:t>
            </w:r>
          </w:p>
        </w:tc>
        <w:tc>
          <w:tcPr>
            <w:tcW w:w="955" w:type="dxa"/>
            <w:shd w:val="clear" w:color="auto" w:fill="auto"/>
            <w:tcMar>
              <w:left w:w="105" w:type="dxa"/>
              <w:right w:w="105" w:type="dxa"/>
            </w:tcMar>
            <w:vAlign w:val="center"/>
          </w:tcPr>
          <w:p w14:paraId="2C3AFD82">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42DF2BA1">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4CA185C5">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3E32B599">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1ED5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7E1C4078">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13</w:t>
            </w:r>
          </w:p>
        </w:tc>
        <w:tc>
          <w:tcPr>
            <w:tcW w:w="3730" w:type="dxa"/>
            <w:shd w:val="clear" w:color="auto" w:fill="auto"/>
            <w:tcMar>
              <w:left w:w="105" w:type="dxa"/>
              <w:right w:w="105" w:type="dxa"/>
            </w:tcMar>
            <w:vAlign w:val="center"/>
          </w:tcPr>
          <w:p w14:paraId="54A0B1F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医用除锈仪</w:t>
            </w:r>
          </w:p>
        </w:tc>
        <w:tc>
          <w:tcPr>
            <w:tcW w:w="955" w:type="dxa"/>
            <w:shd w:val="clear" w:color="auto" w:fill="auto"/>
            <w:tcMar>
              <w:left w:w="105" w:type="dxa"/>
              <w:right w:w="105" w:type="dxa"/>
            </w:tcMar>
            <w:vAlign w:val="center"/>
          </w:tcPr>
          <w:p w14:paraId="5B01686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2DE04A0C">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20594B17">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0F84F128">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6E82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6A5A3FE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14</w:t>
            </w:r>
          </w:p>
        </w:tc>
        <w:tc>
          <w:tcPr>
            <w:tcW w:w="3730" w:type="dxa"/>
            <w:shd w:val="clear" w:color="auto" w:fill="auto"/>
            <w:tcMar>
              <w:left w:w="105" w:type="dxa"/>
              <w:right w:w="105" w:type="dxa"/>
            </w:tcMar>
            <w:vAlign w:val="center"/>
          </w:tcPr>
          <w:p w14:paraId="212D0037">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医用纯水机</w:t>
            </w:r>
          </w:p>
        </w:tc>
        <w:tc>
          <w:tcPr>
            <w:tcW w:w="955" w:type="dxa"/>
            <w:shd w:val="clear" w:color="auto" w:fill="auto"/>
            <w:tcMar>
              <w:left w:w="105" w:type="dxa"/>
              <w:right w:w="105" w:type="dxa"/>
            </w:tcMar>
            <w:vAlign w:val="center"/>
          </w:tcPr>
          <w:p w14:paraId="62C701D1">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11E25505">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77D3EC3B">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4B8A1A04">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7D4E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273AE20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15</w:t>
            </w:r>
          </w:p>
        </w:tc>
        <w:tc>
          <w:tcPr>
            <w:tcW w:w="3730" w:type="dxa"/>
            <w:shd w:val="clear" w:color="auto" w:fill="auto"/>
            <w:tcMar>
              <w:left w:w="105" w:type="dxa"/>
              <w:right w:w="105" w:type="dxa"/>
            </w:tcMar>
            <w:vAlign w:val="center"/>
          </w:tcPr>
          <w:p w14:paraId="213D24AD">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蒸汽发生器</w:t>
            </w:r>
          </w:p>
        </w:tc>
        <w:tc>
          <w:tcPr>
            <w:tcW w:w="955" w:type="dxa"/>
            <w:shd w:val="clear" w:color="auto" w:fill="auto"/>
            <w:tcMar>
              <w:left w:w="105" w:type="dxa"/>
              <w:right w:w="105" w:type="dxa"/>
            </w:tcMar>
            <w:vAlign w:val="center"/>
          </w:tcPr>
          <w:p w14:paraId="581E9F33">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4BC9B5A9">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3</w:t>
            </w:r>
          </w:p>
        </w:tc>
        <w:tc>
          <w:tcPr>
            <w:tcW w:w="1453" w:type="dxa"/>
            <w:shd w:val="clear" w:color="auto" w:fill="auto"/>
            <w:tcMar>
              <w:left w:w="105" w:type="dxa"/>
              <w:right w:w="105" w:type="dxa"/>
            </w:tcMar>
            <w:vAlign w:val="center"/>
          </w:tcPr>
          <w:p w14:paraId="3DA5B910">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42709651">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0FB0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4857D917">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16</w:t>
            </w:r>
          </w:p>
        </w:tc>
        <w:tc>
          <w:tcPr>
            <w:tcW w:w="3730" w:type="dxa"/>
            <w:shd w:val="clear" w:color="auto" w:fill="auto"/>
            <w:tcMar>
              <w:left w:w="105" w:type="dxa"/>
              <w:right w:w="105" w:type="dxa"/>
            </w:tcMar>
            <w:vAlign w:val="center"/>
          </w:tcPr>
          <w:p w14:paraId="3BA80EA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空气压缩机</w:t>
            </w:r>
          </w:p>
        </w:tc>
        <w:tc>
          <w:tcPr>
            <w:tcW w:w="955" w:type="dxa"/>
            <w:shd w:val="clear" w:color="auto" w:fill="auto"/>
            <w:tcMar>
              <w:left w:w="105" w:type="dxa"/>
              <w:right w:w="105" w:type="dxa"/>
            </w:tcMar>
            <w:vAlign w:val="center"/>
          </w:tcPr>
          <w:p w14:paraId="62091EDD">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49893FFC">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67B3CFF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6171EECA">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76DC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4B012C78">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17</w:t>
            </w:r>
          </w:p>
        </w:tc>
        <w:tc>
          <w:tcPr>
            <w:tcW w:w="3730" w:type="dxa"/>
            <w:shd w:val="clear" w:color="auto" w:fill="auto"/>
            <w:tcMar>
              <w:left w:w="105" w:type="dxa"/>
              <w:right w:w="105" w:type="dxa"/>
            </w:tcMar>
            <w:vAlign w:val="center"/>
          </w:tcPr>
          <w:p w14:paraId="5005970A">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0.5小时极速生物阅读器</w:t>
            </w:r>
          </w:p>
        </w:tc>
        <w:tc>
          <w:tcPr>
            <w:tcW w:w="955" w:type="dxa"/>
            <w:shd w:val="clear" w:color="auto" w:fill="auto"/>
            <w:tcMar>
              <w:left w:w="105" w:type="dxa"/>
              <w:right w:w="105" w:type="dxa"/>
            </w:tcMar>
            <w:vAlign w:val="center"/>
          </w:tcPr>
          <w:p w14:paraId="7E7237F7">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1D9CBAB1">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1</w:t>
            </w:r>
          </w:p>
        </w:tc>
        <w:tc>
          <w:tcPr>
            <w:tcW w:w="1453" w:type="dxa"/>
            <w:shd w:val="clear" w:color="auto" w:fill="auto"/>
            <w:tcMar>
              <w:left w:w="105" w:type="dxa"/>
              <w:right w:w="105" w:type="dxa"/>
            </w:tcMar>
            <w:vAlign w:val="center"/>
          </w:tcPr>
          <w:p w14:paraId="649592E6">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58ED0928">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r w14:paraId="5581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44" w:type="dxa"/>
            <w:shd w:val="clear" w:color="auto" w:fill="auto"/>
            <w:tcMar>
              <w:left w:w="105" w:type="dxa"/>
              <w:right w:w="105" w:type="dxa"/>
            </w:tcMar>
            <w:vAlign w:val="center"/>
          </w:tcPr>
          <w:p w14:paraId="2F0D09EB">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18</w:t>
            </w:r>
          </w:p>
        </w:tc>
        <w:tc>
          <w:tcPr>
            <w:tcW w:w="3730" w:type="dxa"/>
            <w:shd w:val="clear" w:color="auto" w:fill="auto"/>
            <w:tcMar>
              <w:left w:w="105" w:type="dxa"/>
              <w:right w:w="105" w:type="dxa"/>
            </w:tcMar>
            <w:vAlign w:val="center"/>
          </w:tcPr>
          <w:p w14:paraId="145C583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辅料柜</w:t>
            </w:r>
          </w:p>
        </w:tc>
        <w:tc>
          <w:tcPr>
            <w:tcW w:w="955" w:type="dxa"/>
            <w:shd w:val="clear" w:color="auto" w:fill="auto"/>
            <w:tcMar>
              <w:left w:w="105" w:type="dxa"/>
              <w:right w:w="105" w:type="dxa"/>
            </w:tcMar>
            <w:vAlign w:val="center"/>
          </w:tcPr>
          <w:p w14:paraId="0A4CA55C">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台</w:t>
            </w:r>
          </w:p>
        </w:tc>
        <w:tc>
          <w:tcPr>
            <w:tcW w:w="1022" w:type="dxa"/>
            <w:shd w:val="clear" w:color="auto" w:fill="auto"/>
            <w:tcMar>
              <w:left w:w="105" w:type="dxa"/>
              <w:right w:w="105" w:type="dxa"/>
            </w:tcMar>
            <w:vAlign w:val="center"/>
          </w:tcPr>
          <w:p w14:paraId="2D121AA7">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bidi="ar"/>
              </w:rPr>
              <w:t>2</w:t>
            </w:r>
          </w:p>
        </w:tc>
        <w:tc>
          <w:tcPr>
            <w:tcW w:w="1453" w:type="dxa"/>
            <w:shd w:val="clear" w:color="auto" w:fill="auto"/>
            <w:tcMar>
              <w:left w:w="105" w:type="dxa"/>
              <w:right w:w="105" w:type="dxa"/>
            </w:tcMar>
            <w:vAlign w:val="center"/>
          </w:tcPr>
          <w:p w14:paraId="5FB6FAB9">
            <w:pPr>
              <w:widowControl/>
              <w:wordWrap w:val="0"/>
              <w:spacing w:line="360" w:lineRule="auto"/>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否</w:t>
            </w:r>
          </w:p>
        </w:tc>
        <w:tc>
          <w:tcPr>
            <w:tcW w:w="1453" w:type="dxa"/>
            <w:shd w:val="clear" w:color="auto" w:fill="auto"/>
            <w:tcMar>
              <w:left w:w="105" w:type="dxa"/>
              <w:right w:w="105" w:type="dxa"/>
            </w:tcMar>
            <w:vAlign w:val="center"/>
          </w:tcPr>
          <w:p w14:paraId="77E03EE0">
            <w:pPr>
              <w:widowControl/>
              <w:spacing w:line="360" w:lineRule="auto"/>
              <w:jc w:val="center"/>
              <w:textAlignment w:val="center"/>
              <w:rPr>
                <w:rFonts w:hint="eastAsia" w:ascii="仿宋" w:hAnsi="仿宋" w:eastAsia="仿宋" w:cs="仿宋"/>
                <w:color w:val="auto"/>
                <w:spacing w:val="-20"/>
                <w:sz w:val="24"/>
                <w:szCs w:val="24"/>
                <w:highlight w:val="none"/>
              </w:rPr>
            </w:pPr>
            <w:r>
              <w:rPr>
                <w:rFonts w:hint="eastAsia" w:ascii="仿宋" w:hAnsi="仿宋" w:eastAsia="仿宋" w:cs="仿宋"/>
                <w:color w:val="auto"/>
                <w:kern w:val="0"/>
                <w:sz w:val="24"/>
                <w:szCs w:val="24"/>
                <w:highlight w:val="none"/>
                <w:lang w:val="en-US" w:eastAsia="zh-CN" w:bidi="ar"/>
              </w:rPr>
              <w:t>/</w:t>
            </w:r>
          </w:p>
        </w:tc>
      </w:tr>
    </w:tbl>
    <w:p w14:paraId="2B5C954A">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（二）技术要求</w:t>
      </w:r>
    </w:p>
    <w:p w14:paraId="7B5AB6D8">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过氧化氢低温等离子体灭菌器</w:t>
      </w:r>
    </w:p>
    <w:p w14:paraId="426A1FB2">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用途：用于不耐高温的手术器械、精密器械、腔镜器械、管腔物品等在低温环境下实现物品灭菌过程。</w:t>
      </w:r>
    </w:p>
    <w:p w14:paraId="4C1F9AB9">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原理：以过氧化氢为灭菌剂，在低温环境下通过电磁场使汽化的过氧化氢形成过氧化氢等离子态，结合过氧化氢气体及过氧化氢等离子体对室内物品进行低温灭菌。</w:t>
      </w:r>
    </w:p>
    <w:p w14:paraId="7D31F942">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▲容积：有效容积≥220L。</w:t>
      </w:r>
    </w:p>
    <w:p w14:paraId="19D75BA0">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灭菌方法：过氧化氢等离子体技术；过氧化氢在线提纯技术，将过氧化氢浓度提纯到96.8%以上；灭菌后过氧化氢无残留、环境无影响技术。</w:t>
      </w:r>
    </w:p>
    <w:p w14:paraId="25B4C864">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▲灭菌剂：55%-65%浓度的过氧化氢灭菌剂；包装方式：卡匣或胶囊式独立封装；</w:t>
      </w:r>
    </w:p>
    <w:p w14:paraId="1344FD78">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注入方式：全自动针刺胶囊吸入式，每次运行程序至少使用1个胶囊，单个胶囊灌装量≥4ml，提供证明材料。</w:t>
      </w:r>
    </w:p>
    <w:p w14:paraId="4C22BC44">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灭菌速度：全循环≤55分钟；软镜循环≤45分钟；快速循环≤26分钟。提供打印记录。</w:t>
      </w:r>
    </w:p>
    <w:p w14:paraId="545BCF74">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▲灭菌效果：单循环灭菌程序能对直径≥0.8mm，长度≥300mm不锈钢管和直径≥1mm,长度≥1000mm聚四氟乙烯管进行有效灭菌，提供有效灭菌检测报告，并标注出数据位置。</w:t>
      </w:r>
    </w:p>
    <w:p w14:paraId="33FE96D3">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系统：PLC控制；≥5寸中文显示彩色安卓系统触摸屏；灭菌程序的压力下限、灭菌时间等参数可根据需要进行调整；具有报警信息显示功能，具有真空泵油更换提醒功能，提供报警界面照片及报警内容明细。</w:t>
      </w:r>
    </w:p>
    <w:p w14:paraId="02602635">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记录：灭菌过程的温度，压力，时间，循环模式，过程阶段等均在触摸屏上自动显示，灭菌结束后自动打印工作过程参数和曲线；设备具备重复打印功能，可在操作界面直接打印近10次灭菌记录，防止打印纸缺失，造成的记录丢失；提供操作屏幕照片。</w:t>
      </w:r>
    </w:p>
    <w:p w14:paraId="31E593CD">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卡匣用量识别：卡匣每次填入设备，系统自动提醒，卡匣使用情况，有效确保未使用完的卡匣二次使用，防止造成耗材浪费。</w:t>
      </w:r>
    </w:p>
    <w:p w14:paraId="0DDB053D">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灭菌温度：50℃±5℃。</w:t>
      </w:r>
    </w:p>
    <w:p w14:paraId="22479F99">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门操作：触摸显示屏等多种开关门方式，自动开关门，防夹手设计。</w:t>
      </w:r>
    </w:p>
    <w:p w14:paraId="5A28C894">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灭菌室结构及材质：方形结构，优质航空铝材。</w:t>
      </w:r>
    </w:p>
    <w:p w14:paraId="2F1FE54A">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使用寿命：≥10年。</w:t>
      </w:r>
    </w:p>
    <w:p w14:paraId="19F5DBB6">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▲耗材资质：设备所使用耗材为危险化学品，生产厂家提供《危险化学品生产或经营许可证》。</w:t>
      </w:r>
    </w:p>
    <w:p w14:paraId="4D97EDC2">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▲检测报告：提供</w:t>
      </w:r>
      <w:r>
        <w:rPr>
          <w:rFonts w:hint="eastAsia" w:ascii="仿宋" w:hAnsi="仿宋" w:eastAsia="仿宋" w:cs="仿宋"/>
          <w:color w:val="auto"/>
          <w:sz w:val="24"/>
          <w:szCs w:val="24"/>
          <w:highlight w:val="none"/>
          <w:lang w:val="en-US" w:eastAsia="zh-CN"/>
        </w:rPr>
        <w:t>国家认可的检测机构出具的</w:t>
      </w:r>
      <w:r>
        <w:rPr>
          <w:rFonts w:hint="eastAsia" w:ascii="仿宋" w:hAnsi="仿宋" w:eastAsia="仿宋" w:cs="仿宋"/>
          <w:color w:val="auto"/>
          <w:sz w:val="24"/>
          <w:szCs w:val="24"/>
          <w:highlight w:val="none"/>
        </w:rPr>
        <w:t>检测报告，包含灭菌效果检测报告、过氧化氢灭菌残留检测报告、卫生安全评价报告、毒理学检测报告等。</w:t>
      </w:r>
    </w:p>
    <w:p w14:paraId="1176638A">
      <w:pPr>
        <w:numPr>
          <w:ilvl w:val="1"/>
          <w:numId w:val="2"/>
        </w:numPr>
        <w:spacing w:line="360" w:lineRule="auto"/>
        <w:ind w:left="567" w:leftChars="0" w:hanging="567" w:firstLineChars="0"/>
        <w:rPr>
          <w:rFonts w:hint="eastAsia" w:ascii="仿宋" w:hAnsi="仿宋" w:eastAsia="仿宋" w:cs="仿宋"/>
          <w:b/>
          <w:bCs/>
          <w:color w:val="auto"/>
          <w:kern w:val="0"/>
          <w:sz w:val="24"/>
          <w:szCs w:val="24"/>
          <w:highlight w:val="none"/>
          <w:lang w:bidi="ar"/>
        </w:rPr>
      </w:pPr>
      <w:r>
        <w:rPr>
          <w:rFonts w:hint="eastAsia" w:ascii="仿宋" w:hAnsi="仿宋" w:eastAsia="仿宋" w:cs="仿宋"/>
          <w:color w:val="auto"/>
          <w:sz w:val="24"/>
          <w:szCs w:val="24"/>
          <w:highlight w:val="none"/>
        </w:rPr>
        <w:t>配置要求：主机1台、篮筐2个、卡匣5个、无纺布1包、真空泵油2桶、监测耗材1套。</w:t>
      </w:r>
    </w:p>
    <w:p w14:paraId="0A3A8856">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脉动真空灭菌器</w:t>
      </w:r>
    </w:p>
    <w:p w14:paraId="59E9E710">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用途：用于耐高温的手术器械、器具、器皿等物品在高温压力蒸汽环境下杀灭细菌，实现物品灭菌。</w:t>
      </w:r>
    </w:p>
    <w:p w14:paraId="2A1C4FA3">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理：将手术器械、器具、器皿、辅料等物品置于设备内舱，使用抽空装置将内舱及器械包中冷空气抽出，在预真空条件下通入饱和蒸汽，在一定的温度+时间的作用下，杀灭一切细菌、病毒等生物及芽孢，最后进行器械干燥。</w:t>
      </w:r>
    </w:p>
    <w:p w14:paraId="001AB07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▲容积：≥1500L；。</w:t>
      </w:r>
    </w:p>
    <w:p w14:paraId="0DB6272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▲蒸汽源：外接蒸汽。设备使用蒸汽来自锅炉房蒸汽（压力≥0.6Mpa）或电热蒸汽发生器。</w:t>
      </w:r>
    </w:p>
    <w:p w14:paraId="636E262F">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主体结构：环形加强筋结构，内腔强度和稳定性更高；多点进汽，多段加热，温度梯度便于内腔蒸汽对流，温度分布更均匀；节省蒸汽消耗；灭菌器整体重量更轻；主体保温为岩棉，厚度≥60mm。</w:t>
      </w:r>
    </w:p>
    <w:p w14:paraId="39D6986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焊接工艺：全自动焊接机器人焊接保证焊缝质量；氩气保护，自动控制无过烧现象。能有效消除不锈钢晶体间腐蚀倾向，极大地延长使用寿命。</w:t>
      </w:r>
    </w:p>
    <w:p w14:paraId="107E64D4">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▲材质：内壳SUS304不锈钢,厚度≥6mm，夹层SUS304不锈钢，厚度≥6mm。。</w:t>
      </w:r>
    </w:p>
    <w:p w14:paraId="0FEB447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▲使用寿命：≥10年/20000次灭菌循环， </w:t>
      </w:r>
    </w:p>
    <w:p w14:paraId="5A5F69BB">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设计压力：-0.1-0.3Mpa</w:t>
      </w:r>
    </w:p>
    <w:p w14:paraId="569A685C">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设计温度：≥140℃</w:t>
      </w:r>
    </w:p>
    <w:p w14:paraId="1E0915A2">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程序运行时间：≤55分钟。</w:t>
      </w:r>
    </w:p>
    <w:p w14:paraId="44BC622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灭菌温度：105-138℃，温度可调。</w:t>
      </w:r>
    </w:p>
    <w:p w14:paraId="52233D93">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灭菌时间：0-99min，时间可调。</w:t>
      </w:r>
    </w:p>
    <w:p w14:paraId="4D77CC60">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干燥时间：0-99min，时间可调。</w:t>
      </w:r>
    </w:p>
    <w:p w14:paraId="01FAD9F0">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脉动真空方式：采用跨压脉重方式，即连续3次负压脉冲后，1次跨压脉冲，再执行3次正压脉冲，确保抽真空效果，脉冲次数可调。</w:t>
      </w:r>
    </w:p>
    <w:p w14:paraId="0414F2C5">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密封门结构：前后双门，双门互锁；材质为SUS304不锈钢，具有门齿及门加强筋；</w:t>
      </w:r>
    </w:p>
    <w:p w14:paraId="7D421FAB">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门方式：电机齿轮链条驱动门板上下移动，侧开门式开启柜门；具有压力安全联锁装置，门只有关闭到位，电源才能接通加热产生蒸汽；内室有正压或负压压力，门无法打开；双门互锁：双门互锁，一个门处在非关闭状态下，另一个门无法进行门动作（适用于双扉灭菌器）</w:t>
      </w:r>
    </w:p>
    <w:p w14:paraId="674CED3B">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门胶圈：为圆形门胶圈，医用透明高抗撕硅橡胶材质，压缩气密封，提供依据。</w:t>
      </w:r>
    </w:p>
    <w:p w14:paraId="1809F058">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管路系统：管路为卫生级不锈钢材质，管道直接卡箍连接方式；</w:t>
      </w:r>
    </w:p>
    <w:p w14:paraId="392F5E84">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降噪系统：配置缓冲水箱，用于节水降噪装置，提供依据</w:t>
      </w:r>
    </w:p>
    <w:p w14:paraId="32551ED0">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阀门数量：阀门数量≥7个，热水/蒸汽控制阀门采用气动阀，冷水阀采用电磁阀，提供各阀门明细及功用。</w:t>
      </w:r>
    </w:p>
    <w:p w14:paraId="34858AE1">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▲压力检测：双压力检测控制装置，即：内室、夹层均使用高精度电子压力变送器，并可将夹层内室压力在屏幕上实时显示，可通过屏幕直接控制夹层及内室压力，提供依据。</w:t>
      </w:r>
    </w:p>
    <w:p w14:paraId="48C3BB9A">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▲维修方式：单侧维修，所有配件、电箱集中一侧，维修方向可选，满足极窄安装环境需要，提供依据。</w:t>
      </w:r>
    </w:p>
    <w:p w14:paraId="42531921">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▲显示屏：≥8寸真彩触摸屏，分辨率：≥640 × 480；灭菌程序的压力、灭菌时间等参数可根据需要进行调整；具有报警信息显示功能，提供报警界面照片及报警内容明细。</w:t>
      </w:r>
    </w:p>
    <w:p w14:paraId="24499BE4">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限管理：具有三级以上权限进入系统，包含操作员：设备操作相关权限；工艺员：设备操作和相关程序工艺参数调整的权限；管理员：具有设备操作、程序参数调整和系统参数调整的所有权限；其他权限等，提供依据。</w:t>
      </w:r>
    </w:p>
    <w:p w14:paraId="34FEA92E">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灭菌程序：程序数量≥18套，灭菌类程序≥8套，测试类程序≥3套，辅助程序≥2套，自定义程序≥5套；灭菌类包含敷料、器械、快速、骨科、朊毒体、管腔等程序；测试类包含:BD、PCD、泄露等程序；辅助类包含预热、干燥等程序，提供程序界面图片并列明全部程序数量。</w:t>
      </w:r>
    </w:p>
    <w:p w14:paraId="29BB2D60">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▲打印记录：配置热敏打印机；可将灭菌过程的温度、压力、时间、过程阶段、预置参数等打印；可实时打印运行过程中的报警信息，提供依据。</w:t>
      </w:r>
    </w:p>
    <w:p w14:paraId="422C443C">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▲重复打印：系统操作屏幕内有可重复打印功能，防止因无打印纸、打印机故障造成物理记录缺失，提供操作界面照片。</w:t>
      </w:r>
    </w:p>
    <w:p w14:paraId="40899612">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护：超压保护：内室及夹层压力超过程序运行允许压力，程序自动退出转入故障状态下处理；门关位检测保护：门开关在程序运行过程中检测异常，程序自动退出转入故障状态下处理；提供其他保护相关信息。</w:t>
      </w:r>
    </w:p>
    <w:p w14:paraId="33A0EB6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▲许可证要求：提供《特种设备生产许可证-压力容器制造》、《特种设备生产许可证-特种设备安装、改造、维修》，两证为同一生产厂家。</w:t>
      </w:r>
    </w:p>
    <w:p w14:paraId="1F61AFE5">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▲检测报告：提供第三方检测报告，包含灭菌效果检测报告、电器安全性能检测报告、卫生安全评价报告等。</w:t>
      </w:r>
    </w:p>
    <w:p w14:paraId="6EAFB677">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配置要求：主体1个、不锈钢消毒车1辆、不锈钢搬运车2辆，安全阀、压力表各1套。</w:t>
      </w:r>
    </w:p>
    <w:p w14:paraId="624576BA">
      <w:pPr>
        <w:numPr>
          <w:ilvl w:val="1"/>
          <w:numId w:val="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使用登记证：设备属于压力容器，使用前办理好该设备的压力容器使用证。</w:t>
      </w:r>
    </w:p>
    <w:p w14:paraId="0E2A064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脉动真空清洗消毒器（负压清洗机）     </w:t>
      </w:r>
    </w:p>
    <w:p w14:paraId="71BC4E00">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用途：用于腔镜器械、手术器械、管腔类器械、骨科器械、麻醉器械、牙科手机、眼科器械、外来器械等器械的清洗、消毒、干燥等处理。</w:t>
      </w:r>
    </w:p>
    <w:p w14:paraId="73F9BC93">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原理：采用全新的清洗工艺，结合气泡沸腾清洗、脉动真空清洗、超声（可选）、湿热消毒、干燥等先进技术，为更精密器械、管腔类器械完成清洗消毒干燥工作。 </w:t>
      </w:r>
    </w:p>
    <w:p w14:paraId="50751C38">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▲运行过程：脉动真空清洗-真空超声清洗-漂洗-煮沸消毒-真空干燥-热风干燥。</w:t>
      </w:r>
    </w:p>
    <w:p w14:paraId="5CC8F43B">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容积：≥150L。</w:t>
      </w:r>
    </w:p>
    <w:p w14:paraId="60F042BE">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装载量：≥10个DIN标准器械托盘（480×250×50mm）或≥8个微创器械托盘（580mm×250mm×60mm）</w:t>
      </w:r>
    </w:p>
    <w:p w14:paraId="736AE5BD">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装载方式：置于托盘内堆叠摆放或直接置于槽内清洗，清洗管腔器械无需对接。</w:t>
      </w:r>
    </w:p>
    <w:p w14:paraId="4B3AD8DD">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▲液位可调：根据负载量多少，三级液位可调，达到节能运行的目的；同时可自动调整耗材进给量，提供三级液位依据。</w:t>
      </w:r>
    </w:p>
    <w:p w14:paraId="6BF9A9FA">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材质及保温：主体材质采用≥316不锈钢，材质厚度 ≥4mm，处理工艺为镜面抛光，主体采用保温材料进行保温；外罩及管道采用卫生级不锈钢管路。</w:t>
      </w:r>
    </w:p>
    <w:p w14:paraId="32258EDE">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门结构：前后双门，双门互锁，门密封采用压缩气/电动等自动密封方式，密封门带观察窗，升降门带门障碍开关，遇障碍自动返回。</w:t>
      </w:r>
    </w:p>
    <w:p w14:paraId="3EA7D8D8">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控制系统：控制器所用元器件均为工业级标准，稳定性高，适合在恶劣的工业环境中使用；</w:t>
      </w:r>
    </w:p>
    <w:p w14:paraId="64ED0DA4">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▲显示屏：≥8寸彩色触摸屏显示，能动态的显示设备各个功能部件的运行状态及设备运行的各个状态参数；具有报警信息显示功能；提供屏幕图片、报警界面照片及报警内容明细。</w:t>
      </w:r>
    </w:p>
    <w:p w14:paraId="53F23FDD">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护：超温自动保护装置，超过设定温度，系统自动切断加热电源；防干烧保护装置，水位低造成加热管干烧时，系统自动切断加热电源；风压低保护装置，风压过低造成空气加热管干烧时，系统自动切断加热电源。门障碍保护装置，门在关闭过程中遇到阻碍时，会停止关门，并且向相反方向运行。电机过流保护装置，设备电机过载时，过流保护开关动作，电机停止工作。</w:t>
      </w:r>
    </w:p>
    <w:p w14:paraId="0FECE179">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▲程序名称：≥9套预置程序，≥19套自定义程序，自定义程序可自行编辑内容，提供显示屏照片及程序明细。</w:t>
      </w:r>
    </w:p>
    <w:p w14:paraId="47FB750C">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运行时间：≤65分钟，提供打印记录，打印记录上包含酶洗、漂洗、消毒、干燥等全部过程。</w:t>
      </w:r>
    </w:p>
    <w:p w14:paraId="4F674BE4">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打印记录：采用热敏打印，可自动打印过程曲线、并记录A0值；可连接追溯系统。</w:t>
      </w:r>
    </w:p>
    <w:p w14:paraId="0FA04155">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核心配件：真空泵、电磁阀、气动阀等关键部件为知名品牌，提供全部明细。</w:t>
      </w:r>
    </w:p>
    <w:p w14:paraId="71D49953">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传感器：为保障设备可靠运行，压力变送器，温度探头，液位传感器等各类传感器≥10个。</w:t>
      </w:r>
    </w:p>
    <w:p w14:paraId="10AD6941">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计量泵：2个 （加清洗液泵 1个；加上油液泵 1个）</w:t>
      </w:r>
    </w:p>
    <w:p w14:paraId="13C6B45A">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加热方式：蒸汽加热，运行效率更高</w:t>
      </w:r>
    </w:p>
    <w:p w14:paraId="279AAF11">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舱体工作压力：-0.1-0 Mpa</w:t>
      </w:r>
    </w:p>
    <w:p w14:paraId="4DC212FF">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内室工作温度：0℃~98℃</w:t>
      </w:r>
    </w:p>
    <w:p w14:paraId="19EA47B5">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消毒程序：A0值＞3000</w:t>
      </w:r>
    </w:p>
    <w:p w14:paraId="500389D9">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▲使用寿命：≥10年或≥15000次循环， </w:t>
      </w:r>
    </w:p>
    <w:p w14:paraId="0B621DB5">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▲注册证：提供二类医疗器械注册证，并体现清洗、消毒功能。</w:t>
      </w:r>
    </w:p>
    <w:p w14:paraId="02F4B720">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▲检测报告：提供第三方检测报告，清洗效果检测报告；消毒效果检测报告（金黄葡萄球菌、大肠杆菌、白色念珠菌等）；卫生安全评价报告等。</w:t>
      </w:r>
    </w:p>
    <w:p w14:paraId="13F0EB4B">
      <w:pPr>
        <w:numPr>
          <w:ilvl w:val="1"/>
          <w:numId w:val="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配置要求：主机1台、器械清洗架 1个；搬运车 2个；器械托盘8个；现科室清洗机配套的四层器械清洗架一个，碗盘清洗架一个，麻醉呼吸管道清洗架一个，器械托盘20个。</w:t>
      </w:r>
    </w:p>
    <w:p w14:paraId="57ABF2C6">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4.</w:t>
      </w:r>
      <w:r>
        <w:rPr>
          <w:rFonts w:hint="eastAsia" w:ascii="仿宋" w:hAnsi="仿宋" w:eastAsia="仿宋" w:cs="仿宋"/>
          <w:b/>
          <w:bCs/>
          <w:color w:val="auto"/>
          <w:kern w:val="0"/>
          <w:sz w:val="24"/>
          <w:szCs w:val="24"/>
          <w:highlight w:val="none"/>
          <w:lang w:bidi="ar"/>
        </w:rPr>
        <w:t>超声波清洗机</w:t>
      </w:r>
    </w:p>
    <w:p w14:paraId="26F866BB">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用途：主要用于消毒供应中心、手术室、口腔科、眼科、实验室以及其他各科室的器械、器具、器皿等的清洗，特别是含有盲孔、凹凸槽的物品具有极佳的清洗效果。</w:t>
      </w:r>
    </w:p>
    <w:p w14:paraId="375D94F5">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原理：利用超声波发生器所发出的高频振荡讯号，产生“空化效应”，形成小气泡在器械表面爆破，从而达到清洗器械的效果。</w:t>
      </w:r>
    </w:p>
    <w:p w14:paraId="7838B802">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容积：≥90L。</w:t>
      </w:r>
    </w:p>
    <w:p w14:paraId="65DCAD86">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▲开门方式：自动升降门，双阻尼结构，开门助力，关门防夹手，提供证明材料</w:t>
      </w:r>
    </w:p>
    <w:p w14:paraId="30774764">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材质：厚度≥2.0mm ，304不锈钢板材</w:t>
      </w:r>
    </w:p>
    <w:p w14:paraId="078AF816">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▲变频电源：三频，40/80/100KHZ，变频功能，运行过程中频率可以切换。提供依据。</w:t>
      </w:r>
    </w:p>
    <w:p w14:paraId="3F23F467">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▲灌流系统：带管腔灌流口≥6个，管腔对接口可以实现3-8mm直径管腔的对接，提供依据。</w:t>
      </w:r>
    </w:p>
    <w:p w14:paraId="3936E1F9">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▲多级水位控制：自动模式可切换高/低液位，手动状态液位任意可调，提供依据。</w:t>
      </w:r>
    </w:p>
    <w:p w14:paraId="616F72FD">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▲自动进酶：设备具有自动上酶功能，可根据进水量自动加注酶液。</w:t>
      </w:r>
    </w:p>
    <w:p w14:paraId="01188A25">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多程序选择：一键操作，全自动运行，包含≥3种程序，提供明细。</w:t>
      </w:r>
    </w:p>
    <w:p w14:paraId="755E628A">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控制方式：工业级单片机芯片，抗干扰能力强；触摸按键操作，一键启动方便快捷；具有故障自动检测功能；独立的电源控制模块，安全可靠。</w:t>
      </w:r>
    </w:p>
    <w:p w14:paraId="0C4B4AEF">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界面显示：液晶显示屏；内带汉字库，任意显示汉字及字符；具有报警信息显示和存储功能。</w:t>
      </w:r>
    </w:p>
    <w:p w14:paraId="2A4F5F16">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温度指示器：数字式温度控制方式，抗干扰能力强，使用寿命长。</w:t>
      </w:r>
    </w:p>
    <w:p w14:paraId="5A50C335">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安全保护：水位低保护功能，水位低时自动停止加热管加热和超声；超时保护功能，进水超过设定时间，停止进水，防止水流溢出；加热管干烧保护。</w:t>
      </w:r>
    </w:p>
    <w:p w14:paraId="16AA2FB5">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运行时间：0-99min，时间可调</w:t>
      </w:r>
    </w:p>
    <w:p w14:paraId="32050026">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清洗温度： 30℃～80℃可调</w:t>
      </w:r>
    </w:p>
    <w:p w14:paraId="4673D727">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功率：≤15kw</w:t>
      </w:r>
    </w:p>
    <w:p w14:paraId="475CA733">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耗水量：≤75L</w:t>
      </w:r>
    </w:p>
    <w:p w14:paraId="164431BB">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使用寿命：≥8年</w:t>
      </w:r>
    </w:p>
    <w:p w14:paraId="4C1527AA">
      <w:pPr>
        <w:numPr>
          <w:ilvl w:val="1"/>
          <w:numId w:val="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标准配置：主机1台、器械清洗篮框 3个、小器械框10个、合格证、说明书1套</w:t>
      </w:r>
    </w:p>
    <w:p w14:paraId="131B1081">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医用干燥柜</w:t>
      </w:r>
    </w:p>
    <w:p w14:paraId="231FF731">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用途：用于手术器械，玻璃器皿，呼吸治疗物品清洗后的干燥处理。</w:t>
      </w:r>
    </w:p>
    <w:p w14:paraId="05787C20">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.容积：≥400L</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1B438A70">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装载容量：满载一次可处理≥9个DIN标准器械托盘或≥48根导管或≥30个湿化瓶</w:t>
      </w:r>
    </w:p>
    <w:p w14:paraId="02F6C0BD">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观要求：整体不锈钢外观，带侧部除湿功能，有效提高干燥效率；外罩、柜体采用优质SUS304不锈钢拉丝板，板材厚度≥1.2mm，板材折边采用刨槽工艺，折边圆角小，整体缝隙小、美观；干燥腔采用拼接方式成型（非焊接方式），整体变形小。</w:t>
      </w:r>
    </w:p>
    <w:p w14:paraId="03BE032F">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.舱体高度：≥1600mm，满足各类导管的长度要求，避免干燥过程中，导管与舱体底部接触。 </w:t>
      </w:r>
    </w:p>
    <w:p w14:paraId="46A33ECE">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保温材料：腔体外壁包覆玻璃丝毡保温层，厚度≥10mm,有效阻止热量损耗，提高干燥性能。</w:t>
      </w:r>
    </w:p>
    <w:p w14:paraId="4AA0D787">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密封门材质要求：门板采用优质SUS304不锈钢拉丝板，板材厚度≥2mm，板材折边采用刨槽工艺，折边圆角小，整体缝隙小、美观；门体中部采用双层PC透明玻璃结构，通透面积大，保证可视性同时，又能够有效阻隔舱体内热量损耗、降低密封门工作温度。</w:t>
      </w:r>
    </w:p>
    <w:p w14:paraId="1752824D">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密封要求：采用电磁锁，电磁锁吸合处位于门体上部和下部，整体受力均匀，保证密封效果。密封胶条嵌于密封门内板处，采用圆弧形中空结构，柔韧性强，与舱体贴合性更好；密封门固定采用上下转轴方式，隐藏式结构，转轴整体置于设备内部；双扉干燥柜带有双门互锁功能，非电插锁，满足供应室隔离需求。</w:t>
      </w:r>
    </w:p>
    <w:p w14:paraId="6D14E2D9">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机要求：采用交流离心风机，电容感应启动，长效免维护，顶风机风量≥1900m³/h，最大静压≥700Pa，噪音≤75dB；侧风机风量≥570m³/h，最大静压≥450Pa，噪音≤72dB。顶风机与出风口联接，采用锥形结构设计，最大限度减少风量损耗。</w:t>
      </w:r>
    </w:p>
    <w:p w14:paraId="66EF5C20">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风压开关：最小启动压力：标准20Pa，设定点及间隙可调整，最小启动间隙10Pa，范围20～300Pa。             </w:t>
      </w:r>
    </w:p>
    <w:p w14:paraId="472BD752">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除湿系统要求：采用风冷换热结构，密闭结构，利用散热器对除湿风道局部散热，使风道侧壁与湿热空气产生一定温差，湿热空气在除湿风道上冷凝成水珠，从而达到除湿目的，提高对物体的干燥效率。</w:t>
      </w:r>
    </w:p>
    <w:p w14:paraId="040B648F">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▲触摸屏：≥7英寸高清彩色触摸屏作为人机界面，显示程序类型、实时温度、运行时间、报警信息提示等内容，提供证明材料</w:t>
      </w:r>
    </w:p>
    <w:p w14:paraId="0913708F">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▲程序设定：采用相互独立的开放程序，内置4套默认程序（器械、玻璃器皿、湿化瓶、导管）、2套自动程序、4套自定义程序。</w:t>
      </w:r>
    </w:p>
    <w:p w14:paraId="169200FA">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运行参数：干燥温度40℃～99℃，干燥时间1～999min，各程序参数均可调节</w:t>
      </w:r>
    </w:p>
    <w:p w14:paraId="52C7287B">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温度采集：采用双芯温度采集系统，控温稳定；控温精度采用PID间断式的控温方式，控温精度≤±1℃。</w:t>
      </w:r>
    </w:p>
    <w:p w14:paraId="230B7B5E">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安全保护：拥有超温保护、过热保护、风压保护、过载保护等多重安全防护措施；过热保护：设备具有加热系统故障检测、保护、报警功能；保护阶段，程序停止运行，排出故障后，方可正常使用。  </w:t>
      </w:r>
    </w:p>
    <w:p w14:paraId="279C0494">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▲导管干燥架：采用抽拉式医用导管干燥架，通过管架的弹性胶板特有的开口结构，与管子扣合后通过胶板的弹性作用把管子夹在管架上，适合装夹不同口径（φ6～φ30mm）的导管，结构简单，操作方便。</w:t>
      </w:r>
    </w:p>
    <w:p w14:paraId="5E0FE843">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▲湿化瓶干燥架：结构简单，使用方便，适合内径为9mm～42mm的瓶类物品使用。将需要烘干的瓶类物品倒挂在U形中空弯管上，热风直接吹入需要干燥的瓶类物品内，增强干燥效果。</w:t>
      </w:r>
    </w:p>
    <w:p w14:paraId="04B89384">
      <w:pPr>
        <w:numPr>
          <w:ilvl w:val="1"/>
          <w:numId w:val="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标准配置：主机 1台、格栅 9个、DIN标准器械托盘 9个、导管干燥架 1个（单个管架可装载24根不同口径的导管，最多可装2个管架）、湿化瓶干燥架 1个（单个瓶架可装载15个不同瓶径瓶类负载，最多可装2个瓶架）、积水盒 1个</w:t>
      </w:r>
      <w:r>
        <w:rPr>
          <w:rFonts w:hint="eastAsia" w:ascii="仿宋" w:hAnsi="仿宋" w:eastAsia="仿宋" w:cs="仿宋"/>
          <w:color w:val="auto"/>
          <w:sz w:val="24"/>
          <w:szCs w:val="24"/>
          <w:highlight w:val="none"/>
          <w:lang w:eastAsia="zh-CN"/>
        </w:rPr>
        <w:t>。</w:t>
      </w:r>
    </w:p>
    <w:p w14:paraId="6650986C">
      <w:pPr>
        <w:widowControl/>
        <w:spacing w:line="360" w:lineRule="auto"/>
        <w:jc w:val="left"/>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6.</w:t>
      </w:r>
      <w:r>
        <w:rPr>
          <w:rFonts w:hint="eastAsia" w:ascii="仿宋" w:hAnsi="仿宋" w:eastAsia="仿宋" w:cs="仿宋"/>
          <w:b/>
          <w:bCs/>
          <w:color w:val="auto"/>
          <w:kern w:val="0"/>
          <w:sz w:val="24"/>
          <w:szCs w:val="24"/>
          <w:highlight w:val="none"/>
          <w:lang w:bidi="ar"/>
        </w:rPr>
        <w:t xml:space="preserve">污物清洗槽  </w:t>
      </w:r>
    </w:p>
    <w:p w14:paraId="4B1DBB89">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用途：用于污染物品的人工清洗</w:t>
      </w:r>
    </w:p>
    <w:p w14:paraId="3EC7285E">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鹅颈型水龙头，带冷、热水接口，流量大并且可以自由调节</w:t>
      </w:r>
    </w:p>
    <w:p w14:paraId="305C2A7A">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三槽，全不锈钢，带沥水台，带柜门</w:t>
      </w:r>
    </w:p>
    <w:p w14:paraId="08173BB1">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操作台高度为：850mm±10mm </w:t>
      </w:r>
    </w:p>
    <w:p w14:paraId="1BDBA09E">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外围尺寸：1750-1850(L)×600-650(W)×950-1000(H)mm   </w:t>
      </w:r>
    </w:p>
    <w:p w14:paraId="5BF68D58">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水槽尺寸：500-550(L)×400-450(W)×250-300(H)mm</w:t>
      </w:r>
    </w:p>
    <w:p w14:paraId="33C2653F">
      <w:pPr>
        <w:numPr>
          <w:ilvl w:val="1"/>
          <w:numId w:val="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沥水台的最大承重为：≥40 Kg</w:t>
      </w:r>
    </w:p>
    <w:p w14:paraId="5E0A814C">
      <w:pPr>
        <w:widowControl/>
        <w:spacing w:line="360" w:lineRule="auto"/>
        <w:jc w:val="left"/>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7.</w:t>
      </w:r>
      <w:r>
        <w:rPr>
          <w:rFonts w:hint="eastAsia" w:ascii="仿宋" w:hAnsi="仿宋" w:eastAsia="仿宋" w:cs="仿宋"/>
          <w:b/>
          <w:bCs/>
          <w:color w:val="auto"/>
          <w:kern w:val="0"/>
          <w:sz w:val="24"/>
          <w:szCs w:val="24"/>
          <w:highlight w:val="none"/>
          <w:lang w:bidi="ar"/>
        </w:rPr>
        <w:t>平板货架</w:t>
      </w:r>
    </w:p>
    <w:p w14:paraId="548B240E">
      <w:pPr>
        <w:numPr>
          <w:ilvl w:val="1"/>
          <w:numId w:val="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用途：用于器械包、篮筐、敷料包及其他物品的存放</w:t>
      </w:r>
    </w:p>
    <w:p w14:paraId="746D25C4">
      <w:pPr>
        <w:numPr>
          <w:ilvl w:val="1"/>
          <w:numId w:val="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材质：不锈钢材质</w:t>
      </w:r>
    </w:p>
    <w:p w14:paraId="3E69810B">
      <w:pPr>
        <w:numPr>
          <w:ilvl w:val="1"/>
          <w:numId w:val="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结构：≥5层平板式搁板，承重大，层间距≥380mm，底部带脚轮，方便移动</w:t>
      </w:r>
    </w:p>
    <w:p w14:paraId="046B1F6B">
      <w:pPr>
        <w:numPr>
          <w:ilvl w:val="1"/>
          <w:numId w:val="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外形尺寸：1100-1300（L）×450-600（W）×1800-2000（H）mm</w:t>
      </w:r>
    </w:p>
    <w:p w14:paraId="6E32F035">
      <w:pPr>
        <w:numPr>
          <w:ilvl w:val="1"/>
          <w:numId w:val="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单层承重：≥50Kg；最大承重为：≥250Kg</w:t>
      </w:r>
    </w:p>
    <w:p w14:paraId="726F6654">
      <w:pPr>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rPr>
        <w:t>全自动切割机</w:t>
      </w:r>
    </w:p>
    <w:p w14:paraId="7F3D7E1D">
      <w:pPr>
        <w:numPr>
          <w:ilvl w:val="1"/>
          <w:numId w:val="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用途：用于各种纸塑包装袋的存放以及任意长度切割</w:t>
      </w:r>
    </w:p>
    <w:p w14:paraId="5B518E8E">
      <w:pPr>
        <w:numPr>
          <w:ilvl w:val="1"/>
          <w:numId w:val="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材质：全不锈钢</w:t>
      </w:r>
    </w:p>
    <w:p w14:paraId="323E715E">
      <w:pPr>
        <w:numPr>
          <w:ilvl w:val="1"/>
          <w:numId w:val="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隐藏式刀头，最大限度避免对人身造成伤害</w:t>
      </w:r>
    </w:p>
    <w:p w14:paraId="0E540FDE">
      <w:pPr>
        <w:numPr>
          <w:ilvl w:val="1"/>
          <w:numId w:val="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可存放3种以上纸塑包装袋</w:t>
      </w:r>
    </w:p>
    <w:p w14:paraId="6B7AE5E0">
      <w:pPr>
        <w:numPr>
          <w:ilvl w:val="1"/>
          <w:numId w:val="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外形尺寸：750-850(L)×350-400(W)×140-200(H)mm</w:t>
      </w:r>
    </w:p>
    <w:p w14:paraId="220BA092">
      <w:pPr>
        <w:widowControl/>
        <w:spacing w:line="360" w:lineRule="auto"/>
        <w:jc w:val="left"/>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9.</w:t>
      </w:r>
      <w:r>
        <w:rPr>
          <w:rFonts w:hint="eastAsia" w:ascii="仿宋" w:hAnsi="仿宋" w:eastAsia="仿宋" w:cs="仿宋"/>
          <w:b/>
          <w:bCs/>
          <w:color w:val="auto"/>
          <w:kern w:val="0"/>
          <w:sz w:val="24"/>
          <w:szCs w:val="24"/>
          <w:highlight w:val="none"/>
          <w:lang w:bidi="ar"/>
        </w:rPr>
        <w:t>多功能台</w:t>
      </w:r>
    </w:p>
    <w:p w14:paraId="02168CE1">
      <w:pPr>
        <w:numPr>
          <w:ilvl w:val="1"/>
          <w:numId w:val="10"/>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用途：用于辅助纸塑包装带的切割、封口、存放等</w:t>
      </w:r>
    </w:p>
    <w:p w14:paraId="6A9849E3">
      <w:pPr>
        <w:numPr>
          <w:ilvl w:val="1"/>
          <w:numId w:val="10"/>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材质：全不锈钢</w:t>
      </w:r>
    </w:p>
    <w:p w14:paraId="49DD7F7F">
      <w:pPr>
        <w:numPr>
          <w:ilvl w:val="1"/>
          <w:numId w:val="10"/>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台上结构：台面顶部带置物架，中间放置切割机，可放置≥3种纸塑包装袋（高温、低温均可），置物架左侧带置物盒，置物架右侧带储存篮筐</w:t>
      </w:r>
    </w:p>
    <w:p w14:paraId="44377BE1">
      <w:pPr>
        <w:numPr>
          <w:ilvl w:val="1"/>
          <w:numId w:val="10"/>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台面：尺寸1200-1500(L)×800-900(W)×1700-1800(H)mm，台面可放置全自动封口机1台，滚轴1台，台面下方带置物搁板，用于放置物品，置物架左侧带置物盒，置物架右侧带储存篮筐</w:t>
      </w:r>
    </w:p>
    <w:p w14:paraId="3B129E2B">
      <w:pPr>
        <w:widowControl/>
        <w:spacing w:line="360" w:lineRule="auto"/>
        <w:jc w:val="left"/>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10.</w:t>
      </w:r>
      <w:r>
        <w:rPr>
          <w:rFonts w:hint="eastAsia" w:ascii="仿宋" w:hAnsi="仿宋" w:eastAsia="仿宋" w:cs="仿宋"/>
          <w:b/>
          <w:bCs/>
          <w:color w:val="auto"/>
          <w:kern w:val="0"/>
          <w:sz w:val="24"/>
          <w:szCs w:val="24"/>
          <w:highlight w:val="none"/>
          <w:lang w:bidi="ar"/>
        </w:rPr>
        <w:t>器械检查打包台</w:t>
      </w:r>
    </w:p>
    <w:p w14:paraId="67977B52">
      <w:pPr>
        <w:numPr>
          <w:ilvl w:val="1"/>
          <w:numId w:val="11"/>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用途：用于清洗后器械检查、装配、分包、打包工作</w:t>
      </w:r>
    </w:p>
    <w:p w14:paraId="0DEBA600">
      <w:pPr>
        <w:numPr>
          <w:ilvl w:val="1"/>
          <w:numId w:val="11"/>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材质：全不锈钢</w:t>
      </w:r>
    </w:p>
    <w:p w14:paraId="35DF2020">
      <w:pPr>
        <w:numPr>
          <w:ilvl w:val="1"/>
          <w:numId w:val="11"/>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结构：带节能照明灯，桌面上方带两层置物台，用于放置辅助物品；带有≥2个五孔插座，便于用电设备供电</w:t>
      </w:r>
    </w:p>
    <w:p w14:paraId="5F6BFD0A">
      <w:pPr>
        <w:numPr>
          <w:ilvl w:val="1"/>
          <w:numId w:val="11"/>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尺寸规格：2000-2200(L)×1100-1200(W)×1400-1500(H)mm</w:t>
      </w:r>
    </w:p>
    <w:p w14:paraId="47D18D74">
      <w:pPr>
        <w:numPr>
          <w:ilvl w:val="1"/>
          <w:numId w:val="11"/>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台面最大承重为：≥120 Kg</w:t>
      </w:r>
    </w:p>
    <w:p w14:paraId="2DBDFB4C">
      <w:pPr>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11.</w:t>
      </w:r>
      <w:r>
        <w:rPr>
          <w:rFonts w:hint="eastAsia" w:ascii="仿宋" w:hAnsi="仿宋" w:eastAsia="仿宋" w:cs="仿宋"/>
          <w:b/>
          <w:bCs/>
          <w:color w:val="auto"/>
          <w:kern w:val="0"/>
          <w:sz w:val="24"/>
          <w:szCs w:val="24"/>
          <w:highlight w:val="none"/>
        </w:rPr>
        <w:t>干燥物品工作台</w:t>
      </w:r>
    </w:p>
    <w:p w14:paraId="3C380FB0">
      <w:pPr>
        <w:numPr>
          <w:ilvl w:val="1"/>
          <w:numId w:val="1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用途：用于清洗后器械的干燥处理</w:t>
      </w:r>
    </w:p>
    <w:p w14:paraId="3DE729C6">
      <w:pPr>
        <w:numPr>
          <w:ilvl w:val="1"/>
          <w:numId w:val="1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材质：全不锈钢</w:t>
      </w:r>
    </w:p>
    <w:p w14:paraId="47E83C98">
      <w:pPr>
        <w:numPr>
          <w:ilvl w:val="1"/>
          <w:numId w:val="1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配置：4寸万向轮(含刹)×2，4寸万向轮×2</w:t>
      </w:r>
    </w:p>
    <w:p w14:paraId="2FF3AA30">
      <w:pPr>
        <w:numPr>
          <w:ilvl w:val="1"/>
          <w:numId w:val="1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可根据医院要求添加抽屉</w:t>
      </w:r>
    </w:p>
    <w:p w14:paraId="7B840AEF">
      <w:pPr>
        <w:numPr>
          <w:ilvl w:val="1"/>
          <w:numId w:val="1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尺寸规格：2000-2200(L)×1100-1200(W)×800-900(H)mm</w:t>
      </w:r>
    </w:p>
    <w:p w14:paraId="70B60AF9">
      <w:pPr>
        <w:numPr>
          <w:ilvl w:val="1"/>
          <w:numId w:val="1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台面最大承重为：≥200 Kg</w:t>
      </w:r>
    </w:p>
    <w:p w14:paraId="4742280F">
      <w:pPr>
        <w:widowControl/>
        <w:spacing w:line="360" w:lineRule="auto"/>
        <w:jc w:val="left"/>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12.</w:t>
      </w:r>
      <w:r>
        <w:rPr>
          <w:rFonts w:hint="eastAsia" w:ascii="仿宋" w:hAnsi="仿宋" w:eastAsia="仿宋" w:cs="仿宋"/>
          <w:b/>
          <w:bCs/>
          <w:color w:val="auto"/>
          <w:kern w:val="0"/>
          <w:sz w:val="24"/>
          <w:szCs w:val="24"/>
          <w:highlight w:val="none"/>
          <w:lang w:bidi="ar"/>
        </w:rPr>
        <w:t>包布检查打包台</w:t>
      </w:r>
    </w:p>
    <w:p w14:paraId="70530F29">
      <w:pPr>
        <w:numPr>
          <w:ilvl w:val="1"/>
          <w:numId w:val="1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用途：用于清洗干净的敷料、洞巾、手术单、手术衣等织物的检查、打包。</w:t>
      </w:r>
    </w:p>
    <w:p w14:paraId="00A861DB">
      <w:pPr>
        <w:numPr>
          <w:ilvl w:val="1"/>
          <w:numId w:val="1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不锈钢材质</w:t>
      </w:r>
    </w:p>
    <w:p w14:paraId="3F4C21BB">
      <w:pPr>
        <w:numPr>
          <w:ilvl w:val="1"/>
          <w:numId w:val="1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桌面大玻璃，玻璃为散光毛玻璃，防止炫目，玻璃下方带检查灯</w:t>
      </w:r>
    </w:p>
    <w:p w14:paraId="59E4CAC4">
      <w:pPr>
        <w:numPr>
          <w:ilvl w:val="1"/>
          <w:numId w:val="1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尺寸规格：2000-2200(L)×1100-1200(W)×800-900(H)mm</w:t>
      </w:r>
    </w:p>
    <w:p w14:paraId="286AE6CC">
      <w:pPr>
        <w:numPr>
          <w:ilvl w:val="1"/>
          <w:numId w:val="13"/>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台面最大承重为：≥110 Kg</w:t>
      </w:r>
    </w:p>
    <w:p w14:paraId="33748EBE">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13.</w:t>
      </w:r>
      <w:r>
        <w:rPr>
          <w:rFonts w:hint="eastAsia" w:ascii="仿宋" w:hAnsi="仿宋" w:eastAsia="仿宋" w:cs="仿宋"/>
          <w:b/>
          <w:bCs/>
          <w:color w:val="auto"/>
          <w:kern w:val="0"/>
          <w:sz w:val="24"/>
          <w:szCs w:val="24"/>
          <w:highlight w:val="none"/>
          <w:lang w:bidi="ar"/>
        </w:rPr>
        <w:t>医用器械除锈仪</w:t>
      </w:r>
    </w:p>
    <w:p w14:paraId="70944C4F">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用途：用于医疗单位手术器械、器具、器皿的除锈操作；在加热状态下，提高器械除锈的效果。</w:t>
      </w:r>
    </w:p>
    <w:p w14:paraId="07D80844">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容积：≥15L，提供内室尺寸。</w:t>
      </w:r>
    </w:p>
    <w:p w14:paraId="4CEE07AB">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▲材质：耐腐蚀性材质，模具成型，表面光滑。</w:t>
      </w:r>
    </w:p>
    <w:p w14:paraId="1D1D4C83">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管路材质：管路系统中所有部件均采用耐腐性的尼龙材料和硅胶材质构成。</w:t>
      </w:r>
    </w:p>
    <w:p w14:paraId="7FD3E344">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▲加热管：采用耐腐蚀性的钛合金加热管，有效预防对加热管的腐蚀。</w:t>
      </w:r>
    </w:p>
    <w:p w14:paraId="33024A0B">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控制方式：数字控制，温度、时间可调可控，操作简便；高精度温度传感器，温度显示精确；过压、过流保护，电路安全。</w:t>
      </w:r>
    </w:p>
    <w:p w14:paraId="545923A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沥水篮筐：采用优质耐腐蚀ABS材质注塑成形；</w:t>
      </w:r>
    </w:p>
    <w:p w14:paraId="3594AF7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辅助功能：电动抛光轮用于器械表面抛光除锈，1000-8000r/min速度可调</w:t>
      </w:r>
    </w:p>
    <w:p w14:paraId="5CEC6C7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运行时间：0-99min可调</w:t>
      </w:r>
    </w:p>
    <w:p w14:paraId="3CC27895">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温度控制：室温-70℃，温度可调</w:t>
      </w:r>
    </w:p>
    <w:p w14:paraId="04700AC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外形尺寸：自行提供</w:t>
      </w:r>
    </w:p>
    <w:p w14:paraId="58E3286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舱体尺寸：自行提供</w:t>
      </w:r>
    </w:p>
    <w:p w14:paraId="5F9E7C8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加热方式：电加热，提供加热功率 </w:t>
      </w:r>
    </w:p>
    <w:p w14:paraId="7485D2DD">
      <w:pPr>
        <w:numPr>
          <w:ilvl w:val="1"/>
          <w:numId w:val="1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标准配置：主机1台、篮框 1个、砂轮1个、合格证、说明书1套。</w:t>
      </w:r>
    </w:p>
    <w:p w14:paraId="1B7C3F0A">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医用纯水机</w:t>
      </w:r>
    </w:p>
    <w:p w14:paraId="5BE3974E">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源水水质：市政自来水管网水源。</w:t>
      </w:r>
    </w:p>
    <w:p w14:paraId="4DAFD5CA">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水用途：用于医院消毒供应中心的单舱清洗机、多舱清洗机、清洗槽、外车清洗、清洗喷枪、超声波、热水器、洗眼器、酸化水机等。具有权威机构出具的证书。工作范围：水处理间进水口至纯水箱/泵出水口之间的管道、阀门、仪表、设备等。</w:t>
      </w:r>
    </w:p>
    <w:p w14:paraId="18D40B39">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产水量：1500 L/h    </w:t>
      </w:r>
    </w:p>
    <w:p w14:paraId="148E67C1">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▲产水水质标准：产水水质符合WS 310.1医院消毒供应中心管理规范中清洗用水电导率≤15μS/cm(25℃)的规定。</w:t>
      </w:r>
    </w:p>
    <w:p w14:paraId="64395128">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工艺流程：采用“预处理+反渗透+水箱储存+恒压供水”工艺。</w:t>
      </w:r>
    </w:p>
    <w:p w14:paraId="188656B2">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▲控制系统采用“PLC可编程控制器+触摸屏”自动控制系统。控制系统具备自动运行功能，包括自动制水、自动冲洗、原水缺水/水箱满水自动停机等多种功能，系统同时具备手动功能，可以手动控制设备运行。</w:t>
      </w:r>
    </w:p>
    <w:p w14:paraId="18E93950">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系统具备开机自检、缺水保护报警、停电自动复位、水箱满水后自动停机、高水压、过载保护等功能。应急控制措施：可自动和手动相互切换、几种模式协调运行，保证设备正常运行。</w:t>
      </w:r>
    </w:p>
    <w:p w14:paraId="5B8151AF">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▲系统具备漏水检测功能，当系统检测到纯水机出现漏水现象时，能迅速切断总进水水源并报警提示，防止设备漏水造成不必要的损失。</w:t>
      </w:r>
    </w:p>
    <w:p w14:paraId="6601D7A3">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为保证系统运行稳定性，设备采用压力变送器来连续监测并实时在线显示原水进水压力、纯水出水压力及各点压力，不得采用压力差或其他机械式的压力检测装置。</w:t>
      </w:r>
    </w:p>
    <w:p w14:paraId="733D0516">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选配升级联网功能，实现远程监控和追溯的需要，实现水机与追溯系统运行参数的互联互通，可在办公室或其他工作站直接监测、记录设备在线运行状态和电导率、压力等参数；并也可选配升级连接手机功能、打印功能以及能源监控系统。</w:t>
      </w:r>
    </w:p>
    <w:p w14:paraId="04FF7220">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为节省使用空间、方便操作并防止灰尘进入设备内部，设备反渗透主机及供水系统集成在外形美观的一体化机柜中。</w:t>
      </w:r>
    </w:p>
    <w:p w14:paraId="43D35B62">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主机系统管路采用UPVC管道，管路系统无死角设计理念，反渗透主机管道中的水每天都能流动起来，避免备用部分管道所形成的盲端，降低微生物污染风险。</w:t>
      </w:r>
    </w:p>
    <w:p w14:paraId="36F7F7B3">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预处理系统：配备原水箱、原水泵、石英砂过滤器、活性炭过滤器，软化过滤器，精密过滤器及相关辅助设备组成，预处理可实现自动正洗、反洗，再生等功能。  </w:t>
      </w:r>
    </w:p>
    <w:p w14:paraId="1CDEBFBB">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预处理罐及控制阀，可防止碳罐吸光造成微生物超标，预处理罐体选用深色。</w:t>
      </w:r>
    </w:p>
    <w:p w14:paraId="5B5724A3">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反渗透系统具有多种冲洗功能，具有电导率仪连续监测实时在线显示产水的水质功能，系统还设有纯水和浓水流量计，以实时监测并调节运行出水量，并通过合理工艺设计提高水利用率。</w:t>
      </w:r>
    </w:p>
    <w:p w14:paraId="2358AEF8">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纯水水箱：用于储备反渗透产水，容积参考地面承重按实际需求配置，材质为304不锈钢，水箱装有液位控制器自动控制设备启停。</w:t>
      </w:r>
    </w:p>
    <w:p w14:paraId="5F92128B">
      <w:pPr>
        <w:numPr>
          <w:ilvl w:val="1"/>
          <w:numId w:val="1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纯水供水采用技术安全、稳定节能恒定压力输出方式，供水不得低于用水设备的最低工作流量及压力要求。</w:t>
      </w:r>
    </w:p>
    <w:p w14:paraId="3C7A3A77">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val="en-US" w:eastAsia="zh-CN" w:bidi="ar"/>
        </w:rPr>
        <w:t>15.</w:t>
      </w:r>
      <w:r>
        <w:rPr>
          <w:rFonts w:hint="eastAsia" w:ascii="仿宋" w:hAnsi="仿宋" w:eastAsia="仿宋" w:cs="仿宋"/>
          <w:b/>
          <w:color w:val="auto"/>
          <w:kern w:val="0"/>
          <w:sz w:val="24"/>
          <w:szCs w:val="24"/>
          <w:highlight w:val="none"/>
          <w:lang w:bidi="ar"/>
        </w:rPr>
        <w:t>洁净电热蒸汽发生器</w:t>
      </w:r>
    </w:p>
    <w:p w14:paraId="2B163412">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用途：可为消毒供应中心、手术室、洗衣房等需要低压蒸汽的设备提供所需洁净蒸汽汽源。</w:t>
      </w:r>
    </w:p>
    <w:p w14:paraId="3CFBC626">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原理：容器中通入纯净水/软化水，通过洁净容器中，通过加热装置，将水转化成水蒸气，蒸汽到达一定压力，供给需要洁净 蒸汽的设备。</w:t>
      </w:r>
    </w:p>
    <w:p w14:paraId="5219E248">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结构组成：包含进水液控系统、蒸汽产生系统、汽水分离系统、电控系统等。</w:t>
      </w:r>
    </w:p>
    <w:p w14:paraId="586530D1">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▲主体材质：304优质不锈钢无缝钢管；主体带保温材料。</w:t>
      </w:r>
    </w:p>
    <w:p w14:paraId="428937F2">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容积：≥38L</w:t>
      </w:r>
    </w:p>
    <w:p w14:paraId="2C1F7E26">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▲水容积：≤25L，设备无需办理特种设备使用登记证，提供依据。</w:t>
      </w:r>
    </w:p>
    <w:p w14:paraId="2128B391">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额定电功率：≥120 kW，电源要求：380V。</w:t>
      </w:r>
    </w:p>
    <w:p w14:paraId="0B2A54F8">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额定蒸发量：≥160 Kg/h。</w:t>
      </w:r>
    </w:p>
    <w:p w14:paraId="7DEB01A0">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▲设计压力：0.7Mpa</w:t>
      </w:r>
    </w:p>
    <w:p w14:paraId="30A650F1">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使用寿命：≥8年</w:t>
      </w:r>
    </w:p>
    <w:p w14:paraId="0A31DDD4">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管路及控制系统</w:t>
      </w:r>
    </w:p>
    <w:p w14:paraId="7FDBA7E6">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水位控制：磁翻柱式液位计采用连通器原理使液体等高引入主体内，主体内漂浮永久磁性浮子，由浮子带动的磁性能无阻隔性地传出主体，并始终定位在液体的表面。液位计现场测量的液面位置指示利用了附靠在主体内液面处的磁场推动180°，由白色变为红色，当液面下降时，翻柱又被主体内液面内磁场推回180°，由红色变为白色。</w:t>
      </w:r>
    </w:p>
    <w:p w14:paraId="35B58007">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显示系统：液晶显示屏：≥160*160点阵，≥3.0英寸液晶屏，提供温度、压力、时间、运行状态、故障报警显示。</w:t>
      </w:r>
    </w:p>
    <w:p w14:paraId="43C49E85">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压力控制：压力变送器进行工作压力的控制及调整，压力变送器实时采集器身内蒸汽压力，可由控制器自动切断、自动接通加热电源。</w:t>
      </w:r>
    </w:p>
    <w:p w14:paraId="1B258CAD">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热保护：采用液位控制器和温度控制器双重自动保护措施。由于意外原因造成器身内水位降到下水位时，可自动切断加热电源；一旦液位控制器失效，水位继续下降到电热管的位置时，为防止电热管无水干烧，温度控制器将发出信号，切断加热电源，以保证加热元件不致因缺水干烧而损坏。</w:t>
      </w:r>
    </w:p>
    <w:p w14:paraId="6EFDEBA8">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双重超压自动保护具有压力控制器和安全阀双重超压保护</w:t>
      </w:r>
    </w:p>
    <w:p w14:paraId="64887325">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过电流保护功能当发生器在工作过程中，由于各种意外造成电流过大时，将会启动电路保护功能，防止对人员及设备造成伤害</w:t>
      </w:r>
    </w:p>
    <w:p w14:paraId="7B5C7CAA">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排污：自动排污功能、手动排污功能两种模式，设备配有手动排污闸阀。</w:t>
      </w:r>
    </w:p>
    <w:p w14:paraId="0241ADFD">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标准配置：主机1台、安全阀1套、压力表1套、资料1套。</w:t>
      </w:r>
    </w:p>
    <w:p w14:paraId="520598D2">
      <w:pPr>
        <w:numPr>
          <w:ilvl w:val="1"/>
          <w:numId w:val="16"/>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分汽缸：用于蒸汽灭菌器的疏水，分流。</w:t>
      </w:r>
    </w:p>
    <w:p w14:paraId="62219D73">
      <w:pPr>
        <w:spacing w:line="360" w:lineRule="auto"/>
        <w:jc w:val="left"/>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val="en-US" w:eastAsia="zh-CN" w:bidi="ar"/>
        </w:rPr>
        <w:t>16.</w:t>
      </w:r>
      <w:r>
        <w:rPr>
          <w:rFonts w:hint="eastAsia" w:ascii="仿宋" w:hAnsi="仿宋" w:eastAsia="仿宋" w:cs="仿宋"/>
          <w:b/>
          <w:bCs/>
          <w:color w:val="auto"/>
          <w:kern w:val="0"/>
          <w:sz w:val="24"/>
          <w:szCs w:val="24"/>
          <w:highlight w:val="none"/>
          <w:lang w:bidi="ar"/>
        </w:rPr>
        <w:t>空气压缩机</w:t>
      </w:r>
    </w:p>
    <w:p w14:paraId="5E2431DE">
      <w:pPr>
        <w:numPr>
          <w:ilvl w:val="1"/>
          <w:numId w:val="1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用途：给科室内清洗机、灭菌器、干燥气枪等需要压缩空气设备供应稳定压缩气</w:t>
      </w:r>
    </w:p>
    <w:p w14:paraId="1636004A">
      <w:pPr>
        <w:numPr>
          <w:ilvl w:val="1"/>
          <w:numId w:val="1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结构：无油静音式空压机，噪音≤45分贝，体积小，占地小，节省空间</w:t>
      </w:r>
    </w:p>
    <w:p w14:paraId="5CFCE5F2">
      <w:pPr>
        <w:numPr>
          <w:ilvl w:val="1"/>
          <w:numId w:val="1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工作压力：0.4-0.8Mpa，压力根据使用要求可以调节</w:t>
      </w:r>
    </w:p>
    <w:p w14:paraId="5B8C8D39">
      <w:pPr>
        <w:numPr>
          <w:ilvl w:val="1"/>
          <w:numId w:val="1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产气速率：≥40升/分钟；</w:t>
      </w:r>
    </w:p>
    <w:p w14:paraId="1991774F">
      <w:pPr>
        <w:numPr>
          <w:ilvl w:val="1"/>
          <w:numId w:val="1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电源：220V 50HZ，普通插座可满足使用要求</w:t>
      </w:r>
    </w:p>
    <w:p w14:paraId="2A7052AB">
      <w:pPr>
        <w:numPr>
          <w:ilvl w:val="1"/>
          <w:numId w:val="17"/>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供给量：一台设备可满足2台清洗机或1台灭菌器或1把气枪。</w:t>
      </w:r>
    </w:p>
    <w:p w14:paraId="6D987A70">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17.</w:t>
      </w:r>
      <w:r>
        <w:rPr>
          <w:rFonts w:hint="eastAsia" w:ascii="仿宋" w:hAnsi="仿宋" w:eastAsia="仿宋" w:cs="仿宋"/>
          <w:b/>
          <w:bCs/>
          <w:color w:val="auto"/>
          <w:kern w:val="0"/>
          <w:sz w:val="24"/>
          <w:szCs w:val="24"/>
          <w:highlight w:val="none"/>
        </w:rPr>
        <w:t>0.5小时极速生物阅读器</w:t>
      </w:r>
    </w:p>
    <w:p w14:paraId="257A3491">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用途：适用于0.5小时压力蒸汽灭菌生物指示剂和0.5小时过氧化氢低温等离子体灭菌生物指示剂培养结果的判定。</w:t>
      </w:r>
    </w:p>
    <w:p w14:paraId="280F28BB">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原理：利用嗜热脂肪杆菌芽孢在恢复培养及繁殖过程中，细菌中的酶与恢复培养基中特定成分荧光底物产生化学反应，反应生成物可在紫外线照射下产生荧光；利用生物阅读器中的光敏接收传感器进行荧光检测，根据检测到的荧光强度，实现快速判断特定代谢物的浓度，从而得知生物指示剂中嗜热脂肪杆菌芽孢的存活情况。</w:t>
      </w:r>
    </w:p>
    <w:p w14:paraId="440DBF99">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培养温度：58±1℃，自动阅读生物监测培养结果，屏幕显示“＋”为阳性结果；显示“－”为阴性结果。</w:t>
      </w:r>
    </w:p>
    <w:p w14:paraId="0094796D">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▲培养时间：≤30min，阳性报警最快5min，30min确定阴性。</w:t>
      </w:r>
    </w:p>
    <w:p w14:paraId="2751662D">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▲培养孔数：≥10个，可同时培养10支生物指示剂。</w:t>
      </w:r>
    </w:p>
    <w:p w14:paraId="49ECA4A5">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▲屏幕尺寸：≥7英寸。</w:t>
      </w:r>
    </w:p>
    <w:p w14:paraId="2F7B1237">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▲屏幕分辨率：≥800×480TFT ，≥256万色</w:t>
      </w:r>
    </w:p>
    <w:p w14:paraId="4F10E513">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打印功能：可配置外置打印机，培养结果自动/手动打印（选配）</w:t>
      </w:r>
    </w:p>
    <w:p w14:paraId="66E64AC2">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▲自动保存记录：可自动存储培养记录≥10000条，存储内存不足时报警提示，也可上传电脑保存。</w:t>
      </w:r>
    </w:p>
    <w:p w14:paraId="5F2341A7">
      <w:pPr>
        <w:numPr>
          <w:ilvl w:val="1"/>
          <w:numId w:val="1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配置要求：极速生物阅读器主机1台、电源适配器1个、打印机1台（标配）。</w:t>
      </w:r>
    </w:p>
    <w:p w14:paraId="0D5168F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18.</w:t>
      </w:r>
      <w:r>
        <w:rPr>
          <w:rFonts w:hint="eastAsia" w:ascii="仿宋" w:hAnsi="仿宋" w:eastAsia="仿宋" w:cs="仿宋"/>
          <w:b/>
          <w:bCs/>
          <w:color w:val="auto"/>
          <w:kern w:val="0"/>
          <w:sz w:val="24"/>
          <w:szCs w:val="24"/>
          <w:highlight w:val="none"/>
          <w:lang w:bidi="ar"/>
        </w:rPr>
        <w:t>敷料柜</w:t>
      </w:r>
    </w:p>
    <w:p w14:paraId="62E07253">
      <w:pPr>
        <w:numPr>
          <w:ilvl w:val="1"/>
          <w:numId w:val="1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用途：用于存放清洗干净的敷料、洞巾、手术单、手术衣等织物</w:t>
      </w:r>
    </w:p>
    <w:p w14:paraId="62EB74B8">
      <w:pPr>
        <w:numPr>
          <w:ilvl w:val="1"/>
          <w:numId w:val="1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材质：不锈钢材质；</w:t>
      </w:r>
    </w:p>
    <w:p w14:paraId="4D741E1B">
      <w:pPr>
        <w:numPr>
          <w:ilvl w:val="1"/>
          <w:numId w:val="1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结构：带有四层隔板，四个门，推拉门结构，柜门带玻璃视窗，方便柜内物品的观察</w:t>
      </w:r>
    </w:p>
    <w:p w14:paraId="1FC1474F">
      <w:pPr>
        <w:numPr>
          <w:ilvl w:val="1"/>
          <w:numId w:val="1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外形尺寸：900-1000（L）×400-450（W）×1700-1800（H）mm</w:t>
      </w:r>
    </w:p>
    <w:p w14:paraId="6B4A4E78">
      <w:pPr>
        <w:numPr>
          <w:ilvl w:val="1"/>
          <w:numId w:val="1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单层搁板的最大承重为：≥40Kg</w:t>
      </w:r>
    </w:p>
    <w:p w14:paraId="19951320">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（三）商务要求：</w:t>
      </w:r>
    </w:p>
    <w:p w14:paraId="544137F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1.项目的供货期和质保期</w:t>
      </w:r>
    </w:p>
    <w:p w14:paraId="507CEA9B">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1.1供货期：</w:t>
      </w:r>
      <w:r>
        <w:rPr>
          <w:rFonts w:hint="eastAsia" w:ascii="仿宋" w:hAnsi="仿宋" w:eastAsia="仿宋" w:cs="仿宋"/>
          <w:color w:val="auto"/>
          <w:sz w:val="24"/>
          <w:szCs w:val="24"/>
          <w:highlight w:val="none"/>
          <w:lang w:eastAsia="zh-Hans"/>
        </w:rPr>
        <w:t>合同签订后</w:t>
      </w:r>
      <w:r>
        <w:rPr>
          <w:rFonts w:hint="eastAsia" w:ascii="仿宋" w:hAnsi="仿宋" w:eastAsia="仿宋" w:cs="仿宋"/>
          <w:color w:val="auto"/>
          <w:sz w:val="24"/>
          <w:szCs w:val="24"/>
          <w:highlight w:val="none"/>
        </w:rPr>
        <w:t>并收到采购人书面通知后的90</w:t>
      </w:r>
      <w:r>
        <w:rPr>
          <w:rFonts w:hint="eastAsia" w:ascii="仿宋" w:hAnsi="仿宋" w:eastAsia="仿宋" w:cs="仿宋"/>
          <w:color w:val="auto"/>
          <w:sz w:val="24"/>
          <w:szCs w:val="24"/>
          <w:highlight w:val="none"/>
          <w:lang w:eastAsia="zh-Hans"/>
        </w:rPr>
        <w:t>个日历日内（含场地安装改造时间）完成安装、调试、验收。</w:t>
      </w:r>
    </w:p>
    <w:p w14:paraId="54450E7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1.2质保期：</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rPr>
        <w:t>三年。</w:t>
      </w:r>
    </w:p>
    <w:p w14:paraId="0D3BCA39">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质保期内出现任何质量问题（人为破坏或自然灾害等不可抗力除外），由中标人负责更换或维修，其费用包含（工时费、 材料费、管理费、财务费等） 在其投标报价中。质保期从整体设备验收合格日期起开始计算。质保期满后，无论采购人是否另行选择维保中标人，中标人应及时优惠提供所需的备品备件。</w:t>
      </w:r>
    </w:p>
    <w:p w14:paraId="161A5E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1.3中标人必须严格按照合同文件要求及中标人在投标/响应文件中所投设备的品牌型号提供设备，中标人应保证其提供的设备（包括零部件）是全新的、 完整的、原装的正规行货，出厂日期在投标日期之后并且符合国家检测标准以及该设备的出厂标准和原装配置，并在各个方面符合合同规定的质量、规格和性能。</w:t>
      </w:r>
    </w:p>
    <w:p w14:paraId="6E4C1C3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2.付款方式和交货地点</w:t>
      </w:r>
    </w:p>
    <w:p w14:paraId="1A7F2145">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付款方式：合同签订后并收到中标人同等发票后20个工作日内支付合同总金额的30%，货到安装调试完成后并收到中标人同等发票后20个工作日内支付合同总金额的50%，设备正常运行一个月后，并收到中标人同等发票后20个工作日内支付合同总金额的20%。(以合同签订为准)</w:t>
      </w:r>
    </w:p>
    <w:p w14:paraId="1EE55DC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2.2交货地点：麦盖提人民医院指定地点。</w:t>
      </w:r>
    </w:p>
    <w:p w14:paraId="28F68435">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3.售后服务及培训</w:t>
      </w:r>
    </w:p>
    <w:p w14:paraId="1DD83796">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中标人须到采购人提供的现场免费安装、调试设备，进行操作试验，直至运行正常，为设备操作人员终身免费提供技术服务、技术支持及咨询服务，在任何时候、任何地点均可享受到终生的免费咨询服务。维修响应 7x24 小时响应，在质保期内出现故障中标人在接到故障报修电话后，4小时故障响应，12小时之内工程师修复，疆内常备配件库房。在保修期内不定期免费进行状态检测。</w:t>
      </w:r>
    </w:p>
    <w:p w14:paraId="35B9B4A5">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3.2在质保期内，派遣维修或技术人员巡访设备使用单位，协助并指导运维人员进行日常维护保养工作，并与直接使用人交流设备使用相关事宜。</w:t>
      </w:r>
    </w:p>
    <w:p w14:paraId="0D6CE1A6">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3.3售后人员：由原厂高级工程师负责售后问题。</w:t>
      </w:r>
    </w:p>
    <w:p w14:paraId="25A19476">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3.4厂家在疆内常驻销售经理和售后维修等人员，提供联系方式、身份信息、社保证明等证明材料。</w:t>
      </w:r>
    </w:p>
    <w:p w14:paraId="5396F0A8">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3.5中标人必须积极配合采购人共同参与项目验收。主动向采购人有关技术人员在使用现场提供全套技术指导及培训。</w:t>
      </w:r>
    </w:p>
    <w:p w14:paraId="2199E53D">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3.6中标人应派相关技术人员到现场免费进行指导安装，解决安装过程中的相关问题。</w:t>
      </w:r>
    </w:p>
    <w:p w14:paraId="0942C7D1">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3.7售后服务承诺：中标人应对质保期内及其以后的服务做出承诺，并具有切实可行的措施,不能及时兑现服务承诺内容而影响使用方使用，中标人应当给予补偿。</w:t>
      </w:r>
    </w:p>
    <w:p w14:paraId="0A4F9EF7">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3.8如收到服务需求不合要求情况，可双方协商决定，但决定权在采购人，采购人有权利退回所购买产品。</w:t>
      </w:r>
    </w:p>
    <w:p w14:paraId="5B5C6340">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人员培训：针对本院实际情况指定培训计划，中标人应提供技术培训，保证使用人员正常操作设备的各种功能。在质保期内为采购人提供至少三人的培训服务，确保用户方至少两名操作人员可熟悉使用，中标人应保证在采购人指定交货地点对设备操作人员提供不少于 1 天的免费培训。培训配备受过专业培训的售后服务人员、技术支持人员及咨询服务、在任何时候、任何地点均可享受到终生的免费咨询服务。中标人投标时应提供详细的培训方案。培训教员的差旅费、食宿费、培训教材等费用，应计入投标报价， 随时排除所有设备故障进行明确的计划阐述，并对所有设备保修期过后维保进行阐述。</w:t>
      </w:r>
    </w:p>
    <w:p w14:paraId="6E1DF829">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4.包装、调试、验收</w:t>
      </w:r>
    </w:p>
    <w:p w14:paraId="1A4E4F58">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4.1中标人</w:t>
      </w:r>
      <w:r>
        <w:rPr>
          <w:rFonts w:hint="eastAsia" w:ascii="仿宋" w:hAnsi="仿宋" w:eastAsia="仿宋" w:cs="仿宋"/>
          <w:color w:val="auto"/>
          <w:sz w:val="24"/>
          <w:szCs w:val="24"/>
          <w:highlight w:val="none"/>
          <w:lang w:eastAsia="zh-Hans"/>
        </w:rPr>
        <w:t>将所供设备运送至交货地点，采购人、</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双方共同拆箱，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将合同设备安装调试完成并移交所有资料文档后向采购人提出验收申请，采购人于收到</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验收申请后7日内组织履约验收，验收完毕由采购人及</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在验收报告上签名。</w:t>
      </w:r>
    </w:p>
    <w:p w14:paraId="496F0BF1">
      <w:pPr>
        <w:spacing w:line="360" w:lineRule="auto"/>
        <w:ind w:left="70" w:firstLine="56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lang w:eastAsia="zh-Hans"/>
        </w:rPr>
        <w:t>采购人依照相关验收规范、设备出厂技术标准、招标文件及投标文件要求对全部设备、产品、型号、规格、数量、外型、外观、包装及资料、文件（如装箱单、保修单、随箱介质等）进行验收。验收按国家有关的标准规定、规范进行。验收时如发现所交付的设备有短装、次品、损坏或其它不符合本合同规定之情形者，采购人应做出详尽的现场记录，或由采购人、</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双方签署备忘录。此现场记录或备忘录可用作补充、缺失和更换损坏部件的有效证据。由此产生的有关费用由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承担，验收期限相应后延。</w:t>
      </w:r>
    </w:p>
    <w:p w14:paraId="490AD7BD">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eastAsia="zh-Hans"/>
        </w:rPr>
        <w:t>如在验收中发现设备达不到验收标准或合同及合同相关技术文件规定，</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应及时安排更换，以保证合同设备安装调试的成功完成,使设备最终达到合同或合同相关技术文件中规定的性能和要求。更换的相关费用由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承担并承担由此造成的一切损失。</w:t>
      </w:r>
    </w:p>
    <w:p w14:paraId="0282860F">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4.4中标人</w:t>
      </w:r>
      <w:r>
        <w:rPr>
          <w:rFonts w:hint="eastAsia" w:ascii="仿宋" w:hAnsi="仿宋" w:eastAsia="仿宋" w:cs="仿宋"/>
          <w:color w:val="auto"/>
          <w:sz w:val="24"/>
          <w:szCs w:val="24"/>
          <w:highlight w:val="none"/>
          <w:lang w:eastAsia="zh-Hans"/>
        </w:rPr>
        <w:t>提供的产品原始样本，技术资料和招标文件技术一致，符合我国有关技术规范和标准。</w:t>
      </w:r>
    </w:p>
    <w:p w14:paraId="104CA1D3">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lang w:eastAsia="zh-Hans"/>
        </w:rPr>
        <w:t>验收时，</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要提供有效的该产品的注册证（或备案证明，注明使用期限）、产品合格证、合同标明产品的产地、首次本地计量检测合格证(包括强检和非强检医疗设备)。</w:t>
      </w:r>
    </w:p>
    <w:p w14:paraId="2D16B44A">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lang w:eastAsia="zh-Hans"/>
        </w:rPr>
        <w:t>如</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没有及时提供相关证件（如合格证等），有可能影响验收进程，所导致的经济损失，由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自行承担。</w:t>
      </w:r>
    </w:p>
    <w:p w14:paraId="03217E77">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4.7中标人</w:t>
      </w:r>
      <w:r>
        <w:rPr>
          <w:rFonts w:hint="eastAsia" w:ascii="仿宋" w:hAnsi="仿宋" w:eastAsia="仿宋" w:cs="仿宋"/>
          <w:color w:val="auto"/>
          <w:sz w:val="24"/>
          <w:szCs w:val="24"/>
          <w:highlight w:val="none"/>
          <w:lang w:eastAsia="zh-Hans"/>
        </w:rPr>
        <w:t>负责相关验收投入使用前所需的所有</w:t>
      </w:r>
      <w:r>
        <w:rPr>
          <w:rFonts w:hint="eastAsia" w:ascii="仿宋" w:hAnsi="仿宋" w:eastAsia="仿宋" w:cs="仿宋"/>
          <w:color w:val="auto"/>
          <w:sz w:val="24"/>
          <w:szCs w:val="24"/>
          <w:highlight w:val="none"/>
        </w:rPr>
        <w:t>防辐射</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环评、</w:t>
      </w:r>
      <w:r>
        <w:rPr>
          <w:rFonts w:hint="eastAsia" w:ascii="仿宋" w:hAnsi="仿宋" w:eastAsia="仿宋" w:cs="仿宋"/>
          <w:color w:val="auto"/>
          <w:sz w:val="24"/>
          <w:szCs w:val="24"/>
          <w:highlight w:val="none"/>
          <w:lang w:eastAsia="zh-Hans"/>
        </w:rPr>
        <w:t>性能检测、质控等检测</w:t>
      </w:r>
      <w:r>
        <w:rPr>
          <w:rFonts w:hint="eastAsia" w:ascii="仿宋" w:hAnsi="仿宋" w:eastAsia="仿宋" w:cs="仿宋"/>
          <w:color w:val="auto"/>
          <w:sz w:val="24"/>
          <w:szCs w:val="24"/>
          <w:highlight w:val="none"/>
        </w:rPr>
        <w:t>（若有）</w:t>
      </w:r>
      <w:r>
        <w:rPr>
          <w:rFonts w:hint="eastAsia" w:ascii="仿宋" w:hAnsi="仿宋" w:eastAsia="仿宋" w:cs="仿宋"/>
          <w:color w:val="auto"/>
          <w:sz w:val="24"/>
          <w:szCs w:val="24"/>
          <w:highlight w:val="none"/>
          <w:lang w:eastAsia="zh-Hans"/>
        </w:rPr>
        <w:t>。</w:t>
      </w:r>
    </w:p>
    <w:p w14:paraId="64DE39AA">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r>
        <w:rPr>
          <w:rFonts w:hint="eastAsia" w:ascii="仿宋" w:hAnsi="仿宋" w:eastAsia="仿宋" w:cs="仿宋"/>
          <w:color w:val="auto"/>
          <w:sz w:val="24"/>
          <w:szCs w:val="24"/>
          <w:highlight w:val="none"/>
          <w:lang w:eastAsia="zh-Hans"/>
        </w:rPr>
        <w:t>必要时可邀请相关的专业人员或机构参与验收。</w:t>
      </w:r>
    </w:p>
    <w:p w14:paraId="0015F9EA">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r>
        <w:rPr>
          <w:rFonts w:hint="eastAsia" w:ascii="仿宋" w:hAnsi="仿宋" w:eastAsia="仿宋" w:cs="仿宋"/>
          <w:color w:val="auto"/>
          <w:sz w:val="24"/>
          <w:szCs w:val="24"/>
          <w:highlight w:val="none"/>
          <w:lang w:eastAsia="zh-Hans"/>
        </w:rPr>
        <w:t>最终验收前，</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需提供所有测试报告及文件。</w:t>
      </w:r>
    </w:p>
    <w:p w14:paraId="7BECE324">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4.10</w:t>
      </w:r>
      <w:r>
        <w:rPr>
          <w:rFonts w:hint="eastAsia" w:ascii="仿宋" w:hAnsi="仿宋" w:eastAsia="仿宋" w:cs="仿宋"/>
          <w:color w:val="auto"/>
          <w:sz w:val="24"/>
          <w:szCs w:val="24"/>
          <w:highlight w:val="none"/>
          <w:lang w:eastAsia="zh-Hans"/>
        </w:rPr>
        <w:t>最终验收在所有设备安装调试完毕后进行。在此期间</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需派人员参加，若</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所供产品出现故障，则</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应及时修复并做好记录，该记录将作为产品性能测试的原始资料和验收结论。</w:t>
      </w:r>
    </w:p>
    <w:p w14:paraId="32FB3455">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11</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需为验收提供必需的一切条件及相关费用。</w:t>
      </w:r>
    </w:p>
    <w:p w14:paraId="35AA9FEF">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12验收交付前的保管安全责任由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w:t>
      </w:r>
    </w:p>
    <w:p w14:paraId="2A67040F">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13</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完成安装验收后，负责及时处理并运走该货物的包装木箱、纸皮箱等物品。</w:t>
      </w:r>
    </w:p>
    <w:p w14:paraId="3023DD32">
      <w:pPr>
        <w:widowControl/>
        <w:spacing w:line="360" w:lineRule="auto"/>
        <w:ind w:firstLine="482" w:firstLineChars="200"/>
        <w:jc w:val="left"/>
        <w:textAlignment w:val="center"/>
        <w:rPr>
          <w:rFonts w:hint="eastAsia" w:ascii="仿宋" w:hAnsi="仿宋" w:eastAsia="仿宋" w:cs="仿宋"/>
          <w:b/>
          <w:bCs/>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5.其他</w:t>
      </w:r>
    </w:p>
    <w:p w14:paraId="5C2C868A">
      <w:pPr>
        <w:widowControl/>
        <w:spacing w:line="360" w:lineRule="auto"/>
        <w:ind w:firstLine="480" w:firstLineChars="2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5.1中标单位负责把医院现有</w:t>
      </w:r>
      <w:r>
        <w:rPr>
          <w:rFonts w:hint="eastAsia" w:ascii="仿宋" w:hAnsi="仿宋" w:eastAsia="仿宋" w:cs="仿宋"/>
          <w:color w:val="auto"/>
          <w:kern w:val="0"/>
          <w:sz w:val="24"/>
          <w:szCs w:val="24"/>
          <w:highlight w:val="none"/>
        </w:rPr>
        <w:t>脉动真空灭菌器</w:t>
      </w:r>
      <w:r>
        <w:rPr>
          <w:rFonts w:hint="eastAsia" w:ascii="仿宋" w:hAnsi="仿宋" w:eastAsia="仿宋" w:cs="仿宋"/>
          <w:color w:val="auto"/>
          <w:kern w:val="0"/>
          <w:sz w:val="24"/>
          <w:szCs w:val="24"/>
          <w:highlight w:val="none"/>
          <w:lang w:bidi="ar"/>
        </w:rPr>
        <w:t xml:space="preserve">设备拆除，并移除消毒供应中心。 </w:t>
      </w:r>
    </w:p>
    <w:p w14:paraId="70A9A5D7">
      <w:pPr>
        <w:widowControl/>
        <w:spacing w:line="360" w:lineRule="auto"/>
        <w:ind w:firstLine="480" w:firstLineChars="2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5.2中标单位负责将消毒供应中心灭菌器处地面重新做地平处理。 </w:t>
      </w:r>
    </w:p>
    <w:p w14:paraId="54926213">
      <w:pPr>
        <w:widowControl/>
        <w:spacing w:line="360" w:lineRule="auto"/>
        <w:ind w:firstLine="480" w:firstLineChars="2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5.3中标单位负责将新</w:t>
      </w:r>
      <w:r>
        <w:rPr>
          <w:rFonts w:hint="eastAsia" w:ascii="仿宋" w:hAnsi="仿宋" w:eastAsia="仿宋" w:cs="仿宋"/>
          <w:color w:val="auto"/>
          <w:kern w:val="0"/>
          <w:sz w:val="24"/>
          <w:szCs w:val="24"/>
          <w:highlight w:val="none"/>
        </w:rPr>
        <w:t>脉动真空灭菌器</w:t>
      </w:r>
      <w:r>
        <w:rPr>
          <w:rFonts w:hint="eastAsia" w:ascii="仿宋" w:hAnsi="仿宋" w:eastAsia="仿宋" w:cs="仿宋"/>
          <w:color w:val="auto"/>
          <w:kern w:val="0"/>
          <w:sz w:val="24"/>
          <w:szCs w:val="24"/>
          <w:highlight w:val="none"/>
          <w:lang w:bidi="ar"/>
        </w:rPr>
        <w:t>移机至指定位置，并安装、调试、培训完毕。 若出现二次移机则按照采购人要求，移机至指定位置，并安装、调试。</w:t>
      </w:r>
    </w:p>
    <w:p w14:paraId="67397752">
      <w:pPr>
        <w:widowControl/>
        <w:spacing w:line="360" w:lineRule="auto"/>
        <w:ind w:firstLine="480" w:firstLineChars="200"/>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5.4</w:t>
      </w:r>
      <w:r>
        <w:rPr>
          <w:rFonts w:hint="eastAsia" w:ascii="仿宋" w:hAnsi="仿宋" w:eastAsia="仿宋" w:cs="仿宋"/>
          <w:color w:val="auto"/>
          <w:kern w:val="0"/>
          <w:sz w:val="24"/>
          <w:szCs w:val="24"/>
          <w:highlight w:val="none"/>
        </w:rPr>
        <w:t>脉动真空灭菌器</w:t>
      </w:r>
      <w:r>
        <w:rPr>
          <w:rFonts w:hint="eastAsia" w:ascii="仿宋" w:hAnsi="仿宋" w:eastAsia="仿宋" w:cs="仿宋"/>
          <w:color w:val="auto"/>
          <w:kern w:val="0"/>
          <w:sz w:val="24"/>
          <w:szCs w:val="24"/>
          <w:highlight w:val="none"/>
          <w:lang w:bidi="ar"/>
        </w:rPr>
        <w:t xml:space="preserve">设备安装完毕后，将设备外装修施工完毕。 </w:t>
      </w:r>
    </w:p>
    <w:p w14:paraId="2B1FB63A">
      <w:pPr>
        <w:widowControl/>
        <w:spacing w:line="360" w:lineRule="auto"/>
        <w:ind w:firstLine="480" w:firstLineChars="200"/>
        <w:jc w:val="left"/>
        <w:textAlignment w:val="center"/>
        <w:rPr>
          <w:rFonts w:hint="eastAsia" w:ascii="仿宋" w:hAnsi="仿宋" w:eastAsia="仿宋" w:cs="仿宋"/>
          <w:color w:val="auto"/>
          <w:sz w:val="24"/>
          <w:szCs w:val="24"/>
          <w:highlight w:val="none"/>
          <w:lang w:eastAsia="zh-Hans"/>
        </w:rPr>
      </w:pPr>
      <w:r>
        <w:rPr>
          <w:rFonts w:hint="eastAsia" w:ascii="仿宋" w:hAnsi="仿宋" w:eastAsia="仿宋" w:cs="仿宋"/>
          <w:color w:val="auto"/>
          <w:kern w:val="0"/>
          <w:sz w:val="24"/>
          <w:szCs w:val="24"/>
          <w:highlight w:val="none"/>
          <w:lang w:bidi="ar"/>
        </w:rPr>
        <w:t>5.5负责将新设备</w:t>
      </w:r>
      <w:r>
        <w:rPr>
          <w:rFonts w:hint="eastAsia" w:ascii="仿宋" w:hAnsi="仿宋" w:eastAsia="仿宋" w:cs="仿宋"/>
          <w:color w:val="auto"/>
          <w:kern w:val="0"/>
          <w:sz w:val="24"/>
          <w:szCs w:val="24"/>
          <w:highlight w:val="none"/>
        </w:rPr>
        <w:t>脉动真空灭菌器</w:t>
      </w:r>
      <w:r>
        <w:rPr>
          <w:rFonts w:hint="eastAsia" w:ascii="仿宋" w:hAnsi="仿宋" w:eastAsia="仿宋" w:cs="仿宋"/>
          <w:color w:val="auto"/>
          <w:kern w:val="0"/>
          <w:sz w:val="24"/>
          <w:szCs w:val="24"/>
          <w:highlight w:val="none"/>
          <w:lang w:bidi="ar"/>
        </w:rPr>
        <w:t>排水管路进行改造，并符合设备厂家安装要求。</w:t>
      </w:r>
    </w:p>
    <w:p w14:paraId="475E2690">
      <w:pP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br w:type="page"/>
      </w:r>
    </w:p>
    <w:p w14:paraId="4AE4C60B">
      <w:pPr>
        <w:rPr>
          <w:rFonts w:hint="eastAsia" w:ascii="仿宋" w:hAnsi="仿宋" w:eastAsia="仿宋" w:cs="仿宋"/>
          <w:b/>
          <w:bCs/>
          <w:color w:val="auto"/>
          <w:sz w:val="21"/>
          <w:szCs w:val="21"/>
          <w:highlight w:val="none"/>
          <w:lang w:val="en-US" w:eastAsia="zh-CN"/>
        </w:rPr>
      </w:pPr>
    </w:p>
    <w:p w14:paraId="4C09B30E">
      <w:pPr>
        <w:pStyle w:val="18"/>
        <w:widowControl/>
        <w:spacing w:beforeAutospacing="0" w:afterAutospacing="0" w:line="555" w:lineRule="atLeast"/>
        <w:ind w:left="420" w:left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标项3：</w:t>
      </w:r>
    </w:p>
    <w:p w14:paraId="76CAC779">
      <w:pPr>
        <w:pStyle w:val="18"/>
        <w:widowControl/>
        <w:spacing w:beforeAutospacing="0" w:afterAutospacing="0" w:line="360" w:lineRule="auto"/>
        <w:ind w:left="420" w:left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（一）采购标的汇总表 </w:t>
      </w:r>
    </w:p>
    <w:tbl>
      <w:tblPr>
        <w:tblStyle w:val="21"/>
        <w:tblW w:w="8095" w:type="dxa"/>
        <w:tblInd w:w="93" w:type="dxa"/>
        <w:tblLayout w:type="autofit"/>
        <w:tblCellMar>
          <w:top w:w="0" w:type="dxa"/>
          <w:left w:w="108" w:type="dxa"/>
          <w:bottom w:w="0" w:type="dxa"/>
          <w:right w:w="108" w:type="dxa"/>
        </w:tblCellMar>
      </w:tblPr>
      <w:tblGrid>
        <w:gridCol w:w="1755"/>
        <w:gridCol w:w="3890"/>
        <w:gridCol w:w="1225"/>
        <w:gridCol w:w="1225"/>
      </w:tblGrid>
      <w:tr w14:paraId="12559FBB">
        <w:tblPrEx>
          <w:tblCellMar>
            <w:top w:w="0" w:type="dxa"/>
            <w:left w:w="108" w:type="dxa"/>
            <w:bottom w:w="0" w:type="dxa"/>
            <w:right w:w="108" w:type="dxa"/>
          </w:tblCellMar>
        </w:tblPrEx>
        <w:trPr>
          <w:trHeight w:val="1228"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FC4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E7C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设备名称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7A3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数量</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B72D">
            <w:pPr>
              <w:widowControl/>
              <w:spacing w:line="360" w:lineRule="auto"/>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核心</w:t>
            </w:r>
          </w:p>
          <w:p w14:paraId="50A25474">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设备</w:t>
            </w:r>
          </w:p>
        </w:tc>
      </w:tr>
      <w:tr w14:paraId="45E9837B">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5EDE">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B02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腹腔镜分屏显示器（套）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730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F268">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188B8993">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E3BF">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CBE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全自动洗胃机</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509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0A52">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02388E55">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381F">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3</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A55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单剂量摆药机</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38A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0155">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是</w:t>
            </w:r>
          </w:p>
        </w:tc>
      </w:tr>
      <w:tr w14:paraId="393ADB7A">
        <w:tblPrEx>
          <w:tblCellMar>
            <w:top w:w="0" w:type="dxa"/>
            <w:left w:w="108" w:type="dxa"/>
            <w:bottom w:w="0" w:type="dxa"/>
            <w:right w:w="108" w:type="dxa"/>
          </w:tblCellMar>
        </w:tblPrEx>
        <w:trPr>
          <w:trHeight w:val="600" w:hRule="atLeast"/>
        </w:trPr>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32AB">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4</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4234">
            <w:pPr>
              <w:widowControl/>
              <w:spacing w:line="360" w:lineRule="auto"/>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bidi="ar"/>
              </w:rPr>
              <w:t>胎心监护仪</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DC8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0411">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0775A332">
        <w:tblPrEx>
          <w:tblCellMar>
            <w:top w:w="0" w:type="dxa"/>
            <w:left w:w="108" w:type="dxa"/>
            <w:bottom w:w="0" w:type="dxa"/>
            <w:right w:w="108" w:type="dxa"/>
          </w:tblCellMar>
        </w:tblPrEx>
        <w:trPr>
          <w:trHeight w:val="600" w:hRule="atLeast"/>
        </w:trPr>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7A8D">
            <w:pPr>
              <w:spacing w:line="360" w:lineRule="auto"/>
              <w:jc w:val="center"/>
              <w:rPr>
                <w:rFonts w:hint="eastAsia" w:ascii="仿宋" w:hAnsi="仿宋" w:eastAsia="仿宋" w:cs="仿宋"/>
                <w:color w:val="auto"/>
                <w:sz w:val="24"/>
                <w:szCs w:val="24"/>
                <w:highlight w:val="none"/>
              </w:rPr>
            </w:pP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3B0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胎心监护仪（一拖4）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643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19D6">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1BD9D76D">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D509">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5</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99A6">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振动排痰仪（马甲式）</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4F68">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7DCE">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06B51628">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0FA1">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6</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E78E">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裂隙灯</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5C4F">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D17F">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7E8C250E">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75AC">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7</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28B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眼压计</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B7F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A676">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7F9034D7">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549E">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8</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DE0D">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成人输尿管镜（1套）</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8C50">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3B10">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04343F3C">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918C">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9</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FA7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输尿管软镜</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40AB">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BB0B">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61410862">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C807">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10</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DAF3">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高流量呼吸湿化治疗仪</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26F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6AC0">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5CB2DD38">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FBDB">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11</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9B6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气动式高频振荡排痰系统</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9935">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F21D">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2694CAD7">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F772">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12</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6301">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物理降温仪</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1AD7">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5465">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r w14:paraId="779A2B4B">
        <w:tblPrEx>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440B">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13</w:t>
            </w:r>
          </w:p>
        </w:tc>
        <w:tc>
          <w:tcPr>
            <w:tcW w:w="3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00E4">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婴儿培养箱</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962A">
            <w:pPr>
              <w:widowControl/>
              <w:spacing w:line="36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8D6F">
            <w:pPr>
              <w:widowControl/>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w:t>
            </w:r>
          </w:p>
        </w:tc>
      </w:tr>
    </w:tbl>
    <w:p w14:paraId="2D975192">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p>
    <w:p w14:paraId="66C34E91">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（二）技术要求</w:t>
      </w:r>
    </w:p>
    <w:p w14:paraId="0CBFE017">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腹腔镜分屏显示器</w:t>
      </w:r>
    </w:p>
    <w:p w14:paraId="3A73B73C">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▲屏幕尺寸</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≥30英寸，屏幕比例：16：9，分辨率：≥1920×1080，像素点距：≤0.364 mm，对比度：1200：1，视角：水平：≥178，垂直：≥178，提供所投产品证明文件。</w:t>
      </w:r>
    </w:p>
    <w:p w14:paraId="0D5D8DBB">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支持彩色</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≥16.7M，同时内置12bit LUT。</w:t>
      </w:r>
    </w:p>
    <w:p w14:paraId="55B1D644">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亮度</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≥700 cd/m2，提供所投产品彩页或第三方检测报告等。</w:t>
      </w:r>
    </w:p>
    <w:p w14:paraId="1CC2A310">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≤8ms（Ton+Toff)</w:t>
      </w:r>
    </w:p>
    <w:p w14:paraId="5FF863F2">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防水等级</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全平面一体化设计，正面防水满足IPX5，其它面满足IPX2，满足手术室环境使用，提供第三方测试报告，测试报告需包含所投产品型号。</w:t>
      </w:r>
    </w:p>
    <w:p w14:paraId="0614A76D">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触摸按键，防超声刀干扰设计。</w:t>
      </w:r>
    </w:p>
    <w:p w14:paraId="4F6E58EE">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高清输入接口</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DVI-Dx1，VGAx1，YPBPR/RGBSx1，SOGx1，3G-SDIx1，HDMIx1，DPx1</w:t>
      </w:r>
    </w:p>
    <w:p w14:paraId="68669555">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需提供实际所投标产品证明文件。</w:t>
      </w:r>
    </w:p>
    <w:p w14:paraId="0C1AAA56">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输出信号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DVI-D：计算机数字视频接口</w:t>
      </w:r>
    </w:p>
    <w:p w14:paraId="5B34021E">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3G-SDI：数字串行接口</w:t>
      </w:r>
    </w:p>
    <w:p w14:paraId="79C5E210">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显示模式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产品支持双屏，画中画（大），画中画（小）三种显示模式，图像高宽比：可以提供全屏，比例全屏，原始大小三种缩放模式供用户选择。需提供实际投标产品的内置操作功能菜单的截图照片证明资料。</w:t>
      </w:r>
    </w:p>
    <w:p w14:paraId="79D09063">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双屏模式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在双屏模式下，可调整任意窗口的GAMMA显示模式，色温模式，而不会干扰到另一个影像，实现内窥镜、CT 和MRI 图像的同屏显示。</w:t>
      </w:r>
    </w:p>
    <w:p w14:paraId="7A99B460">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应急模式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产品支持当前信号出现传输中断情况下，自动快速切换到备用信号，确保手术正常进行，同时应急信号支持自定义功能。需提供实际投标产品的内置操作功能菜单的截图照片证明资料。（本功能需要与设备同时连接2路以上信号，其中1路信号作为备份）。</w:t>
      </w:r>
    </w:p>
    <w:p w14:paraId="728C86C4">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亮度稳定技术</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采用背光稳定技术保证背光长期稳定,。</w:t>
      </w:r>
    </w:p>
    <w:p w14:paraId="2734A0CB">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长线传输</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内置数字信号均衡技术，实现手术室内部20米以内的长距离信号传输，方便手术室布线，。</w:t>
      </w:r>
    </w:p>
    <w:p w14:paraId="7127DF40">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远程控制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通过RS232接口，可以实现信号源和脚踏开关远程控制显示器，信号源可以实现对显示器的开/关机，色温、GAMMA、显示模式的切换。脚踏开关可以通过RS232远程控制显示器的显示模式和信号通道的切换。</w:t>
      </w:r>
    </w:p>
    <w:p w14:paraId="1D3DAB75">
      <w:pPr>
        <w:numPr>
          <w:ilvl w:val="1"/>
          <w:numId w:val="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固件升级</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产品支持USB全自动固件升级功能，操作简单方便。</w:t>
      </w:r>
    </w:p>
    <w:p w14:paraId="2CC61B8C">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全自动洗胃机</w:t>
      </w:r>
    </w:p>
    <w:p w14:paraId="319A40F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主要技术参数</w:t>
      </w:r>
    </w:p>
    <w:p w14:paraId="6350D7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流量：≥2L/min（口腔插管档）；≥1L/min（鼻腔插管档） </w:t>
      </w:r>
    </w:p>
    <w:p w14:paraId="71A3308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2自控液量：≥冲液量：（250ml~350ml）/次；吸液量：≥（350ml~450ml）/次 </w:t>
      </w:r>
    </w:p>
    <w:p w14:paraId="6A434D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注：吸液量大于冲液量，但不应大于 150ml/次 </w:t>
      </w:r>
    </w:p>
    <w:p w14:paraId="2ED64BE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正、负压力设定范围：47kPa~67kPa </w:t>
      </w:r>
    </w:p>
    <w:p w14:paraId="6F5104B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电源：～220V 50Hz </w:t>
      </w:r>
    </w:p>
    <w:p w14:paraId="16AF92E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噪音：≤65dB（A） </w:t>
      </w:r>
    </w:p>
    <w:p w14:paraId="08FA4831">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单剂量摆药机</w:t>
      </w:r>
    </w:p>
    <w:p w14:paraId="0C3CC0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基本要求：通过 HIS 系统接收医嘱信息，分包机按医嘱要求将单剂量的片剂或胶囊自动包入同一个药袋内, 并在药袋上打印药品和患者的相关信息。用于住院药房口服药品及门诊药房部分协定处方的自动分包摆药，调剂质量可追溯管理。</w:t>
      </w:r>
    </w:p>
    <w:p w14:paraId="09EFC59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摆药机为立式旋转式结构，储药柜门设置在正面（提供彩页图片证明资料）。</w:t>
      </w:r>
    </w:p>
    <w:p w14:paraId="0FE9276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摆药机药品种数≥300种。药盒全部为智能药盒；采用 RFID 的先进技术，绑定药品信息，确定药盒药品唯一性。药盒放置位置和底座号不一致也可正确的分包药品。（附图片说明）</w:t>
      </w:r>
    </w:p>
    <w:p w14:paraId="1E7DABC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单个非机储药槽≥60 格。（需要提供彩页截图说明）</w:t>
      </w:r>
    </w:p>
    <w:p w14:paraId="750FF0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包药速度≥60 包/分钟。</w:t>
      </w:r>
    </w:p>
    <w:p w14:paraId="71C339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具有加药不停止摆药功能。(提供图片佐证材料)</w:t>
      </w:r>
    </w:p>
    <w:p w14:paraId="402E2E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机储药盒中具备全自动切半片药盒≥2 个； 此功能指根据医嘱半片信息将该药盒内的整片药品自动切割成半片分包，剩余半片下次优先发放，且药盒自带吸药粉装置。（需要提供相关的证明材料佐证）</w:t>
      </w:r>
    </w:p>
    <w:p w14:paraId="162DD5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具有非机储药品集中处理功能，非机储药托盘打开一次可进行多病人、多医嘱集中添加非机储药品；单次非机储药品添加量不少于一个病区（≥60条医嘱）</w:t>
      </w:r>
    </w:p>
    <w:p w14:paraId="3182835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摆药机具有支持多个非机储药槽交替工作的功能，可根据处方信息在非机储药槽中提前准备需要添加的非机储药品，能够提高分包工作效率。</w:t>
      </w:r>
    </w:p>
    <w:p w14:paraId="2210EE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1.10非机储药品托盘具有单独进行外摆药分包功能，可以用于外摆药品的门诊大瓶药品拆零分包和分包医嘱必要时用法的分包，也可以和机储药品混合分包。</w:t>
      </w:r>
    </w:p>
    <w:p w14:paraId="6F46F83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1.11具有药盒加药条形码审视核对功能，药盒上药品名称、实物照片、剂量、条形码等，方便加药核对，避免加药差错。</w:t>
      </w:r>
    </w:p>
    <w:p w14:paraId="6F7F31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1.12药盒具有防漏装置，避免药盒放入摆药机时产生误发药。（提供图片说明）</w:t>
      </w:r>
    </w:p>
    <w:p w14:paraId="69302F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1.13包药部分的出药口配备安全挡板，以防鼠虫侵入。</w:t>
      </w:r>
    </w:p>
    <w:p w14:paraId="7BF16D4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单台摆药机具备风扇装置，且带有静音棉装置。</w:t>
      </w:r>
    </w:p>
    <w:p w14:paraId="72A7A90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1.15药盒可防潮、防紫外线，可以清洁、水洗。</w:t>
      </w:r>
    </w:p>
    <w:p w14:paraId="67A2F5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1.16药袋规格≥5 种。</w:t>
      </w:r>
    </w:p>
    <w:p w14:paraId="758224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摆药机在包药过程中，无需人工干涉，包药袋的长度可根据药袋中药品的装载量自动调节药袋长度，以降低耗材成本。（要求提供彩页截图以及说明工作原理）</w:t>
      </w:r>
    </w:p>
    <w:p w14:paraId="729C8E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单处方药品装载量超过设定的药袋长度或药袋自动调节的最大长度，具备分成二包分装。</w:t>
      </w:r>
    </w:p>
    <w:p w14:paraId="5894BE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1.19支持在同一个药包袋上打印患者信息（患者姓名、性别、年龄、病区、病房、病床、患者ID）、服药信息（服药日期和时间）、药品信息（品名、数量、规格、厂家、单位、效期、批号等）、一维条形码、二维条形码、医师医嘱、用药注意事项、药品种数、总数量等信息。打印内容可自行编排。</w:t>
      </w:r>
    </w:p>
    <w:p w14:paraId="66D9D624">
      <w:pPr>
        <w:tabs>
          <w:tab w:val="left" w:pos="1253"/>
        </w:tabs>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（1）胎心监护仪</w:t>
      </w:r>
    </w:p>
    <w:p w14:paraId="6DF7BB96">
      <w:pPr>
        <w:numPr>
          <w:ilvl w:val="1"/>
          <w:numId w:val="20"/>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一体化无线胎监，监护参数：胎心率（FHR），宫缩压力（TOCO），胎动（FM），母亲心率（MHR）；</w:t>
      </w:r>
    </w:p>
    <w:p w14:paraId="2E163C92">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2.7晶片1MHz超声胎心探头，超声波束声强：Iob&lt;3.6 mW/cm2（需提供产品说明书）；</w:t>
      </w:r>
    </w:p>
    <w:p w14:paraId="0EE6A333">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▲配置TOCO探头外接电极套，监测宫缩的同时监测母亲心率曲线，有效识别母亲心率信号干扰（需提供产品图片及产品说明书证明）；</w:t>
      </w:r>
    </w:p>
    <w:p w14:paraId="6DACD763">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▲配置母亲参数：血压、血氧、脉搏、心电、呼吸，其中母亲心电由TOCO探头外接导联线进行监测，避免线多杂乱。</w:t>
      </w:r>
    </w:p>
    <w:p w14:paraId="061FCEB5">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支持胎心率与母亲心率信号重合报警功能（需提供产品说明书证明）；</w:t>
      </w:r>
    </w:p>
    <w:p w14:paraId="06E865DC">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胎动：自动胎动检测，显示并打印胎儿活动图；</w:t>
      </w:r>
    </w:p>
    <w:p w14:paraId="07E43B83">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▲支持无线充电，无线探头无充电触点，不会因涂抹耦合剂污染充电触点导致充电不良问题（需提供说明书及探头图片证明）；</w:t>
      </w:r>
    </w:p>
    <w:p w14:paraId="22A8A1FB">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▲支持无线探头10min以上的断线续传（需提供说明书证明）；</w:t>
      </w:r>
    </w:p>
    <w:p w14:paraId="21D8FD1B">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▲支持波形储存时长≥3000小时；</w:t>
      </w:r>
    </w:p>
    <w:p w14:paraId="197CC8BA">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▲＞13英寸高清晰TFT触摸屏设计，1920*1080P高清分辨率呈现（需提供产品说明书证明）；</w:t>
      </w:r>
    </w:p>
    <w:p w14:paraId="6944DD9C">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支持全键盘中文孕妇信息输入，支持USB接口，支持接入扫码枪；</w:t>
      </w:r>
    </w:p>
    <w:p w14:paraId="57BB628B">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胎心率报警范围可调，当胎心率过缓或过速时自动报警，报警内容中文显示，报警持续时间可调；</w:t>
      </w:r>
    </w:p>
    <w:p w14:paraId="3C694974">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支持升级双/三胎监测，支持多胎胎心率重合报警(SOV)（需提供产品说明书证明）；</w:t>
      </w:r>
    </w:p>
    <w:p w14:paraId="1BB699B1">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具有超声传感器信号质量指示功能，以得到准确和稳定的胎心参数值和曲线；</w:t>
      </w:r>
    </w:p>
    <w:p w14:paraId="1D0E9C23">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▲支持CTG预警，针对正弦模式预警、低变异性预警、无变异的心动过速、延迟减速等危机模式及时报警，提醒医生及时发现异常（需提供产品说明书证明）；</w:t>
      </w:r>
    </w:p>
    <w:p w14:paraId="22CAFDA0">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▲标配NST三分类和NICHD三分类评估，软件可进行自动三级分类（需提供对应的软件界面证明）；</w:t>
      </w:r>
    </w:p>
    <w:p w14:paraId="712E3A1E">
      <w:pPr>
        <w:numPr>
          <w:ilvl w:val="1"/>
          <w:numId w:val="20"/>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内置四种以上胎监报告自动评分/分析方法（需提供对应的软件界面证明）；</w:t>
      </w:r>
    </w:p>
    <w:p w14:paraId="0AC8CCD9">
      <w:pPr>
        <w:numPr>
          <w:ilvl w:val="1"/>
          <w:numId w:val="20"/>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内置通讯接口，支持多种方式接入中央站组成网络系统，内置485、内置wifi等；</w:t>
      </w:r>
    </w:p>
    <w:p w14:paraId="5B65EEE7">
      <w:pPr>
        <w:numPr>
          <w:ilvl w:val="1"/>
          <w:numId w:val="2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配置联网工作站。</w:t>
      </w:r>
    </w:p>
    <w:p w14:paraId="20DD9C94">
      <w:pPr>
        <w:spacing w:before="5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（2）胎心监护仪1托4</w:t>
      </w:r>
    </w:p>
    <w:p w14:paraId="666351A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整机</w:t>
      </w:r>
    </w:p>
    <w:p w14:paraId="682DAC58">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监护参数：胎心率（FHR），宫缩压力（TOCO），自动胎动（AFM）；</w:t>
      </w:r>
    </w:p>
    <w:p w14:paraId="18E19D06">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无线探头技术：采用无线探头进行监护，通过无线技术将胎心率、宫缩压、胎动等监护信息传输到工作站进行管理，免除线缆对孕妇的束缚；</w:t>
      </w:r>
    </w:p>
    <w:p w14:paraId="1F9C3DF4">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▲采用集成化多床位无线胎心监护工作站，无线探头与工作站共同完成注册（需提供注册证）。</w:t>
      </w:r>
    </w:p>
    <w:p w14:paraId="3308E82E">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＊集成式探头槽支持360度无限制旋转</w:t>
      </w:r>
      <w:bookmarkStart w:id="213" w:name="OLE_LINK12"/>
      <w:bookmarkEnd w:id="213"/>
      <w:bookmarkStart w:id="214" w:name="OLE_LINK11"/>
      <w:r>
        <w:rPr>
          <w:rFonts w:hint="eastAsia" w:ascii="仿宋" w:hAnsi="仿宋" w:eastAsia="仿宋" w:cs="仿宋"/>
          <w:color w:val="auto"/>
          <w:sz w:val="24"/>
          <w:szCs w:val="24"/>
          <w:highlight w:val="none"/>
        </w:rPr>
        <w:t>，</w:t>
      </w:r>
      <w:bookmarkEnd w:id="214"/>
      <w:r>
        <w:rPr>
          <w:rFonts w:hint="eastAsia" w:ascii="仿宋" w:hAnsi="仿宋" w:eastAsia="仿宋" w:cs="仿宋"/>
          <w:color w:val="auto"/>
          <w:sz w:val="24"/>
          <w:szCs w:val="24"/>
          <w:highlight w:val="none"/>
        </w:rPr>
        <w:t>无线探头可随意安放，无需固定归放位置，提高医护人员工作效率；</w:t>
      </w:r>
      <w:bookmarkStart w:id="215" w:name="OLE_LINK2"/>
      <w:bookmarkStart w:id="216" w:name="OLE_LINK1"/>
      <w:r>
        <w:rPr>
          <w:rFonts w:hint="eastAsia" w:ascii="仿宋" w:hAnsi="仿宋" w:eastAsia="仿宋" w:cs="仿宋"/>
          <w:color w:val="auto"/>
          <w:sz w:val="24"/>
          <w:szCs w:val="24"/>
          <w:highlight w:val="none"/>
        </w:rPr>
        <w:t>（需提供证明文件）</w:t>
      </w:r>
    </w:p>
    <w:bookmarkEnd w:id="215"/>
    <w:bookmarkEnd w:id="216"/>
    <w:p w14:paraId="605D3613">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▲多床位同时监护：一套工作站标配8个无线探头，可同时无线监护4个孕妇，节约医疗空间；</w:t>
      </w:r>
    </w:p>
    <w:p w14:paraId="6EBA48DA">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显示：配置≥21英寸医用一体机，更安全可靠，同时支持全触摸屏和键盘输入操作；中文/英文操作界面；</w:t>
      </w:r>
    </w:p>
    <w:p w14:paraId="1DAB9FBC">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工作站具有集成式物理报警灯，可远距离提示报警信息；</w:t>
      </w:r>
    </w:p>
    <w:p w14:paraId="0533BA3C">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具有监护计时提醒功能，10、20、30、40、50、60分钟可选；</w:t>
      </w:r>
    </w:p>
    <w:p w14:paraId="25BF75E4">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能打印多种报告，包括支持三类图形评估报告在内多种报告系统；</w:t>
      </w:r>
    </w:p>
    <w:p w14:paraId="30BFDFAF">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符合国际标准的三级声光自动母亲/胎儿参数报警功能，报警界限根据需要可调节；</w:t>
      </w:r>
    </w:p>
    <w:p w14:paraId="652819D5">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SOV（信号重合）报警功能；</w:t>
      </w:r>
    </w:p>
    <w:p w14:paraId="29496EE8">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具有超声传感器信号质量、电池电量指示功能，以得到准确和稳定的胎心参数值和曲线；</w:t>
      </w:r>
    </w:p>
    <w:p w14:paraId="3B04966E">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具有断点续传功能，超出无线工作距离后数据可暂存到无线探头，回到无线工作距离时数据自动上传到工作站；</w:t>
      </w:r>
    </w:p>
    <w:p w14:paraId="0275AFB5">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具有掉电保护功能：每分钟自动存储监测数据，确保在异常断电时数据不丢失；</w:t>
      </w:r>
    </w:p>
    <w:p w14:paraId="2A3D8282">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具有强大的数据库，海量存储，全程CTG浏览，便于快速了解整体监护情况，并可选段诊断、打印；</w:t>
      </w:r>
    </w:p>
    <w:p w14:paraId="1FB5B91E">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具有胎监小助手工具，可接扫码枪扫二维码，录入孕妇建档信息，无需医务人员手工输入，提高工作效率（需提供证明文件）；</w:t>
      </w:r>
    </w:p>
    <w:p w14:paraId="05EFEDEB">
      <w:pPr>
        <w:numPr>
          <w:ilvl w:val="2"/>
          <w:numId w:val="21"/>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▲工作站的扩展性强，可选配将同一品牌床边机胎监设备以无线WiFi的方式接入工作站，接入胎监数量≥128台，实现全院同一品牌胎监设备数据的统一管理；（需提供证明文件）</w:t>
      </w:r>
    </w:p>
    <w:p w14:paraId="18E7174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无线探头：</w:t>
      </w:r>
    </w:p>
    <w:p w14:paraId="2FE07902">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2.1.1</w:t>
      </w:r>
      <w:r>
        <w:rPr>
          <w:rFonts w:hint="eastAsia" w:ascii="仿宋" w:hAnsi="仿宋" w:eastAsia="仿宋" w:cs="仿宋"/>
          <w:color w:val="auto"/>
          <w:sz w:val="24"/>
          <w:szCs w:val="24"/>
          <w:highlight w:val="none"/>
        </w:rPr>
        <w:t>▲胎心：多晶片1MHz宽波束脉冲多普勒防水探头，自适应追踪，胎心信号扑捉稳定，超声波束声强：Iob&lt;1mW/cm2（需提供第三方检测报告）；</w:t>
      </w:r>
    </w:p>
    <w:p w14:paraId="09E16122">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2.1.2</w:t>
      </w:r>
      <w:r>
        <w:rPr>
          <w:rFonts w:hint="eastAsia" w:ascii="仿宋" w:hAnsi="仿宋" w:eastAsia="仿宋" w:cs="仿宋"/>
          <w:color w:val="auto"/>
          <w:sz w:val="24"/>
          <w:szCs w:val="24"/>
          <w:highlight w:val="none"/>
        </w:rPr>
        <w:t>新式探头防水设计: IP68防水等级（需提供第三方检测报告）；</w:t>
      </w:r>
    </w:p>
    <w:p w14:paraId="6F15E3E4">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2.1.3</w:t>
      </w:r>
      <w:r>
        <w:rPr>
          <w:rFonts w:hint="eastAsia" w:ascii="仿宋" w:hAnsi="仿宋" w:eastAsia="仿宋" w:cs="仿宋"/>
          <w:color w:val="auto"/>
          <w:sz w:val="24"/>
          <w:szCs w:val="24"/>
          <w:highlight w:val="none"/>
        </w:rPr>
        <w:t>＊支持单胎、双胎、三胞胎功能，单双三胎任意配置（需提供证明文件）；</w:t>
      </w:r>
    </w:p>
    <w:p w14:paraId="4DF78C17">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2.1.4</w:t>
      </w:r>
      <w:r>
        <w:rPr>
          <w:rFonts w:hint="eastAsia" w:ascii="仿宋" w:hAnsi="仿宋" w:eastAsia="仿宋" w:cs="仿宋"/>
          <w:color w:val="auto"/>
          <w:sz w:val="24"/>
          <w:szCs w:val="24"/>
          <w:highlight w:val="none"/>
        </w:rPr>
        <w:t>无线探头工作距离≥130m（明视），满足临床科室使用需求（需提供第三方检测报告）；</w:t>
      </w:r>
    </w:p>
    <w:p w14:paraId="72535B4C">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2.1.5</w:t>
      </w:r>
      <w:r>
        <w:rPr>
          <w:rFonts w:hint="eastAsia" w:ascii="仿宋" w:hAnsi="仿宋" w:eastAsia="仿宋" w:cs="仿宋"/>
          <w:color w:val="auto"/>
          <w:sz w:val="24"/>
          <w:szCs w:val="24"/>
          <w:highlight w:val="none"/>
        </w:rPr>
        <w:t>无线探头内置锂电池，充电时间≤5小时，使用时间≥8小时，电池寿命循环充放电次数≥500次；</w:t>
      </w:r>
    </w:p>
    <w:p w14:paraId="142CFEBC">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2.1.6</w:t>
      </w:r>
      <w:r>
        <w:rPr>
          <w:rFonts w:hint="eastAsia" w:ascii="仿宋" w:hAnsi="仿宋" w:eastAsia="仿宋" w:cs="仿宋"/>
          <w:color w:val="auto"/>
          <w:sz w:val="24"/>
          <w:szCs w:val="24"/>
          <w:highlight w:val="none"/>
        </w:rPr>
        <w:t>▲一体化可充电探头槽，无线探头采用自识别探头基座设计，随意安放，无需固定归放位置，提高医护人员工作效率（需提供证明文件）；</w:t>
      </w:r>
    </w:p>
    <w:p w14:paraId="20E561A1">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2.1.7</w:t>
      </w:r>
      <w:r>
        <w:rPr>
          <w:rFonts w:hint="eastAsia" w:ascii="仿宋" w:hAnsi="仿宋" w:eastAsia="仿宋" w:cs="仿宋"/>
          <w:color w:val="auto"/>
          <w:sz w:val="24"/>
          <w:szCs w:val="24"/>
          <w:highlight w:val="none"/>
        </w:rPr>
        <w:t>▲无线探头彩屏显示，</w:t>
      </w:r>
      <w:bookmarkStart w:id="217" w:name="OLE_LINK24"/>
      <w:bookmarkStart w:id="218" w:name="OLE_LINK23"/>
      <w:r>
        <w:rPr>
          <w:rFonts w:hint="eastAsia" w:ascii="仿宋" w:hAnsi="仿宋" w:eastAsia="仿宋" w:cs="仿宋"/>
          <w:color w:val="auto"/>
          <w:sz w:val="24"/>
          <w:szCs w:val="24"/>
          <w:highlight w:val="none"/>
        </w:rPr>
        <w:t>可显示探头类型、电池电量、信号质量、窗口号、孕妇姓名</w:t>
      </w:r>
      <w:bookmarkEnd w:id="217"/>
      <w:bookmarkEnd w:id="218"/>
      <w:r>
        <w:rPr>
          <w:rFonts w:hint="eastAsia" w:ascii="仿宋" w:hAnsi="仿宋" w:eastAsia="仿宋" w:cs="仿宋"/>
          <w:color w:val="auto"/>
          <w:sz w:val="24"/>
          <w:szCs w:val="24"/>
          <w:highlight w:val="none"/>
        </w:rPr>
        <w:t>、胎心数值、宫缩数值；（需提供证明文件）</w:t>
      </w:r>
    </w:p>
    <w:p w14:paraId="473F4E1C">
      <w:pPr>
        <w:numPr>
          <w:ilvl w:val="2"/>
          <w:numId w:val="0"/>
        </w:numPr>
        <w:spacing w:line="360" w:lineRule="auto"/>
        <w:ind w:left="1418"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2.1.8</w:t>
      </w:r>
      <w:r>
        <w:rPr>
          <w:rFonts w:hint="eastAsia" w:ascii="仿宋" w:hAnsi="仿宋" w:eastAsia="仿宋" w:cs="仿宋"/>
          <w:color w:val="auto"/>
          <w:sz w:val="24"/>
          <w:szCs w:val="24"/>
          <w:highlight w:val="none"/>
        </w:rPr>
        <w:t>无线工作频段：2.4GHz 无线WIFI频段。</w:t>
      </w:r>
    </w:p>
    <w:p w14:paraId="3CC9AFF1">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振动排痰仪（马甲式）</w:t>
      </w:r>
    </w:p>
    <w:p w14:paraId="17D941A4">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设备用途：</w:t>
      </w:r>
    </w:p>
    <w:p w14:paraId="2632B839">
      <w:pPr>
        <w:pStyle w:val="42"/>
        <w:spacing w:line="360" w:lineRule="auto"/>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运用高频胸壁震荡技术进行呼吸气道清除排痰治疗。适用于分泌物排出困难或由粘液阻塞肺部引起的肺膨胀不全患者，促进气道清除排痰或改善支气管引流。</w:t>
      </w:r>
    </w:p>
    <w:p w14:paraId="31688917">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结构形式：便捷式兼备台式功能。</w:t>
      </w:r>
    </w:p>
    <w:p w14:paraId="6F1DA03F">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▲显示方式：≥5寸彩色液晶触摸屏，配合一键飞梭式旋钮调节，操作方便。</w:t>
      </w:r>
    </w:p>
    <w:p w14:paraId="610D75E3">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导气方式：采用二级导气软管同步向充气背心充、放气。每个背心同时连接2根导气软管，使背心充气均匀。</w:t>
      </w:r>
    </w:p>
    <w:p w14:paraId="206DCC5B">
      <w:pPr>
        <w:numPr>
          <w:ilvl w:val="1"/>
          <w:numId w:val="22"/>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正常工作条件标准</w:t>
      </w:r>
    </w:p>
    <w:p w14:paraId="401900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a)环境温度：5℃-40℃；</w:t>
      </w:r>
    </w:p>
    <w:p w14:paraId="5D036BD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b)相对湿度：30%-85%；</w:t>
      </w:r>
    </w:p>
    <w:p w14:paraId="68A675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c）电源电压： ～220V±10﹪</w:t>
      </w:r>
    </w:p>
    <w:p w14:paraId="0A2534CD">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治疗过程中的压强：治疗仪具有压强指示装置，压力调节范围不少于10档，压强为0.5Kpa--3.2 Kpa, 误差±15%，初始值为3档。</w:t>
      </w:r>
    </w:p>
    <w:p w14:paraId="2B34B51B">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排痰机振动频率范围：5Hz--20Hz，频率连续可调，步距增量为1Hz，误差为±20％。</w:t>
      </w:r>
    </w:p>
    <w:p w14:paraId="09F0BE6E">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▲工作模式：治疗仪具有手动模式、五种自动程序模式及用户自定义模式。</w:t>
      </w:r>
    </w:p>
    <w:p w14:paraId="4263D39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自动模式按体型不同而分级定制，共有5种自动程序模式：</w:t>
      </w:r>
    </w:p>
    <w:p w14:paraId="1B2CA2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儿童（1-7岁）模式、儿童（7-15岁）模式、成人（瘦弱）模式、成人（正常）模式、成人（丰腴）模式。</w:t>
      </w:r>
    </w:p>
    <w:p w14:paraId="4A45A78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自定义模式：治疗前设定各时段的压力、频率及时间，治疗中不可调。</w:t>
      </w:r>
    </w:p>
    <w:p w14:paraId="3A1C7A88">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定时功能：自动模式定时时间5min--20min，手动模式定时时间1min--60min，步距为1min。</w:t>
      </w:r>
    </w:p>
    <w:p w14:paraId="34FD1F88">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排痰机工作噪声：正常工作的整机噪音≤60dB。（A计权）</w:t>
      </w:r>
    </w:p>
    <w:p w14:paraId="4DAE7EAE">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▲手持控制器：设备具有手持控制器，可暂停、启动和停止输出功能。</w:t>
      </w:r>
    </w:p>
    <w:p w14:paraId="25250260">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▲充气背心：背心由外套及气囊两部分组成，可以拆卸，外套可按普通衣物的方式随时进行清洗和消毒。可选配一次性充气背心及胸带。</w:t>
      </w:r>
    </w:p>
    <w:p w14:paraId="75F8891D">
      <w:pPr>
        <w:numPr>
          <w:ilvl w:val="1"/>
          <w:numId w:val="22"/>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背心尺寸：</w:t>
      </w:r>
    </w:p>
    <w:p w14:paraId="4DF568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▲标配：标准全胸充气背心3个、简易半胸充气带3个。</w:t>
      </w:r>
    </w:p>
    <w:p w14:paraId="6666D245">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儿童背心尺寸：946*600      827*526    737*472</w:t>
      </w:r>
    </w:p>
    <w:p w14:paraId="3DF613D3">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儿童胸带尺寸：800*180      650*180    500*180</w:t>
      </w:r>
    </w:p>
    <w:p w14:paraId="434A460E">
      <w:pPr>
        <w:spacing w:line="360" w:lineRule="auto"/>
        <w:ind w:firstLine="360" w:firstLineChars="150"/>
        <w:rPr>
          <w:rFonts w:hint="eastAsia" w:ascii="仿宋" w:hAnsi="仿宋" w:eastAsia="仿宋" w:cs="仿宋"/>
          <w:color w:val="auto"/>
          <w:sz w:val="24"/>
          <w:szCs w:val="24"/>
          <w:highlight w:val="none"/>
        </w:rPr>
      </w:pPr>
    </w:p>
    <w:p w14:paraId="2A9FB069">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裂隙灯</w:t>
      </w:r>
    </w:p>
    <w:p w14:paraId="755CECCF">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采用单反相机作为采集媒介，实时动态显示，最高像素达到1800万，并且提供最高达40倍放大倍率，图像清晰逼真。图像采集速度快，传输过程没有延时现象，拍摄</w:t>
      </w:r>
      <w:bookmarkStart w:id="418" w:name="_GoBack"/>
      <w:bookmarkEnd w:id="418"/>
      <w:r>
        <w:rPr>
          <w:rFonts w:hint="eastAsia" w:ascii="仿宋" w:hAnsi="仿宋" w:eastAsia="仿宋" w:cs="仿宋"/>
          <w:color w:val="auto"/>
          <w:sz w:val="24"/>
          <w:szCs w:val="24"/>
          <w:highlight w:val="none"/>
          <w:lang w:eastAsia="zh-CN"/>
        </w:rPr>
        <w:t>以后没有停顿。</w:t>
      </w:r>
    </w:p>
    <w:p w14:paraId="2189E9EB">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拍照快捷，并具有强大的图像处理功能可测量长度，面积，角度，灰度，曲率等，并能在图片上标注病灶，添加文字。</w:t>
      </w:r>
    </w:p>
    <w:p w14:paraId="3B40463F">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固视灯-背景光一体式照明，背景光照明装置在平常状态下可做固视灯使用，拍照时可提供15万lx以上的照明8.高清晰图像</w:t>
      </w:r>
    </w:p>
    <w:p w14:paraId="1C644144">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具备诊断辅助功能，提供多种常见眼病诊察模式下的参数设置，提高医生诊察效率。</w:t>
      </w:r>
    </w:p>
    <w:p w14:paraId="365D365C">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类型</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平行夹角式（伽利略型）</w:t>
      </w:r>
    </w:p>
    <w:p w14:paraId="3B9405B0">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变倍形式</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转鼓式五档变倍</w:t>
      </w:r>
    </w:p>
    <w:p w14:paraId="72907E70">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目镜</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12.5X</w:t>
      </w:r>
    </w:p>
    <w:p w14:paraId="359EBC2D">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总倍率及视场</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6 x (33mm)  10x(22.5mm)  16x (14mm)   25</w:t>
      </w:r>
      <w:r>
        <w:rPr>
          <w:rFonts w:hint="eastAsia" w:ascii="仿宋" w:hAnsi="仿宋" w:eastAsia="仿宋" w:cs="仿宋"/>
          <w:color w:val="auto"/>
          <w:sz w:val="24"/>
          <w:szCs w:val="24"/>
          <w:highlight w:val="none"/>
          <w:lang w:eastAsia="zh-CN"/>
        </w:rPr>
        <w:sym w:font="Symbol" w:char="00B4"/>
      </w:r>
      <w:r>
        <w:rPr>
          <w:rFonts w:hint="eastAsia" w:ascii="仿宋" w:hAnsi="仿宋" w:eastAsia="仿宋" w:cs="仿宋"/>
          <w:color w:val="auto"/>
          <w:sz w:val="24"/>
          <w:szCs w:val="24"/>
          <w:highlight w:val="none"/>
          <w:lang w:eastAsia="zh-CN"/>
        </w:rPr>
        <w:t xml:space="preserve"> (8.8mm)  40</w:t>
      </w:r>
      <w:r>
        <w:rPr>
          <w:rFonts w:hint="eastAsia" w:ascii="仿宋" w:hAnsi="仿宋" w:eastAsia="仿宋" w:cs="仿宋"/>
          <w:color w:val="auto"/>
          <w:sz w:val="24"/>
          <w:szCs w:val="24"/>
          <w:highlight w:val="none"/>
          <w:lang w:eastAsia="zh-CN"/>
        </w:rPr>
        <w:sym w:font="Symbol" w:char="00B4"/>
      </w:r>
      <w:r>
        <w:rPr>
          <w:rFonts w:hint="eastAsia" w:ascii="仿宋" w:hAnsi="仿宋" w:eastAsia="仿宋" w:cs="仿宋"/>
          <w:color w:val="auto"/>
          <w:sz w:val="24"/>
          <w:szCs w:val="24"/>
          <w:highlight w:val="none"/>
          <w:lang w:eastAsia="zh-CN"/>
        </w:rPr>
        <w:t>(5.5mm)</w:t>
      </w:r>
    </w:p>
    <w:p w14:paraId="6E4D6DDC">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瞳距调节范围</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50mm~80 mm</w:t>
      </w:r>
    </w:p>
    <w:p w14:paraId="35A78154">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屈光度调节</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8D ~ 8D</w:t>
      </w:r>
    </w:p>
    <w:p w14:paraId="13D06962">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裂隙宽度</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0mm～14mm连续可调</w:t>
      </w:r>
    </w:p>
    <w:p w14:paraId="2C1A4FE9">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裂隙高度</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1mm～14mm连续可调</w:t>
      </w:r>
    </w:p>
    <w:p w14:paraId="31E9ECA9">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光斑直径</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φ14mm、φ10mm、φ5mm、φ2mm、φ1mm、φ0.2mm</w:t>
      </w:r>
    </w:p>
    <w:p w14:paraId="5725EF7A">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滤色片</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隔热片、减光片、无赤片、钴兰片</w:t>
      </w:r>
    </w:p>
    <w:p w14:paraId="71A4389B">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照明灯泡</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卤钨灯泡</w:t>
      </w:r>
    </w:p>
    <w:p w14:paraId="1547ED79">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最大照度</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≥180万Lx</w:t>
      </w:r>
    </w:p>
    <w:p w14:paraId="0FA4812C">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补光方式</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背景光照明</w:t>
      </w:r>
    </w:p>
    <w:p w14:paraId="444FD7A6">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采集媒介单反相机 </w:t>
      </w:r>
    </w:p>
    <w:p w14:paraId="1CF79C2D">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像素≥2420万 </w:t>
      </w:r>
    </w:p>
    <w:p w14:paraId="23E77F7E">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显示方式</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双屏幕实时动态显示</w:t>
      </w:r>
    </w:p>
    <w:p w14:paraId="26090611">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升降台</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 xml:space="preserve">  </w:t>
      </w:r>
    </w:p>
    <w:p w14:paraId="4E30F438">
      <w:pPr>
        <w:numPr>
          <w:ilvl w:val="1"/>
          <w:numId w:val="23"/>
        </w:numPr>
        <w:spacing w:line="360" w:lineRule="auto"/>
        <w:ind w:left="567" w:leftChars="0" w:hanging="567"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软件功能</w:t>
      </w:r>
      <w:r>
        <w:rPr>
          <w:rFonts w:hint="eastAsia" w:ascii="仿宋" w:hAnsi="仿宋" w:eastAsia="仿宋" w:cs="仿宋"/>
          <w:color w:val="auto"/>
          <w:sz w:val="24"/>
          <w:szCs w:val="24"/>
          <w:highlight w:val="none"/>
          <w:lang w:eastAsia="zh-CN"/>
        </w:rPr>
        <w:tab/>
      </w:r>
      <w:r>
        <w:rPr>
          <w:rFonts w:hint="eastAsia" w:ascii="仿宋" w:hAnsi="仿宋" w:eastAsia="仿宋" w:cs="仿宋"/>
          <w:color w:val="auto"/>
          <w:sz w:val="24"/>
          <w:szCs w:val="24"/>
          <w:highlight w:val="none"/>
          <w:lang w:eastAsia="zh-CN"/>
        </w:rPr>
        <w:t>病历储存，图像处理，测量，诊察辅助等</w:t>
      </w:r>
    </w:p>
    <w:p w14:paraId="34C81ABC">
      <w:pPr>
        <w:pStyle w:val="42"/>
        <w:spacing w:line="360" w:lineRule="auto"/>
        <w:ind w:left="440" w:hanging="440" w:firstLineChars="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眼压计</w:t>
      </w:r>
    </w:p>
    <w:p w14:paraId="6F208D70">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眼压测量范围：1mmHg至60mmHg（1mmHg精度）</w:t>
      </w:r>
    </w:p>
    <w:p w14:paraId="075D24A5">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平均值显示：1mmHg/0.1mmHg精度可调</w:t>
      </w:r>
    </w:p>
    <w:p w14:paraId="4C3CC503">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测量模式：1-30mmHg/1-60mmHg</w:t>
      </w:r>
    </w:p>
    <w:p w14:paraId="1F32FE32">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操控方式：触摸屏和操作杆</w:t>
      </w:r>
    </w:p>
    <w:p w14:paraId="024E7F23">
      <w:pPr>
        <w:pStyle w:val="42"/>
        <w:numPr>
          <w:ilvl w:val="4"/>
          <w:numId w:val="0"/>
        </w:num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a)自动测量：操作杆对焦完成后自动喷气自动测量</w:t>
      </w:r>
    </w:p>
    <w:p w14:paraId="69DFF6ED">
      <w:pPr>
        <w:pStyle w:val="42"/>
        <w:numPr>
          <w:ilvl w:val="4"/>
          <w:numId w:val="0"/>
        </w:num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b)手动测量：操作杆对焦完成并按测量开关测量</w:t>
      </w:r>
    </w:p>
    <w:p w14:paraId="407DC3BD">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人工晶体眼测量模式校准点亮度调整范围：0-100%</w:t>
      </w:r>
    </w:p>
    <w:p w14:paraId="36BC292F">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▲眼内压补偿调整：内置计算公式可计算基于不同的中央角膜厚度为测量出的眼内压提供相应的补偿值</w:t>
      </w:r>
    </w:p>
    <w:p w14:paraId="0D2D8C82">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眼压测量值可靠性提示 </w:t>
      </w:r>
    </w:p>
    <w:p w14:paraId="4033BE5C">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打印机切纸方式：内置热敏打印机，自动切纸</w:t>
      </w:r>
    </w:p>
    <w:p w14:paraId="25C4390E">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▲显示器：≥8.5寸彩色LED显示器，触摸屏</w:t>
      </w:r>
    </w:p>
    <w:p w14:paraId="00D1BB0D">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安全性：通过安全制动器设置安全距离</w:t>
      </w:r>
    </w:p>
    <w:p w14:paraId="501201AC">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数据传输方式：USB（输入），RS232C（输出），LAN（输出）</w:t>
      </w:r>
    </w:p>
    <w:p w14:paraId="59FF2014">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尺寸：317~341mm（左右）×521~538mm（前后）×437~467mm（垂直）</w:t>
      </w:r>
    </w:p>
    <w:p w14:paraId="2E77C997">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重量：≤14kg</w:t>
      </w:r>
    </w:p>
    <w:p w14:paraId="77F02C44">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电源：100-240V ，50-60Hz，30-70VA</w:t>
      </w:r>
    </w:p>
    <w:p w14:paraId="5AE5584F">
      <w:pPr>
        <w:spacing w:line="36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成人输尿管镜</w:t>
      </w:r>
    </w:p>
    <w:p w14:paraId="114266E8">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▲视场角：≥90°</w:t>
      </w:r>
    </w:p>
    <w:p w14:paraId="794719E4">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▲视向角：≥12°</w:t>
      </w:r>
    </w:p>
    <w:p w14:paraId="2BDF74F4">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插入部分最大宽度：8/9.8Fr</w:t>
      </w:r>
    </w:p>
    <w:p w14:paraId="366FAE4D">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工作通道：5Fr</w:t>
      </w:r>
    </w:p>
    <w:p w14:paraId="65139528">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工作长度：430mm</w:t>
      </w:r>
    </w:p>
    <w:p w14:paraId="28999922">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成像清晰范围最小值：≤1mm</w:t>
      </w:r>
    </w:p>
    <w:p w14:paraId="36D816A4">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成像清晰范围最大值：≥70mm</w:t>
      </w:r>
    </w:p>
    <w:p w14:paraId="5A7FFF49">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分辨率：≥3 lp/mm</w:t>
      </w:r>
    </w:p>
    <w:p w14:paraId="0F6FADFC">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光能传递效率-有效光度率 ：≤2000cd/m²·lm</w:t>
      </w:r>
    </w:p>
    <w:p w14:paraId="530A29B9">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设计光学工作距： d0 ≥ 10mm</w:t>
      </w:r>
    </w:p>
    <w:p w14:paraId="11017F85">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蓝宝石窗口</w:t>
      </w:r>
    </w:p>
    <w:p w14:paraId="3AE6B9BB">
      <w:pPr>
        <w:numPr>
          <w:ilvl w:val="1"/>
          <w:numId w:val="24"/>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激光密封焊接，可高温高压消毒</w:t>
      </w:r>
    </w:p>
    <w:p w14:paraId="2435D005">
      <w:pPr>
        <w:numPr>
          <w:ilvl w:val="1"/>
          <w:numId w:val="24"/>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输尿管肾镜1条规格8-9.8Fr，消毒盒一个</w:t>
      </w:r>
    </w:p>
    <w:p w14:paraId="67A4C7A2">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输尿管软镜</w:t>
      </w:r>
    </w:p>
    <w:p w14:paraId="3424B302">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▲电子输尿管肾盂镜(需提供注册证证明，内窥镜为电子输尿管肾盂镜，可重复性消毒使用)</w:t>
      </w:r>
    </w:p>
    <w:p w14:paraId="280938E6">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▲工作外径≥8.4mm；最小工作通道≥1.2mm；</w:t>
      </w:r>
    </w:p>
    <w:p w14:paraId="79E21725">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景深：3-50mm； </w:t>
      </w:r>
    </w:p>
    <w:p w14:paraId="69306795">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▲视场角≥120°；</w:t>
      </w:r>
    </w:p>
    <w:p w14:paraId="01E568BA">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视向角：0°；</w:t>
      </w:r>
    </w:p>
    <w:p w14:paraId="0230F16B">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工作长度：680mm；</w:t>
      </w:r>
    </w:p>
    <w:p w14:paraId="7DB4244A">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成像原理：电子成像技术，工作软管不含光纤；</w:t>
      </w:r>
    </w:p>
    <w:p w14:paraId="1E892291">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采用白光照明，光照度不低于500lx；</w:t>
      </w:r>
    </w:p>
    <w:p w14:paraId="527053A5">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▲前端弯曲角度：向上弯曲≥270°，向下弯曲≥270°；</w:t>
      </w:r>
    </w:p>
    <w:p w14:paraId="0DA262B7">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操作手柄具备两个功能按键：可控制图像处理器的图像缩放或调光，图像拍照录像；</w:t>
      </w:r>
    </w:p>
    <w:p w14:paraId="55642F92">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自带LED光源，耐用性强，具备防雾功能；</w:t>
      </w:r>
    </w:p>
    <w:p w14:paraId="34573669">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采用航空插座设计，可靠、稳定、耐插拔；</w:t>
      </w:r>
    </w:p>
    <w:p w14:paraId="5DF5AF7F">
      <w:pPr>
        <w:numPr>
          <w:ilvl w:val="1"/>
          <w:numId w:val="25"/>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操作部防水等级：IPX7，可进行全浸泡消毒；（需提供检验报告）</w:t>
      </w:r>
    </w:p>
    <w:p w14:paraId="497F9CCD">
      <w:pPr>
        <w:numPr>
          <w:ilvl w:val="1"/>
          <w:numId w:val="25"/>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产品可耐受低温等离子、环氧乙烷等灭菌消毒；</w:t>
      </w:r>
    </w:p>
    <w:p w14:paraId="4CC70C3E">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电子内窥镜图像处理器</w:t>
      </w:r>
    </w:p>
    <w:p w14:paraId="043477E7">
      <w:pPr>
        <w:numPr>
          <w:ilvl w:val="1"/>
          <w:numId w:val="26"/>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▲≥10.1寸显示屏，外接SD卡存储，根据需求自主选择SD卡内存大小；</w:t>
      </w:r>
    </w:p>
    <w:p w14:paraId="699D3891">
      <w:pPr>
        <w:numPr>
          <w:ilvl w:val="1"/>
          <w:numId w:val="26"/>
        </w:numPr>
        <w:spacing w:line="360" w:lineRule="auto"/>
        <w:ind w:left="567" w:leftChars="0" w:hanging="567" w:firstLineChars="0"/>
        <w:rPr>
          <w:rFonts w:hint="eastAsia" w:ascii="仿宋" w:hAnsi="仿宋" w:eastAsia="仿宋" w:cs="仿宋"/>
          <w:color w:val="auto"/>
          <w:sz w:val="24"/>
          <w:szCs w:val="24"/>
          <w:highlight w:val="none"/>
          <w:lang w:val="en-US" w:eastAsia="zh-CN"/>
        </w:rPr>
      </w:pPr>
      <w:bookmarkStart w:id="219" w:name="_Hlk105414694"/>
      <w:r>
        <w:rPr>
          <w:rFonts w:hint="eastAsia" w:ascii="仿宋" w:hAnsi="仿宋" w:eastAsia="仿宋" w:cs="仿宋"/>
          <w:color w:val="auto"/>
          <w:sz w:val="24"/>
          <w:szCs w:val="24"/>
          <w:highlight w:val="none"/>
          <w:lang w:val="en-US" w:eastAsia="zh-CN"/>
        </w:rPr>
        <w:t>输出分辨率：≥1280*800；</w:t>
      </w:r>
    </w:p>
    <w:bookmarkEnd w:id="219"/>
    <w:p w14:paraId="25DF4D8D">
      <w:pPr>
        <w:numPr>
          <w:ilvl w:val="1"/>
          <w:numId w:val="26"/>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信号输出接口：HDMI高清视频输出，可同时外接2个显示器显示；</w:t>
      </w:r>
    </w:p>
    <w:p w14:paraId="771073B9">
      <w:pPr>
        <w:numPr>
          <w:ilvl w:val="1"/>
          <w:numId w:val="26"/>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具备调光、拍照、录像、图像缩放、回放等功能；</w:t>
      </w:r>
    </w:p>
    <w:p w14:paraId="339FBE97">
      <w:pPr>
        <w:pStyle w:val="42"/>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高流量呼吸湿化治疗仪（高流量氧疗仪）</w:t>
      </w:r>
    </w:p>
    <w:p w14:paraId="6CD164F9">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预期用途：适用于有自主呼吸患者，通过提供一定流量，加温湿化的呼吸气体进行有效的呼吸治疗。适用于需要湿化治疗、氧气治疗、气管插管和气管切开的患者。</w:t>
      </w:r>
    </w:p>
    <w:p w14:paraId="4536D7AF">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中、英文两种操作界面可选择。</w:t>
      </w:r>
    </w:p>
    <w:p w14:paraId="6AAE24D0">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▲≥4.5英寸触摸彩屏显示：可同时监测温度、氧浓度、流量等参数。</w:t>
      </w:r>
    </w:p>
    <w:p w14:paraId="26960A25">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▲设备整机重量≤2.5kg，方便移动。</w:t>
      </w:r>
    </w:p>
    <w:p w14:paraId="415511E3">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支持高流量模式、低流量模式、低功耗模式。 </w:t>
      </w:r>
    </w:p>
    <w:p w14:paraId="1FBBAA0C">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流量设置调节范围：2-80L/min。 支持1L和5L两种流量调节步长，流量2L-40L/min时调节步长为1L/min、流量41L-80L/min时调节步长为5L/min。</w:t>
      </w:r>
    </w:p>
    <w:p w14:paraId="651FC4D0">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温度设置调节范围值为：29℃-37</w:t>
      </w:r>
      <w:bookmarkStart w:id="220" w:name="_Hlk120508141"/>
      <w:r>
        <w:rPr>
          <w:rFonts w:hint="eastAsia" w:ascii="仿宋" w:hAnsi="仿宋" w:eastAsia="仿宋" w:cs="仿宋"/>
          <w:color w:val="auto"/>
          <w:sz w:val="24"/>
          <w:szCs w:val="24"/>
          <w:highlight w:val="none"/>
          <w:lang w:val="en-US" w:eastAsia="zh-CN"/>
        </w:rPr>
        <w:t>℃</w:t>
      </w:r>
      <w:bookmarkEnd w:id="220"/>
      <w:r>
        <w:rPr>
          <w:rFonts w:hint="eastAsia" w:ascii="仿宋" w:hAnsi="仿宋" w:eastAsia="仿宋" w:cs="仿宋"/>
          <w:color w:val="auto"/>
          <w:sz w:val="24"/>
          <w:szCs w:val="24"/>
          <w:highlight w:val="none"/>
          <w:lang w:val="en-US" w:eastAsia="zh-CN"/>
        </w:rPr>
        <w:t>，步长1℃。在低流量模式下温度为31、34℃。</w:t>
      </w:r>
    </w:p>
    <w:p w14:paraId="0ECE3CED">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▲具有湿度补偿功能，7档可调，可根据环境变化手动湿度档位。</w:t>
      </w:r>
    </w:p>
    <w:p w14:paraId="375E4C5A">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一体化加温湿化器，湿度输出范围：32–44mg/L。</w:t>
      </w:r>
    </w:p>
    <w:p w14:paraId="673EC0CC">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▲机器内置空氧混合模块，氧浓度调节通过主机旋钮调节，氧浓度设置范围：21%-100%，调节步长：1%，精确度为±3%。 内置氧浓度实时监测系统，无需使用氧电池等耗材。</w:t>
      </w:r>
    </w:p>
    <w:p w14:paraId="1B0DC3F2">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▲机器同时具备高压氧气输入口和低压氧气输入口，可直接连接中心供氧，无需外接空氧混合阀或流量瓶。</w:t>
      </w:r>
    </w:p>
    <w:p w14:paraId="75A007C5">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低功耗模式：设备常按静音键3秒可进入低功耗模式。</w:t>
      </w:r>
    </w:p>
    <w:p w14:paraId="18BD6220">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预热时间：10分钟达到31℃, 30分钟达到37℃。</w:t>
      </w:r>
    </w:p>
    <w:p w14:paraId="3F340EDD">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▲支持干燥模式：用于干燥管路，模式运行99 min。</w:t>
      </w:r>
    </w:p>
    <w:p w14:paraId="4D44B8DF">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臭氧消毒发生器，可对设备臭氧消毒。</w:t>
      </w:r>
    </w:p>
    <w:p w14:paraId="0027F4E2">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机器带有高密度过滤棉，过滤效果大于99%，并提供省级医疗器械检验检测院的相关检测报告。</w:t>
      </w:r>
    </w:p>
    <w:p w14:paraId="33049FC2">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提供与主机配套使用的原厂同品牌耗材，耗材具备独立的注册证，包括加温呼吸管路、患者连接界面。 </w:t>
      </w:r>
    </w:p>
    <w:p w14:paraId="56BE6B96">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提供设备厂家自产鼻氧、设备厂家自产儿童鼻氧管，设备厂家自产气切界面等多种患者连接界面。</w:t>
      </w:r>
    </w:p>
    <w:p w14:paraId="0C4B9F03">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提供自动注水湿化罐。</w:t>
      </w:r>
    </w:p>
    <w:p w14:paraId="62323DE5">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提供配套移动台车和吊臂, 台车可放置移动电源和氧气瓶。</w:t>
      </w:r>
    </w:p>
    <w:p w14:paraId="6E7C65C6">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▲机器具有 USB 接口，SD卡接口，可实现多方式等数据传输功能。</w:t>
      </w:r>
    </w:p>
    <w:p w14:paraId="27AA1BD3">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配备视觉报警信号和声音报警信号，在使用过程中产生报警时，操作者位于治疗仪正前方，面对液晶显示屏幕，可以清晰观察到视觉报警信号。</w:t>
      </w:r>
    </w:p>
    <w:p w14:paraId="14CF4645">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▲报警状态按照优先级别反应。影响氧气输送和湿度输送的报警应立刻做出反应。</w:t>
      </w:r>
    </w:p>
    <w:p w14:paraId="7CA0C080">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警提示功能：内部故障、呼吸管路报警、漏气报警、阻塞报警、氧气浓度低报警、氧气浓度高报警、无法达到目标流量报警、检查水量报警、无法达到目标温度、检查工作条件、断电报警、超温报警、氧气压力低报警、氧气压力高报警、出气口故障报警等。</w:t>
      </w:r>
    </w:p>
    <w:p w14:paraId="02D1926D">
      <w:pPr>
        <w:numPr>
          <w:ilvl w:val="1"/>
          <w:numId w:val="27"/>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设备使用期限：≥9年。 </w:t>
      </w:r>
    </w:p>
    <w:p w14:paraId="2C7D6E79">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气动式高频振荡排痰系统</w:t>
      </w:r>
    </w:p>
    <w:p w14:paraId="40772673">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设备用途：</w:t>
      </w:r>
    </w:p>
    <w:p w14:paraId="05EA9A36">
      <w:pPr>
        <w:pStyle w:val="42"/>
        <w:spacing w:line="360" w:lineRule="auto"/>
        <w:ind w:firstLine="6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运用高频胸壁震荡技术进行呼吸气道清除排痰治疗。适用于分泌物排出困难或由粘液阻塞肺部引起的肺膨胀不全患者，促进气道清除排痰或改善支气管引流。</w:t>
      </w:r>
    </w:p>
    <w:p w14:paraId="64FC2A6E">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▲结构形式：标准机柜一体不可拆分落地推车式</w:t>
      </w:r>
    </w:p>
    <w:p w14:paraId="48B4FCFA">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▲显示方式：≥9.7寸彩色液晶触摸屏，彩色液晶界面全中文显示方式。</w:t>
      </w:r>
    </w:p>
    <w:p w14:paraId="0D004BD3">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导气方式：采用二级导气软管同步向充气背心充、放气。每个背心同时连接2根导气软管，使背心充气均匀。</w:t>
      </w:r>
    </w:p>
    <w:p w14:paraId="65A69CDF">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正常工作条件标准</w:t>
      </w:r>
    </w:p>
    <w:p w14:paraId="1AC128F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a)环境温度：5℃-40℃；</w:t>
      </w:r>
    </w:p>
    <w:p w14:paraId="615966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b)相对湿度：30%-85%；</w:t>
      </w:r>
    </w:p>
    <w:p w14:paraId="038039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c）电源电压：～220V±10﹪</w:t>
      </w:r>
    </w:p>
    <w:p w14:paraId="363BC9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d）频率：50Hz±1Hz。</w:t>
      </w:r>
    </w:p>
    <w:p w14:paraId="4F181D11">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排痰机振动频率范围：5Hz--20Hz，频率连续可调，步距增量为1Hz，误差为±20％。</w:t>
      </w:r>
    </w:p>
    <w:p w14:paraId="751379AA">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治疗过程中的压强：治疗仪具有压强指示装置，压力调节范围分为10档，压强为0.5Kpa--3.2 Kpa, 误差±15%，初始值为3档。</w:t>
      </w:r>
    </w:p>
    <w:p w14:paraId="289A33F1">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▲工作模式：治疗仪具有手动模式、五种自动程序模式及用户自定义模式。</w:t>
      </w:r>
    </w:p>
    <w:p w14:paraId="22BA4CA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自动模式按体型不同而分级定制，共有5种自动程序模式：</w:t>
      </w:r>
    </w:p>
    <w:p w14:paraId="2AC302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儿童（1-7岁）模式、儿童（7-15岁）模式、成人（瘦弱）模式、成人（正常）模式、成人（丰腴）模式。</w:t>
      </w:r>
    </w:p>
    <w:p w14:paraId="5D7FD9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自定义模式：治疗前设定各时段的压力、频率及时间，治疗中不可调。</w:t>
      </w:r>
    </w:p>
    <w:p w14:paraId="5FAC2D1D">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定时功能：自动模式定时时间5min--20min，手动模式定时时间1min--60min，步距为1min。</w:t>
      </w:r>
    </w:p>
    <w:p w14:paraId="4563EB4A">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排痰机工作噪声：正常工作的整机噪音≤60dB。（A计权）</w:t>
      </w:r>
    </w:p>
    <w:p w14:paraId="7893CF1E">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▲手持控制器：设备具有手持控制器，可暂停、启动和停止输出功能。</w:t>
      </w:r>
    </w:p>
    <w:p w14:paraId="34BE1B77">
      <w:pPr>
        <w:numPr>
          <w:ilvl w:val="1"/>
          <w:numId w:val="28"/>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▲充气背心：背心由外套及气囊两部分组成，可以拆卸，外套可按普通衣物的方式随时进行清洗和消毒。可选配一次性充气背心及胸带。</w:t>
      </w:r>
    </w:p>
    <w:p w14:paraId="036AB1AC">
      <w:pPr>
        <w:numPr>
          <w:ilvl w:val="1"/>
          <w:numId w:val="28"/>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背心尺寸：</w:t>
      </w:r>
    </w:p>
    <w:p w14:paraId="6ED3A1A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▲标配：标准全胸充气背心3个、简易半胸充气带3个。</w:t>
      </w:r>
    </w:p>
    <w:p w14:paraId="0E2359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成人背心尺寸：1450*640     1300*640   1020*640</w:t>
      </w:r>
    </w:p>
    <w:p w14:paraId="1E8BAB9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成人胸带尺寸：1350*200     1120*200   920*200</w:t>
      </w:r>
    </w:p>
    <w:p w14:paraId="3E219C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儿童背心尺寸：946*600      827*526    737*472</w:t>
      </w:r>
    </w:p>
    <w:p w14:paraId="24E2735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儿童胸带尺寸：800*180      650*180    5</w:t>
      </w:r>
    </w:p>
    <w:p w14:paraId="0A088B6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物理降温仪技术参数</w:t>
      </w:r>
    </w:p>
    <w:p w14:paraId="5ADBB5ED">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设备用途</w:t>
      </w:r>
    </w:p>
    <w:p w14:paraId="45CE0C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泛应用于脑炎、脑水肿、脑出血、脑外伤、颅高压心肺复苏及高热惊厥、中枢性高热患者，进行物理降温。特别是对颅脑损伤及术前、术后亚低温治疗、以及脑内出血、喉部患者、扁桃体发炎及术后的康复和对顽固性高烧,禁忌使用药物的患者进行亚低温治疗，有效提高患者生存率。</w:t>
      </w:r>
    </w:p>
    <w:p w14:paraId="36CC1637">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▲设备原理：</w:t>
      </w:r>
    </w:p>
    <w:p w14:paraId="364C7C9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制冷系统：旋转式医用压缩机二次水循环无氟环保制冷技术。</w:t>
      </w:r>
    </w:p>
    <w:p w14:paraId="1F5D94F4">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系统结构：单路输出，可使用一降温毯或者一降温帽，降温毯或降温帽可随意更换使用。</w:t>
      </w:r>
    </w:p>
    <w:p w14:paraId="2415B3E6">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▲温控范围：-2℃～30℃任意可调，降温速度每分钟≥2℃。</w:t>
      </w:r>
    </w:p>
    <w:p w14:paraId="4B697C32">
      <w:pPr>
        <w:numPr>
          <w:ilvl w:val="1"/>
          <w:numId w:val="2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毯面温度：降温毯和降温帽的表面温度围绕水温的±1℃显示</w:t>
      </w:r>
    </w:p>
    <w:p w14:paraId="1060DB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表面温度不均匀度：≤2℃</w:t>
      </w:r>
    </w:p>
    <w:p w14:paraId="7A15D9DB">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体温设定范围：30℃～40℃</w:t>
      </w:r>
    </w:p>
    <w:p w14:paraId="2FD8A1A2">
      <w:pPr>
        <w:numPr>
          <w:ilvl w:val="1"/>
          <w:numId w:val="2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显示界面：薄膜按键式控制面板,液晶显示屏（液晶尺寸约240*128mm），LED背光。</w:t>
      </w:r>
    </w:p>
    <w:p w14:paraId="3FC7DDB1">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系统控制方式：两种控制模式</w:t>
      </w:r>
    </w:p>
    <w:p w14:paraId="06A5FAD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8.1手动控制模式和自动控制模式，即毯帽监测模式和人体体温监测模式。</w:t>
      </w:r>
    </w:p>
    <w:p w14:paraId="01193D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8.2自动控制模式体温设定范围：31℃-37℃，五种体温控制档，分别为：31±0.5℃（中度低温）、33±0.5℃（颅脑降温）、35±0.5℃（发热降温）、37±0.5℃（防褥疮护理）以及自定义模式（医嘱）；</w:t>
      </w:r>
    </w:p>
    <w:p w14:paraId="5072D19E">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内置传感器监测毯帽温度，使用安全，方便。 </w:t>
      </w:r>
    </w:p>
    <w:p w14:paraId="7A9975FF">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体温传感器监测范围：26℃～43℃</w:t>
      </w:r>
    </w:p>
    <w:p w14:paraId="77844FA2">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腋温和肛温传感器可任意选择。</w:t>
      </w:r>
    </w:p>
    <w:p w14:paraId="5F9ADCF7">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记忆功能：设备断电后自动存储上次设定参数，以供下次使用参数，一键启动</w:t>
      </w:r>
    </w:p>
    <w:p w14:paraId="2795F33E">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▲双向自锁快速接头，使用操作更方便、简捷、移动自如，防漏。</w:t>
      </w:r>
    </w:p>
    <w:p w14:paraId="09422DCB">
      <w:pPr>
        <w:numPr>
          <w:ilvl w:val="1"/>
          <w:numId w:val="29"/>
        </w:numPr>
        <w:spacing w:line="360" w:lineRule="auto"/>
        <w:ind w:left="567" w:leftChars="0" w:hanging="567"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毯帽材质：TPU（热塑性聚氨酯）材料，耐臭氧，耐低温，耐酸碱腐蚀；蜂窝状设计，水循环通畅。表面柔软，可任意折叠、卷曲、清洗、消毒，并配有同规格特定毯套和帽套，易拆洗。</w:t>
      </w:r>
    </w:p>
    <w:p w14:paraId="6B4E8C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可配置玻璃钢硬帽，铜质内层，3cm内置保温层，降温效果明显。两种降温帽可任选其一。</w:t>
      </w:r>
    </w:p>
    <w:p w14:paraId="6C9A9D22">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毯子作用面承载压力：≥135kg水循环正常</w:t>
      </w:r>
    </w:p>
    <w:p w14:paraId="311B211B">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安全报警：缺水故障报警，水位超限报警，体温传感器低于下限报警。</w:t>
      </w:r>
    </w:p>
    <w:p w14:paraId="456E3C9C">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▲噪音：≤49dB</w:t>
      </w:r>
    </w:p>
    <w:p w14:paraId="62ACECCC">
      <w:pPr>
        <w:numPr>
          <w:ilvl w:val="1"/>
          <w:numId w:val="29"/>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配置：主机1台，降温毯1条或者降温帽1个，两者任选其一。</w:t>
      </w:r>
    </w:p>
    <w:p w14:paraId="6A3B7046">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13.</w:t>
      </w:r>
      <w:r>
        <w:rPr>
          <w:rFonts w:hint="eastAsia" w:ascii="仿宋" w:hAnsi="仿宋" w:eastAsia="仿宋" w:cs="仿宋"/>
          <w:b/>
          <w:bCs/>
          <w:color w:val="auto"/>
          <w:sz w:val="24"/>
          <w:szCs w:val="24"/>
          <w:highlight w:val="none"/>
        </w:rPr>
        <w:t>婴儿培养箱：</w:t>
      </w:r>
    </w:p>
    <w:p w14:paraId="38EA302D">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工作电源：AC220V/50Hz</w:t>
      </w:r>
    </w:p>
    <w:p w14:paraId="5198FE45">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▲输入功率：≤1000 VA</w:t>
      </w:r>
    </w:p>
    <w:p w14:paraId="67CE9464">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▲控温方式：箱温和肤温两种温度控制</w:t>
      </w:r>
    </w:p>
    <w:p w14:paraId="4D50A0CC">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箱温控制范围：25℃-37℃（跨越模式37～39℃）</w:t>
      </w:r>
    </w:p>
    <w:p w14:paraId="4E7DE9F7">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▲肤温控制范围：34℃-37℃（跨越模式37～38℃）</w:t>
      </w:r>
    </w:p>
    <w:p w14:paraId="5543825A">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箱温和肤温显示温度范围：5～65℃</w:t>
      </w:r>
    </w:p>
    <w:p w14:paraId="605D0B6C">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升温时间：≤30min</w:t>
      </w:r>
    </w:p>
    <w:p w14:paraId="341CDAF7">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培养箱温度与平均培养箱温度之差：≤0.5℃</w:t>
      </w:r>
    </w:p>
    <w:p w14:paraId="794806C8">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平均培养箱温度与控制温度之差：≤±1.0℃</w:t>
      </w:r>
    </w:p>
    <w:p w14:paraId="7C3436D8">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温度均匀性（床垫处于水平位置）：≤0.8℃</w:t>
      </w:r>
    </w:p>
    <w:p w14:paraId="655D7DDE">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温度均匀性（床垫处于倾斜位置）：≤1.0℃</w:t>
      </w:r>
    </w:p>
    <w:p w14:paraId="1A6A152B">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皮肤温度传感器精度：±0.2℃内</w:t>
      </w:r>
    </w:p>
    <w:p w14:paraId="40B8098E">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婴儿床倾斜角度：无级可调</w:t>
      </w:r>
    </w:p>
    <w:p w14:paraId="11265DD2">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婴儿舱内噪声：≤45dB(A)（稳定温度状态下）</w:t>
      </w:r>
    </w:p>
    <w:p w14:paraId="68CC237B">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故障报警：断电、空气循环风扇故障、传感器故障、偏差、超温、传感器盒放置错误、水箱16放置错误缺水、系统故障等</w:t>
      </w:r>
    </w:p>
    <w:p w14:paraId="36E45831">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湿度显示范围：0%RH—99%RH</w:t>
      </w:r>
    </w:p>
    <w:p w14:paraId="7FB595B9">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湿度控制范围：0%RH—90%RH</w:t>
      </w:r>
    </w:p>
    <w:p w14:paraId="4BD0FF78">
      <w:pPr>
        <w:numPr>
          <w:ilvl w:val="1"/>
          <w:numId w:val="30"/>
        </w:numPr>
        <w:spacing w:line="360" w:lineRule="auto"/>
        <w:ind w:left="567" w:leftChars="0" w:hanging="567"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湿度显示精度：±5%RH内</w:t>
      </w:r>
    </w:p>
    <w:p w14:paraId="2BE263FA">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p>
    <w:p w14:paraId="6CF60D53">
      <w:pPr>
        <w:pStyle w:val="18"/>
        <w:widowControl/>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（三）商务要求：</w:t>
      </w:r>
    </w:p>
    <w:p w14:paraId="21108AC2">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1.项目的供货期和质保期</w:t>
      </w:r>
    </w:p>
    <w:p w14:paraId="502FFA5E">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1.1供货期：</w:t>
      </w:r>
      <w:r>
        <w:rPr>
          <w:rFonts w:hint="eastAsia" w:ascii="仿宋" w:hAnsi="仿宋" w:eastAsia="仿宋" w:cs="仿宋"/>
          <w:color w:val="auto"/>
          <w:sz w:val="24"/>
          <w:szCs w:val="24"/>
          <w:highlight w:val="none"/>
          <w:lang w:eastAsia="zh-Hans"/>
        </w:rPr>
        <w:t>合同签订后</w:t>
      </w:r>
      <w:r>
        <w:rPr>
          <w:rFonts w:hint="eastAsia" w:ascii="仿宋" w:hAnsi="仿宋" w:eastAsia="仿宋" w:cs="仿宋"/>
          <w:color w:val="auto"/>
          <w:sz w:val="24"/>
          <w:szCs w:val="24"/>
          <w:highlight w:val="none"/>
        </w:rPr>
        <w:t>并收到采购人书面通知后的90</w:t>
      </w:r>
      <w:r>
        <w:rPr>
          <w:rFonts w:hint="eastAsia" w:ascii="仿宋" w:hAnsi="仿宋" w:eastAsia="仿宋" w:cs="仿宋"/>
          <w:color w:val="auto"/>
          <w:sz w:val="24"/>
          <w:szCs w:val="24"/>
          <w:highlight w:val="none"/>
          <w:lang w:eastAsia="zh-Hans"/>
        </w:rPr>
        <w:t>个日历日内（含场地安装改造时间）完成安装、调试、验收。</w:t>
      </w:r>
    </w:p>
    <w:p w14:paraId="4C2E493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1.2质保期：三年。</w:t>
      </w:r>
    </w:p>
    <w:p w14:paraId="4767F6C4">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质保期内出现任何质量问题（人为破坏或自然灾害等不可抗力除外），由中标人负责更换或维修，其费用包含（工时费、 材料费、管理费、财务费等） 在其投标报价中。质保期从整体设备验收合格日期起开始计算。质保期满后，无论采购人是否另行选择维保中标人，中标人应及时优惠提供所需的备品备件。</w:t>
      </w:r>
    </w:p>
    <w:p w14:paraId="7827DC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1.3中标人必须严格按照合同文件要求及中标人在投标/响应文件中所投设备的品牌型号提供设备，中标人应保证其提供的设备（包括零部件）是全新的、 完整的、原装的正规行货，出厂日期在投标日期之后并且符合国家检测标准以及该设备的出厂标准和原装配置，并在各个方面符合合同规定的质量、规格和性能。</w:t>
      </w:r>
    </w:p>
    <w:p w14:paraId="21E24491">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2.付款方式和交货地点</w:t>
      </w:r>
    </w:p>
    <w:p w14:paraId="3D2BB8EB">
      <w:pPr>
        <w:spacing w:line="360" w:lineRule="auto"/>
        <w:ind w:firstLine="480" w:firstLineChars="200"/>
        <w:rPr>
          <w:rFonts w:hint="eastAsia" w:ascii="仿宋" w:hAnsi="仿宋" w:eastAsia="仿宋" w:cs="仿宋"/>
          <w:i/>
          <w:iCs/>
          <w:color w:val="auto"/>
          <w:sz w:val="24"/>
          <w:szCs w:val="24"/>
          <w:highlight w:val="none"/>
        </w:rPr>
      </w:pPr>
      <w:r>
        <w:rPr>
          <w:rFonts w:hint="eastAsia" w:ascii="仿宋" w:hAnsi="仿宋" w:eastAsia="仿宋" w:cs="仿宋"/>
          <w:color w:val="auto"/>
          <w:sz w:val="24"/>
          <w:szCs w:val="24"/>
          <w:highlight w:val="none"/>
        </w:rPr>
        <w:t>2.1付款方式：合同签订后并收到中标人同等发票后20个工作日内支付合同总金额的30%，货到安装调试完成后并收到中标人同等发票后20个工作日内支付合同总金额的50%，设备正常运行一个月后，并收到中标人同等发票后20个工作日内支付合同总金额的20%。(以合同签订为准)</w:t>
      </w:r>
    </w:p>
    <w:p w14:paraId="155FE35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2.2交货地点：麦盖提人民医院指定地点。</w:t>
      </w:r>
    </w:p>
    <w:p w14:paraId="23CC3757">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3.售后服务及培训</w:t>
      </w:r>
    </w:p>
    <w:p w14:paraId="0869115A">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中标人须到采购人提供的现场免费安装、调试设备，进行操作试验，直至运行正常，为设备操作人员终身免费提供技术服务、技术支持及咨询服务，在任何时候、任何地点均可享受到终生的免费咨询服务。维修响应 7x24 小时响应，在质保期内出现故障中标人在接到故障报修电话后，4小时故障响应，12小时之内工程师修复，疆内常备配件库房。在保修期内不定期免费进行状态检测。</w:t>
      </w:r>
    </w:p>
    <w:p w14:paraId="66EC6856">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3.2在质保期内，派遣维修或技术人员巡访设备使用单位，协助并指导运维人员进行日常维护保养工作，并与直接使用人交流设备使用相关事宜。</w:t>
      </w:r>
    </w:p>
    <w:p w14:paraId="0B82E082">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3.3售后人员：由原厂高级工程师负责售后问题。</w:t>
      </w:r>
    </w:p>
    <w:p w14:paraId="5C1BF0B3">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3.4厂家在疆内常驻销售经理和售后维修等人员，提供联系方式、身份信息、社保证明等证明材料。</w:t>
      </w:r>
    </w:p>
    <w:p w14:paraId="545261B8">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3.5中标人必须积极配合采购人共同参与项目验收。主动向采购人有关技术人员在使用现场提供全套技术指导及培训。</w:t>
      </w:r>
    </w:p>
    <w:p w14:paraId="26084113">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3.6中标人应派相关技术人员到现场免费进行指导安装，解决安装过程中的相关问题。</w:t>
      </w:r>
    </w:p>
    <w:p w14:paraId="67ED9A31">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3.7售后服务承诺：中标人应对质保期内及其以后的服务做出承诺，并具有切实可行的措施,不能及时兑现服务承诺内容而影响使用方使用，中标人应当给予补偿。</w:t>
      </w:r>
    </w:p>
    <w:p w14:paraId="4477414B">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3.8如收到服务需求不合要求情况，可双方协商决定，但决定权在采购人，采购人有权利退回所购买产品。</w:t>
      </w:r>
    </w:p>
    <w:p w14:paraId="4B1EA1F1">
      <w:pPr>
        <w:pStyle w:val="47"/>
        <w:widowControl/>
        <w:snapToGrid w:val="0"/>
        <w:spacing w:line="360" w:lineRule="auto"/>
        <w:ind w:firstLine="56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人员培训：针对本院实际情况指定培训计划，中标人应提供技术培训，保证使用人员正常操作设备的各种功能。在质保期内为采购人提供至少三人的培训服务，确保用户方至少两名操作人员可熟悉使用，中标人应保证在采购人指定交货地点对设备操作人员提供不少于 1 天的免费培训。培训配备受过专业培训的售后服务人员、技术支持人员及咨询服务、在任何时候、任何地点均可享受到终生的免费咨询服务。中标人投标时应提供详细的培训方案。培训教员的差旅费、食宿费、培训教材等费用，应计入投标报价， 随时排除所有设备故障进行明确的计划阐述，并对所有设备保修期过后维保进行阐述。</w:t>
      </w:r>
    </w:p>
    <w:p w14:paraId="08F20DF2">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4.包装、调试、验收</w:t>
      </w:r>
    </w:p>
    <w:p w14:paraId="5C42D77C">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4.1中标人</w:t>
      </w:r>
      <w:r>
        <w:rPr>
          <w:rFonts w:hint="eastAsia" w:ascii="仿宋" w:hAnsi="仿宋" w:eastAsia="仿宋" w:cs="仿宋"/>
          <w:color w:val="auto"/>
          <w:sz w:val="24"/>
          <w:szCs w:val="24"/>
          <w:highlight w:val="none"/>
          <w:lang w:eastAsia="zh-Hans"/>
        </w:rPr>
        <w:t>将所供设备运送至交货地点，采购人、</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双方共同拆箱，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将合同设备安装调试完成并移交所有资料文档后向采购人提出验收申请，采购人于收到</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验收申请后7日内组织履约验收，验收完毕由采购人及</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在验收报告上签名。</w:t>
      </w:r>
    </w:p>
    <w:p w14:paraId="5E0E05EA">
      <w:pPr>
        <w:spacing w:line="360" w:lineRule="auto"/>
        <w:ind w:left="70" w:firstLine="56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lang w:eastAsia="zh-Hans"/>
        </w:rPr>
        <w:t>采购人依照相关验收规范、设备出厂技术标准、招标文件及投标文件要求对全部设备、产品、型号、规格、数量、外型、外观、包装及资料、文件（如装箱单、保修单、随箱介质等）进行验收。验收按国家有关的标准规定、规范进行。验收时如发现所交付的设备有短装、次品、损坏或其它不符合本合同规定之情形者，采购人应做出详尽的现场记录，或由采购人、</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双方签署备忘录。此现场记录或备忘录可用作补充、缺失和更换损坏部件的有效证据。由此产生的有关费用由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承担，验收期限相应后延。</w:t>
      </w:r>
    </w:p>
    <w:p w14:paraId="68C4012A">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lang w:eastAsia="zh-Hans"/>
        </w:rPr>
        <w:t>如在验收中发现设备达不到验收标准或合同及合同相关技术文件规定，</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应及时安排更换，以保证合同设备安装调试的成功完成,使设备最终达到合同或合同相关技术文件中规定的性能和要求。更换的相关费用由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承担并承担由此造成的一切损失。</w:t>
      </w:r>
    </w:p>
    <w:p w14:paraId="220E6D32">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4.4中标人</w:t>
      </w:r>
      <w:r>
        <w:rPr>
          <w:rFonts w:hint="eastAsia" w:ascii="仿宋" w:hAnsi="仿宋" w:eastAsia="仿宋" w:cs="仿宋"/>
          <w:color w:val="auto"/>
          <w:sz w:val="24"/>
          <w:szCs w:val="24"/>
          <w:highlight w:val="none"/>
          <w:lang w:eastAsia="zh-Hans"/>
        </w:rPr>
        <w:t>提供的产品原始样本，技术资料和招标文件技术一致，符合我国有关技术规范和标准。</w:t>
      </w:r>
    </w:p>
    <w:p w14:paraId="1B59FB29">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lang w:eastAsia="zh-Hans"/>
        </w:rPr>
        <w:t>验收时，</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要提供有效的该产品的注册证（或备案证明，注明使用期限）、产品合格证、合同标明产品的产地、首次本地计量检测合格证(包括强检和非强检医疗设备)。</w:t>
      </w:r>
    </w:p>
    <w:p w14:paraId="12841BD3">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lang w:eastAsia="zh-Hans"/>
        </w:rPr>
        <w:t>如</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没有及时提供相关证件（如合格证等），有可能影响验收进程，所导致的经济损失，由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自行承担。</w:t>
      </w:r>
    </w:p>
    <w:p w14:paraId="790516BB">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4.7中标人</w:t>
      </w:r>
      <w:r>
        <w:rPr>
          <w:rFonts w:hint="eastAsia" w:ascii="仿宋" w:hAnsi="仿宋" w:eastAsia="仿宋" w:cs="仿宋"/>
          <w:color w:val="auto"/>
          <w:sz w:val="24"/>
          <w:szCs w:val="24"/>
          <w:highlight w:val="none"/>
          <w:lang w:eastAsia="zh-Hans"/>
        </w:rPr>
        <w:t>负责相关验收投入使用前所需的所有</w:t>
      </w:r>
      <w:r>
        <w:rPr>
          <w:rFonts w:hint="eastAsia" w:ascii="仿宋" w:hAnsi="仿宋" w:eastAsia="仿宋" w:cs="仿宋"/>
          <w:color w:val="auto"/>
          <w:sz w:val="24"/>
          <w:szCs w:val="24"/>
          <w:highlight w:val="none"/>
        </w:rPr>
        <w:t>防辐射</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环评、</w:t>
      </w:r>
      <w:r>
        <w:rPr>
          <w:rFonts w:hint="eastAsia" w:ascii="仿宋" w:hAnsi="仿宋" w:eastAsia="仿宋" w:cs="仿宋"/>
          <w:color w:val="auto"/>
          <w:sz w:val="24"/>
          <w:szCs w:val="24"/>
          <w:highlight w:val="none"/>
          <w:lang w:eastAsia="zh-Hans"/>
        </w:rPr>
        <w:t>性能检测、质控等检测</w:t>
      </w:r>
      <w:r>
        <w:rPr>
          <w:rFonts w:hint="eastAsia" w:ascii="仿宋" w:hAnsi="仿宋" w:eastAsia="仿宋" w:cs="仿宋"/>
          <w:color w:val="auto"/>
          <w:sz w:val="24"/>
          <w:szCs w:val="24"/>
          <w:highlight w:val="none"/>
        </w:rPr>
        <w:t>（若有）</w:t>
      </w:r>
      <w:r>
        <w:rPr>
          <w:rFonts w:hint="eastAsia" w:ascii="仿宋" w:hAnsi="仿宋" w:eastAsia="仿宋" w:cs="仿宋"/>
          <w:color w:val="auto"/>
          <w:sz w:val="24"/>
          <w:szCs w:val="24"/>
          <w:highlight w:val="none"/>
          <w:lang w:eastAsia="zh-Hans"/>
        </w:rPr>
        <w:t>。</w:t>
      </w:r>
    </w:p>
    <w:p w14:paraId="2056D74D">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r>
        <w:rPr>
          <w:rFonts w:hint="eastAsia" w:ascii="仿宋" w:hAnsi="仿宋" w:eastAsia="仿宋" w:cs="仿宋"/>
          <w:color w:val="auto"/>
          <w:sz w:val="24"/>
          <w:szCs w:val="24"/>
          <w:highlight w:val="none"/>
          <w:lang w:eastAsia="zh-Hans"/>
        </w:rPr>
        <w:t>必要时可邀请相关的专业人员或机构参与验收。</w:t>
      </w:r>
    </w:p>
    <w:p w14:paraId="7DF17886">
      <w:pPr>
        <w:spacing w:line="360" w:lineRule="auto"/>
        <w:ind w:left="70" w:firstLine="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w:t>
      </w:r>
      <w:r>
        <w:rPr>
          <w:rFonts w:hint="eastAsia" w:ascii="仿宋" w:hAnsi="仿宋" w:eastAsia="仿宋" w:cs="仿宋"/>
          <w:color w:val="auto"/>
          <w:sz w:val="24"/>
          <w:szCs w:val="24"/>
          <w:highlight w:val="none"/>
          <w:lang w:eastAsia="zh-Hans"/>
        </w:rPr>
        <w:t>最终验收前，</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需提供所有测试报告及文件。</w:t>
      </w:r>
    </w:p>
    <w:p w14:paraId="24BDEEA0">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4.10</w:t>
      </w:r>
      <w:r>
        <w:rPr>
          <w:rFonts w:hint="eastAsia" w:ascii="仿宋" w:hAnsi="仿宋" w:eastAsia="仿宋" w:cs="仿宋"/>
          <w:color w:val="auto"/>
          <w:sz w:val="24"/>
          <w:szCs w:val="24"/>
          <w:highlight w:val="none"/>
          <w:lang w:eastAsia="zh-Hans"/>
        </w:rPr>
        <w:t>最终验收在所有设备安装调试完毕后进行。在此期间</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需派人员参加，若</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所供产品出现故障，则</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应及时修复并做好记录，该记录将作为产品性能测试的原始资料和验收结论。</w:t>
      </w:r>
    </w:p>
    <w:p w14:paraId="160BA917">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11</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需为验收提供必需的一切条件及相关费用。</w:t>
      </w:r>
    </w:p>
    <w:p w14:paraId="490AC912">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12验收交付前的保管安全责任由</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承担。</w:t>
      </w:r>
    </w:p>
    <w:p w14:paraId="7DD52237">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Hans"/>
        </w:rPr>
        <w:t>13</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eastAsia="zh-Hans"/>
        </w:rPr>
        <w:t>完成安装验收后，负责及时处理并运走该货物的包装木箱、纸皮箱等物品。</w:t>
      </w:r>
    </w:p>
    <w:p w14:paraId="3E7A753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5.其他</w:t>
      </w:r>
    </w:p>
    <w:p w14:paraId="4B04B14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 本项目所需的6台监护仪设备需满足和监护仪（1拖4）的中央监护站实现并联。</w:t>
      </w:r>
    </w:p>
    <w:p w14:paraId="6FC62B2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 由采购人聘请的第三方专业公司评估摆药机设备对接的HIS接口的相关费用，所需的所有费用由中标人承担。</w:t>
      </w:r>
    </w:p>
    <w:p w14:paraId="60B0320A">
      <w:pPr>
        <w:spacing w:line="240" w:lineRule="auto"/>
        <w:rPr>
          <w:rFonts w:hint="eastAsia" w:ascii="仿宋" w:hAnsi="仿宋" w:eastAsia="仿宋" w:cs="仿宋"/>
          <w:color w:val="auto"/>
          <w:sz w:val="21"/>
          <w:szCs w:val="21"/>
          <w:highlight w:val="none"/>
        </w:rPr>
      </w:pPr>
    </w:p>
    <w:p w14:paraId="22A4D8DB">
      <w:pPr>
        <w:rPr>
          <w:rFonts w:hint="eastAsia" w:ascii="仿宋" w:hAnsi="仿宋" w:eastAsia="仿宋" w:cs="仿宋"/>
          <w:color w:val="auto"/>
          <w:spacing w:val="6"/>
          <w:sz w:val="43"/>
          <w:szCs w:val="43"/>
          <w:highlight w:val="none"/>
          <w14:textOutline w14:w="7972" w14:cap="sq" w14:cmpd="sng">
            <w14:solidFill>
              <w14:srgbClr w14:val="000000"/>
            </w14:solidFill>
            <w14:prstDash w14:val="solid"/>
            <w14:bevel/>
          </w14:textOutline>
        </w:rPr>
      </w:pPr>
      <w:r>
        <w:rPr>
          <w:rFonts w:hint="eastAsia" w:ascii="仿宋" w:hAnsi="仿宋" w:eastAsia="仿宋" w:cs="仿宋"/>
          <w:color w:val="auto"/>
          <w:spacing w:val="6"/>
          <w:sz w:val="43"/>
          <w:szCs w:val="43"/>
          <w:highlight w:val="none"/>
          <w14:textOutline w14:w="7972" w14:cap="sq" w14:cmpd="sng">
            <w14:solidFill>
              <w14:srgbClr w14:val="000000"/>
            </w14:solidFill>
            <w14:prstDash w14:val="solid"/>
            <w14:bevel/>
          </w14:textOutline>
        </w:rPr>
        <w:br w:type="page"/>
      </w:r>
    </w:p>
    <w:p w14:paraId="11618108">
      <w:pPr>
        <w:pStyle w:val="8"/>
        <w:spacing w:before="328" w:line="227" w:lineRule="auto"/>
        <w:jc w:val="center"/>
        <w:outlineLvl w:val="0"/>
        <w:rPr>
          <w:rFonts w:hint="eastAsia" w:ascii="仿宋" w:hAnsi="仿宋" w:eastAsia="仿宋" w:cs="仿宋"/>
          <w:color w:val="auto"/>
          <w:sz w:val="43"/>
          <w:szCs w:val="43"/>
          <w:highlight w:val="none"/>
        </w:rPr>
      </w:pPr>
      <w:r>
        <w:rPr>
          <w:rFonts w:hint="eastAsia" w:ascii="仿宋" w:hAnsi="仿宋" w:eastAsia="仿宋" w:cs="仿宋"/>
          <w:color w:val="auto"/>
          <w:spacing w:val="6"/>
          <w:sz w:val="43"/>
          <w:szCs w:val="43"/>
          <w:highlight w:val="none"/>
          <w14:textOutline w14:w="7972" w14:cap="sq" w14:cmpd="sng">
            <w14:solidFill>
              <w14:srgbClr w14:val="000000"/>
            </w14:solidFill>
            <w14:prstDash w14:val="solid"/>
            <w14:bevel/>
          </w14:textOutline>
        </w:rPr>
        <w:t>第6章评标方法和标准</w:t>
      </w:r>
      <w:bookmarkEnd w:id="212"/>
    </w:p>
    <w:p w14:paraId="43504C68">
      <w:pPr>
        <w:spacing w:line="442" w:lineRule="auto"/>
        <w:rPr>
          <w:rFonts w:hint="eastAsia" w:ascii="仿宋" w:hAnsi="仿宋" w:eastAsia="仿宋" w:cs="仿宋"/>
          <w:color w:val="auto"/>
          <w:sz w:val="21"/>
          <w:highlight w:val="none"/>
        </w:rPr>
      </w:pPr>
    </w:p>
    <w:p w14:paraId="169E0EF6">
      <w:pPr>
        <w:pStyle w:val="8"/>
        <w:spacing w:before="78" w:line="223" w:lineRule="auto"/>
        <w:ind w:left="58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本项目将按照招标文件第一章投标人须知中“五开标及评标”、“六确</w:t>
      </w:r>
      <w:r>
        <w:rPr>
          <w:rFonts w:hint="eastAsia" w:ascii="仿宋" w:hAnsi="仿宋" w:eastAsia="仿宋" w:cs="仿宋"/>
          <w:color w:val="auto"/>
          <w:spacing w:val="-5"/>
          <w:sz w:val="24"/>
          <w:szCs w:val="24"/>
          <w:highlight w:val="none"/>
        </w:rPr>
        <w:t>定中标”及本章的规定评标。</w:t>
      </w:r>
    </w:p>
    <w:p w14:paraId="36816DE0">
      <w:pPr>
        <w:pStyle w:val="8"/>
        <w:spacing w:before="78" w:line="339" w:lineRule="auto"/>
        <w:ind w:left="35" w:right="10" w:firstLine="494"/>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注：1.根据《政府采购促进中小企业发展暂行办法》（财库[2011]181号）、</w:t>
      </w:r>
      <w:r>
        <w:rPr>
          <w:rFonts w:hint="eastAsia" w:ascii="仿宋" w:hAnsi="仿宋" w:eastAsia="仿宋" w:cs="仿宋"/>
          <w:color w:val="auto"/>
          <w:spacing w:val="3"/>
          <w:sz w:val="24"/>
          <w:szCs w:val="24"/>
          <w:highlight w:val="none"/>
        </w:rPr>
        <w:t>对满足价格扣除条件且在投标文件中提交了《投标人企业类型声明函》、其投</w:t>
      </w:r>
      <w:r>
        <w:rPr>
          <w:rFonts w:hint="eastAsia" w:ascii="仿宋" w:hAnsi="仿宋" w:eastAsia="仿宋" w:cs="仿宋"/>
          <w:color w:val="auto"/>
          <w:spacing w:val="-1"/>
          <w:sz w:val="24"/>
          <w:szCs w:val="24"/>
          <w:highlight w:val="none"/>
        </w:rPr>
        <w:t>标报价扣除</w:t>
      </w:r>
      <w:r>
        <w:rPr>
          <w:rFonts w:hint="eastAsia" w:ascii="仿宋" w:hAnsi="仿宋" w:eastAsia="仿宋" w:cs="仿宋"/>
          <w:color w:val="auto"/>
          <w:spacing w:val="-1"/>
          <w:sz w:val="24"/>
          <w:szCs w:val="24"/>
          <w:highlight w:val="none"/>
          <w:u w:val="single" w:color="auto"/>
        </w:rPr>
        <w:t>10</w:t>
      </w:r>
      <w:r>
        <w:rPr>
          <w:rFonts w:hint="eastAsia" w:ascii="仿宋" w:hAnsi="仿宋" w:eastAsia="仿宋" w:cs="仿宋"/>
          <w:color w:val="auto"/>
          <w:spacing w:val="-1"/>
          <w:sz w:val="24"/>
          <w:szCs w:val="24"/>
          <w:highlight w:val="none"/>
        </w:rPr>
        <w:t>%后参与评审</w:t>
      </w:r>
      <w:r>
        <w:rPr>
          <w:rFonts w:hint="eastAsia" w:ascii="仿宋" w:hAnsi="仿宋" w:eastAsia="仿宋" w:cs="仿宋"/>
          <w:color w:val="auto"/>
          <w:spacing w:val="-1"/>
          <w:sz w:val="24"/>
          <w:szCs w:val="24"/>
          <w:highlight w:val="none"/>
          <w:lang w:val="en-US" w:eastAsia="zh-CN"/>
        </w:rPr>
        <w:t>适用标项4</w:t>
      </w:r>
      <w:r>
        <w:rPr>
          <w:rFonts w:hint="eastAsia" w:ascii="仿宋" w:hAnsi="仿宋" w:eastAsia="仿宋" w:cs="仿宋"/>
          <w:color w:val="auto"/>
          <w:spacing w:val="-1"/>
          <w:sz w:val="24"/>
          <w:szCs w:val="24"/>
          <w:highlight w:val="none"/>
        </w:rPr>
        <w:t>。</w:t>
      </w:r>
    </w:p>
    <w:p w14:paraId="625A1760">
      <w:pPr>
        <w:pStyle w:val="8"/>
        <w:spacing w:before="149" w:line="439" w:lineRule="exact"/>
        <w:ind w:left="515"/>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2.联合协议中约定，小型、微型企业和监狱企业的协议合同金额占到联合体协议合同总金额30%以上的，可给予联合体/%的价格扣除。（本项目不适用）</w:t>
      </w:r>
    </w:p>
    <w:p w14:paraId="0E1DCB7C">
      <w:pPr>
        <w:pStyle w:val="8"/>
        <w:spacing w:before="149" w:line="439" w:lineRule="exact"/>
        <w:ind w:left="515"/>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联合体各方均为小型、微型企业和监狱企业的，联合</w:t>
      </w:r>
      <w:r>
        <w:rPr>
          <w:rFonts w:hint="eastAsia" w:ascii="仿宋" w:hAnsi="仿宋" w:eastAsia="仿宋" w:cs="仿宋"/>
          <w:color w:val="auto"/>
          <w:spacing w:val="-1"/>
          <w:position w:val="15"/>
          <w:sz w:val="24"/>
          <w:szCs w:val="24"/>
          <w:highlight w:val="none"/>
        </w:rPr>
        <w:t>体视</w:t>
      </w:r>
      <w:r>
        <w:rPr>
          <w:rFonts w:hint="eastAsia" w:ascii="仿宋" w:hAnsi="仿宋" w:eastAsia="仿宋" w:cs="仿宋"/>
          <w:color w:val="auto"/>
          <w:position w:val="15"/>
          <w:sz w:val="24"/>
          <w:szCs w:val="24"/>
          <w:highlight w:val="none"/>
        </w:rPr>
        <w:t>同为小型、微型企业和监狱企业。</w:t>
      </w:r>
    </w:p>
    <w:p w14:paraId="3E930E44">
      <w:pPr>
        <w:pStyle w:val="8"/>
        <w:spacing w:before="149" w:line="439" w:lineRule="exact"/>
        <w:ind w:left="515"/>
        <w:rPr>
          <w:rFonts w:hint="eastAsia" w:ascii="仿宋" w:hAnsi="仿宋" w:eastAsia="仿宋" w:cs="仿宋"/>
          <w:color w:val="auto"/>
          <w:position w:val="15"/>
          <w:sz w:val="24"/>
          <w:szCs w:val="24"/>
          <w:highlight w:val="none"/>
        </w:rPr>
      </w:pPr>
      <w:r>
        <w:rPr>
          <w:rFonts w:hint="eastAsia" w:ascii="仿宋" w:hAnsi="仿宋" w:eastAsia="仿宋" w:cs="仿宋"/>
          <w:color w:val="auto"/>
          <w:position w:val="15"/>
          <w:sz w:val="24"/>
          <w:szCs w:val="24"/>
          <w:highlight w:val="none"/>
        </w:rPr>
        <w:t>3.投标人所投产品如被列入财政部与国家主管部门颁发的节能产品目录或环境标志产品目录或无线局域网产品目录，应提供相关证明，在评标时予以优先采购，具体优惠措施为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position w:val="15"/>
          <w:sz w:val="24"/>
          <w:szCs w:val="24"/>
          <w:highlight w:val="none"/>
          <w:lang w:eastAsia="zh-CN"/>
        </w:rPr>
        <w:t>：</w:t>
      </w:r>
      <w:r>
        <w:rPr>
          <w:rFonts w:hint="eastAsia" w:ascii="仿宋" w:hAnsi="仿宋" w:eastAsia="仿宋" w:cs="仿宋"/>
          <w:color w:val="auto"/>
          <w:position w:val="15"/>
          <w:sz w:val="24"/>
          <w:szCs w:val="24"/>
          <w:highlight w:val="none"/>
        </w:rPr>
        <w:t>同等条件下优先选择《财政部国家发展改革委关于调整公布第二十四期节能产品政府采购清单的通知》（财库〔2018〕73号）</w:t>
      </w:r>
      <w:r>
        <w:rPr>
          <w:rFonts w:hint="eastAsia" w:ascii="仿宋" w:hAnsi="仿宋" w:eastAsia="仿宋" w:cs="仿宋"/>
          <w:color w:val="auto"/>
          <w:position w:val="15"/>
          <w:sz w:val="24"/>
          <w:szCs w:val="24"/>
          <w:highlight w:val="none"/>
          <w:lang w:eastAsia="zh-CN"/>
        </w:rPr>
        <w:t>、</w:t>
      </w:r>
      <w:r>
        <w:rPr>
          <w:rFonts w:hint="eastAsia" w:ascii="仿宋" w:hAnsi="仿宋" w:eastAsia="仿宋" w:cs="仿宋"/>
          <w:color w:val="auto"/>
          <w:position w:val="15"/>
          <w:sz w:val="24"/>
          <w:szCs w:val="24"/>
          <w:highlight w:val="none"/>
        </w:rPr>
        <w:t>《财政部环境保护部关于调整公布第二十二期环境标志产品政府采购清单的通知》（财库〔2018〕70号</w:t>
      </w:r>
      <w:r>
        <w:rPr>
          <w:rFonts w:hint="eastAsia" w:ascii="仿宋" w:hAnsi="仿宋" w:eastAsia="仿宋" w:cs="仿宋"/>
          <w:color w:val="auto"/>
          <w:position w:val="15"/>
          <w:sz w:val="24"/>
          <w:szCs w:val="24"/>
          <w:highlight w:val="none"/>
          <w:lang w:eastAsia="zh-CN"/>
        </w:rPr>
        <w:t>）</w:t>
      </w:r>
      <w:r>
        <w:rPr>
          <w:rFonts w:hint="eastAsia" w:ascii="仿宋" w:hAnsi="仿宋" w:eastAsia="仿宋" w:cs="仿宋"/>
          <w:color w:val="auto"/>
          <w:position w:val="15"/>
          <w:sz w:val="24"/>
          <w:szCs w:val="24"/>
          <w:highlight w:val="none"/>
        </w:rPr>
        <w:t>目录内的产品。</w:t>
      </w:r>
    </w:p>
    <w:p w14:paraId="1FBED61D">
      <w:pPr>
        <w:pStyle w:val="8"/>
        <w:spacing w:before="152" w:line="339" w:lineRule="auto"/>
        <w:ind w:left="40" w:right="88" w:firstLine="530"/>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4.如采购人所采购产品为政府强制采购的节</w:t>
      </w:r>
      <w:r>
        <w:rPr>
          <w:rFonts w:hint="eastAsia" w:ascii="仿宋" w:hAnsi="仿宋" w:eastAsia="仿宋" w:cs="仿宋"/>
          <w:color w:val="auto"/>
          <w:spacing w:val="1"/>
          <w:sz w:val="24"/>
          <w:szCs w:val="24"/>
          <w:highlight w:val="none"/>
        </w:rPr>
        <w:t>能产品，投标人所投产品的品</w:t>
      </w:r>
      <w:r>
        <w:rPr>
          <w:rFonts w:hint="eastAsia" w:ascii="仿宋" w:hAnsi="仿宋" w:eastAsia="仿宋" w:cs="仿宋"/>
          <w:color w:val="auto"/>
          <w:spacing w:val="3"/>
          <w:sz w:val="24"/>
          <w:szCs w:val="24"/>
          <w:highlight w:val="none"/>
        </w:rPr>
        <w:t>牌及型号必须为清单中有效期内产品并提供证明文件，否则其投标将被认定为</w:t>
      </w:r>
      <w:r>
        <w:rPr>
          <w:rFonts w:hint="eastAsia" w:ascii="仿宋" w:hAnsi="仿宋" w:eastAsia="仿宋" w:cs="仿宋"/>
          <w:color w:val="auto"/>
          <w:spacing w:val="-2"/>
          <w:sz w:val="24"/>
          <w:szCs w:val="24"/>
          <w:highlight w:val="none"/>
          <w14:textOutline w14:w="4358" w14:cap="sq" w14:cmpd="sng">
            <w14:solidFill>
              <w14:srgbClr w14:val="000000"/>
            </w14:solidFill>
            <w14:prstDash w14:val="solid"/>
            <w14:bevel/>
          </w14:textOutline>
        </w:rPr>
        <w:t>投标无效</w:t>
      </w:r>
      <w:r>
        <w:rPr>
          <w:rFonts w:hint="eastAsia" w:ascii="仿宋" w:hAnsi="仿宋" w:eastAsia="仿宋" w:cs="仿宋"/>
          <w:color w:val="auto"/>
          <w:spacing w:val="-2"/>
          <w:sz w:val="24"/>
          <w:szCs w:val="24"/>
          <w:highlight w:val="none"/>
        </w:rPr>
        <w:t>。</w:t>
      </w:r>
    </w:p>
    <w:p w14:paraId="7A032CA3">
      <w:pPr>
        <w:pStyle w:val="8"/>
        <w:spacing w:before="137" w:line="223" w:lineRule="auto"/>
        <w:ind w:left="51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5.对创新产品或创新性企业的优惠措施为</w:t>
      </w:r>
      <w:r>
        <w:rPr>
          <w:rFonts w:hint="eastAsia" w:ascii="仿宋" w:hAnsi="仿宋" w:eastAsia="仿宋" w:cs="仿宋"/>
          <w:color w:val="auto"/>
          <w:spacing w:val="-1"/>
          <w:sz w:val="24"/>
          <w:szCs w:val="24"/>
          <w:highlight w:val="none"/>
          <w:u w:val="single" w:color="auto"/>
        </w:rPr>
        <w:t>：/</w:t>
      </w:r>
    </w:p>
    <w:p w14:paraId="72C5D813">
      <w:pPr>
        <w:pStyle w:val="8"/>
        <w:spacing w:before="152" w:line="222" w:lineRule="auto"/>
        <w:ind w:left="51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6.同品牌处理办法：</w:t>
      </w:r>
    </w:p>
    <w:p w14:paraId="5D690929">
      <w:pPr>
        <w:pStyle w:val="8"/>
        <w:spacing w:before="152" w:line="338" w:lineRule="auto"/>
        <w:ind w:left="33" w:right="88" w:firstLine="480"/>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如采用最低评标办法，则：提供相同品牌产品的不同投标人参加同一合</w:t>
      </w:r>
      <w:r>
        <w:rPr>
          <w:rFonts w:hint="eastAsia" w:ascii="仿宋" w:hAnsi="仿宋" w:eastAsia="仿宋" w:cs="仿宋"/>
          <w:color w:val="auto"/>
          <w:sz w:val="24"/>
          <w:szCs w:val="24"/>
          <w:highlight w:val="none"/>
        </w:rPr>
        <w:t>同项下投标的，以其中通过资格审查、符合性审查且报价最</w:t>
      </w:r>
      <w:r>
        <w:rPr>
          <w:rFonts w:hint="eastAsia" w:ascii="仿宋" w:hAnsi="仿宋" w:eastAsia="仿宋" w:cs="仿宋"/>
          <w:color w:val="auto"/>
          <w:spacing w:val="-1"/>
          <w:sz w:val="24"/>
          <w:szCs w:val="24"/>
          <w:highlight w:val="none"/>
        </w:rPr>
        <w:t>低的参加评标;报价</w:t>
      </w:r>
      <w:r>
        <w:rPr>
          <w:rFonts w:hint="eastAsia" w:ascii="仿宋" w:hAnsi="仿宋" w:eastAsia="仿宋" w:cs="仿宋"/>
          <w:color w:val="auto"/>
          <w:spacing w:val="3"/>
          <w:sz w:val="24"/>
          <w:szCs w:val="24"/>
          <w:highlight w:val="none"/>
        </w:rPr>
        <w:t>相同的，由采购人或者采购人委托评标委员会按照招标文件规定的方式确定一个参加评标的投标人，招标文件未规定的采取随机抽取方式确定，其他投标无</w:t>
      </w:r>
      <w:r>
        <w:rPr>
          <w:rFonts w:hint="eastAsia" w:ascii="仿宋" w:hAnsi="仿宋" w:eastAsia="仿宋" w:cs="仿宋"/>
          <w:color w:val="auto"/>
          <w:spacing w:val="-11"/>
          <w:sz w:val="24"/>
          <w:szCs w:val="24"/>
          <w:highlight w:val="none"/>
        </w:rPr>
        <w:t>效。</w:t>
      </w:r>
    </w:p>
    <w:p w14:paraId="7A377CAD">
      <w:pPr>
        <w:pStyle w:val="8"/>
        <w:spacing w:before="132" w:line="338" w:lineRule="auto"/>
        <w:ind w:left="51" w:right="88" w:firstLine="4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如采用综合评标法，则：提供相同品牌产品且通过资</w:t>
      </w:r>
      <w:r>
        <w:rPr>
          <w:rFonts w:hint="eastAsia" w:ascii="仿宋" w:hAnsi="仿宋" w:eastAsia="仿宋" w:cs="仿宋"/>
          <w:color w:val="auto"/>
          <w:spacing w:val="-1"/>
          <w:sz w:val="24"/>
          <w:szCs w:val="24"/>
          <w:highlight w:val="none"/>
        </w:rPr>
        <w:t>格审查、符合性审查</w:t>
      </w:r>
      <w:r>
        <w:rPr>
          <w:rFonts w:hint="eastAsia" w:ascii="仿宋" w:hAnsi="仿宋" w:eastAsia="仿宋" w:cs="仿宋"/>
          <w:color w:val="auto"/>
          <w:spacing w:val="3"/>
          <w:sz w:val="24"/>
          <w:szCs w:val="24"/>
          <w:highlight w:val="none"/>
        </w:rPr>
        <w:t>的不同投标人参加同一合同项下投标的，按一家投标人计算，</w:t>
      </w:r>
      <w:r>
        <w:rPr>
          <w:rFonts w:hint="eastAsia" w:ascii="仿宋" w:hAnsi="仿宋" w:eastAsia="仿宋" w:cs="仿宋"/>
          <w:color w:val="auto"/>
          <w:spacing w:val="2"/>
          <w:sz w:val="24"/>
          <w:szCs w:val="24"/>
          <w:highlight w:val="none"/>
        </w:rPr>
        <w:t>评审后得分最高</w:t>
      </w:r>
      <w:r>
        <w:rPr>
          <w:rFonts w:hint="eastAsia" w:ascii="仿宋" w:hAnsi="仿宋" w:eastAsia="仿宋" w:cs="仿宋"/>
          <w:color w:val="auto"/>
          <w:spacing w:val="-1"/>
          <w:sz w:val="24"/>
          <w:szCs w:val="24"/>
          <w:highlight w:val="none"/>
        </w:rPr>
        <w:t>的同品牌投标人获得中标人推荐资格;评审得分相同的，由采购人或者采购人委</w:t>
      </w:r>
      <w:r>
        <w:rPr>
          <w:rFonts w:hint="eastAsia" w:ascii="仿宋" w:hAnsi="仿宋" w:eastAsia="仿宋" w:cs="仿宋"/>
          <w:color w:val="auto"/>
          <w:spacing w:val="3"/>
          <w:sz w:val="24"/>
          <w:szCs w:val="24"/>
          <w:highlight w:val="none"/>
        </w:rPr>
        <w:t>托评标委员会按照招标文件规定的方式确定一个投标人获得中标人推荐资格，招标文件未规定的采取随机抽取方式确定</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其他同品牌投标人不作为中标候选</w:t>
      </w:r>
      <w:r>
        <w:rPr>
          <w:rFonts w:hint="eastAsia" w:ascii="仿宋" w:hAnsi="仿宋" w:eastAsia="仿宋" w:cs="仿宋"/>
          <w:color w:val="auto"/>
          <w:spacing w:val="-1"/>
          <w:sz w:val="24"/>
          <w:szCs w:val="24"/>
          <w:highlight w:val="none"/>
        </w:rPr>
        <w:t>人。</w:t>
      </w:r>
    </w:p>
    <w:p w14:paraId="29598066">
      <w:pPr>
        <w:pStyle w:val="8"/>
        <w:numPr>
          <w:ilvl w:val="0"/>
          <w:numId w:val="31"/>
        </w:numPr>
        <w:spacing w:before="189" w:line="348" w:lineRule="auto"/>
        <w:ind w:left="40" w:right="26" w:hanging="1"/>
        <w:outlineLvl w:val="1"/>
        <w:rPr>
          <w:rFonts w:hint="eastAsia" w:ascii="仿宋" w:hAnsi="仿宋" w:eastAsia="仿宋" w:cs="仿宋"/>
          <w:color w:val="auto"/>
          <w:spacing w:val="3"/>
          <w:sz w:val="24"/>
          <w:szCs w:val="24"/>
          <w:highlight w:val="none"/>
        </w:rPr>
      </w:pPr>
      <w:bookmarkStart w:id="221" w:name="_Toc13319"/>
      <w:r>
        <w:rPr>
          <w:rFonts w:hint="eastAsia" w:ascii="仿宋" w:hAnsi="仿宋" w:eastAsia="仿宋" w:cs="仿宋"/>
          <w:color w:val="auto"/>
          <w:spacing w:val="3"/>
          <w:sz w:val="24"/>
          <w:szCs w:val="24"/>
          <w:highlight w:val="none"/>
        </w:rPr>
        <w:t>中标候选人并列式时的处理方式：</w:t>
      </w:r>
      <w:bookmarkEnd w:id="221"/>
    </w:p>
    <w:p w14:paraId="2A08120E">
      <w:pPr>
        <w:pStyle w:val="8"/>
        <w:numPr>
          <w:ilvl w:val="0"/>
          <w:numId w:val="0"/>
        </w:numPr>
        <w:spacing w:before="189" w:line="348" w:lineRule="auto"/>
        <w:ind w:left="39" w:leftChars="0" w:right="26" w:rightChars="0" w:firstLine="492" w:firstLineChars="200"/>
        <w:rPr>
          <w:rFonts w:hint="eastAsia" w:ascii="仿宋" w:hAnsi="仿宋" w:eastAsia="仿宋" w:cs="仿宋"/>
          <w:color w:val="auto"/>
          <w:spacing w:val="3"/>
          <w:sz w:val="24"/>
          <w:szCs w:val="24"/>
          <w:highlight w:val="none"/>
        </w:rPr>
      </w:pPr>
      <w:r>
        <w:rPr>
          <w:rFonts w:hint="eastAsia" w:ascii="仿宋" w:hAnsi="仿宋" w:eastAsia="仿宋" w:cs="仿宋"/>
          <w:color w:val="auto"/>
          <w:spacing w:val="3"/>
          <w:sz w:val="24"/>
          <w:szCs w:val="24"/>
          <w:highlight w:val="none"/>
        </w:rPr>
        <w:t>如采用最低评标办法，则</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rPr>
        <w:t>自收到评标报告之日起5个工作日内，在评标报告确定的中标候选人名单中按顺序确定中标人；</w:t>
      </w:r>
    </w:p>
    <w:p w14:paraId="7401C38D">
      <w:pPr>
        <w:pStyle w:val="8"/>
        <w:spacing w:before="189" w:line="348" w:lineRule="auto"/>
        <w:ind w:right="26" w:firstLine="492" w:firstLineChars="20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rPr>
        <w:t>如采用综合评标法，则：自收到评标报告之日起5个工作日内，在评标报告确定的中标候选人名单中按顺序确定中标人</w:t>
      </w:r>
      <w:r>
        <w:rPr>
          <w:rFonts w:hint="eastAsia" w:ascii="仿宋" w:hAnsi="仿宋" w:eastAsia="仿宋" w:cs="仿宋"/>
          <w:color w:val="auto"/>
          <w:spacing w:val="3"/>
          <w:sz w:val="24"/>
          <w:szCs w:val="24"/>
          <w:highlight w:val="none"/>
          <w:lang w:eastAsia="zh-CN"/>
        </w:rPr>
        <w:t>。</w:t>
      </w:r>
    </w:p>
    <w:p w14:paraId="303F994E">
      <w:pPr>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br w:type="page"/>
      </w:r>
    </w:p>
    <w:p w14:paraId="56CD4232">
      <w:pPr>
        <w:pStyle w:val="8"/>
        <w:spacing w:before="121" w:line="229" w:lineRule="auto"/>
        <w:rPr>
          <w:rFonts w:hint="eastAsia" w:ascii="仿宋" w:hAnsi="仿宋" w:eastAsia="仿宋" w:cs="仿宋"/>
          <w:color w:val="auto"/>
          <w:spacing w:val="6"/>
          <w:sz w:val="31"/>
          <w:szCs w:val="31"/>
          <w:highlight w:val="none"/>
          <w14:textOutline w14:w="5793" w14:cap="sq" w14:cmpd="sng">
            <w14:solidFill>
              <w14:srgbClr w14:val="000000"/>
            </w14:solidFill>
            <w14:prstDash w14:val="solid"/>
            <w14:bevel/>
          </w14:textOutline>
        </w:rPr>
      </w:pPr>
      <w:r>
        <w:rPr>
          <w:rFonts w:hint="eastAsia" w:ascii="Times New Roman" w:hAnsi="Times New Roman" w:eastAsia="仿宋" w:cs="Times New Roman"/>
          <w:b/>
          <w:snapToGrid/>
          <w:color w:val="auto"/>
          <w:kern w:val="2"/>
          <w:sz w:val="24"/>
          <w:szCs w:val="20"/>
          <w:highlight w:val="none"/>
          <w:lang w:val="en-US" w:eastAsia="zh-CN" w:bidi="ar-SA"/>
        </w:rPr>
        <w:t>资格性审查表</w:t>
      </w:r>
    </w:p>
    <w:p w14:paraId="1CC9A0DD">
      <w:pPr>
        <w:pStyle w:val="8"/>
        <w:spacing w:before="121" w:line="229" w:lineRule="auto"/>
        <w:jc w:val="center"/>
        <w:rPr>
          <w:rFonts w:hint="eastAsia" w:ascii="仿宋" w:hAnsi="仿宋" w:eastAsia="仿宋" w:cs="仿宋"/>
          <w:color w:val="auto"/>
          <w:sz w:val="31"/>
          <w:szCs w:val="31"/>
          <w:highlight w:val="none"/>
        </w:rPr>
      </w:pPr>
      <w:r>
        <w:rPr>
          <w:rFonts w:hint="eastAsia" w:ascii="仿宋" w:hAnsi="仿宋" w:eastAsia="仿宋" w:cs="仿宋"/>
          <w:color w:val="auto"/>
          <w:spacing w:val="6"/>
          <w:sz w:val="31"/>
          <w:szCs w:val="31"/>
          <w:highlight w:val="none"/>
          <w14:textOutline w14:w="5793" w14:cap="sq" w14:cmpd="sng">
            <w14:solidFill>
              <w14:srgbClr w14:val="000000"/>
            </w14:solidFill>
            <w14:prstDash w14:val="solid"/>
            <w14:bevel/>
          </w14:textOutline>
        </w:rPr>
        <w:t>资格性审查表</w:t>
      </w:r>
    </w:p>
    <w:p w14:paraId="6E6A495B">
      <w:pPr>
        <w:spacing w:line="92" w:lineRule="exact"/>
        <w:rPr>
          <w:rFonts w:hint="eastAsia" w:ascii="仿宋" w:hAnsi="仿宋" w:eastAsia="仿宋" w:cs="仿宋"/>
          <w:color w:val="auto"/>
          <w:highlight w:val="none"/>
        </w:rPr>
      </w:pPr>
    </w:p>
    <w:tbl>
      <w:tblPr>
        <w:tblStyle w:val="25"/>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6801"/>
        <w:gridCol w:w="750"/>
        <w:gridCol w:w="675"/>
        <w:gridCol w:w="646"/>
      </w:tblGrid>
      <w:tr w14:paraId="50D1E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87" w:type="dxa"/>
            <w:vMerge w:val="restart"/>
            <w:tcBorders>
              <w:bottom w:val="nil"/>
            </w:tcBorders>
            <w:vAlign w:val="top"/>
          </w:tcPr>
          <w:p w14:paraId="023C2191">
            <w:pPr>
              <w:spacing w:before="78" w:line="225" w:lineRule="auto"/>
              <w:ind w:left="351"/>
              <w:rPr>
                <w:rFonts w:hint="eastAsia" w:ascii="仿宋" w:hAnsi="仿宋" w:eastAsia="仿宋" w:cs="仿宋"/>
                <w:color w:val="auto"/>
                <w:sz w:val="24"/>
                <w:szCs w:val="24"/>
                <w:highlight w:val="none"/>
              </w:rPr>
            </w:pPr>
          </w:p>
          <w:p w14:paraId="062E7B63">
            <w:pPr>
              <w:pStyle w:val="15"/>
              <w:rPr>
                <w:rFonts w:hint="eastAsia" w:ascii="仿宋" w:hAnsi="仿宋" w:eastAsia="仿宋" w:cs="仿宋"/>
                <w:color w:val="auto"/>
                <w:highlight w:val="none"/>
              </w:rPr>
            </w:pPr>
          </w:p>
          <w:p w14:paraId="2907E8F5">
            <w:pPr>
              <w:pStyle w:val="15"/>
              <w:rPr>
                <w:rFonts w:hint="eastAsia" w:ascii="仿宋" w:hAnsi="仿宋" w:eastAsia="仿宋" w:cs="仿宋"/>
                <w:color w:val="auto"/>
                <w:highlight w:val="none"/>
              </w:rPr>
            </w:pPr>
          </w:p>
        </w:tc>
        <w:tc>
          <w:tcPr>
            <w:tcW w:w="6801" w:type="dxa"/>
            <w:vMerge w:val="restart"/>
            <w:tcBorders>
              <w:bottom w:val="nil"/>
            </w:tcBorders>
            <w:vAlign w:val="top"/>
          </w:tcPr>
          <w:p w14:paraId="56294956">
            <w:pPr>
              <w:pStyle w:val="26"/>
              <w:spacing w:line="262" w:lineRule="auto"/>
              <w:rPr>
                <w:rFonts w:hint="eastAsia" w:ascii="仿宋" w:hAnsi="仿宋" w:eastAsia="仿宋" w:cs="仿宋"/>
                <w:color w:val="auto"/>
                <w:highlight w:val="none"/>
              </w:rPr>
            </w:pPr>
          </w:p>
          <w:p w14:paraId="1C8A9EF4">
            <w:pPr>
              <w:pStyle w:val="26"/>
              <w:spacing w:line="262" w:lineRule="auto"/>
              <w:rPr>
                <w:rFonts w:hint="eastAsia" w:ascii="仿宋" w:hAnsi="仿宋" w:eastAsia="仿宋" w:cs="仿宋"/>
                <w:color w:val="auto"/>
                <w:highlight w:val="none"/>
              </w:rPr>
            </w:pPr>
          </w:p>
          <w:p w14:paraId="30607FF6">
            <w:pPr>
              <w:spacing w:before="78" w:line="223" w:lineRule="auto"/>
              <w:ind w:left="2207"/>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8" w14:cap="sq" w14:cmpd="sng">
                  <w14:solidFill>
                    <w14:srgbClr w14:val="000000"/>
                  </w14:solidFill>
                  <w14:prstDash w14:val="solid"/>
                  <w14:bevel/>
                </w14:textOutline>
              </w:rPr>
              <w:t>评审内容</w:t>
            </w:r>
          </w:p>
        </w:tc>
        <w:tc>
          <w:tcPr>
            <w:tcW w:w="2071" w:type="dxa"/>
            <w:gridSpan w:val="3"/>
            <w:vAlign w:val="top"/>
          </w:tcPr>
          <w:p w14:paraId="6C684EB1">
            <w:pPr>
              <w:spacing w:before="162" w:line="224" w:lineRule="auto"/>
              <w:ind w:left="126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供应商</w:t>
            </w:r>
          </w:p>
        </w:tc>
      </w:tr>
      <w:tr w14:paraId="7E434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787" w:type="dxa"/>
            <w:vMerge w:val="continue"/>
            <w:tcBorders>
              <w:top w:val="nil"/>
            </w:tcBorders>
            <w:vAlign w:val="top"/>
          </w:tcPr>
          <w:p w14:paraId="514D5DAA">
            <w:pPr>
              <w:pStyle w:val="26"/>
              <w:rPr>
                <w:rFonts w:hint="eastAsia" w:ascii="仿宋" w:hAnsi="仿宋" w:eastAsia="仿宋" w:cs="仿宋"/>
                <w:color w:val="auto"/>
                <w:highlight w:val="none"/>
              </w:rPr>
            </w:pPr>
          </w:p>
        </w:tc>
        <w:tc>
          <w:tcPr>
            <w:tcW w:w="6801" w:type="dxa"/>
            <w:vMerge w:val="continue"/>
            <w:tcBorders>
              <w:top w:val="nil"/>
            </w:tcBorders>
            <w:vAlign w:val="top"/>
          </w:tcPr>
          <w:p w14:paraId="133246E7">
            <w:pPr>
              <w:pStyle w:val="26"/>
              <w:rPr>
                <w:rFonts w:hint="eastAsia" w:ascii="仿宋" w:hAnsi="仿宋" w:eastAsia="仿宋" w:cs="仿宋"/>
                <w:color w:val="auto"/>
                <w:highlight w:val="none"/>
              </w:rPr>
            </w:pPr>
          </w:p>
        </w:tc>
        <w:tc>
          <w:tcPr>
            <w:tcW w:w="750" w:type="dxa"/>
            <w:vAlign w:val="top"/>
          </w:tcPr>
          <w:p w14:paraId="1A7500F4">
            <w:pPr>
              <w:spacing w:before="162" w:line="442" w:lineRule="exact"/>
              <w:ind w:left="204"/>
              <w:rPr>
                <w:rFonts w:hint="eastAsia" w:ascii="仿宋" w:hAnsi="仿宋" w:eastAsia="仿宋" w:cs="仿宋"/>
                <w:color w:val="auto"/>
                <w:sz w:val="22"/>
                <w:szCs w:val="22"/>
                <w:highlight w:val="none"/>
              </w:rPr>
            </w:pPr>
            <w:r>
              <w:rPr>
                <w:rFonts w:hint="eastAsia" w:ascii="仿宋" w:hAnsi="仿宋" w:eastAsia="仿宋" w:cs="仿宋"/>
                <w:color w:val="auto"/>
                <w:spacing w:val="-3"/>
                <w:position w:val="16"/>
                <w:sz w:val="22"/>
                <w:szCs w:val="22"/>
                <w:highlight w:val="none"/>
              </w:rPr>
              <w:t>是否</w:t>
            </w:r>
          </w:p>
          <w:p w14:paraId="27829B32">
            <w:pPr>
              <w:spacing w:before="1" w:line="226" w:lineRule="auto"/>
              <w:ind w:left="202"/>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合格</w:t>
            </w:r>
          </w:p>
        </w:tc>
        <w:tc>
          <w:tcPr>
            <w:tcW w:w="675" w:type="dxa"/>
            <w:vAlign w:val="top"/>
          </w:tcPr>
          <w:p w14:paraId="07F0CBDD">
            <w:pPr>
              <w:pStyle w:val="26"/>
              <w:spacing w:line="310" w:lineRule="auto"/>
              <w:rPr>
                <w:rFonts w:hint="eastAsia" w:ascii="仿宋" w:hAnsi="仿宋" w:eastAsia="仿宋" w:cs="仿宋"/>
                <w:color w:val="auto"/>
                <w:highlight w:val="none"/>
              </w:rPr>
            </w:pPr>
          </w:p>
          <w:p w14:paraId="1618C0FD">
            <w:pPr>
              <w:spacing w:before="72" w:line="230" w:lineRule="auto"/>
              <w:ind w:left="158"/>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是否合格</w:t>
            </w:r>
          </w:p>
        </w:tc>
        <w:tc>
          <w:tcPr>
            <w:tcW w:w="646" w:type="dxa"/>
            <w:vAlign w:val="top"/>
          </w:tcPr>
          <w:p w14:paraId="29AFF979">
            <w:pPr>
              <w:pStyle w:val="26"/>
              <w:spacing w:line="310" w:lineRule="auto"/>
              <w:rPr>
                <w:rFonts w:hint="eastAsia" w:ascii="仿宋" w:hAnsi="仿宋" w:eastAsia="仿宋" w:cs="仿宋"/>
                <w:color w:val="auto"/>
                <w:highlight w:val="none"/>
              </w:rPr>
            </w:pPr>
          </w:p>
          <w:p w14:paraId="71081999">
            <w:pPr>
              <w:spacing w:before="72" w:line="230" w:lineRule="auto"/>
              <w:ind w:left="184"/>
              <w:rPr>
                <w:rFonts w:hint="eastAsia" w:ascii="仿宋" w:hAnsi="仿宋" w:eastAsia="仿宋" w:cs="仿宋"/>
                <w:color w:val="auto"/>
                <w:sz w:val="22"/>
                <w:szCs w:val="22"/>
                <w:highlight w:val="none"/>
              </w:rPr>
            </w:pPr>
            <w:r>
              <w:rPr>
                <w:rFonts w:hint="eastAsia" w:ascii="仿宋" w:hAnsi="仿宋" w:eastAsia="仿宋" w:cs="仿宋"/>
                <w:color w:val="auto"/>
                <w:spacing w:val="-2"/>
                <w:sz w:val="22"/>
                <w:szCs w:val="22"/>
                <w:highlight w:val="none"/>
              </w:rPr>
              <w:t>是否合格</w:t>
            </w:r>
          </w:p>
        </w:tc>
      </w:tr>
      <w:tr w14:paraId="1C334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7" w:type="dxa"/>
            <w:vAlign w:val="center"/>
          </w:tcPr>
          <w:p w14:paraId="49D7CDC4">
            <w:pPr>
              <w:spacing w:before="78" w:line="18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801" w:type="dxa"/>
            <w:vAlign w:val="top"/>
          </w:tcPr>
          <w:p w14:paraId="3E5D3051">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rPr>
              <w:t>企业三证合一的法人营业执照或含二维码的营业执照；复印件盖公章</w:t>
            </w:r>
          </w:p>
        </w:tc>
        <w:tc>
          <w:tcPr>
            <w:tcW w:w="750" w:type="dxa"/>
            <w:vAlign w:val="top"/>
          </w:tcPr>
          <w:p w14:paraId="26B0B358">
            <w:pPr>
              <w:pStyle w:val="26"/>
              <w:rPr>
                <w:rFonts w:hint="eastAsia" w:ascii="仿宋" w:hAnsi="仿宋" w:eastAsia="仿宋" w:cs="仿宋"/>
                <w:color w:val="auto"/>
                <w:highlight w:val="none"/>
              </w:rPr>
            </w:pPr>
          </w:p>
        </w:tc>
        <w:tc>
          <w:tcPr>
            <w:tcW w:w="675" w:type="dxa"/>
            <w:vAlign w:val="top"/>
          </w:tcPr>
          <w:p w14:paraId="30CF00FE">
            <w:pPr>
              <w:pStyle w:val="26"/>
              <w:rPr>
                <w:rFonts w:hint="eastAsia" w:ascii="仿宋" w:hAnsi="仿宋" w:eastAsia="仿宋" w:cs="仿宋"/>
                <w:color w:val="auto"/>
                <w:highlight w:val="none"/>
              </w:rPr>
            </w:pPr>
          </w:p>
        </w:tc>
        <w:tc>
          <w:tcPr>
            <w:tcW w:w="646" w:type="dxa"/>
            <w:vAlign w:val="top"/>
          </w:tcPr>
          <w:p w14:paraId="361CF4F3">
            <w:pPr>
              <w:pStyle w:val="26"/>
              <w:rPr>
                <w:rFonts w:hint="eastAsia" w:ascii="仿宋" w:hAnsi="仿宋" w:eastAsia="仿宋" w:cs="仿宋"/>
                <w:color w:val="auto"/>
                <w:highlight w:val="none"/>
              </w:rPr>
            </w:pPr>
          </w:p>
        </w:tc>
      </w:tr>
      <w:tr w14:paraId="7CFC6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7" w:type="dxa"/>
            <w:vAlign w:val="center"/>
          </w:tcPr>
          <w:p w14:paraId="7215B044">
            <w:pPr>
              <w:spacing w:before="78" w:line="185"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801" w:type="dxa"/>
            <w:vAlign w:val="top"/>
          </w:tcPr>
          <w:p w14:paraId="0AD967B6">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rPr>
              <w:t>法定代表人授权书及被授权人身份证，法人本人参与投标提供法人身份证及法人资格证明；复印件盖公章</w:t>
            </w:r>
          </w:p>
        </w:tc>
        <w:tc>
          <w:tcPr>
            <w:tcW w:w="750" w:type="dxa"/>
            <w:vAlign w:val="top"/>
          </w:tcPr>
          <w:p w14:paraId="598B611B">
            <w:pPr>
              <w:pStyle w:val="26"/>
              <w:rPr>
                <w:rFonts w:hint="eastAsia" w:ascii="仿宋" w:hAnsi="仿宋" w:eastAsia="仿宋" w:cs="仿宋"/>
                <w:color w:val="auto"/>
                <w:highlight w:val="none"/>
              </w:rPr>
            </w:pPr>
          </w:p>
        </w:tc>
        <w:tc>
          <w:tcPr>
            <w:tcW w:w="675" w:type="dxa"/>
            <w:vAlign w:val="top"/>
          </w:tcPr>
          <w:p w14:paraId="45436DD4">
            <w:pPr>
              <w:pStyle w:val="26"/>
              <w:rPr>
                <w:rFonts w:hint="eastAsia" w:ascii="仿宋" w:hAnsi="仿宋" w:eastAsia="仿宋" w:cs="仿宋"/>
                <w:color w:val="auto"/>
                <w:highlight w:val="none"/>
              </w:rPr>
            </w:pPr>
          </w:p>
        </w:tc>
        <w:tc>
          <w:tcPr>
            <w:tcW w:w="646" w:type="dxa"/>
            <w:vAlign w:val="top"/>
          </w:tcPr>
          <w:p w14:paraId="67224818">
            <w:pPr>
              <w:pStyle w:val="26"/>
              <w:rPr>
                <w:rFonts w:hint="eastAsia" w:ascii="仿宋" w:hAnsi="仿宋" w:eastAsia="仿宋" w:cs="仿宋"/>
                <w:color w:val="auto"/>
                <w:highlight w:val="none"/>
              </w:rPr>
            </w:pPr>
          </w:p>
        </w:tc>
      </w:tr>
      <w:tr w14:paraId="619B7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7" w:type="dxa"/>
            <w:vAlign w:val="center"/>
          </w:tcPr>
          <w:p w14:paraId="55C5C230">
            <w:pPr>
              <w:pStyle w:val="26"/>
              <w:spacing w:line="259" w:lineRule="auto"/>
              <w:jc w:val="center"/>
              <w:rPr>
                <w:rFonts w:hint="eastAsia" w:ascii="仿宋" w:hAnsi="仿宋" w:eastAsia="仿宋" w:cs="仿宋"/>
                <w:color w:val="auto"/>
                <w:highlight w:val="none"/>
              </w:rPr>
            </w:pPr>
          </w:p>
          <w:p w14:paraId="6783E413">
            <w:pPr>
              <w:spacing w:before="72" w:line="186"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6801" w:type="dxa"/>
            <w:vAlign w:val="top"/>
          </w:tcPr>
          <w:p w14:paraId="30704DE2">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lang w:val="en-US" w:eastAsia="zh-CN"/>
              </w:rPr>
              <w:t>由社保部门或税务局出具的投标单位缴纳的单位社保缴纳证明及个人缴费明细（近半年任意一个月的单位社保缴费凭证及个人缴费明细）；复印件盖公章</w:t>
            </w:r>
          </w:p>
        </w:tc>
        <w:tc>
          <w:tcPr>
            <w:tcW w:w="750" w:type="dxa"/>
            <w:vAlign w:val="top"/>
          </w:tcPr>
          <w:p w14:paraId="1CF03DE2">
            <w:pPr>
              <w:pStyle w:val="26"/>
              <w:rPr>
                <w:rFonts w:hint="eastAsia" w:ascii="仿宋" w:hAnsi="仿宋" w:eastAsia="仿宋" w:cs="仿宋"/>
                <w:color w:val="auto"/>
                <w:highlight w:val="none"/>
              </w:rPr>
            </w:pPr>
          </w:p>
        </w:tc>
        <w:tc>
          <w:tcPr>
            <w:tcW w:w="675" w:type="dxa"/>
            <w:vAlign w:val="top"/>
          </w:tcPr>
          <w:p w14:paraId="074A0B51">
            <w:pPr>
              <w:pStyle w:val="26"/>
              <w:rPr>
                <w:rFonts w:hint="eastAsia" w:ascii="仿宋" w:hAnsi="仿宋" w:eastAsia="仿宋" w:cs="仿宋"/>
                <w:color w:val="auto"/>
                <w:highlight w:val="none"/>
              </w:rPr>
            </w:pPr>
          </w:p>
        </w:tc>
        <w:tc>
          <w:tcPr>
            <w:tcW w:w="646" w:type="dxa"/>
            <w:vAlign w:val="top"/>
          </w:tcPr>
          <w:p w14:paraId="6D4865D4">
            <w:pPr>
              <w:pStyle w:val="26"/>
              <w:rPr>
                <w:rFonts w:hint="eastAsia" w:ascii="仿宋" w:hAnsi="仿宋" w:eastAsia="仿宋" w:cs="仿宋"/>
                <w:color w:val="auto"/>
                <w:highlight w:val="none"/>
              </w:rPr>
            </w:pPr>
          </w:p>
        </w:tc>
      </w:tr>
      <w:tr w14:paraId="7B17E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787" w:type="dxa"/>
            <w:vAlign w:val="center"/>
          </w:tcPr>
          <w:p w14:paraId="70FD4A56">
            <w:pPr>
              <w:spacing w:before="71" w:line="184"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6801" w:type="dxa"/>
            <w:vAlign w:val="top"/>
          </w:tcPr>
          <w:p w14:paraId="143BC619">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lang w:eastAsia="zh-CN"/>
              </w:rPr>
              <w:t>提供本单位</w:t>
            </w:r>
            <w:r>
              <w:rPr>
                <w:rFonts w:hint="eastAsia" w:ascii="仿宋" w:hAnsi="仿宋" w:eastAsia="仿宋" w:cs="仿宋"/>
                <w:color w:val="auto"/>
                <w:spacing w:val="6"/>
                <w:position w:val="17"/>
                <w:sz w:val="20"/>
                <w:szCs w:val="20"/>
                <w:highlight w:val="none"/>
                <w:lang w:val="en-US" w:eastAsia="zh-CN"/>
              </w:rPr>
              <w:t>2024年的</w:t>
            </w:r>
            <w:r>
              <w:rPr>
                <w:rFonts w:hint="eastAsia" w:ascii="仿宋" w:hAnsi="仿宋" w:eastAsia="仿宋" w:cs="仿宋"/>
                <w:color w:val="auto"/>
                <w:spacing w:val="6"/>
                <w:position w:val="17"/>
                <w:sz w:val="20"/>
                <w:szCs w:val="20"/>
                <w:highlight w:val="none"/>
                <w:lang w:eastAsia="zh-CN"/>
              </w:rPr>
              <w:t>经会计师事务所</w:t>
            </w:r>
            <w:r>
              <w:rPr>
                <w:rFonts w:hint="eastAsia" w:ascii="仿宋" w:hAnsi="仿宋" w:eastAsia="仿宋" w:cs="仿宋"/>
                <w:color w:val="auto"/>
                <w:spacing w:val="6"/>
                <w:position w:val="17"/>
                <w:sz w:val="20"/>
                <w:szCs w:val="20"/>
                <w:highlight w:val="none"/>
              </w:rPr>
              <w:t>出具的审计报告复印件须加盖公章</w:t>
            </w:r>
            <w:r>
              <w:rPr>
                <w:rFonts w:hint="eastAsia" w:ascii="仿宋" w:hAnsi="仿宋" w:eastAsia="仿宋" w:cs="仿宋"/>
                <w:color w:val="auto"/>
                <w:spacing w:val="6"/>
                <w:position w:val="17"/>
                <w:sz w:val="20"/>
                <w:szCs w:val="20"/>
                <w:highlight w:val="none"/>
                <w:lang w:val="en-US" w:eastAsia="zh-CN"/>
              </w:rPr>
              <w:t>或投标截止日前</w:t>
            </w:r>
            <w:r>
              <w:rPr>
                <w:rFonts w:hint="eastAsia" w:ascii="仿宋" w:hAnsi="仿宋" w:eastAsia="仿宋" w:cs="仿宋"/>
                <w:color w:val="auto"/>
                <w:spacing w:val="6"/>
                <w:position w:val="17"/>
                <w:sz w:val="20"/>
                <w:szCs w:val="20"/>
                <w:highlight w:val="none"/>
              </w:rPr>
              <w:t>近三个月内有效的银行资信证明。</w:t>
            </w:r>
          </w:p>
        </w:tc>
        <w:tc>
          <w:tcPr>
            <w:tcW w:w="750" w:type="dxa"/>
            <w:vAlign w:val="top"/>
          </w:tcPr>
          <w:p w14:paraId="33892F87">
            <w:pPr>
              <w:pStyle w:val="26"/>
              <w:rPr>
                <w:rFonts w:hint="eastAsia" w:ascii="仿宋" w:hAnsi="仿宋" w:eastAsia="仿宋" w:cs="仿宋"/>
                <w:color w:val="auto"/>
                <w:highlight w:val="none"/>
              </w:rPr>
            </w:pPr>
          </w:p>
        </w:tc>
        <w:tc>
          <w:tcPr>
            <w:tcW w:w="675" w:type="dxa"/>
            <w:vAlign w:val="top"/>
          </w:tcPr>
          <w:p w14:paraId="59BAC637">
            <w:pPr>
              <w:pStyle w:val="26"/>
              <w:rPr>
                <w:rFonts w:hint="eastAsia" w:ascii="仿宋" w:hAnsi="仿宋" w:eastAsia="仿宋" w:cs="仿宋"/>
                <w:color w:val="auto"/>
                <w:highlight w:val="none"/>
              </w:rPr>
            </w:pPr>
          </w:p>
        </w:tc>
        <w:tc>
          <w:tcPr>
            <w:tcW w:w="646" w:type="dxa"/>
            <w:vAlign w:val="top"/>
          </w:tcPr>
          <w:p w14:paraId="020E9D7F">
            <w:pPr>
              <w:pStyle w:val="26"/>
              <w:rPr>
                <w:rFonts w:hint="eastAsia" w:ascii="仿宋" w:hAnsi="仿宋" w:eastAsia="仿宋" w:cs="仿宋"/>
                <w:color w:val="auto"/>
                <w:highlight w:val="none"/>
              </w:rPr>
            </w:pPr>
          </w:p>
        </w:tc>
      </w:tr>
      <w:tr w14:paraId="61C26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787" w:type="dxa"/>
            <w:vAlign w:val="center"/>
          </w:tcPr>
          <w:p w14:paraId="003C4884">
            <w:pPr>
              <w:spacing w:before="71" w:line="182"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6801" w:type="dxa"/>
            <w:vAlign w:val="top"/>
          </w:tcPr>
          <w:p w14:paraId="307B4A07">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lang w:eastAsia="zh-CN"/>
              </w:rPr>
              <w:t>在税务局依法缴纳税款所属日期为近半年任意一个月税收证明的</w:t>
            </w:r>
            <w:r>
              <w:rPr>
                <w:rFonts w:hint="eastAsia" w:ascii="仿宋" w:hAnsi="仿宋" w:eastAsia="仿宋" w:cs="仿宋"/>
                <w:color w:val="auto"/>
                <w:spacing w:val="6"/>
                <w:position w:val="17"/>
                <w:sz w:val="20"/>
                <w:szCs w:val="20"/>
                <w:highlight w:val="none"/>
              </w:rPr>
              <w:t>良好记录及投标截止日内无拖欠税收证明；复印件盖公章</w:t>
            </w:r>
          </w:p>
        </w:tc>
        <w:tc>
          <w:tcPr>
            <w:tcW w:w="750" w:type="dxa"/>
            <w:vAlign w:val="top"/>
          </w:tcPr>
          <w:p w14:paraId="333E4B72">
            <w:pPr>
              <w:pStyle w:val="26"/>
              <w:rPr>
                <w:rFonts w:hint="eastAsia" w:ascii="仿宋" w:hAnsi="仿宋" w:eastAsia="仿宋" w:cs="仿宋"/>
                <w:color w:val="auto"/>
                <w:highlight w:val="none"/>
              </w:rPr>
            </w:pPr>
          </w:p>
        </w:tc>
        <w:tc>
          <w:tcPr>
            <w:tcW w:w="675" w:type="dxa"/>
            <w:vAlign w:val="top"/>
          </w:tcPr>
          <w:p w14:paraId="161A4B9E">
            <w:pPr>
              <w:pStyle w:val="26"/>
              <w:rPr>
                <w:rFonts w:hint="eastAsia" w:ascii="仿宋" w:hAnsi="仿宋" w:eastAsia="仿宋" w:cs="仿宋"/>
                <w:color w:val="auto"/>
                <w:highlight w:val="none"/>
              </w:rPr>
            </w:pPr>
          </w:p>
        </w:tc>
        <w:tc>
          <w:tcPr>
            <w:tcW w:w="646" w:type="dxa"/>
            <w:vAlign w:val="top"/>
          </w:tcPr>
          <w:p w14:paraId="5F25E152">
            <w:pPr>
              <w:pStyle w:val="26"/>
              <w:rPr>
                <w:rFonts w:hint="eastAsia" w:ascii="仿宋" w:hAnsi="仿宋" w:eastAsia="仿宋" w:cs="仿宋"/>
                <w:color w:val="auto"/>
                <w:highlight w:val="none"/>
              </w:rPr>
            </w:pPr>
          </w:p>
        </w:tc>
      </w:tr>
      <w:tr w14:paraId="235D0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1" w:hRule="atLeast"/>
        </w:trPr>
        <w:tc>
          <w:tcPr>
            <w:tcW w:w="787" w:type="dxa"/>
            <w:vAlign w:val="center"/>
          </w:tcPr>
          <w:p w14:paraId="2B7EA256">
            <w:pPr>
              <w:spacing w:before="78" w:line="18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801" w:type="dxa"/>
            <w:vAlign w:val="top"/>
          </w:tcPr>
          <w:p w14:paraId="0736D787">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ascii="仿宋" w:hAnsi="仿宋" w:eastAsia="仿宋" w:cs="仿宋"/>
                <w:color w:val="auto"/>
                <w:spacing w:val="6"/>
                <w:position w:val="17"/>
                <w:sz w:val="20"/>
                <w:szCs w:val="20"/>
                <w:highlight w:val="none"/>
              </w:rPr>
              <w:fldChar w:fldCharType="begin"/>
            </w:r>
            <w:r>
              <w:rPr>
                <w:rFonts w:hint="eastAsia" w:ascii="仿宋" w:hAnsi="仿宋" w:eastAsia="仿宋" w:cs="仿宋"/>
                <w:color w:val="auto"/>
                <w:spacing w:val="6"/>
                <w:position w:val="17"/>
                <w:sz w:val="20"/>
                <w:szCs w:val="20"/>
                <w:highlight w:val="none"/>
              </w:rPr>
              <w:instrText xml:space="preserve"> HYPERLINK "http://www.gsxt.gov.cn/" </w:instrText>
            </w:r>
            <w:r>
              <w:rPr>
                <w:rFonts w:hint="eastAsia" w:ascii="仿宋" w:hAnsi="仿宋" w:eastAsia="仿宋" w:cs="仿宋"/>
                <w:color w:val="auto"/>
                <w:spacing w:val="6"/>
                <w:position w:val="17"/>
                <w:sz w:val="20"/>
                <w:szCs w:val="20"/>
                <w:highlight w:val="none"/>
              </w:rPr>
              <w:fldChar w:fldCharType="separate"/>
            </w:r>
            <w:r>
              <w:rPr>
                <w:rFonts w:hint="eastAsia" w:ascii="仿宋" w:hAnsi="仿宋" w:eastAsia="仿宋" w:cs="仿宋"/>
                <w:color w:val="auto"/>
                <w:spacing w:val="6"/>
                <w:position w:val="17"/>
                <w:sz w:val="20"/>
                <w:szCs w:val="20"/>
                <w:highlight w:val="none"/>
              </w:rPr>
              <w:t>http：//www.gsxt.gov.cn</w:t>
            </w:r>
            <w:r>
              <w:rPr>
                <w:rFonts w:hint="eastAsia" w:ascii="仿宋" w:hAnsi="仿宋" w:eastAsia="仿宋" w:cs="仿宋"/>
                <w:color w:val="auto"/>
                <w:spacing w:val="6"/>
                <w:position w:val="17"/>
                <w:sz w:val="20"/>
                <w:szCs w:val="20"/>
                <w:highlight w:val="none"/>
              </w:rPr>
              <w:fldChar w:fldCharType="end"/>
            </w:r>
            <w:r>
              <w:rPr>
                <w:rFonts w:hint="eastAsia" w:ascii="仿宋" w:hAnsi="仿宋" w:eastAsia="仿宋" w:cs="仿宋"/>
                <w:color w:val="auto"/>
                <w:spacing w:val="6"/>
                <w:position w:val="17"/>
                <w:sz w:val="20"/>
                <w:szCs w:val="20"/>
                <w:highlight w:val="none"/>
              </w:rPr>
              <w:t>）”列入经营异常名录信息、列入严重违法失信企业名单（黑名单）信息的将拒绝其参本次政府采购活动</w:t>
            </w:r>
            <w:r>
              <w:rPr>
                <w:rFonts w:hint="eastAsia" w:ascii="仿宋" w:hAnsi="仿宋" w:eastAsia="仿宋" w:cs="仿宋"/>
                <w:color w:val="auto"/>
                <w:spacing w:val="6"/>
                <w:position w:val="17"/>
                <w:sz w:val="20"/>
                <w:szCs w:val="20"/>
                <w:highlight w:val="none"/>
                <w:lang w:eastAsia="zh-CN"/>
              </w:rPr>
              <w:t>，</w:t>
            </w:r>
            <w:r>
              <w:rPr>
                <w:rFonts w:hint="eastAsia" w:ascii="仿宋" w:hAnsi="仿宋" w:eastAsia="仿宋" w:cs="仿宋"/>
                <w:color w:val="auto"/>
                <w:spacing w:val="6"/>
                <w:position w:val="17"/>
                <w:sz w:val="20"/>
                <w:szCs w:val="20"/>
                <w:highlight w:val="none"/>
                <w:lang w:val="en-US" w:eastAsia="zh-CN"/>
              </w:rPr>
              <w:t>由采购人或采购代理机构查询结果为准。</w:t>
            </w:r>
          </w:p>
        </w:tc>
        <w:tc>
          <w:tcPr>
            <w:tcW w:w="750" w:type="dxa"/>
            <w:vAlign w:val="top"/>
          </w:tcPr>
          <w:p w14:paraId="1F445E67">
            <w:pPr>
              <w:pStyle w:val="26"/>
              <w:rPr>
                <w:rFonts w:hint="eastAsia" w:ascii="仿宋" w:hAnsi="仿宋" w:eastAsia="仿宋" w:cs="仿宋"/>
                <w:color w:val="auto"/>
                <w:highlight w:val="none"/>
              </w:rPr>
            </w:pPr>
          </w:p>
        </w:tc>
        <w:tc>
          <w:tcPr>
            <w:tcW w:w="675" w:type="dxa"/>
            <w:vAlign w:val="top"/>
          </w:tcPr>
          <w:p w14:paraId="7AE126E1">
            <w:pPr>
              <w:pStyle w:val="26"/>
              <w:rPr>
                <w:rFonts w:hint="eastAsia" w:ascii="仿宋" w:hAnsi="仿宋" w:eastAsia="仿宋" w:cs="仿宋"/>
                <w:color w:val="auto"/>
                <w:highlight w:val="none"/>
              </w:rPr>
            </w:pPr>
          </w:p>
        </w:tc>
        <w:tc>
          <w:tcPr>
            <w:tcW w:w="646" w:type="dxa"/>
            <w:vAlign w:val="top"/>
          </w:tcPr>
          <w:p w14:paraId="5E6269A5">
            <w:pPr>
              <w:pStyle w:val="26"/>
              <w:rPr>
                <w:rFonts w:hint="eastAsia" w:ascii="仿宋" w:hAnsi="仿宋" w:eastAsia="仿宋" w:cs="仿宋"/>
                <w:color w:val="auto"/>
                <w:highlight w:val="none"/>
              </w:rPr>
            </w:pPr>
          </w:p>
        </w:tc>
      </w:tr>
      <w:tr w14:paraId="5B9EF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7" w:type="dxa"/>
            <w:vAlign w:val="center"/>
          </w:tcPr>
          <w:p w14:paraId="509DE3DD">
            <w:pPr>
              <w:spacing w:before="78" w:line="18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801" w:type="dxa"/>
            <w:vAlign w:val="top"/>
          </w:tcPr>
          <w:p w14:paraId="1481AF6A">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rPr>
              <w:t>在参加政府采购活动中前三年内无重大违法记录的承诺书；复印件盖公章</w:t>
            </w:r>
          </w:p>
        </w:tc>
        <w:tc>
          <w:tcPr>
            <w:tcW w:w="750" w:type="dxa"/>
            <w:vAlign w:val="top"/>
          </w:tcPr>
          <w:p w14:paraId="54FBF41F">
            <w:pPr>
              <w:pStyle w:val="26"/>
              <w:rPr>
                <w:rFonts w:hint="eastAsia" w:ascii="仿宋" w:hAnsi="仿宋" w:eastAsia="仿宋" w:cs="仿宋"/>
                <w:color w:val="auto"/>
                <w:highlight w:val="none"/>
              </w:rPr>
            </w:pPr>
          </w:p>
        </w:tc>
        <w:tc>
          <w:tcPr>
            <w:tcW w:w="675" w:type="dxa"/>
            <w:vAlign w:val="top"/>
          </w:tcPr>
          <w:p w14:paraId="665DC1F2">
            <w:pPr>
              <w:pStyle w:val="26"/>
              <w:rPr>
                <w:rFonts w:hint="eastAsia" w:ascii="仿宋" w:hAnsi="仿宋" w:eastAsia="仿宋" w:cs="仿宋"/>
                <w:color w:val="auto"/>
                <w:highlight w:val="none"/>
              </w:rPr>
            </w:pPr>
          </w:p>
        </w:tc>
        <w:tc>
          <w:tcPr>
            <w:tcW w:w="646" w:type="dxa"/>
            <w:vAlign w:val="top"/>
          </w:tcPr>
          <w:p w14:paraId="70303EB2">
            <w:pPr>
              <w:pStyle w:val="26"/>
              <w:rPr>
                <w:rFonts w:hint="eastAsia" w:ascii="仿宋" w:hAnsi="仿宋" w:eastAsia="仿宋" w:cs="仿宋"/>
                <w:color w:val="auto"/>
                <w:highlight w:val="none"/>
              </w:rPr>
            </w:pPr>
          </w:p>
        </w:tc>
      </w:tr>
      <w:tr w14:paraId="7A67E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87" w:type="dxa"/>
            <w:vAlign w:val="center"/>
          </w:tcPr>
          <w:p w14:paraId="1B2E50BE">
            <w:pPr>
              <w:spacing w:before="78" w:line="184"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801" w:type="dxa"/>
            <w:vAlign w:val="top"/>
          </w:tcPr>
          <w:p w14:paraId="58123B0A">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rPr>
              <w:t>针对本次采购项目《反商业贿赂承诺书》的书面声明；复印件盖公章</w:t>
            </w:r>
          </w:p>
        </w:tc>
        <w:tc>
          <w:tcPr>
            <w:tcW w:w="750" w:type="dxa"/>
            <w:vAlign w:val="top"/>
          </w:tcPr>
          <w:p w14:paraId="63B67132">
            <w:pPr>
              <w:pStyle w:val="26"/>
              <w:rPr>
                <w:rFonts w:hint="eastAsia" w:ascii="仿宋" w:hAnsi="仿宋" w:eastAsia="仿宋" w:cs="仿宋"/>
                <w:color w:val="auto"/>
                <w:highlight w:val="none"/>
              </w:rPr>
            </w:pPr>
          </w:p>
        </w:tc>
        <w:tc>
          <w:tcPr>
            <w:tcW w:w="675" w:type="dxa"/>
            <w:vAlign w:val="top"/>
          </w:tcPr>
          <w:p w14:paraId="583C3347">
            <w:pPr>
              <w:pStyle w:val="26"/>
              <w:rPr>
                <w:rFonts w:hint="eastAsia" w:ascii="仿宋" w:hAnsi="仿宋" w:eastAsia="仿宋" w:cs="仿宋"/>
                <w:color w:val="auto"/>
                <w:highlight w:val="none"/>
              </w:rPr>
            </w:pPr>
          </w:p>
        </w:tc>
        <w:tc>
          <w:tcPr>
            <w:tcW w:w="646" w:type="dxa"/>
            <w:vAlign w:val="top"/>
          </w:tcPr>
          <w:p w14:paraId="396B7902">
            <w:pPr>
              <w:pStyle w:val="26"/>
              <w:rPr>
                <w:rFonts w:hint="eastAsia" w:ascii="仿宋" w:hAnsi="仿宋" w:eastAsia="仿宋" w:cs="仿宋"/>
                <w:color w:val="auto"/>
                <w:highlight w:val="none"/>
              </w:rPr>
            </w:pPr>
          </w:p>
        </w:tc>
      </w:tr>
      <w:tr w14:paraId="1538B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87" w:type="dxa"/>
            <w:vAlign w:val="center"/>
          </w:tcPr>
          <w:p w14:paraId="0A969DDC">
            <w:pPr>
              <w:spacing w:before="78" w:line="184"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801" w:type="dxa"/>
            <w:vAlign w:val="top"/>
          </w:tcPr>
          <w:p w14:paraId="2C20A6F8">
            <w:pPr>
              <w:spacing w:before="173" w:line="439" w:lineRule="exact"/>
              <w:ind w:left="109"/>
              <w:rPr>
                <w:rFonts w:hint="eastAsia" w:ascii="仿宋" w:hAnsi="仿宋" w:eastAsia="仿宋" w:cs="仿宋"/>
                <w:color w:val="auto"/>
                <w:spacing w:val="6"/>
                <w:position w:val="17"/>
                <w:sz w:val="20"/>
                <w:szCs w:val="20"/>
                <w:highlight w:val="none"/>
                <w:lang w:eastAsia="zh-CN"/>
              </w:rPr>
            </w:pPr>
            <w:r>
              <w:rPr>
                <w:rFonts w:hint="eastAsia" w:ascii="仿宋" w:hAnsi="仿宋" w:eastAsia="仿宋" w:cs="仿宋"/>
                <w:color w:val="auto"/>
                <w:spacing w:val="6"/>
                <w:position w:val="17"/>
                <w:sz w:val="20"/>
                <w:szCs w:val="20"/>
                <w:highlight w:val="none"/>
                <w:lang w:val="en-US" w:eastAsia="zh-CN"/>
              </w:rPr>
              <w:t>所投货物若属于医疗器械管理范畴，按照国家《医疗器械监督管理条例》，投标人须具有医疗器械的生产或经营资格。投标人如为代理商，所投产品属第二类医疗器械的应具有医疗器械经营备案凭证，属第三类医疗器械的应具有医疗器械经营许可证；投标人如为制造商，使用自身生产的产品投标时，所投产品属第一类医疗器械的应具有医疗器械生产备案凭证，属第二类、第三类医疗器械的应具有医疗器械生产许可证。</w:t>
            </w:r>
          </w:p>
        </w:tc>
        <w:tc>
          <w:tcPr>
            <w:tcW w:w="750" w:type="dxa"/>
            <w:vAlign w:val="top"/>
          </w:tcPr>
          <w:p w14:paraId="7D7EA7E9">
            <w:pPr>
              <w:pStyle w:val="26"/>
              <w:rPr>
                <w:rFonts w:hint="eastAsia" w:ascii="仿宋" w:hAnsi="仿宋" w:eastAsia="仿宋" w:cs="仿宋"/>
                <w:color w:val="auto"/>
                <w:highlight w:val="none"/>
              </w:rPr>
            </w:pPr>
          </w:p>
        </w:tc>
        <w:tc>
          <w:tcPr>
            <w:tcW w:w="675" w:type="dxa"/>
            <w:vAlign w:val="top"/>
          </w:tcPr>
          <w:p w14:paraId="238C2378">
            <w:pPr>
              <w:pStyle w:val="26"/>
              <w:rPr>
                <w:rFonts w:hint="eastAsia" w:ascii="仿宋" w:hAnsi="仿宋" w:eastAsia="仿宋" w:cs="仿宋"/>
                <w:color w:val="auto"/>
                <w:highlight w:val="none"/>
              </w:rPr>
            </w:pPr>
          </w:p>
        </w:tc>
        <w:tc>
          <w:tcPr>
            <w:tcW w:w="646" w:type="dxa"/>
            <w:vAlign w:val="top"/>
          </w:tcPr>
          <w:p w14:paraId="657BCDD9">
            <w:pPr>
              <w:pStyle w:val="26"/>
              <w:rPr>
                <w:rFonts w:hint="eastAsia" w:ascii="仿宋" w:hAnsi="仿宋" w:eastAsia="仿宋" w:cs="仿宋"/>
                <w:color w:val="auto"/>
                <w:highlight w:val="none"/>
              </w:rPr>
            </w:pPr>
          </w:p>
        </w:tc>
      </w:tr>
      <w:tr w14:paraId="7D4A2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7" w:type="dxa"/>
            <w:vAlign w:val="top"/>
          </w:tcPr>
          <w:p w14:paraId="7ADA3DEE">
            <w:pPr>
              <w:pStyle w:val="26"/>
              <w:rPr>
                <w:rFonts w:hint="eastAsia" w:ascii="仿宋" w:hAnsi="仿宋" w:eastAsia="仿宋" w:cs="仿宋"/>
                <w:color w:val="auto"/>
                <w:highlight w:val="none"/>
              </w:rPr>
            </w:pPr>
          </w:p>
        </w:tc>
        <w:tc>
          <w:tcPr>
            <w:tcW w:w="6801" w:type="dxa"/>
            <w:vAlign w:val="top"/>
          </w:tcPr>
          <w:p w14:paraId="2C8845CC">
            <w:pPr>
              <w:spacing w:before="173" w:line="439" w:lineRule="exact"/>
              <w:ind w:left="109"/>
              <w:rPr>
                <w:rFonts w:hint="eastAsia" w:ascii="仿宋" w:hAnsi="仿宋" w:eastAsia="仿宋" w:cs="仿宋"/>
                <w:color w:val="auto"/>
                <w:spacing w:val="6"/>
                <w:position w:val="17"/>
                <w:sz w:val="20"/>
                <w:szCs w:val="20"/>
                <w:highlight w:val="none"/>
              </w:rPr>
            </w:pPr>
            <w:r>
              <w:rPr>
                <w:rFonts w:hint="eastAsia" w:ascii="仿宋" w:hAnsi="仿宋" w:eastAsia="仿宋" w:cs="仿宋"/>
                <w:color w:val="auto"/>
                <w:spacing w:val="6"/>
                <w:position w:val="17"/>
                <w:sz w:val="20"/>
                <w:szCs w:val="20"/>
                <w:highlight w:val="none"/>
              </w:rPr>
              <w:t>结论</w:t>
            </w:r>
          </w:p>
        </w:tc>
        <w:tc>
          <w:tcPr>
            <w:tcW w:w="750" w:type="dxa"/>
            <w:vAlign w:val="top"/>
          </w:tcPr>
          <w:p w14:paraId="3EFF199F">
            <w:pPr>
              <w:pStyle w:val="26"/>
              <w:rPr>
                <w:rFonts w:hint="eastAsia" w:ascii="仿宋" w:hAnsi="仿宋" w:eastAsia="仿宋" w:cs="仿宋"/>
                <w:color w:val="auto"/>
                <w:highlight w:val="none"/>
              </w:rPr>
            </w:pPr>
          </w:p>
        </w:tc>
        <w:tc>
          <w:tcPr>
            <w:tcW w:w="675" w:type="dxa"/>
            <w:vAlign w:val="top"/>
          </w:tcPr>
          <w:p w14:paraId="721BB25F">
            <w:pPr>
              <w:pStyle w:val="26"/>
              <w:rPr>
                <w:rFonts w:hint="eastAsia" w:ascii="仿宋" w:hAnsi="仿宋" w:eastAsia="仿宋" w:cs="仿宋"/>
                <w:color w:val="auto"/>
                <w:highlight w:val="none"/>
              </w:rPr>
            </w:pPr>
          </w:p>
        </w:tc>
        <w:tc>
          <w:tcPr>
            <w:tcW w:w="646" w:type="dxa"/>
            <w:vAlign w:val="top"/>
          </w:tcPr>
          <w:p w14:paraId="3A857163">
            <w:pPr>
              <w:pStyle w:val="26"/>
              <w:rPr>
                <w:rFonts w:hint="eastAsia" w:ascii="仿宋" w:hAnsi="仿宋" w:eastAsia="仿宋" w:cs="仿宋"/>
                <w:color w:val="auto"/>
                <w:highlight w:val="none"/>
              </w:rPr>
            </w:pPr>
          </w:p>
        </w:tc>
      </w:tr>
    </w:tbl>
    <w:p w14:paraId="7F88EC68">
      <w:pPr>
        <w:pStyle w:val="8"/>
        <w:spacing w:before="144" w:line="462" w:lineRule="exact"/>
        <w:ind w:left="58"/>
        <w:rPr>
          <w:rFonts w:hint="eastAsia" w:ascii="仿宋" w:hAnsi="仿宋" w:eastAsia="仿宋" w:cs="仿宋"/>
          <w:color w:val="auto"/>
          <w:spacing w:val="-1"/>
          <w:position w:val="16"/>
          <w:sz w:val="24"/>
          <w:szCs w:val="24"/>
          <w:highlight w:val="none"/>
        </w:rPr>
      </w:pPr>
      <w:r>
        <w:rPr>
          <w:rFonts w:hint="eastAsia" w:ascii="仿宋" w:hAnsi="仿宋" w:eastAsia="仿宋" w:cs="仿宋"/>
          <w:color w:val="auto"/>
          <w:spacing w:val="-1"/>
          <w:position w:val="16"/>
          <w:sz w:val="24"/>
          <w:szCs w:val="24"/>
          <w:highlight w:val="none"/>
        </w:rPr>
        <w:t>说明：（1）上述各项中用“√”表示通过，“×”表示不通过；</w:t>
      </w:r>
    </w:p>
    <w:p w14:paraId="7FAE7947">
      <w:pPr>
        <w:pStyle w:val="8"/>
        <w:spacing w:before="144" w:line="462" w:lineRule="exact"/>
        <w:ind w:left="58"/>
        <w:rPr>
          <w:rFonts w:hint="eastAsia" w:ascii="仿宋" w:hAnsi="仿宋" w:eastAsia="仿宋" w:cs="仿宋"/>
          <w:color w:val="auto"/>
          <w:spacing w:val="-1"/>
          <w:position w:val="16"/>
          <w:sz w:val="24"/>
          <w:szCs w:val="24"/>
          <w:highlight w:val="none"/>
        </w:rPr>
      </w:pPr>
      <w:r>
        <w:rPr>
          <w:rFonts w:hint="eastAsia" w:ascii="仿宋" w:hAnsi="仿宋" w:eastAsia="仿宋" w:cs="仿宋"/>
          <w:color w:val="auto"/>
          <w:spacing w:val="-1"/>
          <w:position w:val="16"/>
          <w:sz w:val="24"/>
          <w:szCs w:val="24"/>
          <w:highlight w:val="none"/>
        </w:rPr>
        <w:t>（2）上述各项中如有一项为“×”，则结论为“×”，表示该投标文件中重大偏差，不能通过初步评审；评委对某一分项评审认为不合格时，必须要写</w:t>
      </w:r>
    </w:p>
    <w:p w14:paraId="1D4C7C36">
      <w:pPr>
        <w:pStyle w:val="8"/>
        <w:spacing w:before="144" w:line="462" w:lineRule="exact"/>
        <w:ind w:left="58"/>
        <w:rPr>
          <w:rFonts w:hint="eastAsia" w:ascii="仿宋" w:hAnsi="仿宋" w:eastAsia="仿宋" w:cs="仿宋"/>
          <w:color w:val="auto"/>
          <w:spacing w:val="-1"/>
          <w:position w:val="16"/>
          <w:sz w:val="24"/>
          <w:szCs w:val="24"/>
          <w:highlight w:val="none"/>
        </w:rPr>
      </w:pPr>
      <w:r>
        <w:rPr>
          <w:rFonts w:hint="eastAsia" w:ascii="仿宋" w:hAnsi="仿宋" w:eastAsia="仿宋" w:cs="仿宋"/>
          <w:color w:val="auto"/>
          <w:spacing w:val="-1"/>
          <w:position w:val="16"/>
          <w:sz w:val="24"/>
          <w:szCs w:val="24"/>
          <w:highlight w:val="none"/>
        </w:rPr>
        <w:t>明原因。</w:t>
      </w:r>
    </w:p>
    <w:p w14:paraId="6E8540C4">
      <w:pPr>
        <w:pStyle w:val="8"/>
        <w:spacing w:before="144" w:line="462" w:lineRule="exact"/>
        <w:ind w:left="58"/>
        <w:rPr>
          <w:rFonts w:hint="eastAsia" w:ascii="仿宋" w:hAnsi="仿宋" w:eastAsia="仿宋" w:cs="仿宋"/>
          <w:color w:val="auto"/>
          <w:sz w:val="24"/>
          <w:szCs w:val="24"/>
          <w:highlight w:val="none"/>
        </w:rPr>
      </w:pPr>
      <w:r>
        <w:rPr>
          <w:rFonts w:hint="eastAsia" w:ascii="仿宋" w:hAnsi="仿宋" w:eastAsia="仿宋" w:cs="仿宋"/>
          <w:color w:val="auto"/>
          <w:spacing w:val="-1"/>
          <w:position w:val="16"/>
          <w:sz w:val="24"/>
          <w:szCs w:val="24"/>
          <w:highlight w:val="none"/>
        </w:rPr>
        <w:t>（3）投标文件最终合格与否，以所有评委的评审意见中少数服从多数为原则定</w:t>
      </w:r>
    </w:p>
    <w:p w14:paraId="713AAF0D">
      <w:pPr>
        <w:pStyle w:val="8"/>
        <w:spacing w:line="196" w:lineRule="auto"/>
        <w:ind w:left="33"/>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论。</w:t>
      </w:r>
    </w:p>
    <w:p w14:paraId="7B35413D">
      <w:pPr>
        <w:pStyle w:val="8"/>
        <w:spacing w:before="163" w:line="439" w:lineRule="exact"/>
        <w:ind w:left="41"/>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w:t>
      </w:r>
      <w:r>
        <w:rPr>
          <w:rFonts w:hint="eastAsia" w:ascii="仿宋" w:hAnsi="仿宋" w:eastAsia="仿宋" w:cs="仿宋"/>
          <w:color w:val="auto"/>
          <w:spacing w:val="3"/>
          <w:position w:val="14"/>
          <w:sz w:val="24"/>
          <w:szCs w:val="24"/>
          <w:highlight w:val="none"/>
          <w14:textOutline w14:w="4358" w14:cap="sq" w14:cmpd="sng">
            <w14:solidFill>
              <w14:srgbClr w14:val="000000"/>
            </w14:solidFill>
            <w14:prstDash w14:val="solid"/>
            <w14:bevel/>
          </w14:textOutline>
        </w:rPr>
        <w:t>备注：如果投标文件中有一项未通过上述审查标准，评标委员会将认定整个</w:t>
      </w:r>
    </w:p>
    <w:p w14:paraId="2A7F94F9">
      <w:pPr>
        <w:pStyle w:val="8"/>
        <w:spacing w:line="225" w:lineRule="auto"/>
        <w:ind w:left="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投标文件未响应招标文件而予以废标处理。</w:t>
      </w:r>
    </w:p>
    <w:p w14:paraId="595F763A">
      <w:pPr>
        <w:spacing w:line="225" w:lineRule="auto"/>
        <w:rPr>
          <w:rFonts w:hint="eastAsia" w:ascii="仿宋" w:hAnsi="仿宋" w:eastAsia="仿宋" w:cs="仿宋"/>
          <w:color w:val="auto"/>
          <w:sz w:val="24"/>
          <w:szCs w:val="24"/>
          <w:highlight w:val="none"/>
        </w:rPr>
        <w:sectPr>
          <w:footerReference r:id="rId35" w:type="default"/>
          <w:pgSz w:w="11905" w:h="16838"/>
          <w:pgMar w:top="1440" w:right="1083" w:bottom="1440" w:left="1083" w:header="0" w:footer="1225" w:gutter="0"/>
          <w:pgNumType w:fmt="decimal"/>
          <w:cols w:space="0" w:num="1"/>
          <w:rtlGutter w:val="0"/>
          <w:docGrid w:linePitch="0" w:charSpace="0"/>
        </w:sectPr>
      </w:pPr>
    </w:p>
    <w:p w14:paraId="13BFD5C8">
      <w:pPr>
        <w:pStyle w:val="8"/>
        <w:spacing w:before="121" w:line="229" w:lineRule="auto"/>
        <w:ind w:left="3562"/>
        <w:rPr>
          <w:rFonts w:hint="eastAsia" w:ascii="仿宋" w:hAnsi="仿宋" w:eastAsia="仿宋" w:cs="仿宋"/>
          <w:color w:val="auto"/>
          <w:sz w:val="31"/>
          <w:szCs w:val="31"/>
          <w:highlight w:val="none"/>
        </w:rPr>
      </w:pPr>
      <w:r>
        <w:rPr>
          <w:rFonts w:hint="eastAsia" w:ascii="仿宋" w:hAnsi="仿宋" w:eastAsia="仿宋" w:cs="仿宋"/>
          <w:color w:val="auto"/>
          <w:spacing w:val="8"/>
          <w:sz w:val="31"/>
          <w:szCs w:val="31"/>
          <w:highlight w:val="none"/>
          <w14:textOutline w14:w="5793" w14:cap="sq" w14:cmpd="sng">
            <w14:solidFill>
              <w14:srgbClr w14:val="000000"/>
            </w14:solidFill>
            <w14:prstDash w14:val="solid"/>
            <w14:bevel/>
          </w14:textOutline>
        </w:rPr>
        <w:t>符合性审查表</w:t>
      </w:r>
    </w:p>
    <w:p w14:paraId="4A7C1F78">
      <w:pPr>
        <w:spacing w:line="238" w:lineRule="exact"/>
        <w:rPr>
          <w:rFonts w:hint="eastAsia" w:ascii="仿宋" w:hAnsi="仿宋" w:eastAsia="仿宋" w:cs="仿宋"/>
          <w:color w:val="auto"/>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2326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2031D6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napToGrid/>
                <w:color w:val="auto"/>
                <w:kern w:val="2"/>
                <w:sz w:val="21"/>
                <w:szCs w:val="21"/>
                <w:highlight w:val="none"/>
                <w:vertAlign w:val="baseline"/>
                <w:lang w:val="en-US" w:eastAsia="zh-CN"/>
              </w:rPr>
            </w:pPr>
            <w:r>
              <w:rPr>
                <w:rFonts w:hint="eastAsia" w:ascii="仿宋" w:hAnsi="仿宋" w:eastAsia="仿宋" w:cs="仿宋"/>
                <w:b/>
                <w:bCs/>
                <w:snapToGrid/>
                <w:color w:val="auto"/>
                <w:kern w:val="2"/>
                <w:sz w:val="21"/>
                <w:szCs w:val="21"/>
                <w:highlight w:val="none"/>
                <w:vertAlign w:val="baseline"/>
                <w:lang w:val="en-US" w:eastAsia="zh-CN"/>
              </w:rPr>
              <w:t>序号</w:t>
            </w:r>
          </w:p>
        </w:tc>
        <w:tc>
          <w:tcPr>
            <w:tcW w:w="2132" w:type="dxa"/>
            <w:vAlign w:val="center"/>
          </w:tcPr>
          <w:p w14:paraId="03B25F0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napToGrid/>
                <w:color w:val="auto"/>
                <w:kern w:val="2"/>
                <w:sz w:val="21"/>
                <w:szCs w:val="21"/>
                <w:highlight w:val="none"/>
                <w:vertAlign w:val="baseline"/>
                <w:lang w:val="en-US" w:eastAsia="zh-CN"/>
              </w:rPr>
            </w:pPr>
            <w:r>
              <w:rPr>
                <w:rFonts w:hint="eastAsia" w:ascii="仿宋" w:hAnsi="仿宋" w:eastAsia="仿宋" w:cs="仿宋"/>
                <w:b/>
                <w:bCs/>
                <w:snapToGrid/>
                <w:color w:val="auto"/>
                <w:kern w:val="2"/>
                <w:sz w:val="21"/>
                <w:szCs w:val="21"/>
                <w:highlight w:val="none"/>
                <w:vertAlign w:val="baseline"/>
                <w:lang w:val="en-US" w:eastAsia="zh-CN"/>
              </w:rPr>
              <w:t>审查因素</w:t>
            </w:r>
          </w:p>
        </w:tc>
        <w:tc>
          <w:tcPr>
            <w:tcW w:w="5573" w:type="dxa"/>
            <w:vAlign w:val="center"/>
          </w:tcPr>
          <w:p w14:paraId="48D4E56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napToGrid/>
                <w:color w:val="auto"/>
                <w:kern w:val="2"/>
                <w:sz w:val="21"/>
                <w:szCs w:val="21"/>
                <w:highlight w:val="none"/>
                <w:vertAlign w:val="baseline"/>
                <w:lang w:val="en-US" w:eastAsia="zh-CN"/>
              </w:rPr>
            </w:pPr>
            <w:r>
              <w:rPr>
                <w:rFonts w:hint="eastAsia" w:ascii="仿宋" w:hAnsi="仿宋" w:eastAsia="仿宋" w:cs="仿宋"/>
                <w:b/>
                <w:bCs/>
                <w:snapToGrid/>
                <w:color w:val="auto"/>
                <w:kern w:val="2"/>
                <w:sz w:val="21"/>
                <w:szCs w:val="21"/>
                <w:highlight w:val="none"/>
                <w:vertAlign w:val="baseline"/>
                <w:lang w:val="en-US" w:eastAsia="zh-CN"/>
              </w:rPr>
              <w:t>审查内容</w:t>
            </w:r>
          </w:p>
        </w:tc>
      </w:tr>
      <w:tr w14:paraId="501E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0B74E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1</w:t>
            </w:r>
          </w:p>
        </w:tc>
        <w:tc>
          <w:tcPr>
            <w:tcW w:w="2132" w:type="dxa"/>
            <w:vAlign w:val="center"/>
          </w:tcPr>
          <w:p w14:paraId="09FB746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投标完整性</w:t>
            </w:r>
          </w:p>
        </w:tc>
        <w:tc>
          <w:tcPr>
            <w:tcW w:w="5573" w:type="dxa"/>
            <w:vAlign w:val="center"/>
          </w:tcPr>
          <w:p w14:paraId="319703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未将一个采购包/标项中的内容拆开投标</w:t>
            </w:r>
          </w:p>
        </w:tc>
      </w:tr>
      <w:tr w14:paraId="730F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BF898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2</w:t>
            </w:r>
          </w:p>
        </w:tc>
        <w:tc>
          <w:tcPr>
            <w:tcW w:w="2132" w:type="dxa"/>
            <w:vAlign w:val="center"/>
          </w:tcPr>
          <w:p w14:paraId="678AE84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投标报价</w:t>
            </w:r>
          </w:p>
        </w:tc>
        <w:tc>
          <w:tcPr>
            <w:tcW w:w="5573" w:type="dxa"/>
            <w:vAlign w:val="center"/>
          </w:tcPr>
          <w:p w14:paraId="39357D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64FF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B81B2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3</w:t>
            </w:r>
          </w:p>
        </w:tc>
        <w:tc>
          <w:tcPr>
            <w:tcW w:w="2132" w:type="dxa"/>
            <w:vAlign w:val="center"/>
          </w:tcPr>
          <w:p w14:paraId="5C356A9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报价唯一性</w:t>
            </w:r>
          </w:p>
        </w:tc>
        <w:tc>
          <w:tcPr>
            <w:tcW w:w="5573" w:type="dxa"/>
            <w:vAlign w:val="center"/>
          </w:tcPr>
          <w:p w14:paraId="560D39B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投标文件未出现可选择性或可调整的报价（招标文件另有规定的除外）</w:t>
            </w:r>
          </w:p>
        </w:tc>
      </w:tr>
      <w:tr w14:paraId="5FC7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7" w:type="dxa"/>
            <w:vAlign w:val="center"/>
          </w:tcPr>
          <w:p w14:paraId="7B58882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4</w:t>
            </w:r>
          </w:p>
        </w:tc>
        <w:tc>
          <w:tcPr>
            <w:tcW w:w="2132" w:type="dxa"/>
            <w:vAlign w:val="center"/>
          </w:tcPr>
          <w:p w14:paraId="1F24146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投标有效期</w:t>
            </w:r>
          </w:p>
        </w:tc>
        <w:tc>
          <w:tcPr>
            <w:tcW w:w="5573" w:type="dxa"/>
            <w:vAlign w:val="center"/>
          </w:tcPr>
          <w:p w14:paraId="44C14DE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投标文件中承诺的投标有效期满足招标文件中载明的投标有效期的</w:t>
            </w:r>
          </w:p>
        </w:tc>
      </w:tr>
      <w:tr w14:paraId="7430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04E1B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5</w:t>
            </w:r>
          </w:p>
        </w:tc>
        <w:tc>
          <w:tcPr>
            <w:tcW w:w="2132" w:type="dxa"/>
            <w:vAlign w:val="center"/>
          </w:tcPr>
          <w:p w14:paraId="7F8C2F5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签署、盖章</w:t>
            </w:r>
          </w:p>
        </w:tc>
        <w:tc>
          <w:tcPr>
            <w:tcW w:w="5573" w:type="dxa"/>
            <w:vAlign w:val="center"/>
          </w:tcPr>
          <w:p w14:paraId="1A367AA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按照招标文件要求签署、盖章的</w:t>
            </w:r>
          </w:p>
        </w:tc>
      </w:tr>
      <w:tr w14:paraId="7AF9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C0604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6</w:t>
            </w:r>
          </w:p>
        </w:tc>
        <w:tc>
          <w:tcPr>
            <w:tcW w:w="2132" w:type="dxa"/>
            <w:vAlign w:val="center"/>
          </w:tcPr>
          <w:p w14:paraId="128F90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报价合理性</w:t>
            </w:r>
          </w:p>
        </w:tc>
        <w:tc>
          <w:tcPr>
            <w:tcW w:w="5573" w:type="dxa"/>
            <w:vAlign w:val="center"/>
          </w:tcPr>
          <w:p w14:paraId="6F2A8A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3B90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0DBAF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7</w:t>
            </w:r>
          </w:p>
        </w:tc>
        <w:tc>
          <w:tcPr>
            <w:tcW w:w="2132" w:type="dxa"/>
            <w:vAlign w:val="center"/>
          </w:tcPr>
          <w:p w14:paraId="6F098D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附加条件</w:t>
            </w:r>
          </w:p>
        </w:tc>
        <w:tc>
          <w:tcPr>
            <w:tcW w:w="5573" w:type="dxa"/>
            <w:vAlign w:val="center"/>
          </w:tcPr>
          <w:p w14:paraId="78C8DD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投标文件未含有采购人不能接受的附加条件的</w:t>
            </w:r>
          </w:p>
        </w:tc>
      </w:tr>
      <w:tr w14:paraId="22A5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76891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8</w:t>
            </w:r>
          </w:p>
        </w:tc>
        <w:tc>
          <w:tcPr>
            <w:tcW w:w="2132" w:type="dxa"/>
            <w:vAlign w:val="center"/>
          </w:tcPr>
          <w:p w14:paraId="2ABF63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其他</w:t>
            </w:r>
          </w:p>
        </w:tc>
        <w:tc>
          <w:tcPr>
            <w:tcW w:w="5573" w:type="dxa"/>
            <w:vAlign w:val="center"/>
          </w:tcPr>
          <w:p w14:paraId="6F3DB5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投标文件中不存在违反国家法律、法规和招标文件规定的其他无效情形</w:t>
            </w:r>
          </w:p>
        </w:tc>
      </w:tr>
      <w:tr w14:paraId="3601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9CD4CE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9</w:t>
            </w:r>
          </w:p>
        </w:tc>
        <w:tc>
          <w:tcPr>
            <w:tcW w:w="2132" w:type="dxa"/>
            <w:vAlign w:val="center"/>
          </w:tcPr>
          <w:p w14:paraId="0AC8E4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投标保证金</w:t>
            </w:r>
          </w:p>
        </w:tc>
        <w:tc>
          <w:tcPr>
            <w:tcW w:w="5573" w:type="dxa"/>
            <w:vAlign w:val="center"/>
          </w:tcPr>
          <w:p w14:paraId="4718A2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napToGrid/>
                <w:color w:val="auto"/>
                <w:kern w:val="2"/>
                <w:sz w:val="21"/>
                <w:szCs w:val="21"/>
                <w:highlight w:val="none"/>
                <w:vertAlign w:val="baseline"/>
                <w:lang w:val="en-US" w:eastAsia="zh-CN"/>
              </w:rPr>
            </w:pPr>
            <w:r>
              <w:rPr>
                <w:rFonts w:hint="eastAsia" w:ascii="仿宋" w:hAnsi="仿宋" w:eastAsia="仿宋" w:cs="仿宋"/>
                <w:b w:val="0"/>
                <w:bCs w:val="0"/>
                <w:snapToGrid/>
                <w:color w:val="auto"/>
                <w:kern w:val="2"/>
                <w:sz w:val="21"/>
                <w:szCs w:val="21"/>
                <w:highlight w:val="none"/>
                <w:vertAlign w:val="baseline"/>
                <w:lang w:val="en-US" w:eastAsia="zh-CN"/>
              </w:rPr>
              <w:t>按照招标文件要求缴纳投标保证金</w:t>
            </w:r>
          </w:p>
        </w:tc>
      </w:tr>
    </w:tbl>
    <w:p w14:paraId="7357DAC9">
      <w:pPr>
        <w:spacing w:line="254" w:lineRule="auto"/>
        <w:rPr>
          <w:rFonts w:hint="eastAsia" w:ascii="仿宋" w:hAnsi="仿宋" w:eastAsia="仿宋" w:cs="仿宋"/>
          <w:color w:val="auto"/>
          <w:sz w:val="21"/>
          <w:highlight w:val="none"/>
        </w:rPr>
      </w:pPr>
    </w:p>
    <w:p w14:paraId="378E45F0">
      <w:pPr>
        <w:spacing w:line="254" w:lineRule="auto"/>
        <w:rPr>
          <w:rFonts w:hint="eastAsia" w:ascii="仿宋" w:hAnsi="仿宋" w:eastAsia="仿宋" w:cs="仿宋"/>
          <w:color w:val="auto"/>
          <w:sz w:val="21"/>
          <w:highlight w:val="none"/>
        </w:rPr>
      </w:pPr>
    </w:p>
    <w:p w14:paraId="7A40E5C9">
      <w:pPr>
        <w:pStyle w:val="8"/>
        <w:spacing w:before="78" w:line="232" w:lineRule="auto"/>
        <w:ind w:left="381"/>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说明：</w:t>
      </w:r>
    </w:p>
    <w:p w14:paraId="044BCC67">
      <w:pPr>
        <w:pStyle w:val="8"/>
        <w:spacing w:before="137" w:line="220" w:lineRule="auto"/>
        <w:ind w:left="406"/>
        <w:outlineLvl w:val="2"/>
        <w:rPr>
          <w:rFonts w:hint="eastAsia" w:ascii="仿宋" w:hAnsi="仿宋" w:eastAsia="仿宋" w:cs="仿宋"/>
          <w:color w:val="auto"/>
          <w:sz w:val="24"/>
          <w:szCs w:val="24"/>
          <w:highlight w:val="none"/>
        </w:rPr>
      </w:pPr>
      <w:bookmarkStart w:id="222" w:name="_Toc24122"/>
      <w:r>
        <w:rPr>
          <w:rFonts w:hint="eastAsia" w:ascii="仿宋" w:hAnsi="仿宋" w:eastAsia="仿宋" w:cs="仿宋"/>
          <w:color w:val="auto"/>
          <w:spacing w:val="-8"/>
          <w:sz w:val="24"/>
          <w:szCs w:val="24"/>
          <w:highlight w:val="none"/>
        </w:rPr>
        <w:t>（1）上述各项中用“√”表示通过，“×”表示不通过；</w:t>
      </w:r>
      <w:bookmarkEnd w:id="222"/>
    </w:p>
    <w:p w14:paraId="54D837EF">
      <w:pPr>
        <w:pStyle w:val="8"/>
        <w:spacing w:before="152" w:line="339" w:lineRule="auto"/>
        <w:ind w:left="392" w:right="373" w:firstLine="14"/>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（2）上述各项中如有一项为“×”，则结论为“</w:t>
      </w:r>
      <w:r>
        <w:rPr>
          <w:rFonts w:hint="eastAsia" w:ascii="仿宋" w:hAnsi="仿宋" w:eastAsia="仿宋" w:cs="仿宋"/>
          <w:color w:val="auto"/>
          <w:spacing w:val="-6"/>
          <w:sz w:val="24"/>
          <w:szCs w:val="24"/>
          <w:highlight w:val="none"/>
        </w:rPr>
        <w:t>×”，表示该投标文件中存在</w:t>
      </w:r>
      <w:r>
        <w:rPr>
          <w:rFonts w:hint="eastAsia" w:ascii="仿宋" w:hAnsi="仿宋" w:eastAsia="仿宋" w:cs="仿宋"/>
          <w:color w:val="auto"/>
          <w:spacing w:val="3"/>
          <w:sz w:val="24"/>
          <w:szCs w:val="24"/>
          <w:highlight w:val="none"/>
        </w:rPr>
        <w:t>重大偏差，不能通过初步评审；评委对某一分项评审认为不合格时，必须要写</w:t>
      </w:r>
    </w:p>
    <w:p w14:paraId="0B3F5EA4">
      <w:pPr>
        <w:pStyle w:val="8"/>
        <w:spacing w:before="1" w:line="226" w:lineRule="auto"/>
        <w:ind w:left="406"/>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明原因。</w:t>
      </w:r>
    </w:p>
    <w:p w14:paraId="2B0AABE9">
      <w:pPr>
        <w:pStyle w:val="8"/>
        <w:spacing w:before="144" w:line="463" w:lineRule="exact"/>
        <w:ind w:left="406"/>
        <w:rPr>
          <w:rFonts w:hint="eastAsia" w:ascii="仿宋" w:hAnsi="仿宋" w:eastAsia="仿宋" w:cs="仿宋"/>
          <w:color w:val="auto"/>
          <w:sz w:val="24"/>
          <w:szCs w:val="24"/>
          <w:highlight w:val="none"/>
        </w:rPr>
      </w:pPr>
      <w:r>
        <w:rPr>
          <w:rFonts w:hint="eastAsia" w:ascii="仿宋" w:hAnsi="仿宋" w:eastAsia="仿宋" w:cs="仿宋"/>
          <w:color w:val="auto"/>
          <w:spacing w:val="-1"/>
          <w:position w:val="16"/>
          <w:sz w:val="24"/>
          <w:szCs w:val="24"/>
          <w:highlight w:val="none"/>
        </w:rPr>
        <w:t>（3）投标文件最终合格与否，以所有评委的评审意见中少数服从多数为原则定</w:t>
      </w:r>
    </w:p>
    <w:p w14:paraId="7A9439CA">
      <w:pPr>
        <w:pStyle w:val="8"/>
        <w:spacing w:line="196" w:lineRule="auto"/>
        <w:ind w:left="381"/>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论。</w:t>
      </w:r>
    </w:p>
    <w:p w14:paraId="05A9AE86">
      <w:pPr>
        <w:pStyle w:val="8"/>
        <w:spacing w:before="163" w:line="439" w:lineRule="exact"/>
        <w:ind w:left="389"/>
        <w:rPr>
          <w:rFonts w:hint="eastAsia" w:ascii="仿宋" w:hAnsi="仿宋" w:eastAsia="仿宋" w:cs="仿宋"/>
          <w:color w:val="auto"/>
          <w:sz w:val="24"/>
          <w:szCs w:val="24"/>
          <w:highlight w:val="none"/>
        </w:rPr>
      </w:pPr>
      <w:r>
        <w:rPr>
          <w:rFonts w:hint="eastAsia" w:ascii="仿宋" w:hAnsi="仿宋" w:eastAsia="仿宋" w:cs="仿宋"/>
          <w:color w:val="auto"/>
          <w:spacing w:val="3"/>
          <w:position w:val="14"/>
          <w:sz w:val="24"/>
          <w:szCs w:val="24"/>
          <w:highlight w:val="none"/>
        </w:rPr>
        <w:t>★</w:t>
      </w:r>
      <w:r>
        <w:rPr>
          <w:rFonts w:hint="eastAsia" w:ascii="仿宋" w:hAnsi="仿宋" w:eastAsia="仿宋" w:cs="仿宋"/>
          <w:color w:val="auto"/>
          <w:spacing w:val="3"/>
          <w:position w:val="14"/>
          <w:sz w:val="24"/>
          <w:szCs w:val="24"/>
          <w:highlight w:val="none"/>
          <w14:textOutline w14:w="4358" w14:cap="sq" w14:cmpd="sng">
            <w14:solidFill>
              <w14:srgbClr w14:val="000000"/>
            </w14:solidFill>
            <w14:prstDash w14:val="solid"/>
            <w14:bevel/>
          </w14:textOutline>
        </w:rPr>
        <w:t>备注：如果投标文件中有一项未通过上述审查标准，评标委员会将认定整个</w:t>
      </w:r>
    </w:p>
    <w:p w14:paraId="41D543D3">
      <w:pPr>
        <w:pStyle w:val="8"/>
        <w:spacing w:before="1" w:line="225" w:lineRule="auto"/>
        <w:ind w:left="38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8" w14:cap="sq" w14:cmpd="sng">
            <w14:solidFill>
              <w14:srgbClr w14:val="000000"/>
            </w14:solidFill>
            <w14:prstDash w14:val="solid"/>
            <w14:bevel/>
          </w14:textOutline>
        </w:rPr>
        <w:t>投标文件未响应招标文件而予以废标处理。</w:t>
      </w:r>
    </w:p>
    <w:p w14:paraId="4B62B9F3">
      <w:pPr>
        <w:spacing w:line="225" w:lineRule="auto"/>
        <w:rPr>
          <w:rFonts w:hint="eastAsia" w:ascii="仿宋" w:hAnsi="仿宋" w:eastAsia="仿宋" w:cs="仿宋"/>
          <w:color w:val="auto"/>
          <w:sz w:val="24"/>
          <w:szCs w:val="24"/>
          <w:highlight w:val="none"/>
        </w:rPr>
        <w:sectPr>
          <w:headerReference r:id="rId36" w:type="default"/>
          <w:footerReference r:id="rId37" w:type="default"/>
          <w:pgSz w:w="11905" w:h="16838"/>
          <w:pgMar w:top="1440" w:right="1083" w:bottom="1440" w:left="1083" w:header="0" w:footer="1225" w:gutter="0"/>
          <w:pgNumType w:fmt="decimal"/>
          <w:cols w:space="0" w:num="1"/>
          <w:rtlGutter w:val="0"/>
          <w:docGrid w:linePitch="0" w:charSpace="0"/>
        </w:sectPr>
      </w:pPr>
    </w:p>
    <w:p w14:paraId="6B5EE00E">
      <w:pPr>
        <w:spacing w:line="289" w:lineRule="auto"/>
        <w:jc w:val="center"/>
        <w:rPr>
          <w:rFonts w:hint="eastAsia" w:ascii="仿宋" w:hAnsi="仿宋" w:eastAsia="仿宋" w:cs="仿宋"/>
          <w:color w:val="auto"/>
          <w:sz w:val="21"/>
          <w:highlight w:val="none"/>
        </w:rPr>
      </w:pPr>
      <w:r>
        <w:rPr>
          <w:rFonts w:hint="eastAsia" w:ascii="仿宋" w:hAnsi="仿宋" w:eastAsia="仿宋" w:cs="仿宋"/>
          <w:color w:val="auto"/>
          <w:spacing w:val="6"/>
          <w:sz w:val="35"/>
          <w:szCs w:val="35"/>
          <w:highlight w:val="none"/>
          <w14:textOutline w14:w="6537" w14:cap="sq" w14:cmpd="sng">
            <w14:solidFill>
              <w14:srgbClr w14:val="000000"/>
            </w14:solidFill>
            <w14:prstDash w14:val="solid"/>
            <w14:bevel/>
          </w14:textOutline>
        </w:rPr>
        <w:t>综合评分表</w:t>
      </w:r>
    </w:p>
    <w:tbl>
      <w:tblPr>
        <w:tblStyle w:val="22"/>
        <w:tblW w:w="10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2221"/>
        <w:gridCol w:w="1226"/>
        <w:gridCol w:w="5769"/>
      </w:tblGrid>
      <w:tr w14:paraId="649E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50" w:type="dxa"/>
            <w:noWrap w:val="0"/>
            <w:vAlign w:val="center"/>
          </w:tcPr>
          <w:p w14:paraId="2F485E93">
            <w:pPr>
              <w:keepNext w:val="0"/>
              <w:keepLines w:val="0"/>
              <w:pageBreakBefore w:val="0"/>
              <w:widowControl w:val="0"/>
              <w:kinsoku/>
              <w:wordWrap/>
              <w:overflowPunct/>
              <w:topLinePunct w:val="0"/>
              <w:autoSpaceDE/>
              <w:autoSpaceDN/>
              <w:bidi w:val="0"/>
              <w:adjustRightInd/>
              <w:snapToGrid/>
              <w:spacing w:line="250" w:lineRule="exact"/>
              <w:ind w:firstLine="28"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color w:val="auto"/>
                <w:sz w:val="24"/>
                <w:szCs w:val="24"/>
                <w:highlight w:val="none"/>
                <w:lang w:val="en-US" w:eastAsia="zh-CN"/>
              </w:rPr>
              <w:t>类别</w:t>
            </w:r>
          </w:p>
        </w:tc>
        <w:tc>
          <w:tcPr>
            <w:tcW w:w="2221" w:type="dxa"/>
            <w:noWrap w:val="0"/>
            <w:vAlign w:val="center"/>
          </w:tcPr>
          <w:p w14:paraId="11EED452">
            <w:pPr>
              <w:keepNext w:val="0"/>
              <w:keepLines w:val="0"/>
              <w:pageBreakBefore w:val="0"/>
              <w:widowControl w:val="0"/>
              <w:kinsoku/>
              <w:wordWrap/>
              <w:overflowPunct/>
              <w:topLinePunct w:val="0"/>
              <w:autoSpaceDE/>
              <w:autoSpaceDN/>
              <w:bidi w:val="0"/>
              <w:adjustRightInd/>
              <w:snapToGrid/>
              <w:spacing w:line="250" w:lineRule="exact"/>
              <w:ind w:firstLine="28"/>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w:t>
            </w:r>
          </w:p>
          <w:p w14:paraId="0F5534EB">
            <w:pPr>
              <w:keepNext w:val="0"/>
              <w:keepLines w:val="0"/>
              <w:pageBreakBefore w:val="0"/>
              <w:widowControl w:val="0"/>
              <w:kinsoku/>
              <w:wordWrap/>
              <w:overflowPunct/>
              <w:topLinePunct w:val="0"/>
              <w:autoSpaceDE/>
              <w:autoSpaceDN/>
              <w:bidi w:val="0"/>
              <w:adjustRightInd/>
              <w:snapToGrid/>
              <w:spacing w:line="250" w:lineRule="exact"/>
              <w:ind w:firstLine="28"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color w:val="auto"/>
                <w:sz w:val="24"/>
                <w:szCs w:val="24"/>
                <w:highlight w:val="none"/>
              </w:rPr>
              <w:t>项目</w:t>
            </w:r>
          </w:p>
        </w:tc>
        <w:tc>
          <w:tcPr>
            <w:tcW w:w="1226" w:type="dxa"/>
            <w:noWrap w:val="0"/>
            <w:vAlign w:val="center"/>
          </w:tcPr>
          <w:p w14:paraId="2CCC1C54">
            <w:pPr>
              <w:keepNext w:val="0"/>
              <w:keepLines w:val="0"/>
              <w:pageBreakBefore w:val="0"/>
              <w:widowControl w:val="0"/>
              <w:kinsoku/>
              <w:wordWrap/>
              <w:overflowPunct/>
              <w:topLinePunct w:val="0"/>
              <w:autoSpaceDE/>
              <w:autoSpaceDN/>
              <w:bidi w:val="0"/>
              <w:adjustRightInd/>
              <w:snapToGrid/>
              <w:spacing w:line="250" w:lineRule="exact"/>
              <w:ind w:firstLine="28"/>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满分</w:t>
            </w:r>
          </w:p>
          <w:p w14:paraId="126D00B1">
            <w:pPr>
              <w:keepNext w:val="0"/>
              <w:keepLines w:val="0"/>
              <w:pageBreakBefore w:val="0"/>
              <w:widowControl w:val="0"/>
              <w:kinsoku/>
              <w:wordWrap/>
              <w:overflowPunct/>
              <w:topLinePunct w:val="0"/>
              <w:autoSpaceDE/>
              <w:autoSpaceDN/>
              <w:bidi w:val="0"/>
              <w:adjustRightInd/>
              <w:snapToGrid/>
              <w:spacing w:line="250" w:lineRule="exact"/>
              <w:ind w:firstLine="28"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color w:val="auto"/>
                <w:sz w:val="24"/>
                <w:szCs w:val="24"/>
                <w:highlight w:val="none"/>
              </w:rPr>
              <w:t>分值</w:t>
            </w:r>
          </w:p>
        </w:tc>
        <w:tc>
          <w:tcPr>
            <w:tcW w:w="5769" w:type="dxa"/>
            <w:noWrap w:val="0"/>
            <w:vAlign w:val="center"/>
          </w:tcPr>
          <w:p w14:paraId="658FA549">
            <w:pPr>
              <w:keepNext w:val="0"/>
              <w:keepLines w:val="0"/>
              <w:pageBreakBefore w:val="0"/>
              <w:widowControl w:val="0"/>
              <w:kinsoku/>
              <w:wordWrap/>
              <w:overflowPunct/>
              <w:topLinePunct w:val="0"/>
              <w:autoSpaceDE/>
              <w:autoSpaceDN/>
              <w:bidi w:val="0"/>
              <w:adjustRightInd/>
              <w:snapToGrid/>
              <w:spacing w:line="250" w:lineRule="exact"/>
              <w:ind w:firstLine="28"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color w:val="auto"/>
                <w:sz w:val="24"/>
                <w:szCs w:val="24"/>
                <w:highlight w:val="none"/>
              </w:rPr>
              <w:t>评分标准</w:t>
            </w:r>
          </w:p>
        </w:tc>
      </w:tr>
      <w:tr w14:paraId="3305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1350" w:type="dxa"/>
            <w:noWrap w:val="0"/>
            <w:vAlign w:val="center"/>
          </w:tcPr>
          <w:p w14:paraId="56C4A076">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投标报价（30分）</w:t>
            </w:r>
          </w:p>
        </w:tc>
        <w:tc>
          <w:tcPr>
            <w:tcW w:w="2221" w:type="dxa"/>
            <w:noWrap w:val="0"/>
            <w:vAlign w:val="center"/>
          </w:tcPr>
          <w:p w14:paraId="43D48E2E">
            <w:pPr>
              <w:widowControl w:val="0"/>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投标报价评分标准</w:t>
            </w:r>
          </w:p>
        </w:tc>
        <w:tc>
          <w:tcPr>
            <w:tcW w:w="1226" w:type="dxa"/>
            <w:noWrap w:val="0"/>
            <w:vAlign w:val="center"/>
          </w:tcPr>
          <w:p w14:paraId="2C97C851">
            <w:pPr>
              <w:widowControl w:val="0"/>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5769" w:type="dxa"/>
            <w:noWrap w:val="0"/>
            <w:vAlign w:val="center"/>
          </w:tcPr>
          <w:p w14:paraId="659215BE">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100；计算分数时四舍五入取小数点后两位,分数最高不超过30分。</w:t>
            </w:r>
          </w:p>
          <w:p w14:paraId="4627353C">
            <w:pPr>
              <w:widowControl w:val="0"/>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因落实政府采购政策进行价格调整的，以调整后的价格计算基准价和最后报价。</w:t>
            </w:r>
          </w:p>
        </w:tc>
      </w:tr>
      <w:tr w14:paraId="6540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350" w:type="dxa"/>
            <w:vMerge w:val="restart"/>
            <w:noWrap w:val="0"/>
            <w:vAlign w:val="center"/>
          </w:tcPr>
          <w:p w14:paraId="351E147E">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商务及技术评分</w:t>
            </w:r>
          </w:p>
          <w:p w14:paraId="666D662F">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70分</w:t>
            </w:r>
          </w:p>
        </w:tc>
        <w:tc>
          <w:tcPr>
            <w:tcW w:w="2221" w:type="dxa"/>
            <w:noWrap w:val="0"/>
            <w:vAlign w:val="center"/>
          </w:tcPr>
          <w:p w14:paraId="01517540">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企业业绩</w:t>
            </w:r>
          </w:p>
        </w:tc>
        <w:tc>
          <w:tcPr>
            <w:tcW w:w="1226" w:type="dxa"/>
            <w:noWrap w:val="0"/>
            <w:vAlign w:val="center"/>
          </w:tcPr>
          <w:p w14:paraId="472461A1">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4分</w:t>
            </w:r>
          </w:p>
        </w:tc>
        <w:tc>
          <w:tcPr>
            <w:tcW w:w="5769" w:type="dxa"/>
            <w:noWrap w:val="0"/>
            <w:vAlign w:val="center"/>
          </w:tcPr>
          <w:p w14:paraId="515EB61B">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供应商或制造商2022年6月至今(以合同订时间为准)具有的类似项目业绩进行评审，每提供一个项目业绩得1分，最高得4分。需提供中标/成交通知书、合同(合同关键页包括但不限于合同封面、合同金额、双方签字盖章页等)及验收证明。不提供或提供不全不得分。</w:t>
            </w:r>
          </w:p>
        </w:tc>
      </w:tr>
      <w:tr w14:paraId="3841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350" w:type="dxa"/>
            <w:vMerge w:val="continue"/>
            <w:noWrap w:val="0"/>
            <w:vAlign w:val="center"/>
          </w:tcPr>
          <w:p w14:paraId="675856E1">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7E269692">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技术参数</w:t>
            </w:r>
          </w:p>
        </w:tc>
        <w:tc>
          <w:tcPr>
            <w:tcW w:w="1226" w:type="dxa"/>
            <w:noWrap w:val="0"/>
            <w:vAlign w:val="center"/>
          </w:tcPr>
          <w:p w14:paraId="33351654">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5769" w:type="dxa"/>
            <w:noWrap w:val="0"/>
            <w:vAlign w:val="center"/>
          </w:tcPr>
          <w:p w14:paraId="6950691A">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根据投标人响应采购文件技术参数情况进行评比。</w:t>
            </w:r>
          </w:p>
          <w:p w14:paraId="7FD8BDBD">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技术参数：其中带“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”标志的为核心参数，每有一项不满足或负偏离的扣2分，扣完为止；其余参数指标每有一项不满足或负偏离的扣1分，扣完为止。</w:t>
            </w:r>
          </w:p>
          <w:p w14:paraId="674A3CF4">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w:t>
            </w:r>
            <w:bookmarkStart w:id="223" w:name="OLE_LINK9"/>
            <w:r>
              <w:rPr>
                <w:rFonts w:hint="eastAsia" w:ascii="仿宋" w:hAnsi="仿宋" w:eastAsia="仿宋" w:cs="仿宋"/>
                <w:color w:val="auto"/>
                <w:sz w:val="24"/>
                <w:szCs w:val="24"/>
                <w:highlight w:val="none"/>
                <w:lang w:val="en-US" w:eastAsia="zh-CN"/>
              </w:rPr>
              <w:t>投标人需如实填写所投产品参数，并提供能够证明其参数真实有的证明文件</w:t>
            </w:r>
            <w:bookmarkStart w:id="224" w:name="OLE_LINK10"/>
            <w:r>
              <w:rPr>
                <w:rFonts w:hint="eastAsia" w:ascii="仿宋" w:hAnsi="仿宋" w:eastAsia="仿宋" w:cs="仿宋"/>
                <w:color w:val="auto"/>
                <w:sz w:val="24"/>
                <w:szCs w:val="24"/>
                <w:highlight w:val="none"/>
                <w:lang w:val="en-US" w:eastAsia="zh-CN"/>
              </w:rPr>
              <w:t>（例如投标产品彩页或第三方检测报告或使用说明书/白皮书或产品功能截图等可以证明响应采购需求的其他文件），若证明文件无法证明参数真实有效或者投标文件中技术支持资料参数与技术规格偏离表应答不符、无支持资料应答，而投标人又未在投标文件中作出说明和解释的，视为不响应该条技术参数要求</w:t>
            </w:r>
            <w:bookmarkEnd w:id="223"/>
            <w:r>
              <w:rPr>
                <w:rFonts w:hint="eastAsia" w:ascii="仿宋" w:hAnsi="仿宋" w:eastAsia="仿宋" w:cs="仿宋"/>
                <w:color w:val="auto"/>
                <w:sz w:val="24"/>
                <w:szCs w:val="24"/>
                <w:highlight w:val="none"/>
                <w:lang w:val="en-US" w:eastAsia="zh-CN"/>
              </w:rPr>
              <w:t>或以评审小组集体意见为准）</w:t>
            </w:r>
            <w:bookmarkEnd w:id="224"/>
          </w:p>
          <w:p w14:paraId="5E0A5111">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”号设备为本项目核心参数，未标注为一般指标。如出现负偏离的则按照评分表进行扣分。投标供应商须在投标文件中按照采购文件的要求提供技术应答的证明材料。</w:t>
            </w:r>
          </w:p>
        </w:tc>
      </w:tr>
      <w:tr w14:paraId="2CB3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350" w:type="dxa"/>
            <w:vMerge w:val="continue"/>
            <w:noWrap w:val="0"/>
            <w:vAlign w:val="center"/>
          </w:tcPr>
          <w:p w14:paraId="645AC816">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009C142A">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整体实施方案</w:t>
            </w:r>
          </w:p>
        </w:tc>
        <w:tc>
          <w:tcPr>
            <w:tcW w:w="1226" w:type="dxa"/>
            <w:noWrap w:val="0"/>
            <w:vAlign w:val="center"/>
          </w:tcPr>
          <w:p w14:paraId="481E063F">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5769" w:type="dxa"/>
            <w:noWrap w:val="0"/>
            <w:vAlign w:val="center"/>
          </w:tcPr>
          <w:p w14:paraId="2F499596">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根据投标人提供的整体实施方案进行综合评审:内容包括但不限于：</w:t>
            </w:r>
          </w:p>
          <w:p w14:paraId="5482AB75">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包装方案；②保管方案；③供货方案；④配送方案；⑤配送流程；⑥安装调试验收方案。评标委员会根据以上内容每提供一项详细完整得1分，共计6分，其中每有一项缺项或不能满足采购方需求的扣1分，每有一处缺陷扣0.5分，直至全部扣完为止。</w:t>
            </w:r>
          </w:p>
          <w:p w14:paraId="3ED5DAE0">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逐辑错误、地点区城错误、内容缺失。</w:t>
            </w:r>
          </w:p>
        </w:tc>
      </w:tr>
      <w:tr w14:paraId="63ED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1350" w:type="dxa"/>
            <w:vMerge w:val="continue"/>
            <w:noWrap w:val="0"/>
            <w:vAlign w:val="center"/>
          </w:tcPr>
          <w:p w14:paraId="1FB047C0">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6774604D">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培训方案</w:t>
            </w:r>
          </w:p>
        </w:tc>
        <w:tc>
          <w:tcPr>
            <w:tcW w:w="1226" w:type="dxa"/>
            <w:noWrap w:val="0"/>
            <w:vAlign w:val="center"/>
          </w:tcPr>
          <w:p w14:paraId="7004FF05">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5769" w:type="dxa"/>
            <w:noWrap w:val="0"/>
            <w:vAlign w:val="center"/>
          </w:tcPr>
          <w:p w14:paraId="389D9463">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培训方案进行综合评审:内容包括但不限于：①培训时间、培训地点、培训方式；②生产厂家技术培训人员（提供相关证件及劳务合同）；③培训产品基本原理、操作使用和保养维修。评标委员会根据以上内容每提供一项详细完整得1分，共计3分，其中每有一项缺项或不能满足采购方需求的扣1分，每有一处缺陷扣0.5分，直至全部扣完为止。</w:t>
            </w:r>
          </w:p>
          <w:p w14:paraId="17693658">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逐辑错误、地点区城错误、内容缺失。</w:t>
            </w:r>
          </w:p>
        </w:tc>
      </w:tr>
      <w:tr w14:paraId="1BED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50" w:type="dxa"/>
            <w:vMerge w:val="continue"/>
            <w:noWrap w:val="0"/>
            <w:vAlign w:val="center"/>
          </w:tcPr>
          <w:p w14:paraId="2B74E8C2">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4835EA6C">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1226" w:type="dxa"/>
            <w:noWrap w:val="0"/>
            <w:vAlign w:val="center"/>
          </w:tcPr>
          <w:p w14:paraId="3174540C">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c>
          <w:tcPr>
            <w:tcW w:w="5769" w:type="dxa"/>
            <w:noWrap w:val="0"/>
            <w:vAlign w:val="center"/>
          </w:tcPr>
          <w:p w14:paraId="708F5F9B">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售后服务方案进行综合评审:内容包括但不限于1、供应商根据本项目的采购需求制定售后方案：①售后服务场所设立情况；②响应时间、到场时间；③售后服务流程；④售后承诺及退换货承诺。评标委员会根据以上内容每提供一项详细完整得1分，共计4分，其中每有一项缺项或不能满足采购方需求的扣1分，每有一处缺陷扣0.5分，直至全部扣完为止。</w:t>
            </w:r>
          </w:p>
          <w:p w14:paraId="5C1C21D3">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2、供应商或制造商须有正规的售后维修服务机构及完善的人员配置。提供至少10名的专职人员（须提供相应证件及劳务合同）得</w:t>
            </w:r>
            <w:bookmarkStart w:id="225" w:name="OLE_LINK8"/>
            <w:r>
              <w:rPr>
                <w:rFonts w:hint="eastAsia" w:ascii="仿宋" w:hAnsi="仿宋" w:eastAsia="仿宋" w:cs="仿宋"/>
                <w:color w:val="auto"/>
                <w:sz w:val="24"/>
                <w:szCs w:val="24"/>
                <w:highlight w:val="none"/>
                <w:lang w:val="en-US" w:eastAsia="zh-CN"/>
              </w:rPr>
              <w:t>2</w:t>
            </w:r>
            <w:bookmarkEnd w:id="225"/>
            <w:r>
              <w:rPr>
                <w:rFonts w:hint="eastAsia" w:ascii="仿宋" w:hAnsi="仿宋" w:eastAsia="仿宋" w:cs="仿宋"/>
                <w:color w:val="auto"/>
                <w:sz w:val="24"/>
                <w:szCs w:val="24"/>
                <w:highlight w:val="none"/>
                <w:lang w:val="en-US" w:eastAsia="zh-CN"/>
              </w:rPr>
              <w:t>分，每增加3名专职人员加0.5分，最多加1分。</w:t>
            </w:r>
            <w:bookmarkStart w:id="226" w:name="OLE_LINK6"/>
            <w:r>
              <w:rPr>
                <w:rFonts w:hint="eastAsia" w:ascii="仿宋" w:hAnsi="仿宋" w:eastAsia="仿宋" w:cs="仿宋"/>
                <w:color w:val="auto"/>
                <w:sz w:val="24"/>
                <w:szCs w:val="24"/>
                <w:highlight w:val="none"/>
                <w:lang w:val="en-US" w:eastAsia="zh-CN"/>
              </w:rPr>
              <w:t>此项最多得3分</w:t>
            </w:r>
            <w:bookmarkEnd w:id="226"/>
            <w:r>
              <w:rPr>
                <w:rFonts w:hint="eastAsia" w:ascii="仿宋" w:hAnsi="仿宋" w:eastAsia="仿宋" w:cs="仿宋"/>
                <w:color w:val="auto"/>
                <w:sz w:val="24"/>
                <w:szCs w:val="24"/>
                <w:highlight w:val="none"/>
                <w:lang w:val="en-US" w:eastAsia="zh-CN"/>
              </w:rPr>
              <w:t>；</w:t>
            </w:r>
          </w:p>
          <w:p w14:paraId="6175F3E3">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3、提供售后应急抢修方案：须承诺1小时内故障响应，24 小时之内工程师修复并排除故障。方案合理、可实施性强得2分，方案不合理、不贴合本项目、操作性不强得1分，未提供不得分。</w:t>
            </w:r>
            <w:bookmarkStart w:id="227" w:name="OLE_LINK7"/>
            <w:r>
              <w:rPr>
                <w:rFonts w:hint="eastAsia" w:ascii="仿宋" w:hAnsi="仿宋" w:eastAsia="仿宋" w:cs="仿宋"/>
                <w:color w:val="auto"/>
                <w:sz w:val="24"/>
                <w:szCs w:val="24"/>
                <w:highlight w:val="none"/>
                <w:lang w:val="en-US" w:eastAsia="zh-CN"/>
              </w:rPr>
              <w:t>此项最多得2分</w:t>
            </w:r>
            <w:bookmarkEnd w:id="227"/>
            <w:r>
              <w:rPr>
                <w:rFonts w:hint="eastAsia" w:ascii="仿宋" w:hAnsi="仿宋" w:eastAsia="仿宋" w:cs="仿宋"/>
                <w:color w:val="auto"/>
                <w:sz w:val="24"/>
                <w:szCs w:val="24"/>
                <w:highlight w:val="none"/>
                <w:lang w:val="en-US" w:eastAsia="zh-CN"/>
              </w:rPr>
              <w:t>。</w:t>
            </w:r>
          </w:p>
          <w:p w14:paraId="30A661C3">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逐辑错误、地点区城错误、内容缺失。</w:t>
            </w:r>
          </w:p>
        </w:tc>
      </w:tr>
      <w:tr w14:paraId="1EDF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1350" w:type="dxa"/>
            <w:vMerge w:val="continue"/>
            <w:noWrap w:val="0"/>
            <w:vAlign w:val="center"/>
          </w:tcPr>
          <w:p w14:paraId="43069D9B">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654956FA">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维修保养服务方案</w:t>
            </w:r>
          </w:p>
        </w:tc>
        <w:tc>
          <w:tcPr>
            <w:tcW w:w="1226" w:type="dxa"/>
            <w:noWrap w:val="0"/>
            <w:vAlign w:val="center"/>
          </w:tcPr>
          <w:p w14:paraId="631DC79F">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5769" w:type="dxa"/>
            <w:noWrap w:val="0"/>
            <w:vAlign w:val="center"/>
          </w:tcPr>
          <w:p w14:paraId="1445B54C">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根据投标人提供的售后服务方案进行综合评审:内容包括但不限于：①设备维护保养分类；②维护保养服务计划；③维护保养具体流程。</w:t>
            </w:r>
          </w:p>
          <w:p w14:paraId="15D9746B">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评标委员会根据以上内容每提供一项详细完整得1分，共计3分，其中每有一项缺项或不能满足采购方需求的扣1分，每有一处缺陷扣0.5分，直至全部扣完为止。</w:t>
            </w:r>
          </w:p>
          <w:p w14:paraId="44453344">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逐辑错误、地点区城错误、内容缺失。</w:t>
            </w:r>
          </w:p>
        </w:tc>
      </w:tr>
      <w:tr w14:paraId="0FF4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1350" w:type="dxa"/>
            <w:vMerge w:val="continue"/>
            <w:noWrap w:val="0"/>
            <w:vAlign w:val="center"/>
          </w:tcPr>
          <w:p w14:paraId="6A1B6730">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3A8EA751">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质量保障服务方案</w:t>
            </w:r>
          </w:p>
        </w:tc>
        <w:tc>
          <w:tcPr>
            <w:tcW w:w="1226" w:type="dxa"/>
            <w:noWrap w:val="0"/>
            <w:vAlign w:val="center"/>
          </w:tcPr>
          <w:p w14:paraId="183783EF">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9分</w:t>
            </w:r>
          </w:p>
        </w:tc>
        <w:tc>
          <w:tcPr>
            <w:tcW w:w="5769" w:type="dxa"/>
            <w:noWrap w:val="0"/>
            <w:vAlign w:val="center"/>
          </w:tcPr>
          <w:p w14:paraId="5170440B">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售后服务方案进行综合评审:内容包括但不限于：①质量控制措施；②质量控制程序；③质量保证承诺；④质量评估方案；⑤质量证明文件；⑥技术质量措施。评标委员会根据以上内容每提供一项详细完整得1.5分，共计9分，其中每有一项缺项或不能满足采购方需求的扣1.5分，每有一处缺陷扣1分，直至全部扣完为止。</w:t>
            </w:r>
          </w:p>
          <w:p w14:paraId="0E24C6A6">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逐辑错误、地点区城错误、内容缺失。</w:t>
            </w:r>
          </w:p>
        </w:tc>
      </w:tr>
      <w:tr w14:paraId="7585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350" w:type="dxa"/>
            <w:vMerge w:val="continue"/>
            <w:noWrap w:val="0"/>
            <w:vAlign w:val="center"/>
          </w:tcPr>
          <w:p w14:paraId="286A4571">
            <w:pPr>
              <w:widowControl w:val="0"/>
              <w:bidi w:val="0"/>
              <w:rPr>
                <w:rFonts w:hint="eastAsia" w:ascii="仿宋" w:hAnsi="仿宋" w:eastAsia="仿宋" w:cs="仿宋"/>
                <w:color w:val="auto"/>
                <w:sz w:val="24"/>
                <w:szCs w:val="24"/>
                <w:highlight w:val="none"/>
                <w:lang w:val="en-US" w:eastAsia="zh-CN"/>
              </w:rPr>
            </w:pPr>
          </w:p>
        </w:tc>
        <w:tc>
          <w:tcPr>
            <w:tcW w:w="2221" w:type="dxa"/>
            <w:noWrap w:val="0"/>
            <w:vAlign w:val="center"/>
          </w:tcPr>
          <w:p w14:paraId="59207D88">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应急预案</w:t>
            </w:r>
          </w:p>
        </w:tc>
        <w:tc>
          <w:tcPr>
            <w:tcW w:w="1226" w:type="dxa"/>
            <w:noWrap w:val="0"/>
            <w:vAlign w:val="center"/>
          </w:tcPr>
          <w:p w14:paraId="0CB35329">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c>
          <w:tcPr>
            <w:tcW w:w="5769" w:type="dxa"/>
            <w:noWrap w:val="0"/>
            <w:vAlign w:val="center"/>
          </w:tcPr>
          <w:p w14:paraId="4E3810F6">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售后服务方案进行综合评审:内容包括但不限于：①急救医疗设备调配维修预案；②安全生产应急预案；③应急供货预案；④医疗设备故障应急预案；⑤产品质量问题处理预案；⑥突发事件预案。评标委员会根据以上内容每提供一项详细完整得1分，共计6分，其中每有一项缺项或不能满足采购方需求的扣1分，每有一处缺陷扣0.5分，直至全部扣完为止。</w:t>
            </w:r>
          </w:p>
          <w:p w14:paraId="5F07B3D9">
            <w:pPr>
              <w:widowControl w:val="0"/>
              <w:bidi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其他:该项内容套用其他项项目方案，存在不适用项目实际情况的情形，凭空编造，内容前后不一致，前后逐辑错误、地点区城错误、内容缺失。</w:t>
            </w:r>
          </w:p>
        </w:tc>
      </w:tr>
    </w:tbl>
    <w:p w14:paraId="69402E3A">
      <w:pPr>
        <w:pStyle w:val="19"/>
        <w:rPr>
          <w:rFonts w:hint="eastAsia" w:ascii="仿宋" w:hAnsi="仿宋" w:eastAsia="仿宋" w:cs="仿宋"/>
          <w:color w:val="auto"/>
          <w:highlight w:val="none"/>
          <w:lang w:eastAsia="zh-CN"/>
        </w:rPr>
      </w:pPr>
    </w:p>
    <w:p w14:paraId="185C2496">
      <w:pPr>
        <w:rPr>
          <w:rFonts w:hint="eastAsia" w:ascii="仿宋" w:hAnsi="仿宋" w:eastAsia="仿宋" w:cs="仿宋"/>
          <w:color w:val="auto"/>
          <w:highlight w:val="none"/>
        </w:rPr>
      </w:pPr>
    </w:p>
    <w:p w14:paraId="60226BF3">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458C565">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落实中小企业政府采购政策的价格调整：</w:t>
      </w:r>
    </w:p>
    <w:p w14:paraId="7D9D5DE8">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color w:val="auto"/>
          <w:sz w:val="24"/>
          <w:szCs w:val="24"/>
          <w:highlight w:val="none"/>
          <w:u w:val="single"/>
          <w:lang w:val="en-US" w:eastAsia="zh-CN"/>
        </w:rPr>
        <w:t xml:space="preserve"> 10 %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后参与评审。对于同时属于小微企业、监狱企业或残疾人福利性单位的，不重复进行投标报价扣除。</w:t>
      </w:r>
    </w:p>
    <w:p w14:paraId="083716FF">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color w:val="auto"/>
          <w:sz w:val="24"/>
          <w:szCs w:val="24"/>
          <w:highlight w:val="none"/>
          <w:u w:val="single"/>
          <w:lang w:val="en-US" w:eastAsia="zh-CN"/>
        </w:rPr>
        <w:t xml:space="preserve"> 30 %</w:t>
      </w:r>
      <w:r>
        <w:rPr>
          <w:rFonts w:hint="eastAsia" w:ascii="仿宋" w:hAnsi="仿宋" w:eastAsia="仿宋" w:cs="仿宋"/>
          <w:b w:val="0"/>
          <w:bCs w:val="0"/>
          <w:color w:val="auto"/>
          <w:sz w:val="24"/>
          <w:szCs w:val="24"/>
          <w:highlight w:val="none"/>
          <w:lang w:val="en-US" w:eastAsia="zh-CN"/>
        </w:rPr>
        <w:t>以上的联合体或者大中型企业的报价给予</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的扣除，用扣除后的价格参加评审。</w:t>
      </w:r>
    </w:p>
    <w:p w14:paraId="3D4C67C0">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组成联合体或者接受分包的小微企业与联合体内其他企业、分包企业之间存在直接控股、管理关系的，不享受价格扣除优惠政策。</w:t>
      </w:r>
    </w:p>
    <w:p w14:paraId="4207D6E4">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价格扣除比例对小型企业和微型企业同等对待，不作区分。</w:t>
      </w:r>
    </w:p>
    <w:p w14:paraId="57811A6C">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中小企业参加政府采购活动，应当按照招标文件给定的格式出具《中小企业声明函》，否则不得享受相关中小企业扶持政策。</w:t>
      </w:r>
    </w:p>
    <w:p w14:paraId="739A9E1E">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监狱企业提供了由省级以上监狱管理局、戒毒管理局（含新疆生产建设兵团）出具的属于监狱企业的证明文件的，视同小微企业。</w:t>
      </w:r>
    </w:p>
    <w:p w14:paraId="5769B49D">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残疾人福利性单位按招标文件要求提供了《残疾人福利性单位声明函》（见附件）的，视同小微企业。</w:t>
      </w:r>
    </w:p>
    <w:p w14:paraId="0795C402">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若投标人同时属于小型或微型企业、监狱企业、残疾人福利性单位中的两种及以上，将不重复享受小微企业价格扣减的优惠政策。</w:t>
      </w:r>
    </w:p>
    <w:p w14:paraId="0D0100ED">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w:t>
      </w:r>
    </w:p>
    <w:p w14:paraId="425BBF6C">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u w:val="none"/>
          <w:lang w:val="en-US" w:eastAsia="zh-CN"/>
        </w:rPr>
        <w:t>无效投标</w:t>
      </w:r>
      <w:r>
        <w:rPr>
          <w:rFonts w:hint="eastAsia" w:ascii="仿宋" w:hAnsi="仿宋" w:eastAsia="仿宋" w:cs="仿宋"/>
          <w:b w:val="0"/>
          <w:bCs w:val="0"/>
          <w:color w:val="auto"/>
          <w:sz w:val="24"/>
          <w:szCs w:val="24"/>
          <w:highlight w:val="none"/>
          <w:u w:val="none"/>
          <w:lang w:val="en-US" w:eastAsia="zh-CN"/>
        </w:rPr>
        <w:t>被拒绝。</w:t>
      </w:r>
    </w:p>
    <w:p w14:paraId="5CFA5CF8">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 。</w:t>
      </w:r>
    </w:p>
    <w:p w14:paraId="545FE18F">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同品牌处理办法：</w:t>
      </w:r>
    </w:p>
    <w:p w14:paraId="733A9E77">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如采用最低评标办法，则：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0A502B82">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如采用综合评标法，则：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6AE478A3">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如一个分包内包含多种产品的，采购人或采购代理机构将在</w:t>
      </w:r>
      <w:r>
        <w:rPr>
          <w:rFonts w:hint="eastAsia" w:ascii="仿宋" w:hAnsi="仿宋" w:eastAsia="仿宋" w:cs="仿宋"/>
          <w:b w:val="0"/>
          <w:bCs w:val="0"/>
          <w:color w:val="auto"/>
          <w:sz w:val="24"/>
          <w:szCs w:val="24"/>
          <w:highlight w:val="none"/>
          <w:u w:val="single"/>
          <w:lang w:val="en-US" w:eastAsia="zh-CN"/>
        </w:rPr>
        <w:t>投标人须知前附表</w:t>
      </w:r>
      <w:r>
        <w:rPr>
          <w:rFonts w:hint="eastAsia" w:ascii="仿宋" w:hAnsi="仿宋" w:eastAsia="仿宋" w:cs="仿宋"/>
          <w:b w:val="0"/>
          <w:bCs w:val="0"/>
          <w:color w:val="auto"/>
          <w:sz w:val="24"/>
          <w:szCs w:val="24"/>
          <w:highlight w:val="none"/>
          <w:u w:val="none"/>
          <w:lang w:val="en-US" w:eastAsia="zh-CN"/>
        </w:rPr>
        <w:t xml:space="preserve">中载明核心产品，多家投标人提供的所有核心产品品牌均相同的，按前两条规定处理。 </w:t>
      </w:r>
    </w:p>
    <w:p w14:paraId="0E1A8CA0">
      <w:pPr>
        <w:keepNext w:val="0"/>
        <w:keepLines w:val="0"/>
        <w:pageBreakBefore w:val="0"/>
        <w:widowControl w:val="0"/>
        <w:numPr>
          <w:ilvl w:val="1"/>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确定中标候选人名单</w:t>
      </w:r>
    </w:p>
    <w:p w14:paraId="06C28066">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CF6B61C">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6EA84E28">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评标委员会要对评分汇总情况进行复核，特别是对排名第一的、报价最低的、投标或响应文件被认定为无效的情形进行重点复核。</w:t>
      </w:r>
    </w:p>
    <w:p w14:paraId="77AC0052">
      <w:pPr>
        <w:keepNext w:val="0"/>
        <w:keepLines w:val="0"/>
        <w:pageBreakBefore w:val="0"/>
        <w:widowControl w:val="0"/>
        <w:numPr>
          <w:ilvl w:val="2"/>
          <w:numId w:val="32"/>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color w:val="auto"/>
          <w:sz w:val="24"/>
          <w:szCs w:val="24"/>
          <w:highlight w:val="none"/>
          <w:u w:val="single"/>
          <w:lang w:val="en-US" w:eastAsia="zh-CN"/>
        </w:rPr>
        <w:t xml:space="preserve"> 1 </w:t>
      </w:r>
      <w:r>
        <w:rPr>
          <w:rFonts w:hint="eastAsia" w:ascii="仿宋" w:hAnsi="仿宋" w:eastAsia="仿宋" w:cs="仿宋"/>
          <w:b w:val="0"/>
          <w:bCs w:val="0"/>
          <w:color w:val="auto"/>
          <w:sz w:val="24"/>
          <w:szCs w:val="24"/>
          <w:highlight w:val="none"/>
          <w:u w:val="none"/>
          <w:lang w:val="en-US" w:eastAsia="zh-CN"/>
        </w:rPr>
        <w:t>名中标候选人。</w:t>
      </w:r>
    </w:p>
    <w:p w14:paraId="7F75BBF6">
      <w:pPr>
        <w:rPr>
          <w:rFonts w:hint="eastAsia" w:ascii="仿宋" w:hAnsi="仿宋" w:eastAsia="仿宋" w:cs="仿宋"/>
          <w:b/>
          <w:bCs/>
          <w:color w:val="auto"/>
          <w:sz w:val="50"/>
          <w:szCs w:val="50"/>
          <w:highlight w:val="none"/>
          <w:lang w:eastAsia="zh-CN"/>
        </w:rPr>
      </w:pPr>
    </w:p>
    <w:p w14:paraId="1C639967">
      <w:pPr>
        <w:rPr>
          <w:rFonts w:hint="eastAsia" w:ascii="仿宋" w:hAnsi="仿宋" w:eastAsia="仿宋" w:cs="仿宋"/>
          <w:b/>
          <w:bCs/>
          <w:color w:val="auto"/>
          <w:sz w:val="50"/>
          <w:szCs w:val="50"/>
          <w:highlight w:val="none"/>
          <w:lang w:eastAsia="zh-CN"/>
        </w:rPr>
      </w:pPr>
      <w:r>
        <w:rPr>
          <w:rFonts w:hint="eastAsia" w:ascii="仿宋" w:hAnsi="仿宋" w:eastAsia="仿宋" w:cs="仿宋"/>
          <w:b/>
          <w:bCs/>
          <w:color w:val="auto"/>
          <w:sz w:val="50"/>
          <w:szCs w:val="50"/>
          <w:highlight w:val="none"/>
          <w:lang w:eastAsia="zh-CN"/>
        </w:rPr>
        <w:br w:type="page"/>
      </w:r>
    </w:p>
    <w:p w14:paraId="4CA2C003">
      <w:pPr>
        <w:jc w:val="center"/>
        <w:rPr>
          <w:rFonts w:hint="eastAsia" w:ascii="仿宋" w:hAnsi="仿宋" w:eastAsia="仿宋" w:cs="仿宋"/>
          <w:b/>
          <w:bCs/>
          <w:color w:val="auto"/>
          <w:sz w:val="50"/>
          <w:szCs w:val="50"/>
          <w:highlight w:val="none"/>
          <w:lang w:eastAsia="zh-CN"/>
        </w:rPr>
      </w:pPr>
      <w:r>
        <w:rPr>
          <w:rFonts w:hint="eastAsia" w:ascii="仿宋" w:hAnsi="仿宋" w:eastAsia="仿宋" w:cs="仿宋"/>
          <w:b/>
          <w:bCs/>
          <w:color w:val="auto"/>
          <w:sz w:val="50"/>
          <w:szCs w:val="50"/>
          <w:highlight w:val="none"/>
          <w:lang w:eastAsia="zh-CN"/>
        </w:rPr>
        <w:t>喀什地区麦盖提县人民医院综合能力提升设备更新项目县人民医院十四五、十五五等级医院中长期发展规划医疗设备采购第三标段</w:t>
      </w:r>
    </w:p>
    <w:p w14:paraId="58A796AE">
      <w:pPr>
        <w:pStyle w:val="8"/>
        <w:spacing w:before="70" w:line="1200" w:lineRule="exact"/>
        <w:ind w:left="1426"/>
        <w:rPr>
          <w:rFonts w:hint="eastAsia" w:ascii="仿宋" w:hAnsi="仿宋" w:eastAsia="仿宋" w:cs="仿宋"/>
          <w:color w:val="auto"/>
          <w:spacing w:val="11"/>
          <w:position w:val="59"/>
          <w:sz w:val="43"/>
          <w:szCs w:val="43"/>
          <w:highlight w:val="none"/>
          <w14:textOutline w14:w="7972" w14:cap="sq" w14:cmpd="sng">
            <w14:solidFill>
              <w14:srgbClr w14:val="000000"/>
            </w14:solidFill>
            <w14:prstDash w14:val="solid"/>
            <w14:bevel/>
          </w14:textOutline>
        </w:rPr>
      </w:pPr>
    </w:p>
    <w:p w14:paraId="140A46A4">
      <w:pPr>
        <w:pStyle w:val="8"/>
        <w:spacing w:before="70" w:line="1200" w:lineRule="exact"/>
        <w:ind w:left="1426"/>
        <w:rPr>
          <w:rFonts w:hint="eastAsia" w:ascii="仿宋" w:hAnsi="仿宋" w:eastAsia="仿宋" w:cs="仿宋"/>
          <w:color w:val="auto"/>
          <w:sz w:val="43"/>
          <w:szCs w:val="43"/>
          <w:highlight w:val="none"/>
          <w:lang w:eastAsia="zh-CN"/>
        </w:rPr>
      </w:pPr>
      <w:r>
        <w:rPr>
          <w:rFonts w:hint="eastAsia" w:ascii="仿宋" w:hAnsi="仿宋" w:eastAsia="仿宋" w:cs="仿宋"/>
          <w:color w:val="auto"/>
          <w:spacing w:val="11"/>
          <w:position w:val="59"/>
          <w:sz w:val="43"/>
          <w:szCs w:val="43"/>
          <w:highlight w:val="none"/>
          <w14:textOutline w14:w="7972" w14:cap="sq" w14:cmpd="sng">
            <w14:solidFill>
              <w14:srgbClr w14:val="000000"/>
            </w14:solidFill>
            <w14:prstDash w14:val="solid"/>
            <w14:bevel/>
          </w14:textOutline>
        </w:rPr>
        <w:t>项目编号：</w:t>
      </w:r>
      <w:r>
        <w:rPr>
          <w:rFonts w:hint="eastAsia" w:ascii="仿宋" w:hAnsi="仿宋" w:eastAsia="仿宋" w:cs="仿宋"/>
          <w:color w:val="auto"/>
          <w:position w:val="59"/>
          <w:sz w:val="43"/>
          <w:szCs w:val="43"/>
          <w:highlight w:val="none"/>
          <w:lang w:eastAsia="zh-CN"/>
          <w14:textOutline w14:w="7972" w14:cap="sq" w14:cmpd="sng">
            <w14:solidFill>
              <w14:srgbClr w14:val="000000"/>
            </w14:solidFill>
            <w14:prstDash w14:val="solid"/>
            <w14:bevel/>
          </w14:textOutline>
        </w:rPr>
        <w:t>SJX-2025-375</w:t>
      </w:r>
    </w:p>
    <w:p w14:paraId="4D8B0625">
      <w:pPr>
        <w:pStyle w:val="8"/>
        <w:spacing w:before="2" w:line="226" w:lineRule="auto"/>
        <w:ind w:left="2099"/>
        <w:rPr>
          <w:rFonts w:hint="eastAsia" w:ascii="仿宋" w:hAnsi="仿宋" w:eastAsia="仿宋" w:cs="仿宋"/>
          <w:color w:val="auto"/>
          <w:sz w:val="43"/>
          <w:szCs w:val="43"/>
          <w:highlight w:val="none"/>
        </w:rPr>
      </w:pPr>
      <w:r>
        <w:rPr>
          <w:rFonts w:hint="eastAsia" w:ascii="仿宋" w:hAnsi="仿宋" w:eastAsia="仿宋" w:cs="仿宋"/>
          <w:color w:val="auto"/>
          <w:spacing w:val="2"/>
          <w:sz w:val="43"/>
          <w:szCs w:val="43"/>
          <w:highlight w:val="none"/>
          <w14:textOutline w14:w="7972" w14:cap="sq" w14:cmpd="sng">
            <w14:solidFill>
              <w14:srgbClr w14:val="000000"/>
            </w14:solidFill>
            <w14:prstDash w14:val="solid"/>
            <w14:bevel/>
          </w14:textOutline>
        </w:rPr>
        <w:t>招标文件（电子评标）</w:t>
      </w:r>
    </w:p>
    <w:p w14:paraId="1350BA73">
      <w:pPr>
        <w:spacing w:line="316" w:lineRule="auto"/>
        <w:rPr>
          <w:rFonts w:hint="eastAsia" w:ascii="仿宋" w:hAnsi="仿宋" w:eastAsia="仿宋" w:cs="仿宋"/>
          <w:color w:val="auto"/>
          <w:sz w:val="21"/>
          <w:highlight w:val="none"/>
        </w:rPr>
      </w:pPr>
    </w:p>
    <w:p w14:paraId="0F0233B0">
      <w:pPr>
        <w:spacing w:line="317" w:lineRule="auto"/>
        <w:rPr>
          <w:rFonts w:hint="eastAsia" w:ascii="仿宋" w:hAnsi="仿宋" w:eastAsia="仿宋" w:cs="仿宋"/>
          <w:color w:val="auto"/>
          <w:sz w:val="21"/>
          <w:highlight w:val="none"/>
        </w:rPr>
      </w:pPr>
    </w:p>
    <w:p w14:paraId="4EED94A0">
      <w:pPr>
        <w:pStyle w:val="8"/>
        <w:spacing w:before="91" w:line="225" w:lineRule="auto"/>
        <w:ind w:left="4212"/>
        <w:rPr>
          <w:rFonts w:hint="eastAsia" w:ascii="仿宋" w:hAnsi="仿宋" w:eastAsia="仿宋" w:cs="仿宋"/>
          <w:color w:val="auto"/>
          <w:highlight w:val="none"/>
        </w:rPr>
      </w:pPr>
      <w:r>
        <w:rPr>
          <w:rFonts w:hint="eastAsia" w:ascii="仿宋" w:hAnsi="仿宋" w:eastAsia="仿宋" w:cs="仿宋"/>
          <w:color w:val="auto"/>
          <w:spacing w:val="-6"/>
          <w:highlight w:val="none"/>
          <w14:textOutline w14:w="5103" w14:cap="sq" w14:cmpd="sng">
            <w14:solidFill>
              <w14:srgbClr w14:val="000000"/>
            </w14:solidFill>
            <w14:prstDash w14:val="solid"/>
            <w14:bevel/>
          </w14:textOutline>
        </w:rPr>
        <w:t>（第三册）</w:t>
      </w:r>
    </w:p>
    <w:p w14:paraId="4FAF04B0">
      <w:pPr>
        <w:spacing w:line="282" w:lineRule="auto"/>
        <w:rPr>
          <w:rFonts w:hint="eastAsia" w:ascii="仿宋" w:hAnsi="仿宋" w:eastAsia="仿宋" w:cs="仿宋"/>
          <w:color w:val="auto"/>
          <w:sz w:val="21"/>
          <w:highlight w:val="none"/>
        </w:rPr>
      </w:pPr>
    </w:p>
    <w:p w14:paraId="43DE1D43">
      <w:pPr>
        <w:spacing w:line="283" w:lineRule="auto"/>
        <w:rPr>
          <w:rFonts w:hint="eastAsia" w:ascii="仿宋" w:hAnsi="仿宋" w:eastAsia="仿宋" w:cs="仿宋"/>
          <w:color w:val="auto"/>
          <w:sz w:val="21"/>
          <w:highlight w:val="none"/>
        </w:rPr>
      </w:pPr>
    </w:p>
    <w:p w14:paraId="2D6F6BCB">
      <w:pPr>
        <w:pStyle w:val="8"/>
        <w:keepNext w:val="0"/>
        <w:keepLines w:val="0"/>
        <w:pageBreakBefore w:val="0"/>
        <w:widowControl/>
        <w:kinsoku w:val="0"/>
        <w:wordWrap/>
        <w:overflowPunct/>
        <w:topLinePunct w:val="0"/>
        <w:autoSpaceDE w:val="0"/>
        <w:autoSpaceDN w:val="0"/>
        <w:bidi w:val="0"/>
        <w:adjustRightInd w:val="0"/>
        <w:snapToGrid w:val="0"/>
        <w:spacing w:before="91" w:line="220" w:lineRule="exact"/>
        <w:ind w:left="1042"/>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14:textOutline w14:w="5103" w14:cap="sq" w14:cmpd="sng">
            <w14:solidFill>
              <w14:srgbClr w14:val="000000"/>
            </w14:solidFill>
            <w14:prstDash w14:val="solid"/>
            <w14:bevel/>
          </w14:textOutline>
        </w:rPr>
        <w:t>采购单位名称：</w:t>
      </w:r>
      <w:r>
        <w:rPr>
          <w:rFonts w:hint="eastAsia" w:ascii="仿宋" w:hAnsi="仿宋" w:eastAsia="仿宋" w:cs="仿宋"/>
          <w:color w:val="auto"/>
          <w:highlight w:val="none"/>
          <w:u w:val="single" w:color="000000"/>
          <w:lang w:eastAsia="zh-CN"/>
          <w14:textOutline w14:w="5103" w14:cap="sq" w14:cmpd="sng">
            <w14:solidFill>
              <w14:srgbClr w14:val="000000"/>
            </w14:solidFill>
            <w14:prstDash w14:val="solid"/>
            <w14:bevel/>
          </w14:textOutline>
        </w:rPr>
        <w:t>麦盖提县人民医院</w:t>
      </w:r>
    </w:p>
    <w:p w14:paraId="54236330">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6CA92D12">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64CA0B41">
      <w:pPr>
        <w:pStyle w:val="8"/>
        <w:keepNext w:val="0"/>
        <w:keepLines w:val="0"/>
        <w:pageBreakBefore w:val="0"/>
        <w:widowControl/>
        <w:kinsoku w:val="0"/>
        <w:wordWrap/>
        <w:overflowPunct/>
        <w:topLinePunct w:val="0"/>
        <w:autoSpaceDE w:val="0"/>
        <w:autoSpaceDN w:val="0"/>
        <w:bidi w:val="0"/>
        <w:adjustRightInd w:val="0"/>
        <w:snapToGrid w:val="0"/>
        <w:spacing w:before="91" w:line="220" w:lineRule="exact"/>
        <w:ind w:left="1045"/>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10"/>
          <w:highlight w:val="none"/>
          <w14:textOutline w14:w="5103" w14:cap="sq" w14:cmpd="sng">
            <w14:solidFill>
              <w14:srgbClr w14:val="000000"/>
            </w14:solidFill>
            <w14:prstDash w14:val="solid"/>
            <w14:bevel/>
          </w14:textOutline>
        </w:rPr>
        <w:t>联系人：</w:t>
      </w:r>
      <w:r>
        <w:rPr>
          <w:rFonts w:hint="eastAsia" w:ascii="仿宋" w:hAnsi="仿宋" w:eastAsia="仿宋" w:cs="仿宋"/>
          <w:color w:val="auto"/>
          <w:spacing w:val="-10"/>
          <w:highlight w:val="none"/>
          <w:u w:val="single" w:color="000000"/>
          <w:lang w:eastAsia="zh-CN"/>
          <w14:textOutline w14:w="5103" w14:cap="sq" w14:cmpd="sng">
            <w14:solidFill>
              <w14:srgbClr w14:val="000000"/>
            </w14:solidFill>
            <w14:prstDash w14:val="solid"/>
            <w14:bevel/>
          </w14:textOutline>
        </w:rPr>
        <w:t>吐尔洪江</w:t>
      </w:r>
    </w:p>
    <w:p w14:paraId="7544A194">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6811A4D7">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56A2A469">
      <w:pPr>
        <w:pStyle w:val="8"/>
        <w:keepNext w:val="0"/>
        <w:keepLines w:val="0"/>
        <w:pageBreakBefore w:val="0"/>
        <w:widowControl/>
        <w:kinsoku w:val="0"/>
        <w:wordWrap/>
        <w:overflowPunct/>
        <w:topLinePunct w:val="0"/>
        <w:autoSpaceDE w:val="0"/>
        <w:autoSpaceDN w:val="0"/>
        <w:bidi w:val="0"/>
        <w:adjustRightInd w:val="0"/>
        <w:snapToGrid w:val="0"/>
        <w:spacing w:before="91" w:line="220" w:lineRule="exact"/>
        <w:ind w:left="1045"/>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5"/>
          <w:highlight w:val="none"/>
          <w14:textOutline w14:w="5103" w14:cap="sq" w14:cmpd="sng">
            <w14:solidFill>
              <w14:srgbClr w14:val="000000"/>
            </w14:solidFill>
            <w14:prstDash w14:val="solid"/>
            <w14:bevel/>
          </w14:textOutline>
        </w:rPr>
        <w:t>联系电话：</w:t>
      </w:r>
      <w:r>
        <w:rPr>
          <w:rFonts w:hint="eastAsia" w:ascii="仿宋" w:hAnsi="仿宋" w:eastAsia="仿宋" w:cs="仿宋"/>
          <w:color w:val="auto"/>
          <w:spacing w:val="-5"/>
          <w:highlight w:val="none"/>
          <w:u w:val="single" w:color="000000"/>
          <w:lang w:eastAsia="zh-CN"/>
          <w14:textOutline w14:w="5103" w14:cap="sq" w14:cmpd="sng">
            <w14:solidFill>
              <w14:srgbClr w14:val="000000"/>
            </w14:solidFill>
            <w14:prstDash w14:val="solid"/>
            <w14:bevel/>
          </w14:textOutline>
        </w:rPr>
        <w:t>19190008850</w:t>
      </w:r>
    </w:p>
    <w:p w14:paraId="6B99D28E">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6FF5E2C1">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31A9C989">
      <w:pPr>
        <w:pStyle w:val="8"/>
        <w:keepNext w:val="0"/>
        <w:keepLines w:val="0"/>
        <w:pageBreakBefore w:val="0"/>
        <w:widowControl/>
        <w:kinsoku w:val="0"/>
        <w:wordWrap/>
        <w:overflowPunct/>
        <w:topLinePunct w:val="0"/>
        <w:autoSpaceDE w:val="0"/>
        <w:autoSpaceDN w:val="0"/>
        <w:bidi w:val="0"/>
        <w:adjustRightInd w:val="0"/>
        <w:snapToGrid w:val="0"/>
        <w:spacing w:before="91" w:line="220" w:lineRule="exact"/>
        <w:ind w:left="1050"/>
        <w:textAlignment w:val="baseline"/>
        <w:rPr>
          <w:rFonts w:hint="eastAsia" w:ascii="仿宋" w:hAnsi="仿宋" w:eastAsia="仿宋" w:cs="仿宋"/>
          <w:color w:val="auto"/>
          <w:highlight w:val="none"/>
          <w:lang w:eastAsia="zh-CN"/>
        </w:rPr>
      </w:pPr>
      <w:r>
        <w:rPr>
          <w:rFonts w:hint="eastAsia" w:ascii="仿宋" w:hAnsi="仿宋" w:eastAsia="仿宋" w:cs="仿宋"/>
          <w:color w:val="auto"/>
          <w:highlight w:val="none"/>
          <w14:textOutline w14:w="5103" w14:cap="sq" w14:cmpd="sng">
            <w14:solidFill>
              <w14:srgbClr w14:val="000000"/>
            </w14:solidFill>
            <w14:prstDash w14:val="solid"/>
            <w14:bevel/>
          </w14:textOutline>
        </w:rPr>
        <w:t>代理机构名称：</w:t>
      </w:r>
      <w:r>
        <w:rPr>
          <w:rFonts w:hint="eastAsia" w:ascii="仿宋" w:hAnsi="仿宋" w:eastAsia="仿宋" w:cs="仿宋"/>
          <w:color w:val="auto"/>
          <w:highlight w:val="none"/>
          <w:u w:val="single" w:color="000000"/>
          <w:lang w:eastAsia="zh-CN"/>
          <w14:textOutline w14:w="5103" w14:cap="sq" w14:cmpd="sng">
            <w14:solidFill>
              <w14:srgbClr w14:val="000000"/>
            </w14:solidFill>
            <w14:prstDash w14:val="solid"/>
            <w14:bevel/>
          </w14:textOutline>
        </w:rPr>
        <w:t>新疆世纪星工程咨询有限公司</w:t>
      </w:r>
    </w:p>
    <w:p w14:paraId="00B4B24A">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42CC8100">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7E76CBB6">
      <w:pPr>
        <w:pStyle w:val="8"/>
        <w:keepNext w:val="0"/>
        <w:keepLines w:val="0"/>
        <w:pageBreakBefore w:val="0"/>
        <w:widowControl/>
        <w:kinsoku w:val="0"/>
        <w:wordWrap/>
        <w:overflowPunct/>
        <w:topLinePunct w:val="0"/>
        <w:autoSpaceDE w:val="0"/>
        <w:autoSpaceDN w:val="0"/>
        <w:bidi w:val="0"/>
        <w:adjustRightInd w:val="0"/>
        <w:snapToGrid w:val="0"/>
        <w:spacing w:before="91" w:line="220" w:lineRule="exact"/>
        <w:ind w:left="1045"/>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10"/>
          <w:highlight w:val="none"/>
          <w14:textOutline w14:w="5103" w14:cap="sq" w14:cmpd="sng">
            <w14:solidFill>
              <w14:srgbClr w14:val="000000"/>
            </w14:solidFill>
            <w14:prstDash w14:val="solid"/>
            <w14:bevel/>
          </w14:textOutline>
        </w:rPr>
        <w:t>联系人：</w:t>
      </w:r>
      <w:r>
        <w:rPr>
          <w:rFonts w:hint="eastAsia" w:ascii="仿宋" w:hAnsi="仿宋" w:eastAsia="仿宋" w:cs="仿宋"/>
          <w:color w:val="auto"/>
          <w:spacing w:val="-10"/>
          <w:highlight w:val="none"/>
          <w:u w:val="single" w:color="000000"/>
          <w:lang w:eastAsia="zh-CN"/>
          <w14:textOutline w14:w="5103" w14:cap="sq" w14:cmpd="sng">
            <w14:solidFill>
              <w14:srgbClr w14:val="000000"/>
            </w14:solidFill>
            <w14:prstDash w14:val="solid"/>
            <w14:bevel/>
          </w14:textOutline>
        </w:rPr>
        <w:t>訾王贝、李航、范艳娥</w:t>
      </w:r>
    </w:p>
    <w:p w14:paraId="7E205BDC">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497A4FFF">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4345ACDF">
      <w:pPr>
        <w:pStyle w:val="8"/>
        <w:keepNext w:val="0"/>
        <w:keepLines w:val="0"/>
        <w:pageBreakBefore w:val="0"/>
        <w:widowControl/>
        <w:kinsoku w:val="0"/>
        <w:wordWrap/>
        <w:overflowPunct/>
        <w:topLinePunct w:val="0"/>
        <w:autoSpaceDE w:val="0"/>
        <w:autoSpaceDN w:val="0"/>
        <w:bidi w:val="0"/>
        <w:adjustRightInd w:val="0"/>
        <w:snapToGrid w:val="0"/>
        <w:spacing w:before="92" w:line="220" w:lineRule="exact"/>
        <w:ind w:left="1045"/>
        <w:textAlignment w:val="baseline"/>
        <w:rPr>
          <w:rFonts w:hint="eastAsia" w:ascii="仿宋" w:hAnsi="仿宋" w:eastAsia="仿宋" w:cs="仿宋"/>
          <w:color w:val="auto"/>
          <w:highlight w:val="none"/>
          <w:lang w:eastAsia="zh-CN"/>
        </w:rPr>
      </w:pPr>
      <w:r>
        <w:rPr>
          <w:rFonts w:hint="eastAsia" w:ascii="仿宋" w:hAnsi="仿宋" w:eastAsia="仿宋" w:cs="仿宋"/>
          <w:color w:val="auto"/>
          <w:spacing w:val="-5"/>
          <w:highlight w:val="none"/>
          <w14:textOutline w14:w="5103" w14:cap="sq" w14:cmpd="sng">
            <w14:solidFill>
              <w14:srgbClr w14:val="000000"/>
            </w14:solidFill>
            <w14:prstDash w14:val="solid"/>
            <w14:bevel/>
          </w14:textOutline>
        </w:rPr>
        <w:t>联系电话：</w:t>
      </w:r>
      <w:r>
        <w:rPr>
          <w:rFonts w:hint="eastAsia" w:ascii="仿宋" w:hAnsi="仿宋" w:eastAsia="仿宋" w:cs="仿宋"/>
          <w:color w:val="auto"/>
          <w:spacing w:val="-5"/>
          <w:highlight w:val="none"/>
          <w:u w:val="single" w:color="000000"/>
          <w:lang w:eastAsia="zh-CN"/>
          <w14:textOutline w14:w="5103" w14:cap="sq" w14:cmpd="sng">
            <w14:solidFill>
              <w14:srgbClr w14:val="000000"/>
            </w14:solidFill>
            <w14:prstDash w14:val="solid"/>
            <w14:bevel/>
          </w14:textOutline>
        </w:rPr>
        <w:t>199 5096 0098</w:t>
      </w:r>
    </w:p>
    <w:p w14:paraId="4876A456">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2FFD858F">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3D933BBC">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 w:hAnsi="仿宋" w:eastAsia="仿宋" w:cs="仿宋"/>
          <w:color w:val="auto"/>
          <w:sz w:val="21"/>
          <w:highlight w:val="none"/>
        </w:rPr>
      </w:pPr>
    </w:p>
    <w:p w14:paraId="0FB44559">
      <w:pPr>
        <w:pStyle w:val="8"/>
        <w:keepNext w:val="0"/>
        <w:keepLines w:val="0"/>
        <w:pageBreakBefore w:val="0"/>
        <w:widowControl/>
        <w:kinsoku w:val="0"/>
        <w:wordWrap/>
        <w:overflowPunct/>
        <w:topLinePunct w:val="0"/>
        <w:autoSpaceDE w:val="0"/>
        <w:autoSpaceDN w:val="0"/>
        <w:bidi w:val="0"/>
        <w:adjustRightInd w:val="0"/>
        <w:snapToGrid w:val="0"/>
        <w:spacing w:before="91" w:line="220" w:lineRule="exact"/>
        <w:ind w:left="3453"/>
        <w:textAlignment w:val="baseline"/>
        <w:rPr>
          <w:rFonts w:hint="eastAsia" w:ascii="仿宋" w:hAnsi="仿宋" w:eastAsia="仿宋" w:cs="仿宋"/>
          <w:color w:val="auto"/>
          <w:highlight w:val="none"/>
        </w:rPr>
      </w:pPr>
      <w:r>
        <w:rPr>
          <w:rFonts w:hint="eastAsia" w:ascii="仿宋" w:hAnsi="仿宋" w:eastAsia="仿宋" w:cs="仿宋"/>
          <w:color w:val="auto"/>
          <w:spacing w:val="-9"/>
          <w:highlight w:val="none"/>
          <w14:textOutline w14:w="5103" w14:cap="sq" w14:cmpd="sng">
            <w14:solidFill>
              <w14:srgbClr w14:val="000000"/>
            </w14:solidFill>
            <w14:prstDash w14:val="solid"/>
            <w14:bevel/>
          </w14:textOutline>
        </w:rPr>
        <w:t>日期：202</w:t>
      </w:r>
      <w:r>
        <w:rPr>
          <w:rFonts w:hint="eastAsia" w:ascii="仿宋" w:hAnsi="仿宋" w:eastAsia="仿宋" w:cs="仿宋"/>
          <w:color w:val="auto"/>
          <w:spacing w:val="-9"/>
          <w:highlight w:val="none"/>
          <w:lang w:val="en-US" w:eastAsia="zh-CN"/>
          <w14:textOutline w14:w="5103" w14:cap="sq" w14:cmpd="sng">
            <w14:solidFill>
              <w14:srgbClr w14:val="000000"/>
            </w14:solidFill>
            <w14:prstDash w14:val="solid"/>
            <w14:bevel/>
          </w14:textOutline>
        </w:rPr>
        <w:t>5</w:t>
      </w:r>
      <w:r>
        <w:rPr>
          <w:rFonts w:hint="eastAsia" w:ascii="仿宋" w:hAnsi="仿宋" w:eastAsia="仿宋" w:cs="仿宋"/>
          <w:color w:val="auto"/>
          <w:spacing w:val="-9"/>
          <w:highlight w:val="none"/>
          <w14:textOutline w14:w="5103" w14:cap="sq" w14:cmpd="sng">
            <w14:solidFill>
              <w14:srgbClr w14:val="000000"/>
            </w14:solidFill>
            <w14:prstDash w14:val="solid"/>
            <w14:bevel/>
          </w14:textOutline>
        </w:rPr>
        <w:t>年</w:t>
      </w:r>
      <w:r>
        <w:rPr>
          <w:rFonts w:hint="eastAsia" w:ascii="仿宋" w:hAnsi="仿宋" w:eastAsia="仿宋" w:cs="仿宋"/>
          <w:color w:val="auto"/>
          <w:spacing w:val="-9"/>
          <w:highlight w:val="none"/>
          <w:lang w:val="en-US" w:eastAsia="zh-CN"/>
          <w14:textOutline w14:w="5103" w14:cap="sq" w14:cmpd="sng">
            <w14:solidFill>
              <w14:srgbClr w14:val="000000"/>
            </w14:solidFill>
            <w14:prstDash w14:val="solid"/>
            <w14:bevel/>
          </w14:textOutline>
        </w:rPr>
        <w:t>07</w:t>
      </w:r>
      <w:r>
        <w:rPr>
          <w:rFonts w:hint="eastAsia" w:ascii="仿宋" w:hAnsi="仿宋" w:eastAsia="仿宋" w:cs="仿宋"/>
          <w:color w:val="auto"/>
          <w:spacing w:val="-9"/>
          <w:highlight w:val="none"/>
          <w14:textOutline w14:w="5103" w14:cap="sq" w14:cmpd="sng">
            <w14:solidFill>
              <w14:srgbClr w14:val="000000"/>
            </w14:solidFill>
            <w14:prstDash w14:val="solid"/>
            <w14:bevel/>
          </w14:textOutline>
        </w:rPr>
        <w:t>月</w:t>
      </w:r>
    </w:p>
    <w:p w14:paraId="3203E844">
      <w:pPr>
        <w:spacing w:line="225" w:lineRule="auto"/>
        <w:rPr>
          <w:rFonts w:hint="eastAsia" w:ascii="仿宋" w:hAnsi="仿宋" w:eastAsia="仿宋" w:cs="仿宋"/>
          <w:color w:val="auto"/>
          <w:highlight w:val="none"/>
        </w:rPr>
        <w:sectPr>
          <w:footerReference r:id="rId38" w:type="default"/>
          <w:pgSz w:w="11905" w:h="16838"/>
          <w:pgMar w:top="1440" w:right="1083" w:bottom="1440" w:left="1083" w:header="0" w:footer="1225" w:gutter="0"/>
          <w:pgNumType w:fmt="decimal"/>
          <w:cols w:space="0" w:num="1"/>
          <w:rtlGutter w:val="0"/>
          <w:docGrid w:linePitch="0" w:charSpace="0"/>
        </w:sectPr>
      </w:pPr>
    </w:p>
    <w:p w14:paraId="2C91529B">
      <w:pPr>
        <w:spacing w:line="48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政府采购合同参考范本（可修改）</w:t>
      </w:r>
    </w:p>
    <w:p w14:paraId="20966189">
      <w:pPr>
        <w:spacing w:line="48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（货物类）</w:t>
      </w:r>
    </w:p>
    <w:p w14:paraId="7F45159A">
      <w:pPr>
        <w:pStyle w:val="44"/>
        <w:ind w:firstLine="0"/>
        <w:rPr>
          <w:rFonts w:hint="eastAsia" w:ascii="仿宋" w:hAnsi="仿宋" w:eastAsia="仿宋" w:cs="仿宋"/>
          <w:color w:val="auto"/>
          <w:sz w:val="24"/>
          <w:szCs w:val="24"/>
          <w:highlight w:val="none"/>
        </w:rPr>
      </w:pPr>
    </w:p>
    <w:p w14:paraId="757179E4">
      <w:pPr>
        <w:pStyle w:val="44"/>
        <w:ind w:firstLine="0"/>
        <w:rPr>
          <w:rFonts w:hint="eastAsia" w:ascii="仿宋" w:hAnsi="仿宋" w:eastAsia="仿宋" w:cs="仿宋"/>
          <w:color w:val="auto"/>
          <w:sz w:val="24"/>
          <w:szCs w:val="24"/>
          <w:highlight w:val="none"/>
        </w:rPr>
      </w:pPr>
    </w:p>
    <w:p w14:paraId="53C7CA9C">
      <w:pPr>
        <w:pStyle w:val="44"/>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第一部分 合同书</w:t>
      </w:r>
    </w:p>
    <w:p w14:paraId="63280224">
      <w:pPr>
        <w:pStyle w:val="44"/>
        <w:ind w:firstLine="0"/>
        <w:rPr>
          <w:rFonts w:hint="eastAsia" w:ascii="仿宋" w:hAnsi="仿宋" w:eastAsia="仿宋" w:cs="仿宋"/>
          <w:color w:val="auto"/>
          <w:sz w:val="24"/>
          <w:szCs w:val="24"/>
          <w:highlight w:val="none"/>
        </w:rPr>
      </w:pPr>
    </w:p>
    <w:p w14:paraId="5A4EE47A">
      <w:pPr>
        <w:pStyle w:val="44"/>
        <w:ind w:firstLine="0"/>
        <w:rPr>
          <w:rFonts w:hint="eastAsia" w:ascii="仿宋" w:hAnsi="仿宋" w:eastAsia="仿宋" w:cs="仿宋"/>
          <w:color w:val="auto"/>
          <w:sz w:val="24"/>
          <w:szCs w:val="24"/>
          <w:highlight w:val="none"/>
        </w:rPr>
      </w:pPr>
    </w:p>
    <w:p w14:paraId="65965DF3">
      <w:pPr>
        <w:spacing w:before="120" w:line="22" w:lineRule="atLeast"/>
        <w:rPr>
          <w:rFonts w:hint="eastAsia" w:ascii="仿宋" w:hAnsi="仿宋" w:eastAsia="仿宋" w:cs="仿宋"/>
          <w:color w:val="auto"/>
          <w:sz w:val="24"/>
          <w:szCs w:val="24"/>
          <w:highlight w:val="none"/>
        </w:rPr>
      </w:pPr>
    </w:p>
    <w:p w14:paraId="0964D6E2">
      <w:pPr>
        <w:spacing w:before="120" w:line="22" w:lineRule="atLeast"/>
        <w:ind w:left="9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40F82E29">
      <w:pPr>
        <w:pStyle w:val="45"/>
        <w:spacing w:before="120" w:line="22" w:lineRule="atLeast"/>
        <w:rPr>
          <w:rFonts w:hint="eastAsia" w:ascii="仿宋" w:hAnsi="仿宋" w:eastAsia="仿宋" w:cs="仿宋"/>
          <w:color w:val="auto"/>
          <w:sz w:val="24"/>
          <w:szCs w:val="24"/>
          <w:highlight w:val="none"/>
        </w:rPr>
      </w:pPr>
    </w:p>
    <w:p w14:paraId="36D766C8">
      <w:pPr>
        <w:pStyle w:val="45"/>
        <w:spacing w:before="120" w:line="22" w:lineRule="atLeast"/>
        <w:rPr>
          <w:rFonts w:hint="eastAsia" w:ascii="仿宋" w:hAnsi="仿宋" w:eastAsia="仿宋" w:cs="仿宋"/>
          <w:color w:val="auto"/>
          <w:sz w:val="24"/>
          <w:szCs w:val="24"/>
          <w:highlight w:val="none"/>
        </w:rPr>
      </w:pPr>
    </w:p>
    <w:p w14:paraId="178735B5">
      <w:pPr>
        <w:rPr>
          <w:rFonts w:hint="eastAsia" w:ascii="仿宋" w:hAnsi="仿宋" w:eastAsia="仿宋" w:cs="仿宋"/>
          <w:color w:val="auto"/>
          <w:sz w:val="24"/>
          <w:szCs w:val="24"/>
          <w:highlight w:val="none"/>
        </w:rPr>
      </w:pPr>
    </w:p>
    <w:p w14:paraId="08A35751">
      <w:pPr>
        <w:spacing w:before="120" w:line="22" w:lineRule="atLeast"/>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p>
    <w:p w14:paraId="2D584AC1">
      <w:pPr>
        <w:spacing w:before="120" w:line="22" w:lineRule="atLeast"/>
        <w:rPr>
          <w:rFonts w:hint="eastAsia" w:ascii="仿宋" w:hAnsi="仿宋" w:eastAsia="仿宋" w:cs="仿宋"/>
          <w:color w:val="auto"/>
          <w:sz w:val="24"/>
          <w:szCs w:val="24"/>
          <w:highlight w:val="none"/>
        </w:rPr>
      </w:pPr>
    </w:p>
    <w:p w14:paraId="422CAEBC">
      <w:pPr>
        <w:spacing w:before="120" w:line="22" w:lineRule="atLeast"/>
        <w:ind w:left="96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p>
    <w:p w14:paraId="4F36EB64">
      <w:pPr>
        <w:spacing w:before="120" w:line="22" w:lineRule="atLeast"/>
        <w:rPr>
          <w:rFonts w:hint="eastAsia" w:ascii="仿宋" w:hAnsi="仿宋" w:eastAsia="仿宋" w:cs="仿宋"/>
          <w:color w:val="auto"/>
          <w:sz w:val="24"/>
          <w:szCs w:val="24"/>
          <w:highlight w:val="none"/>
        </w:rPr>
      </w:pPr>
    </w:p>
    <w:p w14:paraId="639D8673">
      <w:pPr>
        <w:spacing w:before="120" w:line="22" w:lineRule="atLeas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w:t>
      </w:r>
      <w:r>
        <w:rPr>
          <w:rFonts w:hint="eastAsia" w:ascii="仿宋" w:hAnsi="仿宋" w:eastAsia="仿宋" w:cs="仿宋"/>
          <w:color w:val="auto"/>
          <w:sz w:val="24"/>
          <w:szCs w:val="24"/>
          <w:highlight w:val="none"/>
          <w:u w:val="single"/>
        </w:rPr>
        <w:t xml:space="preserve">                                     </w:t>
      </w:r>
    </w:p>
    <w:p w14:paraId="2144D3EA">
      <w:pPr>
        <w:spacing w:before="120" w:line="22" w:lineRule="atLeast"/>
        <w:rPr>
          <w:rFonts w:hint="eastAsia" w:ascii="仿宋" w:hAnsi="仿宋" w:eastAsia="仿宋" w:cs="仿宋"/>
          <w:color w:val="auto"/>
          <w:sz w:val="24"/>
          <w:szCs w:val="24"/>
          <w:highlight w:val="none"/>
        </w:rPr>
      </w:pPr>
    </w:p>
    <w:p w14:paraId="252EE0D8">
      <w:pPr>
        <w:spacing w:before="120" w:line="22" w:lineRule="atLeas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74952A9">
      <w:pPr>
        <w:autoSpaceDE w:val="0"/>
        <w:autoSpaceDN w:val="0"/>
        <w:adjustRightInd w:val="0"/>
        <w:spacing w:line="600" w:lineRule="exact"/>
        <w:ind w:firstLine="640"/>
        <w:jc w:val="center"/>
        <w:rPr>
          <w:rFonts w:hint="eastAsia" w:ascii="仿宋" w:hAnsi="仿宋" w:eastAsia="仿宋" w:cs="仿宋"/>
          <w:color w:val="auto"/>
          <w:sz w:val="24"/>
          <w:szCs w:val="24"/>
          <w:highlight w:val="none"/>
        </w:rPr>
        <w:sectPr>
          <w:pgSz w:w="11907" w:h="16840"/>
          <w:pgMar w:top="1474" w:right="1814" w:bottom="1474" w:left="1814" w:header="851" w:footer="851" w:gutter="0"/>
          <w:cols w:space="720" w:num="1"/>
          <w:docGrid w:linePitch="462" w:charSpace="0"/>
        </w:sectPr>
      </w:pPr>
    </w:p>
    <w:p w14:paraId="1AE0DC1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（同前页项目名称）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（中标供应商名称）</w:t>
      </w:r>
      <w:r>
        <w:rPr>
          <w:rFonts w:hint="eastAsia" w:ascii="仿宋" w:hAnsi="仿宋" w:eastAsia="仿宋" w:cs="仿宋"/>
          <w:color w:val="auto"/>
          <w:sz w:val="24"/>
          <w:szCs w:val="24"/>
          <w:highlight w:val="none"/>
        </w:rPr>
        <w:t>为该项目中标供应商。现于中标通知书发出之日起三十日内，按照采购文件确定的事项签订本合同。</w:t>
      </w:r>
    </w:p>
    <w:p w14:paraId="38AC023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14:paraId="6E8A022B">
      <w:pPr>
        <w:spacing w:line="560" w:lineRule="exact"/>
        <w:ind w:firstLine="482" w:firstLineChars="200"/>
        <w:outlineLvl w:val="0"/>
        <w:rPr>
          <w:rFonts w:hint="eastAsia" w:ascii="仿宋" w:hAnsi="仿宋" w:eastAsia="仿宋" w:cs="仿宋"/>
          <w:b/>
          <w:color w:val="auto"/>
          <w:sz w:val="24"/>
          <w:szCs w:val="24"/>
          <w:highlight w:val="none"/>
        </w:rPr>
      </w:pPr>
      <w:bookmarkStart w:id="228" w:name="_Toc24059"/>
      <w:bookmarkStart w:id="229" w:name="_Toc2232"/>
      <w:bookmarkStart w:id="230" w:name="_Toc3029"/>
      <w:bookmarkStart w:id="231" w:name="_Toc25488"/>
      <w:r>
        <w:rPr>
          <w:rFonts w:hint="eastAsia" w:ascii="仿宋" w:hAnsi="仿宋" w:eastAsia="仿宋" w:cs="仿宋"/>
          <w:b/>
          <w:color w:val="auto"/>
          <w:sz w:val="24"/>
          <w:szCs w:val="24"/>
          <w:highlight w:val="none"/>
        </w:rPr>
        <w:t>1.1 合同组成部分</w:t>
      </w:r>
      <w:bookmarkEnd w:id="228"/>
      <w:bookmarkEnd w:id="229"/>
      <w:bookmarkEnd w:id="230"/>
      <w:bookmarkEnd w:id="231"/>
    </w:p>
    <w:p w14:paraId="3B98A06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CB39D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14:paraId="3432BF2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中标通知书；</w:t>
      </w:r>
    </w:p>
    <w:p w14:paraId="734E2A7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14:paraId="1AFF7247">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招标文件（含澄清或者修改文件）；</w:t>
      </w:r>
    </w:p>
    <w:p w14:paraId="24E42E9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14:paraId="2F14E6B3">
      <w:pPr>
        <w:spacing w:line="560" w:lineRule="exact"/>
        <w:ind w:firstLine="482" w:firstLineChars="200"/>
        <w:outlineLvl w:val="0"/>
        <w:rPr>
          <w:rFonts w:hint="eastAsia" w:ascii="仿宋" w:hAnsi="仿宋" w:eastAsia="仿宋" w:cs="仿宋"/>
          <w:b/>
          <w:color w:val="auto"/>
          <w:sz w:val="24"/>
          <w:szCs w:val="24"/>
          <w:highlight w:val="none"/>
        </w:rPr>
      </w:pPr>
      <w:bookmarkStart w:id="232" w:name="_Toc24300"/>
      <w:bookmarkStart w:id="233" w:name="_Toc27126"/>
      <w:bookmarkStart w:id="234" w:name="_Toc21295"/>
      <w:bookmarkStart w:id="235" w:name="_Toc28510"/>
      <w:r>
        <w:rPr>
          <w:rFonts w:hint="eastAsia" w:ascii="仿宋" w:hAnsi="仿宋" w:eastAsia="仿宋" w:cs="仿宋"/>
          <w:b/>
          <w:color w:val="auto"/>
          <w:sz w:val="24"/>
          <w:szCs w:val="24"/>
          <w:highlight w:val="none"/>
        </w:rPr>
        <w:t>1.2 货物</w:t>
      </w:r>
      <w:bookmarkEnd w:id="232"/>
      <w:bookmarkEnd w:id="233"/>
      <w:bookmarkEnd w:id="234"/>
      <w:bookmarkEnd w:id="235"/>
    </w:p>
    <w:p w14:paraId="00180088">
      <w:pPr>
        <w:spacing w:line="5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货物名称：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16B2826">
      <w:pPr>
        <w:spacing w:line="5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货物数量：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DBA064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货物质量：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05E704A">
      <w:pPr>
        <w:spacing w:line="560" w:lineRule="exact"/>
        <w:ind w:firstLine="482" w:firstLineChars="200"/>
        <w:outlineLvl w:val="0"/>
        <w:rPr>
          <w:rFonts w:hint="eastAsia" w:ascii="仿宋" w:hAnsi="仿宋" w:eastAsia="仿宋" w:cs="仿宋"/>
          <w:b/>
          <w:color w:val="auto"/>
          <w:sz w:val="24"/>
          <w:szCs w:val="24"/>
          <w:highlight w:val="none"/>
        </w:rPr>
      </w:pPr>
      <w:bookmarkStart w:id="236" w:name="_Toc10933"/>
      <w:bookmarkStart w:id="237" w:name="_Toc21631"/>
      <w:bookmarkStart w:id="238" w:name="_Toc23292"/>
      <w:bookmarkStart w:id="239" w:name="_Toc21551"/>
      <w:r>
        <w:rPr>
          <w:rFonts w:hint="eastAsia" w:ascii="仿宋" w:hAnsi="仿宋" w:eastAsia="仿宋" w:cs="仿宋"/>
          <w:b/>
          <w:color w:val="auto"/>
          <w:sz w:val="24"/>
          <w:szCs w:val="24"/>
          <w:highlight w:val="none"/>
        </w:rPr>
        <w:t>1.3 价款</w:t>
      </w:r>
      <w:bookmarkEnd w:id="236"/>
      <w:bookmarkEnd w:id="237"/>
      <w:bookmarkEnd w:id="238"/>
      <w:bookmarkEnd w:id="239"/>
    </w:p>
    <w:p w14:paraId="0ACC8D8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40EDA37B">
      <w:pPr>
        <w:spacing w:line="5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95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80728AF">
            <w:pPr>
              <w:pStyle w:val="46"/>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3402" w:type="dxa"/>
            <w:noWrap w:val="0"/>
            <w:vAlign w:val="center"/>
          </w:tcPr>
          <w:p w14:paraId="16C746ED">
            <w:pPr>
              <w:pStyle w:val="46"/>
              <w:spacing w:line="560" w:lineRule="exact"/>
              <w:ind w:firstLine="20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分项名称</w:t>
            </w:r>
          </w:p>
        </w:tc>
        <w:tc>
          <w:tcPr>
            <w:tcW w:w="2552" w:type="dxa"/>
            <w:noWrap w:val="0"/>
            <w:vAlign w:val="center"/>
          </w:tcPr>
          <w:p w14:paraId="697CC079">
            <w:pPr>
              <w:pStyle w:val="46"/>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分项价格</w:t>
            </w:r>
          </w:p>
        </w:tc>
      </w:tr>
      <w:tr w14:paraId="2E3E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648BE96">
            <w:pPr>
              <w:pStyle w:val="46"/>
              <w:spacing w:line="56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5BAD2D5D">
            <w:pPr>
              <w:pStyle w:val="46"/>
              <w:spacing w:line="56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740EF6DA">
            <w:pPr>
              <w:pStyle w:val="46"/>
              <w:spacing w:line="560" w:lineRule="exact"/>
              <w:ind w:firstLine="200"/>
              <w:jc w:val="center"/>
              <w:rPr>
                <w:rFonts w:hint="eastAsia" w:ascii="仿宋" w:hAnsi="仿宋" w:eastAsia="仿宋" w:cs="仿宋"/>
                <w:color w:val="auto"/>
                <w:kern w:val="2"/>
                <w:sz w:val="24"/>
                <w:szCs w:val="24"/>
                <w:highlight w:val="none"/>
              </w:rPr>
            </w:pPr>
          </w:p>
        </w:tc>
      </w:tr>
      <w:tr w14:paraId="297E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9610920">
            <w:pPr>
              <w:pStyle w:val="46"/>
              <w:spacing w:line="56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07616EDC">
            <w:pPr>
              <w:pStyle w:val="46"/>
              <w:spacing w:line="56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3F08AAE9">
            <w:pPr>
              <w:pStyle w:val="46"/>
              <w:spacing w:line="560" w:lineRule="exact"/>
              <w:ind w:firstLine="200"/>
              <w:jc w:val="center"/>
              <w:rPr>
                <w:rFonts w:hint="eastAsia" w:ascii="仿宋" w:hAnsi="仿宋" w:eastAsia="仿宋" w:cs="仿宋"/>
                <w:color w:val="auto"/>
                <w:kern w:val="2"/>
                <w:sz w:val="24"/>
                <w:szCs w:val="24"/>
                <w:highlight w:val="none"/>
              </w:rPr>
            </w:pPr>
          </w:p>
        </w:tc>
      </w:tr>
      <w:tr w14:paraId="2911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37B0C7A">
            <w:pPr>
              <w:pStyle w:val="46"/>
              <w:spacing w:line="56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0ACBA4CF">
            <w:pPr>
              <w:pStyle w:val="46"/>
              <w:spacing w:line="56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19F2C131">
            <w:pPr>
              <w:pStyle w:val="46"/>
              <w:spacing w:line="560" w:lineRule="exact"/>
              <w:ind w:firstLine="200"/>
              <w:jc w:val="center"/>
              <w:rPr>
                <w:rFonts w:hint="eastAsia" w:ascii="仿宋" w:hAnsi="仿宋" w:eastAsia="仿宋" w:cs="仿宋"/>
                <w:color w:val="auto"/>
                <w:kern w:val="2"/>
                <w:sz w:val="24"/>
                <w:szCs w:val="24"/>
                <w:highlight w:val="none"/>
              </w:rPr>
            </w:pPr>
          </w:p>
        </w:tc>
      </w:tr>
      <w:tr w14:paraId="124B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6F05C36">
            <w:pPr>
              <w:pStyle w:val="46"/>
              <w:spacing w:line="560" w:lineRule="exact"/>
              <w:ind w:firstLine="200"/>
              <w:jc w:val="center"/>
              <w:rPr>
                <w:rFonts w:hint="eastAsia" w:ascii="仿宋" w:hAnsi="仿宋" w:eastAsia="仿宋" w:cs="仿宋"/>
                <w:color w:val="auto"/>
                <w:kern w:val="2"/>
                <w:sz w:val="24"/>
                <w:szCs w:val="24"/>
                <w:highlight w:val="none"/>
              </w:rPr>
            </w:pPr>
          </w:p>
        </w:tc>
        <w:tc>
          <w:tcPr>
            <w:tcW w:w="3402" w:type="dxa"/>
            <w:noWrap w:val="0"/>
            <w:vAlign w:val="center"/>
          </w:tcPr>
          <w:p w14:paraId="17663C1D">
            <w:pPr>
              <w:pStyle w:val="46"/>
              <w:spacing w:line="560" w:lineRule="exact"/>
              <w:ind w:firstLine="200"/>
              <w:jc w:val="center"/>
              <w:rPr>
                <w:rFonts w:hint="eastAsia" w:ascii="仿宋" w:hAnsi="仿宋" w:eastAsia="仿宋" w:cs="仿宋"/>
                <w:color w:val="auto"/>
                <w:kern w:val="2"/>
                <w:sz w:val="24"/>
                <w:szCs w:val="24"/>
                <w:highlight w:val="none"/>
              </w:rPr>
            </w:pPr>
          </w:p>
        </w:tc>
        <w:tc>
          <w:tcPr>
            <w:tcW w:w="2552" w:type="dxa"/>
            <w:noWrap w:val="0"/>
            <w:vAlign w:val="center"/>
          </w:tcPr>
          <w:p w14:paraId="4A94EAAA">
            <w:pPr>
              <w:pStyle w:val="46"/>
              <w:spacing w:line="560" w:lineRule="exact"/>
              <w:ind w:firstLine="200"/>
              <w:jc w:val="center"/>
              <w:rPr>
                <w:rFonts w:hint="eastAsia" w:ascii="仿宋" w:hAnsi="仿宋" w:eastAsia="仿宋" w:cs="仿宋"/>
                <w:color w:val="auto"/>
                <w:kern w:val="2"/>
                <w:sz w:val="24"/>
                <w:szCs w:val="24"/>
                <w:highlight w:val="none"/>
              </w:rPr>
            </w:pPr>
          </w:p>
        </w:tc>
      </w:tr>
      <w:tr w14:paraId="4DAD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2FE9BC4">
            <w:pPr>
              <w:pStyle w:val="46"/>
              <w:spacing w:line="560" w:lineRule="exact"/>
              <w:ind w:firstLine="20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总价</w:t>
            </w:r>
          </w:p>
        </w:tc>
        <w:tc>
          <w:tcPr>
            <w:tcW w:w="2552" w:type="dxa"/>
            <w:noWrap w:val="0"/>
            <w:vAlign w:val="center"/>
          </w:tcPr>
          <w:p w14:paraId="3DF5A9E6">
            <w:pPr>
              <w:pStyle w:val="46"/>
              <w:spacing w:line="560" w:lineRule="exact"/>
              <w:ind w:firstLine="200"/>
              <w:jc w:val="center"/>
              <w:rPr>
                <w:rFonts w:hint="eastAsia" w:ascii="仿宋" w:hAnsi="仿宋" w:eastAsia="仿宋" w:cs="仿宋"/>
                <w:color w:val="auto"/>
                <w:kern w:val="2"/>
                <w:sz w:val="24"/>
                <w:szCs w:val="24"/>
                <w:highlight w:val="none"/>
              </w:rPr>
            </w:pPr>
          </w:p>
        </w:tc>
      </w:tr>
    </w:tbl>
    <w:p w14:paraId="67C072C8">
      <w:pPr>
        <w:spacing w:line="560" w:lineRule="exact"/>
        <w:ind w:firstLine="482" w:firstLineChars="200"/>
        <w:outlineLvl w:val="0"/>
        <w:rPr>
          <w:rFonts w:hint="eastAsia" w:ascii="仿宋" w:hAnsi="仿宋" w:eastAsia="仿宋" w:cs="仿宋"/>
          <w:b/>
          <w:color w:val="auto"/>
          <w:sz w:val="24"/>
          <w:szCs w:val="24"/>
          <w:highlight w:val="none"/>
        </w:rPr>
      </w:pPr>
      <w:bookmarkStart w:id="240" w:name="_Toc1814"/>
      <w:bookmarkStart w:id="241" w:name="_Toc26336"/>
      <w:bookmarkStart w:id="242" w:name="_Toc22618"/>
      <w:bookmarkStart w:id="243" w:name="_Toc10340"/>
      <w:r>
        <w:rPr>
          <w:rFonts w:hint="eastAsia" w:ascii="仿宋" w:hAnsi="仿宋" w:eastAsia="仿宋" w:cs="仿宋"/>
          <w:b/>
          <w:color w:val="auto"/>
          <w:sz w:val="24"/>
          <w:szCs w:val="24"/>
          <w:highlight w:val="none"/>
        </w:rPr>
        <w:t>1.4 付款方式和发票开具方式</w:t>
      </w:r>
      <w:bookmarkEnd w:id="240"/>
      <w:bookmarkEnd w:id="241"/>
      <w:bookmarkEnd w:id="242"/>
      <w:bookmarkEnd w:id="243"/>
    </w:p>
    <w:p w14:paraId="38ABC70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付款方式：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209D8E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发票开具方式：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3352797">
      <w:pPr>
        <w:spacing w:line="560" w:lineRule="exact"/>
        <w:ind w:firstLine="482" w:firstLineChars="200"/>
        <w:outlineLvl w:val="0"/>
        <w:rPr>
          <w:rFonts w:hint="eastAsia" w:ascii="仿宋" w:hAnsi="仿宋" w:eastAsia="仿宋" w:cs="仿宋"/>
          <w:b/>
          <w:color w:val="auto"/>
          <w:sz w:val="24"/>
          <w:szCs w:val="24"/>
          <w:highlight w:val="none"/>
        </w:rPr>
      </w:pPr>
      <w:bookmarkStart w:id="244" w:name="_Toc19304"/>
      <w:bookmarkStart w:id="245" w:name="_Toc32071"/>
      <w:bookmarkStart w:id="246" w:name="_Toc2846"/>
      <w:bookmarkStart w:id="247" w:name="_Toc2173"/>
      <w:r>
        <w:rPr>
          <w:rFonts w:hint="eastAsia" w:ascii="仿宋" w:hAnsi="仿宋" w:eastAsia="仿宋" w:cs="仿宋"/>
          <w:b/>
          <w:color w:val="auto"/>
          <w:sz w:val="24"/>
          <w:szCs w:val="24"/>
          <w:highlight w:val="none"/>
        </w:rPr>
        <w:t>1.5 货物交付期限、地点和方式</w:t>
      </w:r>
      <w:bookmarkEnd w:id="244"/>
      <w:bookmarkEnd w:id="245"/>
      <w:bookmarkEnd w:id="246"/>
      <w:bookmarkEnd w:id="247"/>
    </w:p>
    <w:p w14:paraId="4E524341">
      <w:pPr>
        <w:spacing w:line="56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1.5.1 交付期限：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BB1A6B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交付地点：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8F007D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交付方式：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A23E1B4">
      <w:pPr>
        <w:spacing w:line="560" w:lineRule="exact"/>
        <w:ind w:firstLine="482" w:firstLineChars="200"/>
        <w:outlineLvl w:val="0"/>
        <w:rPr>
          <w:rFonts w:hint="eastAsia" w:ascii="仿宋" w:hAnsi="仿宋" w:eastAsia="仿宋" w:cs="仿宋"/>
          <w:b/>
          <w:color w:val="auto"/>
          <w:sz w:val="24"/>
          <w:szCs w:val="24"/>
          <w:highlight w:val="none"/>
        </w:rPr>
      </w:pPr>
      <w:bookmarkStart w:id="248" w:name="_Toc21423"/>
      <w:bookmarkStart w:id="249" w:name="_Toc19554"/>
      <w:bookmarkStart w:id="250" w:name="_Toc27250"/>
      <w:bookmarkStart w:id="251" w:name="_Toc32569"/>
      <w:r>
        <w:rPr>
          <w:rFonts w:hint="eastAsia" w:ascii="仿宋" w:hAnsi="仿宋" w:eastAsia="仿宋" w:cs="仿宋"/>
          <w:b/>
          <w:color w:val="auto"/>
          <w:sz w:val="24"/>
          <w:szCs w:val="24"/>
          <w:highlight w:val="none"/>
        </w:rPr>
        <w:t>1.6 违约责任</w:t>
      </w:r>
      <w:bookmarkEnd w:id="248"/>
      <w:bookmarkEnd w:id="249"/>
      <w:bookmarkEnd w:id="250"/>
      <w:bookmarkEnd w:id="251"/>
    </w:p>
    <w:p w14:paraId="1D9D75FF">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%；迟延交付货物的违约金计算数额达到前述最高限额之日起，甲方有权在要求乙方支付违约金的同时，书面通知乙方解除本合同；</w:t>
      </w:r>
    </w:p>
    <w:p w14:paraId="6DF92640">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78BF6EDF">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B6421B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38F4B9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BE280C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4FD07D34">
      <w:pPr>
        <w:spacing w:line="560" w:lineRule="exact"/>
        <w:ind w:firstLine="482" w:firstLineChars="200"/>
        <w:outlineLvl w:val="0"/>
        <w:rPr>
          <w:rFonts w:hint="eastAsia" w:ascii="仿宋" w:hAnsi="仿宋" w:eastAsia="仿宋" w:cs="仿宋"/>
          <w:b/>
          <w:color w:val="auto"/>
          <w:sz w:val="24"/>
          <w:szCs w:val="24"/>
          <w:highlight w:val="none"/>
        </w:rPr>
      </w:pPr>
      <w:bookmarkStart w:id="252" w:name="_Toc28375"/>
      <w:bookmarkStart w:id="253" w:name="_Toc11898"/>
      <w:bookmarkStart w:id="254" w:name="_Toc16021"/>
      <w:bookmarkStart w:id="255" w:name="_Toc15583"/>
      <w:r>
        <w:rPr>
          <w:rFonts w:hint="eastAsia" w:ascii="仿宋" w:hAnsi="仿宋" w:eastAsia="仿宋" w:cs="仿宋"/>
          <w:b/>
          <w:color w:val="auto"/>
          <w:sz w:val="24"/>
          <w:szCs w:val="24"/>
          <w:highlight w:val="none"/>
        </w:rPr>
        <w:t>1.7 合同争议的解决</w:t>
      </w:r>
      <w:bookmarkEnd w:id="252"/>
      <w:bookmarkEnd w:id="253"/>
      <w:bookmarkEnd w:id="254"/>
      <w:bookmarkEnd w:id="255"/>
    </w:p>
    <w:p w14:paraId="4BC3BEE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种方式解决：</w:t>
      </w:r>
    </w:p>
    <w:p w14:paraId="25832047">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将争议提交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仲裁委员会依申请仲裁时其现行有效的仲裁规则裁决；</w:t>
      </w:r>
    </w:p>
    <w:p w14:paraId="5F118E1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向</w:t>
      </w:r>
      <w:r>
        <w:rPr>
          <w:rFonts w:hint="eastAsia" w:ascii="仿宋" w:hAnsi="仿宋" w:eastAsia="仿宋" w:cs="仿宋"/>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szCs w:val="24"/>
          <w:highlight w:val="none"/>
        </w:rPr>
        <w:t>人民法院起诉。</w:t>
      </w:r>
    </w:p>
    <w:p w14:paraId="6A133A8B">
      <w:pPr>
        <w:spacing w:line="560" w:lineRule="exact"/>
        <w:ind w:firstLine="482" w:firstLineChars="200"/>
        <w:outlineLvl w:val="0"/>
        <w:rPr>
          <w:rFonts w:hint="eastAsia" w:ascii="仿宋" w:hAnsi="仿宋" w:eastAsia="仿宋" w:cs="仿宋"/>
          <w:b/>
          <w:color w:val="auto"/>
          <w:sz w:val="24"/>
          <w:szCs w:val="24"/>
          <w:highlight w:val="none"/>
        </w:rPr>
      </w:pPr>
      <w:bookmarkStart w:id="256" w:name="_Toc15322"/>
      <w:bookmarkStart w:id="257" w:name="_Toc7245"/>
      <w:bookmarkStart w:id="258" w:name="_Toc13256"/>
      <w:bookmarkStart w:id="259" w:name="_Toc11173"/>
      <w:r>
        <w:rPr>
          <w:rFonts w:hint="eastAsia" w:ascii="仿宋" w:hAnsi="仿宋" w:eastAsia="仿宋" w:cs="仿宋"/>
          <w:b/>
          <w:color w:val="auto"/>
          <w:sz w:val="24"/>
          <w:szCs w:val="24"/>
          <w:highlight w:val="none"/>
        </w:rPr>
        <w:t>1.8 合同生效</w:t>
      </w:r>
      <w:bookmarkEnd w:id="256"/>
      <w:bookmarkEnd w:id="257"/>
      <w:bookmarkEnd w:id="258"/>
      <w:bookmarkEnd w:id="259"/>
    </w:p>
    <w:p w14:paraId="403DB960">
      <w:pPr>
        <w:spacing w:line="5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14:paraId="36B80375">
      <w:pPr>
        <w:autoSpaceDE w:val="0"/>
        <w:autoSpaceDN w:val="0"/>
        <w:adjustRightInd w:val="0"/>
        <w:spacing w:line="560" w:lineRule="exact"/>
        <w:rPr>
          <w:rFonts w:hint="eastAsia" w:ascii="仿宋" w:hAnsi="仿宋" w:eastAsia="仿宋" w:cs="仿宋"/>
          <w:color w:val="auto"/>
          <w:sz w:val="24"/>
          <w:szCs w:val="24"/>
          <w:highlight w:val="none"/>
          <w:lang w:val="zh-CN"/>
        </w:rPr>
      </w:pPr>
    </w:p>
    <w:p w14:paraId="55501A24">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1FE2E074">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1C50FBDC">
      <w:pPr>
        <w:autoSpaceDE w:val="0"/>
        <w:autoSpaceDN w:val="0"/>
        <w:adjustRightInd w:val="0"/>
        <w:spacing w:line="560" w:lineRule="exact"/>
        <w:rPr>
          <w:rFonts w:hint="eastAsia" w:ascii="仿宋" w:hAnsi="仿宋" w:eastAsia="仿宋" w:cs="仿宋"/>
          <w:color w:val="auto"/>
          <w:sz w:val="24"/>
          <w:szCs w:val="24"/>
          <w:highlight w:val="none"/>
          <w:lang w:val="zh-CN"/>
        </w:rPr>
      </w:pPr>
    </w:p>
    <w:p w14:paraId="6C5FDB75">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3D4E6F4E">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14:paraId="0D8E24D5">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或授权代表（签字）: </w:t>
      </w:r>
    </w:p>
    <w:p w14:paraId="1D911D31">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0FC3F625">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4E1F15D4">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35E6CD7E">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23419889">
      <w:pPr>
        <w:autoSpaceDE w:val="0"/>
        <w:autoSpaceDN w:val="0"/>
        <w:adjustRightInd w:val="0"/>
        <w:spacing w:line="56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057F5557">
      <w:pPr>
        <w:autoSpaceDE w:val="0"/>
        <w:autoSpaceDN w:val="0"/>
        <w:adjustRightInd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4289EFA5">
      <w:pPr>
        <w:autoSpaceDE w:val="0"/>
        <w:autoSpaceDN w:val="0"/>
        <w:adjustRightInd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702A9563">
      <w:pPr>
        <w:autoSpaceDE w:val="0"/>
        <w:autoSpaceDN w:val="0"/>
        <w:adjustRightInd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03477C0C">
      <w:pPr>
        <w:autoSpaceDE w:val="0"/>
        <w:autoSpaceDN w:val="0"/>
        <w:adjustRightInd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687C8DED">
      <w:pPr>
        <w:widowControl/>
        <w:spacing w:line="560" w:lineRule="exact"/>
        <w:jc w:val="left"/>
        <w:rPr>
          <w:rFonts w:hint="eastAsia" w:ascii="仿宋" w:hAnsi="仿宋" w:eastAsia="仿宋" w:cs="仿宋"/>
          <w:b/>
          <w:color w:val="auto"/>
          <w:sz w:val="24"/>
          <w:szCs w:val="24"/>
          <w:highlight w:val="none"/>
        </w:rPr>
      </w:pPr>
      <w:bookmarkStart w:id="260" w:name="_Toc331685783"/>
    </w:p>
    <w:p w14:paraId="1972710B">
      <w:pPr>
        <w:pStyle w:val="44"/>
        <w:spacing w:line="560" w:lineRule="exact"/>
        <w:ind w:firstLine="0"/>
        <w:jc w:val="both"/>
        <w:rPr>
          <w:rFonts w:hint="eastAsia" w:ascii="仿宋" w:hAnsi="仿宋" w:eastAsia="仿宋" w:cs="仿宋"/>
          <w:b/>
          <w:color w:val="auto"/>
          <w:sz w:val="24"/>
          <w:szCs w:val="24"/>
          <w:highlight w:val="none"/>
        </w:rPr>
      </w:pPr>
    </w:p>
    <w:p w14:paraId="4B4D79E3">
      <w:pPr>
        <w:pStyle w:val="44"/>
        <w:spacing w:line="560" w:lineRule="exact"/>
        <w:ind w:firstLine="0"/>
        <w:jc w:val="center"/>
        <w:rPr>
          <w:rFonts w:hint="eastAsia" w:ascii="仿宋" w:hAnsi="仿宋" w:eastAsia="仿宋" w:cs="仿宋"/>
          <w:b/>
          <w:color w:val="auto"/>
          <w:sz w:val="24"/>
          <w:szCs w:val="24"/>
          <w:highlight w:val="none"/>
        </w:rPr>
      </w:pPr>
    </w:p>
    <w:p w14:paraId="61A4465E">
      <w:pPr>
        <w:pStyle w:val="44"/>
        <w:spacing w:line="560" w:lineRule="exact"/>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bookmarkEnd w:id="260"/>
    </w:p>
    <w:p w14:paraId="74AE64CA">
      <w:pPr>
        <w:spacing w:line="560" w:lineRule="exact"/>
        <w:ind w:firstLine="482" w:firstLineChars="200"/>
        <w:outlineLvl w:val="0"/>
        <w:rPr>
          <w:rFonts w:hint="eastAsia" w:ascii="仿宋" w:hAnsi="仿宋" w:eastAsia="仿宋" w:cs="仿宋"/>
          <w:b/>
          <w:color w:val="auto"/>
          <w:sz w:val="24"/>
          <w:szCs w:val="24"/>
          <w:highlight w:val="none"/>
        </w:rPr>
      </w:pPr>
      <w:bookmarkStart w:id="261" w:name="_Toc28763"/>
      <w:bookmarkStart w:id="262" w:name="_Toc487900349"/>
      <w:bookmarkStart w:id="263" w:name="_Ref467379109"/>
      <w:bookmarkStart w:id="264" w:name="_Ref467379205"/>
      <w:bookmarkStart w:id="265" w:name="_Ref467378463"/>
      <w:bookmarkStart w:id="266" w:name="_Ref467378404"/>
      <w:bookmarkStart w:id="267" w:name="_Ref467379094"/>
      <w:bookmarkStart w:id="268" w:name="_Toc19614"/>
      <w:bookmarkStart w:id="269" w:name="_Ref467378499"/>
      <w:bookmarkStart w:id="270" w:name="_Ref467379225"/>
      <w:bookmarkStart w:id="271" w:name="_Toc279701240"/>
      <w:bookmarkStart w:id="272" w:name="_Ref467379195"/>
      <w:bookmarkStart w:id="273" w:name="_Ref467379214"/>
      <w:bookmarkStart w:id="274" w:name="_Ref467379101"/>
      <w:bookmarkStart w:id="275" w:name="_Toc16984"/>
      <w:bookmarkStart w:id="276" w:name="_Toc16917"/>
      <w:bookmarkStart w:id="277" w:name="_Toc259093669"/>
      <w:r>
        <w:rPr>
          <w:rFonts w:hint="eastAsia" w:ascii="仿宋" w:hAnsi="仿宋" w:eastAsia="仿宋" w:cs="仿宋"/>
          <w:b/>
          <w:color w:val="auto"/>
          <w:sz w:val="24"/>
          <w:szCs w:val="24"/>
          <w:highlight w:val="none"/>
        </w:rPr>
        <w:t>2.1 定义</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BD84CB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2925FD38">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“合同”系指采购人和中标供应商签订的载明双方当事人所达成的协议，并包括所有的附件、附录和构成合同的其他文件。</w:t>
      </w:r>
    </w:p>
    <w:p w14:paraId="30DAC23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“合同价”系指根据合同约定，中标供应商在完全履行合同义务后，采购人应支付给中标供应商的价格。</w:t>
      </w:r>
    </w:p>
    <w:p w14:paraId="224031A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“货物”系指中标供应商根据合同约定应向采购人交付的一切各种形态和种类的物品，包括原材料、燃料、设备、机械、仪表、备件、计算机软件、产品等，并包括工具、手册等其他相关资料。</w:t>
      </w:r>
    </w:p>
    <w:p w14:paraId="31FC3564">
      <w:pPr>
        <w:spacing w:line="560" w:lineRule="exact"/>
        <w:ind w:firstLine="480" w:firstLineChars="200"/>
        <w:rPr>
          <w:rFonts w:hint="eastAsia" w:ascii="仿宋" w:hAnsi="仿宋" w:eastAsia="仿宋" w:cs="仿宋"/>
          <w:color w:val="auto"/>
          <w:sz w:val="24"/>
          <w:szCs w:val="24"/>
          <w:highlight w:val="none"/>
        </w:rPr>
      </w:pPr>
      <w:bookmarkStart w:id="278" w:name="_Ref467378840"/>
      <w:r>
        <w:rPr>
          <w:rFonts w:hint="eastAsia" w:ascii="仿宋" w:hAnsi="仿宋" w:eastAsia="仿宋" w:cs="仿宋"/>
          <w:color w:val="auto"/>
          <w:sz w:val="24"/>
          <w:szCs w:val="24"/>
          <w:highlight w:val="none"/>
        </w:rPr>
        <w:t>2.1.4 “甲方”系指与中标供应商签署合同的采购人</w:t>
      </w:r>
      <w:bookmarkEnd w:id="278"/>
      <w:r>
        <w:rPr>
          <w:rFonts w:hint="eastAsia" w:ascii="仿宋" w:hAnsi="仿宋" w:eastAsia="仿宋" w:cs="仿宋"/>
          <w:color w:val="auto"/>
          <w:sz w:val="24"/>
          <w:szCs w:val="24"/>
          <w:highlight w:val="none"/>
        </w:rPr>
        <w:t>；采购人委托采购代理机构代表其与乙方签订合同的，采购人的授权委托书作为合同附件。</w:t>
      </w:r>
    </w:p>
    <w:p w14:paraId="71C54F58">
      <w:pPr>
        <w:spacing w:line="560" w:lineRule="exact"/>
        <w:ind w:firstLine="480" w:firstLineChars="200"/>
        <w:rPr>
          <w:rFonts w:hint="eastAsia" w:ascii="仿宋" w:hAnsi="仿宋" w:eastAsia="仿宋" w:cs="仿宋"/>
          <w:color w:val="auto"/>
          <w:sz w:val="24"/>
          <w:szCs w:val="24"/>
          <w:highlight w:val="none"/>
        </w:rPr>
      </w:pPr>
      <w:bookmarkStart w:id="279" w:name="_Ref467379400"/>
      <w:r>
        <w:rPr>
          <w:rFonts w:hint="eastAsia" w:ascii="仿宋" w:hAnsi="仿宋" w:eastAsia="仿宋" w:cs="仿宋"/>
          <w:color w:val="auto"/>
          <w:sz w:val="24"/>
          <w:szCs w:val="24"/>
          <w:highlight w:val="none"/>
        </w:rPr>
        <w:t>2.1.5 “乙方”系指根据合同约定交付货物的中标供应商</w:t>
      </w:r>
      <w:bookmarkEnd w:id="279"/>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AB04B32">
      <w:pPr>
        <w:spacing w:line="560" w:lineRule="exact"/>
        <w:ind w:firstLine="480" w:firstLineChars="200"/>
        <w:rPr>
          <w:rFonts w:hint="eastAsia" w:ascii="仿宋" w:hAnsi="仿宋" w:eastAsia="仿宋" w:cs="仿宋"/>
          <w:color w:val="auto"/>
          <w:sz w:val="24"/>
          <w:szCs w:val="24"/>
          <w:highlight w:val="none"/>
        </w:rPr>
      </w:pPr>
      <w:bookmarkStart w:id="280" w:name="_Ref467379436"/>
      <w:r>
        <w:rPr>
          <w:rFonts w:hint="eastAsia" w:ascii="仿宋" w:hAnsi="仿宋" w:eastAsia="仿宋" w:cs="仿宋"/>
          <w:color w:val="auto"/>
          <w:sz w:val="24"/>
          <w:szCs w:val="24"/>
          <w:highlight w:val="none"/>
        </w:rPr>
        <w:t>2.1.6 “现场”系指合同约定货物将要运至或者安装的地点。</w:t>
      </w:r>
      <w:bookmarkEnd w:id="280"/>
    </w:p>
    <w:p w14:paraId="64C50F3C">
      <w:pPr>
        <w:spacing w:line="560" w:lineRule="exact"/>
        <w:ind w:firstLine="482" w:firstLineChars="200"/>
        <w:outlineLvl w:val="0"/>
        <w:rPr>
          <w:rFonts w:hint="eastAsia" w:ascii="仿宋" w:hAnsi="仿宋" w:eastAsia="仿宋" w:cs="仿宋"/>
          <w:b/>
          <w:color w:val="auto"/>
          <w:sz w:val="24"/>
          <w:szCs w:val="24"/>
          <w:highlight w:val="none"/>
        </w:rPr>
      </w:pPr>
      <w:bookmarkStart w:id="281" w:name="_Toc13336"/>
      <w:bookmarkStart w:id="282" w:name="_Toc27635"/>
      <w:bookmarkStart w:id="283" w:name="_Toc259093670"/>
      <w:bookmarkStart w:id="284" w:name="_Toc487900350"/>
      <w:bookmarkStart w:id="285" w:name="_Toc29741"/>
      <w:bookmarkStart w:id="286" w:name="_Toc32504"/>
      <w:bookmarkStart w:id="287" w:name="_Toc279701241"/>
      <w:r>
        <w:rPr>
          <w:rFonts w:hint="eastAsia" w:ascii="仿宋" w:hAnsi="仿宋" w:eastAsia="仿宋" w:cs="仿宋"/>
          <w:b/>
          <w:color w:val="auto"/>
          <w:sz w:val="24"/>
          <w:szCs w:val="24"/>
          <w:highlight w:val="none"/>
        </w:rPr>
        <w:t>2.2 技术规范</w:t>
      </w:r>
      <w:bookmarkEnd w:id="281"/>
      <w:bookmarkEnd w:id="282"/>
      <w:bookmarkEnd w:id="283"/>
      <w:bookmarkEnd w:id="284"/>
      <w:bookmarkEnd w:id="285"/>
      <w:bookmarkEnd w:id="286"/>
      <w:bookmarkEnd w:id="287"/>
    </w:p>
    <w:p w14:paraId="5CD4D24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287F98D">
      <w:pPr>
        <w:spacing w:line="560" w:lineRule="exact"/>
        <w:ind w:firstLine="482" w:firstLineChars="200"/>
        <w:outlineLvl w:val="0"/>
        <w:rPr>
          <w:rFonts w:hint="eastAsia" w:ascii="仿宋" w:hAnsi="仿宋" w:eastAsia="仿宋" w:cs="仿宋"/>
          <w:b/>
          <w:color w:val="auto"/>
          <w:sz w:val="24"/>
          <w:szCs w:val="24"/>
          <w:highlight w:val="none"/>
        </w:rPr>
      </w:pPr>
      <w:bookmarkStart w:id="288" w:name="_Toc279701242"/>
      <w:bookmarkStart w:id="289" w:name="_Toc259093671"/>
      <w:bookmarkStart w:id="290" w:name="_Toc31634"/>
      <w:bookmarkStart w:id="291" w:name="_Toc27853"/>
      <w:bookmarkStart w:id="292" w:name="_Toc9829"/>
      <w:bookmarkStart w:id="293" w:name="_Toc23380"/>
      <w:bookmarkStart w:id="294" w:name="_Toc487900351"/>
      <w:r>
        <w:rPr>
          <w:rFonts w:hint="eastAsia" w:ascii="仿宋" w:hAnsi="仿宋" w:eastAsia="仿宋" w:cs="仿宋"/>
          <w:b/>
          <w:color w:val="auto"/>
          <w:sz w:val="24"/>
          <w:szCs w:val="24"/>
          <w:highlight w:val="none"/>
        </w:rPr>
        <w:t>2.3 知识产权</w:t>
      </w:r>
      <w:bookmarkEnd w:id="288"/>
      <w:bookmarkEnd w:id="289"/>
      <w:bookmarkEnd w:id="290"/>
      <w:bookmarkEnd w:id="291"/>
      <w:bookmarkEnd w:id="292"/>
      <w:bookmarkEnd w:id="293"/>
      <w:bookmarkEnd w:id="294"/>
    </w:p>
    <w:p w14:paraId="37D37AD9">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5E2D5D3">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2.3.2具有知识产权的计算机软件等货物的知识产权归属，详见</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w:t>
      </w:r>
    </w:p>
    <w:p w14:paraId="458CD704">
      <w:pPr>
        <w:spacing w:line="560" w:lineRule="exact"/>
        <w:ind w:firstLine="482" w:firstLineChars="200"/>
        <w:outlineLvl w:val="0"/>
        <w:rPr>
          <w:rFonts w:hint="eastAsia" w:ascii="仿宋" w:hAnsi="仿宋" w:eastAsia="仿宋" w:cs="仿宋"/>
          <w:b/>
          <w:color w:val="auto"/>
          <w:sz w:val="24"/>
          <w:szCs w:val="24"/>
          <w:highlight w:val="none"/>
        </w:rPr>
      </w:pPr>
      <w:bookmarkStart w:id="295" w:name="_Toc11932"/>
      <w:bookmarkStart w:id="296" w:name="_Toc4194"/>
      <w:bookmarkStart w:id="297" w:name="_Toc29149"/>
      <w:bookmarkStart w:id="298" w:name="_Toc12383"/>
      <w:r>
        <w:rPr>
          <w:rFonts w:hint="eastAsia" w:ascii="仿宋" w:hAnsi="仿宋" w:eastAsia="仿宋" w:cs="仿宋"/>
          <w:b/>
          <w:color w:val="auto"/>
          <w:sz w:val="24"/>
          <w:szCs w:val="24"/>
          <w:highlight w:val="none"/>
        </w:rPr>
        <w:t>2.4 包装和装运</w:t>
      </w:r>
      <w:bookmarkEnd w:id="295"/>
      <w:bookmarkEnd w:id="296"/>
      <w:bookmarkEnd w:id="297"/>
      <w:bookmarkEnd w:id="298"/>
    </w:p>
    <w:p w14:paraId="2C8401FA">
      <w:pPr>
        <w:spacing w:line="560" w:lineRule="exact"/>
        <w:ind w:firstLine="480" w:firstLineChars="20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rPr>
        <w:t>2.4.1除</w:t>
      </w:r>
      <w:r>
        <w:rPr>
          <w:rFonts w:hint="eastAsia" w:ascii="仿宋" w:hAnsi="仿宋" w:eastAsia="仿宋" w:cs="仿宋"/>
          <w:b/>
          <w:iCs/>
          <w:color w:val="auto"/>
          <w:sz w:val="24"/>
          <w:szCs w:val="24"/>
          <w:highlight w:val="none"/>
          <w:u w:val="single"/>
        </w:rPr>
        <w:t>合同专用条款</w:t>
      </w:r>
      <w:r>
        <w:rPr>
          <w:rFonts w:hint="eastAsia" w:ascii="仿宋" w:hAnsi="仿宋" w:eastAsia="仿宋" w:cs="仿宋"/>
          <w:iCs/>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8282616">
      <w:pPr>
        <w:spacing w:line="560" w:lineRule="exact"/>
        <w:ind w:firstLine="480" w:firstLineChars="20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2.4.2 装运货物的要求和通知，详见</w:t>
      </w:r>
      <w:r>
        <w:rPr>
          <w:rFonts w:hint="eastAsia" w:ascii="仿宋" w:hAnsi="仿宋" w:eastAsia="仿宋" w:cs="仿宋"/>
          <w:b/>
          <w:iCs/>
          <w:color w:val="auto"/>
          <w:sz w:val="24"/>
          <w:szCs w:val="24"/>
          <w:highlight w:val="none"/>
          <w:u w:val="single"/>
        </w:rPr>
        <w:t>合同专用条款</w:t>
      </w:r>
      <w:r>
        <w:rPr>
          <w:rFonts w:hint="eastAsia" w:ascii="仿宋" w:hAnsi="仿宋" w:eastAsia="仿宋" w:cs="仿宋"/>
          <w:iCs/>
          <w:color w:val="auto"/>
          <w:sz w:val="24"/>
          <w:szCs w:val="24"/>
          <w:highlight w:val="none"/>
        </w:rPr>
        <w:t>。</w:t>
      </w:r>
    </w:p>
    <w:p w14:paraId="79FD357A">
      <w:pPr>
        <w:spacing w:line="560" w:lineRule="exact"/>
        <w:ind w:firstLine="482" w:firstLineChars="200"/>
        <w:outlineLvl w:val="0"/>
        <w:rPr>
          <w:rFonts w:hint="eastAsia" w:ascii="仿宋" w:hAnsi="仿宋" w:eastAsia="仿宋" w:cs="仿宋"/>
          <w:b/>
          <w:color w:val="auto"/>
          <w:sz w:val="24"/>
          <w:szCs w:val="24"/>
          <w:highlight w:val="none"/>
        </w:rPr>
      </w:pPr>
      <w:bookmarkStart w:id="299" w:name="_Toc259093674"/>
      <w:bookmarkStart w:id="300" w:name="_Ref467379527"/>
      <w:bookmarkStart w:id="301" w:name="_Ref467379536"/>
      <w:bookmarkStart w:id="302" w:name="_Ref467378541"/>
      <w:bookmarkStart w:id="303" w:name="_Toc487900354"/>
      <w:bookmarkStart w:id="304" w:name="_Toc279701245"/>
      <w:bookmarkStart w:id="305" w:name="_Ref467379542"/>
      <w:bookmarkStart w:id="306" w:name="_Ref467378591"/>
      <w:bookmarkStart w:id="307" w:name="_Toc30272"/>
      <w:bookmarkStart w:id="308" w:name="_Toc26182"/>
      <w:bookmarkStart w:id="309" w:name="_Toc20589"/>
      <w:bookmarkStart w:id="310" w:name="_Toc19074"/>
      <w:r>
        <w:rPr>
          <w:rFonts w:hint="eastAsia" w:ascii="仿宋" w:hAnsi="仿宋" w:eastAsia="仿宋" w:cs="仿宋"/>
          <w:b/>
          <w:color w:val="auto"/>
          <w:sz w:val="24"/>
          <w:szCs w:val="24"/>
          <w:highlight w:val="none"/>
        </w:rPr>
        <w:t>2.</w:t>
      </w:r>
      <w:bookmarkEnd w:id="299"/>
      <w:bookmarkEnd w:id="300"/>
      <w:bookmarkEnd w:id="301"/>
      <w:bookmarkEnd w:id="302"/>
      <w:bookmarkEnd w:id="303"/>
      <w:bookmarkEnd w:id="304"/>
      <w:bookmarkEnd w:id="305"/>
      <w:bookmarkEnd w:id="306"/>
      <w:r>
        <w:rPr>
          <w:rFonts w:hint="eastAsia" w:ascii="仿宋" w:hAnsi="仿宋" w:eastAsia="仿宋" w:cs="仿宋"/>
          <w:b/>
          <w:color w:val="auto"/>
          <w:sz w:val="24"/>
          <w:szCs w:val="24"/>
          <w:highlight w:val="none"/>
        </w:rPr>
        <w:t>5 履约检查和问题反馈</w:t>
      </w:r>
      <w:bookmarkEnd w:id="307"/>
      <w:bookmarkEnd w:id="308"/>
      <w:bookmarkEnd w:id="309"/>
      <w:bookmarkEnd w:id="310"/>
    </w:p>
    <w:p w14:paraId="22C545A9">
      <w:pPr>
        <w:spacing w:line="560" w:lineRule="exact"/>
        <w:ind w:firstLine="480" w:firstLineChars="200"/>
        <w:rPr>
          <w:rFonts w:hint="eastAsia" w:ascii="仿宋" w:hAnsi="仿宋" w:eastAsia="仿宋" w:cs="仿宋"/>
          <w:color w:val="auto"/>
          <w:sz w:val="24"/>
          <w:szCs w:val="24"/>
          <w:highlight w:val="none"/>
        </w:rPr>
      </w:pPr>
      <w:bookmarkStart w:id="311" w:name="_Ref467379657"/>
      <w:r>
        <w:rPr>
          <w:rFonts w:hint="eastAsia" w:ascii="仿宋" w:hAnsi="仿宋" w:eastAsia="仿宋" w:cs="仿宋"/>
          <w:color w:val="auto"/>
          <w:sz w:val="24"/>
          <w:szCs w:val="24"/>
          <w:highlight w:val="none"/>
        </w:rPr>
        <w:t>2.5.1</w:t>
      </w:r>
      <w:bookmarkEnd w:id="311"/>
      <w:bookmarkStart w:id="312" w:name="_Toc186431854"/>
      <w:bookmarkStart w:id="313" w:name="_Toc279701247"/>
      <w:bookmarkStart w:id="314" w:name="_Toc259093676"/>
      <w:bookmarkStart w:id="315" w:name="_Toc487900357"/>
      <w:bookmarkStart w:id="316" w:name="_Ref467379807"/>
      <w:bookmarkStart w:id="317" w:name="_Ref467379793"/>
      <w:r>
        <w:rPr>
          <w:rFonts w:hint="eastAsia" w:ascii="仿宋" w:hAnsi="仿宋" w:eastAsia="仿宋" w:cs="仿宋"/>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2ACA8E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合同履行期间，甲方有权将履行过程中出现的问题反馈给乙方，双方当事人应以书面形式约定需要完善和改进的内容</w:t>
      </w:r>
      <w:bookmarkEnd w:id="312"/>
      <w:bookmarkStart w:id="318" w:name="_Toc186431855"/>
      <w:r>
        <w:rPr>
          <w:rFonts w:hint="eastAsia" w:ascii="仿宋" w:hAnsi="仿宋" w:eastAsia="仿宋" w:cs="仿宋"/>
          <w:color w:val="auto"/>
          <w:sz w:val="24"/>
          <w:szCs w:val="24"/>
          <w:highlight w:val="none"/>
        </w:rPr>
        <w:t>。</w:t>
      </w:r>
    </w:p>
    <w:bookmarkEnd w:id="318"/>
    <w:p w14:paraId="5DAC1AC0">
      <w:pPr>
        <w:spacing w:line="560" w:lineRule="exact"/>
        <w:ind w:firstLine="482" w:firstLineChars="200"/>
        <w:outlineLvl w:val="0"/>
        <w:rPr>
          <w:rFonts w:hint="eastAsia" w:ascii="仿宋" w:hAnsi="仿宋" w:eastAsia="仿宋" w:cs="仿宋"/>
          <w:b/>
          <w:color w:val="auto"/>
          <w:sz w:val="24"/>
          <w:szCs w:val="24"/>
          <w:highlight w:val="none"/>
        </w:rPr>
      </w:pPr>
      <w:bookmarkStart w:id="319" w:name="_Toc28451"/>
      <w:bookmarkStart w:id="320" w:name="_Toc5793"/>
      <w:bookmarkStart w:id="321" w:name="_Toc19219"/>
      <w:bookmarkStart w:id="322" w:name="_Toc7836"/>
      <w:r>
        <w:rPr>
          <w:rFonts w:hint="eastAsia" w:ascii="仿宋" w:hAnsi="仿宋" w:eastAsia="仿宋" w:cs="仿宋"/>
          <w:b/>
          <w:color w:val="auto"/>
          <w:sz w:val="24"/>
          <w:szCs w:val="24"/>
          <w:highlight w:val="none"/>
        </w:rPr>
        <w:t>2.6 结算方式和付款条件</w:t>
      </w:r>
      <w:bookmarkEnd w:id="313"/>
      <w:bookmarkEnd w:id="314"/>
      <w:bookmarkEnd w:id="315"/>
      <w:bookmarkEnd w:id="316"/>
      <w:bookmarkEnd w:id="317"/>
      <w:bookmarkEnd w:id="319"/>
      <w:bookmarkEnd w:id="320"/>
      <w:bookmarkEnd w:id="321"/>
      <w:bookmarkEnd w:id="322"/>
    </w:p>
    <w:p w14:paraId="32A3704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b/>
          <w:iCs/>
          <w:color w:val="auto"/>
          <w:sz w:val="24"/>
          <w:szCs w:val="24"/>
          <w:highlight w:val="none"/>
          <w:u w:val="single"/>
        </w:rPr>
        <w:t>合同专用条款</w:t>
      </w:r>
      <w:r>
        <w:rPr>
          <w:rFonts w:hint="eastAsia" w:ascii="仿宋" w:hAnsi="仿宋" w:eastAsia="仿宋" w:cs="仿宋"/>
          <w:color w:val="auto"/>
          <w:sz w:val="24"/>
          <w:szCs w:val="24"/>
          <w:highlight w:val="none"/>
        </w:rPr>
        <w:t>。</w:t>
      </w:r>
    </w:p>
    <w:p w14:paraId="2ABEC973">
      <w:pPr>
        <w:spacing w:line="560" w:lineRule="exact"/>
        <w:ind w:firstLine="482" w:firstLineChars="200"/>
        <w:outlineLvl w:val="0"/>
        <w:rPr>
          <w:rFonts w:hint="eastAsia" w:ascii="仿宋" w:hAnsi="仿宋" w:eastAsia="仿宋" w:cs="仿宋"/>
          <w:b/>
          <w:color w:val="auto"/>
          <w:sz w:val="24"/>
          <w:szCs w:val="24"/>
          <w:highlight w:val="none"/>
        </w:rPr>
      </w:pPr>
      <w:bookmarkStart w:id="323" w:name="_Toc487900358"/>
      <w:bookmarkStart w:id="324" w:name="_Ref467379863"/>
      <w:bookmarkStart w:id="325" w:name="_Toc259093677"/>
      <w:bookmarkStart w:id="326" w:name="_Ref467379852"/>
      <w:bookmarkStart w:id="327" w:name="_Toc279701248"/>
      <w:bookmarkStart w:id="328" w:name="_Ref467379923"/>
      <w:bookmarkStart w:id="329" w:name="_Toc3225"/>
      <w:bookmarkStart w:id="330" w:name="_Toc1305"/>
      <w:bookmarkStart w:id="331" w:name="_Toc16110"/>
      <w:bookmarkStart w:id="332" w:name="_Toc774"/>
      <w:r>
        <w:rPr>
          <w:rFonts w:hint="eastAsia" w:ascii="仿宋" w:hAnsi="仿宋" w:eastAsia="仿宋" w:cs="仿宋"/>
          <w:b/>
          <w:color w:val="auto"/>
          <w:sz w:val="24"/>
          <w:szCs w:val="24"/>
          <w:highlight w:val="none"/>
        </w:rPr>
        <w:t>2.7 技术资料</w:t>
      </w:r>
      <w:bookmarkEnd w:id="323"/>
      <w:bookmarkEnd w:id="324"/>
      <w:bookmarkEnd w:id="325"/>
      <w:bookmarkEnd w:id="326"/>
      <w:bookmarkEnd w:id="327"/>
      <w:bookmarkEnd w:id="328"/>
      <w:r>
        <w:rPr>
          <w:rFonts w:hint="eastAsia" w:ascii="仿宋" w:hAnsi="仿宋" w:eastAsia="仿宋" w:cs="仿宋"/>
          <w:b/>
          <w:color w:val="auto"/>
          <w:sz w:val="24"/>
          <w:szCs w:val="24"/>
          <w:highlight w:val="none"/>
        </w:rPr>
        <w:t>和保密义务</w:t>
      </w:r>
      <w:bookmarkEnd w:id="329"/>
      <w:bookmarkEnd w:id="330"/>
      <w:bookmarkEnd w:id="331"/>
      <w:bookmarkEnd w:id="332"/>
    </w:p>
    <w:p w14:paraId="28D8B39F">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乙方有权依据合同约定和项目需要，向甲方了解有关情况，调阅有关资料等，甲方应予积极配合；</w:t>
      </w:r>
    </w:p>
    <w:p w14:paraId="42714E24">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乙方有义务妥善保管和保护由甲方提供的前款信息和资料等；</w:t>
      </w:r>
    </w:p>
    <w:p w14:paraId="7974A231">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4F496F7">
      <w:pPr>
        <w:spacing w:line="560" w:lineRule="exact"/>
        <w:ind w:firstLine="482" w:firstLineChars="200"/>
        <w:outlineLvl w:val="0"/>
        <w:rPr>
          <w:rFonts w:hint="eastAsia" w:ascii="仿宋" w:hAnsi="仿宋" w:eastAsia="仿宋" w:cs="仿宋"/>
          <w:b/>
          <w:color w:val="auto"/>
          <w:sz w:val="24"/>
          <w:szCs w:val="24"/>
          <w:highlight w:val="none"/>
        </w:rPr>
      </w:pPr>
      <w:bookmarkStart w:id="333" w:name="_Toc6636"/>
      <w:bookmarkStart w:id="334" w:name="_Toc7860"/>
      <w:r>
        <w:rPr>
          <w:rFonts w:hint="eastAsia" w:ascii="仿宋" w:hAnsi="仿宋" w:eastAsia="仿宋" w:cs="仿宋"/>
          <w:b/>
          <w:color w:val="auto"/>
          <w:sz w:val="24"/>
          <w:szCs w:val="24"/>
          <w:highlight w:val="none"/>
        </w:rPr>
        <w:t>2.8 质量保证</w:t>
      </w:r>
      <w:bookmarkEnd w:id="333"/>
      <w:bookmarkEnd w:id="334"/>
    </w:p>
    <w:p w14:paraId="321E0450">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 乙方应建立和完善履行合同的内部质量保证体系，并提供相关内部规章制度给甲方，以便甲方进行监督检查；</w:t>
      </w:r>
    </w:p>
    <w:p w14:paraId="4590A35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 乙方应保证履行合同的人员数量和素质、软件和硬件设备的配置、场地、环境和设施等满足全面履行合同的要求，并应接受甲方的监督检查。</w:t>
      </w:r>
    </w:p>
    <w:p w14:paraId="691E2B36">
      <w:pPr>
        <w:spacing w:line="560" w:lineRule="exact"/>
        <w:ind w:firstLine="482" w:firstLineChars="200"/>
        <w:outlineLvl w:val="0"/>
        <w:rPr>
          <w:rFonts w:hint="eastAsia" w:ascii="仿宋" w:hAnsi="仿宋" w:eastAsia="仿宋" w:cs="仿宋"/>
          <w:b/>
          <w:color w:val="auto"/>
          <w:sz w:val="24"/>
          <w:szCs w:val="24"/>
          <w:highlight w:val="none"/>
        </w:rPr>
      </w:pPr>
      <w:bookmarkStart w:id="335" w:name="_Toc17244"/>
      <w:bookmarkStart w:id="336" w:name="_Toc4213"/>
      <w:bookmarkStart w:id="337" w:name="_Toc487900362"/>
      <w:bookmarkStart w:id="338" w:name="_Toc259093681"/>
      <w:bookmarkStart w:id="339" w:name="_Toc279701252"/>
      <w:r>
        <w:rPr>
          <w:rFonts w:hint="eastAsia" w:ascii="仿宋" w:hAnsi="仿宋" w:eastAsia="仿宋" w:cs="仿宋"/>
          <w:b/>
          <w:color w:val="auto"/>
          <w:sz w:val="24"/>
          <w:szCs w:val="24"/>
          <w:highlight w:val="none"/>
        </w:rPr>
        <w:t>2.9 货物的风险负担</w:t>
      </w:r>
      <w:bookmarkEnd w:id="335"/>
      <w:bookmarkEnd w:id="336"/>
    </w:p>
    <w:p w14:paraId="705DDB4D">
      <w:pPr>
        <w:spacing w:line="56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货物或者在途货物或者交付给第一承运人后的货物毁损、灭失的风险负担详见</w:t>
      </w:r>
      <w:r>
        <w:rPr>
          <w:rFonts w:hint="eastAsia" w:ascii="仿宋" w:hAnsi="仿宋" w:eastAsia="仿宋" w:cs="仿宋"/>
          <w:b/>
          <w:iCs/>
          <w:color w:val="auto"/>
          <w:sz w:val="24"/>
          <w:szCs w:val="24"/>
          <w:highlight w:val="none"/>
          <w:u w:val="single"/>
        </w:rPr>
        <w:t>合同专用条款</w:t>
      </w:r>
      <w:r>
        <w:rPr>
          <w:rFonts w:hint="eastAsia" w:ascii="仿宋" w:hAnsi="仿宋" w:eastAsia="仿宋" w:cs="仿宋"/>
          <w:iCs/>
          <w:color w:val="auto"/>
          <w:sz w:val="24"/>
          <w:szCs w:val="24"/>
          <w:highlight w:val="none"/>
        </w:rPr>
        <w:t>。</w:t>
      </w:r>
    </w:p>
    <w:p w14:paraId="53E117DD">
      <w:pPr>
        <w:spacing w:line="560" w:lineRule="exact"/>
        <w:ind w:firstLine="482" w:firstLineChars="200"/>
        <w:outlineLvl w:val="0"/>
        <w:rPr>
          <w:rFonts w:hint="eastAsia" w:ascii="仿宋" w:hAnsi="仿宋" w:eastAsia="仿宋" w:cs="仿宋"/>
          <w:b/>
          <w:color w:val="auto"/>
          <w:sz w:val="24"/>
          <w:szCs w:val="24"/>
          <w:highlight w:val="none"/>
        </w:rPr>
      </w:pPr>
      <w:bookmarkStart w:id="340" w:name="_Toc19647"/>
      <w:bookmarkStart w:id="341" w:name="_Toc14055"/>
      <w:r>
        <w:rPr>
          <w:rFonts w:hint="eastAsia" w:ascii="仿宋" w:hAnsi="仿宋" w:eastAsia="仿宋" w:cs="仿宋"/>
          <w:b/>
          <w:color w:val="auto"/>
          <w:sz w:val="24"/>
          <w:szCs w:val="24"/>
          <w:highlight w:val="none"/>
        </w:rPr>
        <w:t>2.10 延迟交货</w:t>
      </w:r>
      <w:bookmarkEnd w:id="337"/>
      <w:bookmarkEnd w:id="338"/>
      <w:bookmarkEnd w:id="339"/>
      <w:bookmarkEnd w:id="340"/>
      <w:bookmarkEnd w:id="341"/>
    </w:p>
    <w:p w14:paraId="24732682">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81839EF">
      <w:pPr>
        <w:spacing w:line="560" w:lineRule="exact"/>
        <w:ind w:firstLine="482" w:firstLineChars="200"/>
        <w:outlineLvl w:val="0"/>
        <w:rPr>
          <w:rFonts w:hint="eastAsia" w:ascii="仿宋" w:hAnsi="仿宋" w:eastAsia="仿宋" w:cs="仿宋"/>
          <w:b/>
          <w:color w:val="auto"/>
          <w:sz w:val="24"/>
          <w:szCs w:val="24"/>
          <w:highlight w:val="none"/>
        </w:rPr>
      </w:pPr>
      <w:bookmarkStart w:id="342" w:name="_Toc15197"/>
      <w:bookmarkStart w:id="343" w:name="_Toc7502"/>
      <w:bookmarkStart w:id="344" w:name="_Toc259093683"/>
      <w:bookmarkStart w:id="345" w:name="_Ref467378121"/>
      <w:bookmarkStart w:id="346" w:name="_Toc279701254"/>
      <w:bookmarkStart w:id="347" w:name="_Toc487900364"/>
      <w:r>
        <w:rPr>
          <w:rFonts w:hint="eastAsia" w:ascii="仿宋" w:hAnsi="仿宋" w:eastAsia="仿宋" w:cs="仿宋"/>
          <w:b/>
          <w:color w:val="auto"/>
          <w:sz w:val="24"/>
          <w:szCs w:val="24"/>
          <w:highlight w:val="none"/>
        </w:rPr>
        <w:t>2.11 合同变更</w:t>
      </w:r>
      <w:bookmarkEnd w:id="342"/>
      <w:bookmarkEnd w:id="343"/>
    </w:p>
    <w:p w14:paraId="1A1B25FC">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5EE925E3">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合同继续履行将损害国家利益和社会公共利益的，双方当事人应当以书面形式变更合同。有过错的一方应当承担赔偿责任，双方当事人都有过错的，各自承担相应的责任。</w:t>
      </w:r>
      <w:bookmarkStart w:id="348" w:name="_Toc279701259"/>
      <w:bookmarkStart w:id="349" w:name="_Toc487900369"/>
      <w:bookmarkStart w:id="350" w:name="_Toc259093688"/>
    </w:p>
    <w:p w14:paraId="50764FC7">
      <w:pPr>
        <w:spacing w:line="560" w:lineRule="exact"/>
        <w:ind w:firstLine="482" w:firstLineChars="200"/>
        <w:outlineLvl w:val="0"/>
        <w:rPr>
          <w:rFonts w:hint="eastAsia" w:ascii="仿宋" w:hAnsi="仿宋" w:eastAsia="仿宋" w:cs="仿宋"/>
          <w:b/>
          <w:color w:val="auto"/>
          <w:sz w:val="24"/>
          <w:szCs w:val="24"/>
          <w:highlight w:val="none"/>
        </w:rPr>
      </w:pPr>
      <w:bookmarkStart w:id="351" w:name="_Toc15234"/>
      <w:bookmarkStart w:id="352" w:name="_Toc10366"/>
      <w:bookmarkStart w:id="353" w:name="_Toc15237"/>
      <w:bookmarkStart w:id="354" w:name="_Toc22955"/>
      <w:r>
        <w:rPr>
          <w:rFonts w:hint="eastAsia" w:ascii="仿宋" w:hAnsi="仿宋" w:eastAsia="仿宋" w:cs="仿宋"/>
          <w:b/>
          <w:color w:val="auto"/>
          <w:sz w:val="24"/>
          <w:szCs w:val="24"/>
          <w:highlight w:val="none"/>
        </w:rPr>
        <w:t>2.12 合同转让</w:t>
      </w:r>
      <w:bookmarkEnd w:id="348"/>
      <w:bookmarkEnd w:id="349"/>
      <w:bookmarkEnd w:id="350"/>
      <w:r>
        <w:rPr>
          <w:rFonts w:hint="eastAsia" w:ascii="仿宋" w:hAnsi="仿宋" w:eastAsia="仿宋" w:cs="仿宋"/>
          <w:b/>
          <w:color w:val="auto"/>
          <w:sz w:val="24"/>
          <w:szCs w:val="24"/>
          <w:highlight w:val="none"/>
        </w:rPr>
        <w:t>和分包</w:t>
      </w:r>
      <w:bookmarkEnd w:id="351"/>
      <w:bookmarkEnd w:id="352"/>
      <w:bookmarkEnd w:id="353"/>
      <w:bookmarkEnd w:id="354"/>
    </w:p>
    <w:p w14:paraId="2AB62DB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EE8D7EB">
      <w:pPr>
        <w:spacing w:line="560" w:lineRule="exact"/>
        <w:ind w:firstLine="482" w:firstLineChars="200"/>
        <w:outlineLvl w:val="0"/>
        <w:rPr>
          <w:rFonts w:hint="eastAsia" w:ascii="仿宋" w:hAnsi="仿宋" w:eastAsia="仿宋" w:cs="仿宋"/>
          <w:b/>
          <w:color w:val="auto"/>
          <w:sz w:val="24"/>
          <w:szCs w:val="24"/>
          <w:highlight w:val="none"/>
        </w:rPr>
      </w:pPr>
      <w:bookmarkStart w:id="355" w:name="_Toc13566"/>
      <w:bookmarkStart w:id="356" w:name="_Toc16508"/>
      <w:bookmarkStart w:id="357" w:name="_Toc29638"/>
      <w:bookmarkStart w:id="358" w:name="_Toc14066"/>
      <w:r>
        <w:rPr>
          <w:rFonts w:hint="eastAsia" w:ascii="仿宋" w:hAnsi="仿宋" w:eastAsia="仿宋" w:cs="仿宋"/>
          <w:b/>
          <w:color w:val="auto"/>
          <w:sz w:val="24"/>
          <w:szCs w:val="24"/>
          <w:highlight w:val="none"/>
        </w:rPr>
        <w:t>2.13 不可抗力</w:t>
      </w:r>
      <w:bookmarkEnd w:id="355"/>
      <w:bookmarkEnd w:id="356"/>
      <w:bookmarkEnd w:id="357"/>
      <w:bookmarkEnd w:id="358"/>
    </w:p>
    <w:p w14:paraId="5C5FEB45">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2.13.1如果任何一方遭遇法律规定的不可抗力，致使合同履行受阻时，履行合同的期限应予延长，延长的期限应相当于不可抗力所影响的时间；</w:t>
      </w:r>
    </w:p>
    <w:p w14:paraId="1257EC0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2.13.2 因不可抗力致使不能实现合同目的的，当事人可以解除合同；</w:t>
      </w:r>
    </w:p>
    <w:p w14:paraId="25D75A9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2.13.3 因不可抗力致使合同有变更必要的，双方当事人应在</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05E92B0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2.13.4受不可抗力影响的一方在不可抗力发生后，应在</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3A036872">
      <w:pPr>
        <w:spacing w:line="560" w:lineRule="exact"/>
        <w:ind w:firstLine="482" w:firstLineChars="200"/>
        <w:outlineLvl w:val="0"/>
        <w:rPr>
          <w:rFonts w:hint="eastAsia" w:ascii="仿宋" w:hAnsi="仿宋" w:eastAsia="仿宋" w:cs="仿宋"/>
          <w:b/>
          <w:color w:val="auto"/>
          <w:sz w:val="24"/>
          <w:szCs w:val="24"/>
          <w:highlight w:val="none"/>
        </w:rPr>
      </w:pPr>
      <w:bookmarkStart w:id="359" w:name="_Toc6969"/>
      <w:bookmarkStart w:id="360" w:name="_Toc30676"/>
      <w:bookmarkStart w:id="361" w:name="_Toc487900365"/>
      <w:bookmarkStart w:id="362" w:name="_Toc2118"/>
      <w:bookmarkStart w:id="363" w:name="_Toc689"/>
      <w:bookmarkStart w:id="364" w:name="_Toc259093684"/>
      <w:bookmarkStart w:id="365" w:name="_Toc279701255"/>
      <w:r>
        <w:rPr>
          <w:rFonts w:hint="eastAsia" w:ascii="仿宋" w:hAnsi="仿宋" w:eastAsia="仿宋" w:cs="仿宋"/>
          <w:b/>
          <w:color w:val="auto"/>
          <w:sz w:val="24"/>
          <w:szCs w:val="24"/>
          <w:highlight w:val="none"/>
        </w:rPr>
        <w:t>2.14 税费</w:t>
      </w:r>
      <w:bookmarkEnd w:id="359"/>
      <w:bookmarkEnd w:id="360"/>
      <w:bookmarkEnd w:id="361"/>
      <w:bookmarkEnd w:id="362"/>
      <w:bookmarkEnd w:id="363"/>
      <w:bookmarkEnd w:id="364"/>
      <w:bookmarkEnd w:id="365"/>
    </w:p>
    <w:p w14:paraId="7538397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14:paraId="615ACA5B">
      <w:pPr>
        <w:spacing w:line="560" w:lineRule="exact"/>
        <w:ind w:firstLine="482" w:firstLineChars="200"/>
        <w:outlineLvl w:val="0"/>
        <w:rPr>
          <w:rFonts w:hint="eastAsia" w:ascii="仿宋" w:hAnsi="仿宋" w:eastAsia="仿宋" w:cs="仿宋"/>
          <w:b/>
          <w:color w:val="auto"/>
          <w:sz w:val="24"/>
          <w:szCs w:val="24"/>
          <w:highlight w:val="none"/>
        </w:rPr>
      </w:pPr>
      <w:bookmarkStart w:id="366" w:name="_Toc259093687"/>
      <w:bookmarkStart w:id="367" w:name="_Toc16959"/>
      <w:bookmarkStart w:id="368" w:name="_Toc8298"/>
      <w:bookmarkStart w:id="369" w:name="_Toc487900368"/>
      <w:bookmarkStart w:id="370" w:name="_Toc388"/>
      <w:bookmarkStart w:id="371" w:name="_Toc279701258"/>
      <w:bookmarkStart w:id="372" w:name="_Toc7102"/>
      <w:r>
        <w:rPr>
          <w:rFonts w:hint="eastAsia" w:ascii="仿宋" w:hAnsi="仿宋" w:eastAsia="仿宋" w:cs="仿宋"/>
          <w:b/>
          <w:color w:val="auto"/>
          <w:sz w:val="24"/>
          <w:szCs w:val="24"/>
          <w:highlight w:val="none"/>
        </w:rPr>
        <w:t>2.15 乙方破产</w:t>
      </w:r>
      <w:bookmarkEnd w:id="366"/>
      <w:bookmarkEnd w:id="367"/>
      <w:bookmarkEnd w:id="368"/>
      <w:bookmarkEnd w:id="369"/>
      <w:bookmarkEnd w:id="370"/>
      <w:bookmarkEnd w:id="371"/>
      <w:bookmarkEnd w:id="372"/>
    </w:p>
    <w:p w14:paraId="2F88FE13">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35AAA1">
      <w:pPr>
        <w:spacing w:line="560" w:lineRule="exact"/>
        <w:ind w:firstLine="482" w:firstLineChars="200"/>
        <w:outlineLvl w:val="0"/>
        <w:rPr>
          <w:rFonts w:hint="eastAsia" w:ascii="仿宋" w:hAnsi="仿宋" w:eastAsia="仿宋" w:cs="仿宋"/>
          <w:b/>
          <w:color w:val="auto"/>
          <w:sz w:val="24"/>
          <w:szCs w:val="24"/>
          <w:highlight w:val="none"/>
        </w:rPr>
      </w:pPr>
      <w:bookmarkStart w:id="373" w:name="_Toc6134"/>
      <w:bookmarkStart w:id="374" w:name="_Toc15387"/>
      <w:bookmarkStart w:id="375" w:name="_Toc29333"/>
      <w:bookmarkStart w:id="376" w:name="_Toc21702"/>
      <w:r>
        <w:rPr>
          <w:rFonts w:hint="eastAsia" w:ascii="仿宋" w:hAnsi="仿宋" w:eastAsia="仿宋" w:cs="仿宋"/>
          <w:b/>
          <w:color w:val="auto"/>
          <w:sz w:val="24"/>
          <w:szCs w:val="24"/>
          <w:highlight w:val="none"/>
        </w:rPr>
        <w:t>2.16 合同中止、终止</w:t>
      </w:r>
      <w:bookmarkEnd w:id="373"/>
      <w:bookmarkEnd w:id="374"/>
      <w:bookmarkEnd w:id="375"/>
      <w:bookmarkEnd w:id="376"/>
    </w:p>
    <w:p w14:paraId="375EA407">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 双方当事人不得擅自中止或者终止合同；</w:t>
      </w:r>
    </w:p>
    <w:p w14:paraId="03C3BB9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14:paraId="059B7593">
      <w:pPr>
        <w:spacing w:line="560" w:lineRule="exact"/>
        <w:ind w:firstLine="482" w:firstLineChars="200"/>
        <w:outlineLvl w:val="0"/>
        <w:rPr>
          <w:rFonts w:hint="eastAsia" w:ascii="仿宋" w:hAnsi="仿宋" w:eastAsia="仿宋" w:cs="仿宋"/>
          <w:b/>
          <w:color w:val="auto"/>
          <w:sz w:val="24"/>
          <w:szCs w:val="24"/>
          <w:highlight w:val="none"/>
        </w:rPr>
      </w:pPr>
      <w:bookmarkStart w:id="377" w:name="_Toc8955"/>
      <w:bookmarkStart w:id="378" w:name="_Toc6596"/>
      <w:bookmarkStart w:id="379" w:name="_Toc1125"/>
      <w:bookmarkStart w:id="380" w:name="_Toc14563"/>
      <w:r>
        <w:rPr>
          <w:rFonts w:hint="eastAsia" w:ascii="仿宋" w:hAnsi="仿宋" w:eastAsia="仿宋" w:cs="仿宋"/>
          <w:b/>
          <w:color w:val="auto"/>
          <w:sz w:val="24"/>
          <w:szCs w:val="24"/>
          <w:highlight w:val="none"/>
        </w:rPr>
        <w:t>2.17 检验和验收</w:t>
      </w:r>
      <w:bookmarkEnd w:id="377"/>
      <w:bookmarkEnd w:id="378"/>
      <w:bookmarkEnd w:id="379"/>
      <w:bookmarkEnd w:id="380"/>
    </w:p>
    <w:p w14:paraId="781C4255">
      <w:pPr>
        <w:tabs>
          <w:tab w:val="left" w:pos="360"/>
          <w:tab w:val="left" w:pos="540"/>
          <w:tab w:val="left" w:pos="1080"/>
        </w:tabs>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2.17.1货物交付前，乙方应对货物的质量、数量等方面进行详细、全面的检验，并向甲方出具证明货物符合合同约定的文件；货物交付时，乙方在</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约定时间内组织验收，并可依法邀请相关方参加，验收应出具验收书。</w:t>
      </w:r>
    </w:p>
    <w:p w14:paraId="7EDB19C5">
      <w:pPr>
        <w:tabs>
          <w:tab w:val="left" w:pos="360"/>
          <w:tab w:val="left" w:pos="540"/>
          <w:tab w:val="left" w:pos="1080"/>
        </w:tabs>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5921623">
      <w:pPr>
        <w:tabs>
          <w:tab w:val="left" w:pos="360"/>
          <w:tab w:val="left" w:pos="540"/>
          <w:tab w:val="left" w:pos="1080"/>
        </w:tabs>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2.17.3 检验和验收标准、程序等具体内容以及前述验收书的效力详见</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w:t>
      </w:r>
    </w:p>
    <w:bookmarkEnd w:id="344"/>
    <w:bookmarkEnd w:id="345"/>
    <w:bookmarkEnd w:id="346"/>
    <w:bookmarkEnd w:id="347"/>
    <w:p w14:paraId="417F81F5">
      <w:pPr>
        <w:spacing w:line="560" w:lineRule="exact"/>
        <w:ind w:firstLine="482" w:firstLineChars="200"/>
        <w:outlineLvl w:val="0"/>
        <w:rPr>
          <w:rFonts w:hint="eastAsia" w:ascii="仿宋" w:hAnsi="仿宋" w:eastAsia="仿宋" w:cs="仿宋"/>
          <w:b/>
          <w:color w:val="auto"/>
          <w:sz w:val="24"/>
          <w:szCs w:val="24"/>
          <w:highlight w:val="none"/>
        </w:rPr>
      </w:pPr>
      <w:bookmarkStart w:id="381" w:name="_Toc259093690"/>
      <w:bookmarkStart w:id="382" w:name="_Toc279701261"/>
      <w:bookmarkStart w:id="383" w:name="_Toc487900371"/>
      <w:bookmarkStart w:id="384" w:name="_Toc11284"/>
      <w:bookmarkStart w:id="385" w:name="_Toc25182"/>
      <w:bookmarkStart w:id="386" w:name="_Toc19604"/>
      <w:bookmarkStart w:id="387" w:name="_Toc4508"/>
      <w:r>
        <w:rPr>
          <w:rFonts w:hint="eastAsia" w:ascii="仿宋" w:hAnsi="仿宋" w:eastAsia="仿宋" w:cs="仿宋"/>
          <w:b/>
          <w:color w:val="auto"/>
          <w:sz w:val="24"/>
          <w:szCs w:val="24"/>
          <w:highlight w:val="none"/>
        </w:rPr>
        <w:t>2.18 通知</w:t>
      </w:r>
      <w:bookmarkEnd w:id="381"/>
      <w:bookmarkEnd w:id="382"/>
      <w:bookmarkEnd w:id="383"/>
      <w:r>
        <w:rPr>
          <w:rFonts w:hint="eastAsia" w:ascii="仿宋" w:hAnsi="仿宋" w:eastAsia="仿宋" w:cs="仿宋"/>
          <w:b/>
          <w:color w:val="auto"/>
          <w:sz w:val="24"/>
          <w:szCs w:val="24"/>
          <w:highlight w:val="none"/>
        </w:rPr>
        <w:t>和送达</w:t>
      </w:r>
      <w:bookmarkEnd w:id="384"/>
      <w:bookmarkEnd w:id="385"/>
      <w:bookmarkEnd w:id="386"/>
      <w:bookmarkEnd w:id="387"/>
    </w:p>
    <w:p w14:paraId="624D8A34">
      <w:pPr>
        <w:spacing w:line="560" w:lineRule="exact"/>
        <w:ind w:firstLine="480" w:firstLineChars="200"/>
        <w:rPr>
          <w:rFonts w:hint="eastAsia" w:ascii="仿宋" w:hAnsi="仿宋" w:eastAsia="仿宋" w:cs="仿宋"/>
          <w:color w:val="auto"/>
          <w:sz w:val="24"/>
          <w:szCs w:val="24"/>
          <w:highlight w:val="none"/>
        </w:rPr>
      </w:pPr>
      <w:bookmarkStart w:id="388" w:name="_Toc3135"/>
      <w:bookmarkStart w:id="389" w:name="_Toc6698"/>
      <w:bookmarkStart w:id="390" w:name="_Toc279701262"/>
      <w:bookmarkStart w:id="391" w:name="_Toc259093691"/>
      <w:bookmarkStart w:id="392" w:name="_Toc487900372"/>
      <w:r>
        <w:rPr>
          <w:rFonts w:hint="eastAsia" w:ascii="仿宋" w:hAnsi="仿宋" w:eastAsia="仿宋" w:cs="仿宋"/>
          <w:color w:val="auto"/>
          <w:sz w:val="24"/>
          <w:szCs w:val="24"/>
          <w:highlight w:val="none"/>
        </w:rPr>
        <w:t>2.18.1 任何一方因履行合同而以合同第一部分尾部所列明的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388"/>
      <w:bookmarkEnd w:id="389"/>
    </w:p>
    <w:p w14:paraId="483A1001">
      <w:pPr>
        <w:spacing w:line="560" w:lineRule="exact"/>
        <w:ind w:firstLine="480" w:firstLineChars="200"/>
        <w:rPr>
          <w:rFonts w:hint="eastAsia" w:ascii="仿宋" w:hAnsi="仿宋" w:eastAsia="仿宋" w:cs="仿宋"/>
          <w:color w:val="auto"/>
          <w:sz w:val="24"/>
          <w:szCs w:val="24"/>
          <w:highlight w:val="none"/>
        </w:rPr>
      </w:pPr>
      <w:bookmarkStart w:id="393" w:name="_Toc23294"/>
      <w:bookmarkStart w:id="394" w:name="_Toc23128"/>
      <w:r>
        <w:rPr>
          <w:rFonts w:hint="eastAsia" w:ascii="仿宋" w:hAnsi="仿宋" w:eastAsia="仿宋" w:cs="仿宋"/>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93"/>
      <w:bookmarkEnd w:id="394"/>
    </w:p>
    <w:p w14:paraId="60786282">
      <w:pPr>
        <w:spacing w:line="560" w:lineRule="exact"/>
        <w:ind w:firstLine="482" w:firstLineChars="200"/>
        <w:outlineLvl w:val="0"/>
        <w:rPr>
          <w:rFonts w:hint="eastAsia" w:ascii="仿宋" w:hAnsi="仿宋" w:eastAsia="仿宋" w:cs="仿宋"/>
          <w:b/>
          <w:color w:val="auto"/>
          <w:sz w:val="24"/>
          <w:szCs w:val="24"/>
          <w:highlight w:val="none"/>
        </w:rPr>
      </w:pPr>
      <w:bookmarkStart w:id="395" w:name="_Toc30599"/>
      <w:bookmarkStart w:id="396" w:name="_Toc26217"/>
      <w:bookmarkStart w:id="397" w:name="_Toc4355"/>
      <w:bookmarkStart w:id="398" w:name="_Toc18540"/>
      <w:r>
        <w:rPr>
          <w:rFonts w:hint="eastAsia" w:ascii="仿宋" w:hAnsi="仿宋" w:eastAsia="仿宋" w:cs="仿宋"/>
          <w:b/>
          <w:color w:val="auto"/>
          <w:sz w:val="24"/>
          <w:szCs w:val="24"/>
          <w:highlight w:val="none"/>
        </w:rPr>
        <w:t>2.19 计量单位</w:t>
      </w:r>
      <w:bookmarkEnd w:id="390"/>
      <w:bookmarkEnd w:id="391"/>
      <w:bookmarkEnd w:id="392"/>
      <w:bookmarkEnd w:id="395"/>
      <w:bookmarkEnd w:id="396"/>
      <w:bookmarkEnd w:id="397"/>
      <w:bookmarkEnd w:id="398"/>
    </w:p>
    <w:p w14:paraId="26EAECCA">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14:paraId="4D239FF6">
      <w:pPr>
        <w:spacing w:line="560" w:lineRule="exact"/>
        <w:ind w:firstLine="482" w:firstLineChars="200"/>
        <w:outlineLvl w:val="0"/>
        <w:rPr>
          <w:rFonts w:hint="eastAsia" w:ascii="仿宋" w:hAnsi="仿宋" w:eastAsia="仿宋" w:cs="仿宋"/>
          <w:b/>
          <w:color w:val="auto"/>
          <w:sz w:val="24"/>
          <w:szCs w:val="24"/>
          <w:highlight w:val="none"/>
        </w:rPr>
      </w:pPr>
      <w:bookmarkStart w:id="399" w:name="_Toc18567"/>
      <w:bookmarkStart w:id="400" w:name="_Toc259093692"/>
      <w:bookmarkStart w:id="401" w:name="_Toc12773"/>
      <w:bookmarkStart w:id="402" w:name="_Toc487900373"/>
      <w:bookmarkStart w:id="403" w:name="_Toc10330"/>
      <w:bookmarkStart w:id="404" w:name="_Toc279701263"/>
      <w:bookmarkStart w:id="405" w:name="_Toc16549"/>
      <w:r>
        <w:rPr>
          <w:rFonts w:hint="eastAsia" w:ascii="仿宋" w:hAnsi="仿宋" w:eastAsia="仿宋" w:cs="仿宋"/>
          <w:b/>
          <w:color w:val="auto"/>
          <w:sz w:val="24"/>
          <w:szCs w:val="24"/>
          <w:highlight w:val="none"/>
        </w:rPr>
        <w:t>2.20 合同使用的文字和适用的法律</w:t>
      </w:r>
      <w:bookmarkEnd w:id="399"/>
      <w:bookmarkEnd w:id="400"/>
      <w:bookmarkEnd w:id="401"/>
      <w:bookmarkEnd w:id="402"/>
      <w:bookmarkEnd w:id="403"/>
      <w:bookmarkEnd w:id="404"/>
      <w:bookmarkEnd w:id="405"/>
    </w:p>
    <w:p w14:paraId="3745BD96">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2.20.1 合同使用汉语书就、变更和解释；</w:t>
      </w:r>
    </w:p>
    <w:p w14:paraId="3E1219B7">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2.20.2 合同适用中华人民共和国法律。</w:t>
      </w:r>
    </w:p>
    <w:p w14:paraId="43130960">
      <w:pPr>
        <w:spacing w:line="560" w:lineRule="exact"/>
        <w:ind w:firstLine="482" w:firstLineChars="200"/>
        <w:outlineLvl w:val="0"/>
        <w:rPr>
          <w:rFonts w:hint="eastAsia" w:ascii="仿宋" w:hAnsi="仿宋" w:eastAsia="仿宋" w:cs="仿宋"/>
          <w:b/>
          <w:color w:val="auto"/>
          <w:sz w:val="24"/>
          <w:szCs w:val="24"/>
          <w:highlight w:val="none"/>
        </w:rPr>
      </w:pPr>
      <w:bookmarkStart w:id="406" w:name="_Toc12004"/>
      <w:bookmarkStart w:id="407" w:name="_Toc14327"/>
      <w:bookmarkStart w:id="408" w:name="_Toc16673"/>
      <w:bookmarkStart w:id="409" w:name="_Toc259093693"/>
      <w:bookmarkStart w:id="410" w:name="_Toc279701264"/>
      <w:bookmarkStart w:id="411" w:name="_Toc3148"/>
      <w:bookmarkStart w:id="412" w:name="_Toc487900374"/>
      <w:r>
        <w:rPr>
          <w:rFonts w:hint="eastAsia" w:ascii="仿宋" w:hAnsi="仿宋" w:eastAsia="仿宋" w:cs="仿宋"/>
          <w:b/>
          <w:color w:val="auto"/>
          <w:sz w:val="24"/>
          <w:szCs w:val="24"/>
          <w:highlight w:val="none"/>
        </w:rPr>
        <w:t>2.21 履约保证金</w:t>
      </w:r>
      <w:bookmarkEnd w:id="406"/>
      <w:bookmarkEnd w:id="407"/>
      <w:bookmarkEnd w:id="408"/>
      <w:bookmarkEnd w:id="409"/>
      <w:bookmarkEnd w:id="410"/>
      <w:bookmarkEnd w:id="411"/>
    </w:p>
    <w:p w14:paraId="3E91280A">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2.21.1 采购文件要求乙方提交履约保证金的，乙方应按</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约定的方式，以支票、汇票、本票或者金融机构、担保机构出具的保函等非现金形式，提交不超过合同价10%的履约保证金；</w:t>
      </w:r>
    </w:p>
    <w:p w14:paraId="06C9E94D">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2.21.2  履约保证金在</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约定期间内或者货物质量保证期内不予退还或者应完全有效，前述约定期间届满或者货物质量保证期届满之日起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个工作日内，甲方应将履约保证金退还乙方；</w:t>
      </w:r>
    </w:p>
    <w:p w14:paraId="6D15D22F">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12"/>
    <w:p w14:paraId="41E0AECE">
      <w:pPr>
        <w:spacing w:line="560" w:lineRule="exact"/>
        <w:ind w:firstLine="482" w:firstLineChars="200"/>
        <w:outlineLvl w:val="0"/>
        <w:rPr>
          <w:rFonts w:hint="eastAsia" w:ascii="仿宋" w:hAnsi="仿宋" w:eastAsia="仿宋" w:cs="仿宋"/>
          <w:b/>
          <w:color w:val="auto"/>
          <w:sz w:val="24"/>
          <w:szCs w:val="24"/>
          <w:highlight w:val="none"/>
        </w:rPr>
      </w:pPr>
      <w:bookmarkStart w:id="413" w:name="_Toc20512"/>
      <w:bookmarkStart w:id="414" w:name="_Toc14001"/>
      <w:bookmarkStart w:id="415" w:name="_Toc6885"/>
      <w:bookmarkStart w:id="416" w:name="_Toc19890"/>
      <w:r>
        <w:rPr>
          <w:rFonts w:hint="eastAsia" w:ascii="仿宋" w:hAnsi="仿宋" w:eastAsia="仿宋" w:cs="仿宋"/>
          <w:b/>
          <w:color w:val="auto"/>
          <w:sz w:val="24"/>
          <w:szCs w:val="24"/>
          <w:highlight w:val="none"/>
        </w:rPr>
        <w:t>2.22 合同份数</w:t>
      </w:r>
      <w:bookmarkEnd w:id="413"/>
      <w:bookmarkEnd w:id="414"/>
      <w:bookmarkEnd w:id="415"/>
      <w:bookmarkEnd w:id="416"/>
    </w:p>
    <w:p w14:paraId="6AAF63FE">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14:paraId="7D826D01">
      <w:pPr>
        <w:pStyle w:val="44"/>
        <w:spacing w:line="560" w:lineRule="exact"/>
        <w:ind w:firstLine="0"/>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417" w:name="_Toc331685784"/>
      <w:r>
        <w:rPr>
          <w:rFonts w:hint="eastAsia" w:ascii="仿宋" w:hAnsi="仿宋" w:eastAsia="仿宋" w:cs="仿宋"/>
          <w:b/>
          <w:color w:val="auto"/>
          <w:sz w:val="24"/>
          <w:szCs w:val="24"/>
          <w:highlight w:val="none"/>
        </w:rPr>
        <w:t>第三部分  合同专用条款</w:t>
      </w:r>
      <w:bookmarkEnd w:id="417"/>
    </w:p>
    <w:p w14:paraId="5BF497BB">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02"/>
        <w:gridCol w:w="4916"/>
      </w:tblGrid>
      <w:tr w14:paraId="4E9D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04" w:type="dxa"/>
            <w:noWrap w:val="0"/>
            <w:vAlign w:val="center"/>
          </w:tcPr>
          <w:p w14:paraId="07633E99">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条款号</w:t>
            </w:r>
          </w:p>
        </w:tc>
        <w:tc>
          <w:tcPr>
            <w:tcW w:w="1902" w:type="dxa"/>
            <w:noWrap w:val="0"/>
            <w:vAlign w:val="center"/>
          </w:tcPr>
          <w:p w14:paraId="262FD12B">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条款名称</w:t>
            </w:r>
          </w:p>
        </w:tc>
        <w:tc>
          <w:tcPr>
            <w:tcW w:w="4916" w:type="dxa"/>
            <w:noWrap w:val="0"/>
            <w:vAlign w:val="center"/>
          </w:tcPr>
          <w:p w14:paraId="4140825F">
            <w:pPr>
              <w:tabs>
                <w:tab w:val="left" w:pos="2466"/>
                <w:tab w:val="left" w:pos="5464"/>
              </w:tabs>
              <w:adjustRightInd w:val="0"/>
              <w:snapToGrid w:val="0"/>
              <w:spacing w:line="360" w:lineRule="auto"/>
              <w:ind w:left="108"/>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编列内容规定</w:t>
            </w:r>
          </w:p>
        </w:tc>
      </w:tr>
      <w:tr w14:paraId="4656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1704" w:type="dxa"/>
            <w:noWrap w:val="0"/>
            <w:vAlign w:val="center"/>
          </w:tcPr>
          <w:p w14:paraId="786A3D51">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第1.2（6）款</w:t>
            </w:r>
          </w:p>
        </w:tc>
        <w:tc>
          <w:tcPr>
            <w:tcW w:w="1902" w:type="dxa"/>
            <w:noWrap w:val="0"/>
            <w:vAlign w:val="center"/>
          </w:tcPr>
          <w:p w14:paraId="57B36EA3">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项目现场</w:t>
            </w:r>
          </w:p>
        </w:tc>
        <w:tc>
          <w:tcPr>
            <w:tcW w:w="4916" w:type="dxa"/>
            <w:noWrap w:val="0"/>
            <w:vAlign w:val="center"/>
          </w:tcPr>
          <w:p w14:paraId="38107A7D">
            <w:pPr>
              <w:adjustRightInd w:val="0"/>
              <w:snapToGrid w:val="0"/>
              <w:spacing w:line="320" w:lineRule="exact"/>
              <w:jc w:val="left"/>
              <w:rPr>
                <w:rFonts w:hint="eastAsia" w:ascii="仿宋" w:hAnsi="仿宋" w:eastAsia="仿宋" w:cs="仿宋"/>
                <w:color w:val="auto"/>
                <w:sz w:val="24"/>
                <w:szCs w:val="24"/>
                <w:highlight w:val="none"/>
              </w:rPr>
            </w:pPr>
          </w:p>
        </w:tc>
      </w:tr>
      <w:tr w14:paraId="398A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1704" w:type="dxa"/>
            <w:noWrap w:val="0"/>
            <w:vAlign w:val="center"/>
          </w:tcPr>
          <w:p w14:paraId="19B1DE8A">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第5.1条</w:t>
            </w:r>
          </w:p>
        </w:tc>
        <w:tc>
          <w:tcPr>
            <w:tcW w:w="1902" w:type="dxa"/>
            <w:noWrap w:val="0"/>
            <w:vAlign w:val="center"/>
          </w:tcPr>
          <w:p w14:paraId="1C6C64ED">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履行合同的时间</w:t>
            </w:r>
          </w:p>
        </w:tc>
        <w:tc>
          <w:tcPr>
            <w:tcW w:w="4916" w:type="dxa"/>
            <w:noWrap w:val="0"/>
            <w:vAlign w:val="center"/>
          </w:tcPr>
          <w:p w14:paraId="25C866EE">
            <w:pPr>
              <w:pStyle w:val="8"/>
              <w:tabs>
                <w:tab w:val="left" w:pos="567"/>
              </w:tabs>
              <w:snapToGrid w:val="0"/>
              <w:rPr>
                <w:rFonts w:hint="eastAsia" w:ascii="仿宋" w:hAnsi="仿宋" w:eastAsia="仿宋" w:cs="仿宋"/>
                <w:color w:val="auto"/>
                <w:sz w:val="24"/>
                <w:szCs w:val="24"/>
                <w:highlight w:val="none"/>
              </w:rPr>
            </w:pPr>
          </w:p>
        </w:tc>
      </w:tr>
      <w:tr w14:paraId="094C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704" w:type="dxa"/>
            <w:noWrap w:val="0"/>
            <w:vAlign w:val="center"/>
          </w:tcPr>
          <w:p w14:paraId="74C465C8">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第9.2(3) 款</w:t>
            </w:r>
          </w:p>
        </w:tc>
        <w:tc>
          <w:tcPr>
            <w:tcW w:w="1902" w:type="dxa"/>
            <w:noWrap w:val="0"/>
            <w:vAlign w:val="center"/>
          </w:tcPr>
          <w:p w14:paraId="3B0966CE">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响应时间</w:t>
            </w:r>
          </w:p>
        </w:tc>
        <w:tc>
          <w:tcPr>
            <w:tcW w:w="4916" w:type="dxa"/>
            <w:noWrap w:val="0"/>
            <w:vAlign w:val="center"/>
          </w:tcPr>
          <w:p w14:paraId="7F212FFC">
            <w:pPr>
              <w:pStyle w:val="8"/>
              <w:tabs>
                <w:tab w:val="left" w:pos="567"/>
              </w:tabs>
              <w:snapToGrid w:val="0"/>
              <w:rPr>
                <w:rFonts w:hint="eastAsia" w:ascii="仿宋" w:hAnsi="仿宋" w:eastAsia="仿宋" w:cs="仿宋"/>
                <w:color w:val="auto"/>
                <w:sz w:val="24"/>
                <w:szCs w:val="24"/>
                <w:highlight w:val="none"/>
              </w:rPr>
            </w:pPr>
          </w:p>
        </w:tc>
      </w:tr>
      <w:tr w14:paraId="7DA9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exact"/>
          <w:jc w:val="center"/>
        </w:trPr>
        <w:tc>
          <w:tcPr>
            <w:tcW w:w="1704" w:type="dxa"/>
            <w:noWrap w:val="0"/>
            <w:vAlign w:val="center"/>
          </w:tcPr>
          <w:p w14:paraId="65279873">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第13.5条</w:t>
            </w:r>
          </w:p>
        </w:tc>
        <w:tc>
          <w:tcPr>
            <w:tcW w:w="1902" w:type="dxa"/>
            <w:noWrap w:val="0"/>
            <w:vAlign w:val="center"/>
          </w:tcPr>
          <w:p w14:paraId="258B0845">
            <w:pPr>
              <w:pStyle w:val="8"/>
              <w:tabs>
                <w:tab w:val="left" w:pos="567"/>
              </w:tabs>
              <w:snapToGrid w:val="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合同价款支付方式和条件</w:t>
            </w:r>
          </w:p>
        </w:tc>
        <w:tc>
          <w:tcPr>
            <w:tcW w:w="4916" w:type="dxa"/>
            <w:noWrap w:val="0"/>
            <w:vAlign w:val="center"/>
          </w:tcPr>
          <w:p w14:paraId="38F5AEA9">
            <w:pPr>
              <w:pStyle w:val="8"/>
              <w:tabs>
                <w:tab w:val="left" w:pos="567"/>
              </w:tabs>
              <w:rPr>
                <w:rFonts w:hint="eastAsia" w:ascii="仿宋" w:hAnsi="仿宋" w:eastAsia="仿宋" w:cs="仿宋"/>
                <w:color w:val="auto"/>
                <w:sz w:val="24"/>
                <w:szCs w:val="24"/>
                <w:highlight w:val="none"/>
              </w:rPr>
            </w:pPr>
          </w:p>
        </w:tc>
      </w:tr>
      <w:tr w14:paraId="306B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704" w:type="dxa"/>
            <w:noWrap w:val="0"/>
            <w:vAlign w:val="center"/>
          </w:tcPr>
          <w:p w14:paraId="5FBC9B5D">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第14.2(5) 款</w:t>
            </w:r>
          </w:p>
        </w:tc>
        <w:tc>
          <w:tcPr>
            <w:tcW w:w="1902" w:type="dxa"/>
            <w:noWrap w:val="0"/>
            <w:vAlign w:val="center"/>
          </w:tcPr>
          <w:p w14:paraId="7039C110">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伴随服务</w:t>
            </w:r>
          </w:p>
        </w:tc>
        <w:tc>
          <w:tcPr>
            <w:tcW w:w="4916" w:type="dxa"/>
            <w:noWrap w:val="0"/>
            <w:vAlign w:val="center"/>
          </w:tcPr>
          <w:p w14:paraId="21D9D5A0">
            <w:pPr>
              <w:pStyle w:val="8"/>
              <w:tabs>
                <w:tab w:val="left" w:pos="567"/>
              </w:tabs>
              <w:snapToGrid w:val="0"/>
              <w:rPr>
                <w:rFonts w:hint="eastAsia" w:ascii="仿宋" w:hAnsi="仿宋" w:eastAsia="仿宋" w:cs="仿宋"/>
                <w:color w:val="auto"/>
                <w:sz w:val="24"/>
                <w:szCs w:val="24"/>
                <w:highlight w:val="none"/>
              </w:rPr>
            </w:pPr>
          </w:p>
        </w:tc>
      </w:tr>
      <w:tr w14:paraId="6103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704" w:type="dxa"/>
            <w:noWrap w:val="0"/>
            <w:vAlign w:val="center"/>
          </w:tcPr>
          <w:p w14:paraId="30D83A48">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第20.2条</w:t>
            </w:r>
          </w:p>
        </w:tc>
        <w:tc>
          <w:tcPr>
            <w:tcW w:w="1902" w:type="dxa"/>
            <w:noWrap w:val="0"/>
            <w:vAlign w:val="center"/>
          </w:tcPr>
          <w:p w14:paraId="35BA20C4">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解决争议的方式</w:t>
            </w:r>
          </w:p>
        </w:tc>
        <w:tc>
          <w:tcPr>
            <w:tcW w:w="4916" w:type="dxa"/>
            <w:noWrap w:val="0"/>
            <w:vAlign w:val="center"/>
          </w:tcPr>
          <w:p w14:paraId="2BB34340">
            <w:pPr>
              <w:pStyle w:val="8"/>
              <w:tabs>
                <w:tab w:val="left" w:pos="567"/>
              </w:tabs>
              <w:snapToGrid w:val="0"/>
              <w:rPr>
                <w:rFonts w:hint="eastAsia" w:ascii="仿宋" w:hAnsi="仿宋" w:eastAsia="仿宋" w:cs="仿宋"/>
                <w:color w:val="auto"/>
                <w:sz w:val="24"/>
                <w:szCs w:val="24"/>
                <w:highlight w:val="none"/>
              </w:rPr>
            </w:pPr>
          </w:p>
        </w:tc>
      </w:tr>
      <w:tr w14:paraId="5AEB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1704" w:type="dxa"/>
            <w:noWrap w:val="0"/>
            <w:vAlign w:val="center"/>
          </w:tcPr>
          <w:p w14:paraId="023F2377">
            <w:pPr>
              <w:pStyle w:val="8"/>
              <w:tabs>
                <w:tab w:val="left" w:pos="567"/>
              </w:tabs>
              <w:snapToGrid w:val="0"/>
              <w:jc w:val="center"/>
              <w:rPr>
                <w:rFonts w:hint="eastAsia" w:ascii="仿宋" w:hAnsi="仿宋" w:eastAsia="仿宋" w:cs="仿宋"/>
                <w:color w:val="auto"/>
                <w:sz w:val="24"/>
                <w:szCs w:val="24"/>
                <w:highlight w:val="none"/>
              </w:rPr>
            </w:pPr>
          </w:p>
        </w:tc>
        <w:tc>
          <w:tcPr>
            <w:tcW w:w="1902" w:type="dxa"/>
            <w:noWrap w:val="0"/>
            <w:vAlign w:val="center"/>
          </w:tcPr>
          <w:p w14:paraId="235627FE">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w:t>
            </w:r>
          </w:p>
        </w:tc>
        <w:tc>
          <w:tcPr>
            <w:tcW w:w="4916" w:type="dxa"/>
            <w:noWrap w:val="0"/>
            <w:vAlign w:val="center"/>
          </w:tcPr>
          <w:p w14:paraId="2D43FD69">
            <w:pPr>
              <w:pStyle w:val="8"/>
              <w:tabs>
                <w:tab w:val="left" w:pos="567"/>
              </w:tabs>
              <w:snapToGrid w:val="0"/>
              <w:rPr>
                <w:rFonts w:hint="eastAsia" w:ascii="仿宋" w:hAnsi="仿宋" w:eastAsia="仿宋" w:cs="仿宋"/>
                <w:color w:val="auto"/>
                <w:sz w:val="24"/>
                <w:szCs w:val="24"/>
                <w:highlight w:val="none"/>
              </w:rPr>
            </w:pPr>
          </w:p>
        </w:tc>
      </w:tr>
      <w:tr w14:paraId="3231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noWrap w:val="0"/>
            <w:vAlign w:val="center"/>
          </w:tcPr>
          <w:p w14:paraId="3C169E6F">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第24.1条</w:t>
            </w:r>
          </w:p>
        </w:tc>
        <w:tc>
          <w:tcPr>
            <w:tcW w:w="1902" w:type="dxa"/>
            <w:noWrap w:val="0"/>
            <w:vAlign w:val="center"/>
          </w:tcPr>
          <w:p w14:paraId="44CE8DE6">
            <w:pPr>
              <w:pStyle w:val="8"/>
              <w:tabs>
                <w:tab w:val="left" w:pos="567"/>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合同未尽事项</w:t>
            </w:r>
          </w:p>
        </w:tc>
        <w:tc>
          <w:tcPr>
            <w:tcW w:w="4916" w:type="dxa"/>
            <w:noWrap w:val="0"/>
            <w:vAlign w:val="center"/>
          </w:tcPr>
          <w:p w14:paraId="2154C9F8">
            <w:pPr>
              <w:pStyle w:val="8"/>
              <w:tabs>
                <w:tab w:val="left" w:pos="567"/>
              </w:tabs>
              <w:snapToGrid w:val="0"/>
              <w:rPr>
                <w:rFonts w:hint="eastAsia" w:ascii="仿宋" w:hAnsi="仿宋" w:eastAsia="仿宋" w:cs="仿宋"/>
                <w:color w:val="auto"/>
                <w:sz w:val="24"/>
                <w:szCs w:val="24"/>
                <w:highlight w:val="none"/>
              </w:rPr>
            </w:pPr>
          </w:p>
        </w:tc>
      </w:tr>
      <w:tr w14:paraId="7E31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704" w:type="dxa"/>
            <w:vMerge w:val="restart"/>
            <w:noWrap w:val="0"/>
            <w:vAlign w:val="center"/>
          </w:tcPr>
          <w:p w14:paraId="75001C8C">
            <w:pPr>
              <w:pStyle w:val="8"/>
              <w:tabs>
                <w:tab w:val="left" w:pos="567"/>
              </w:tabs>
              <w:snapToGrid w:val="0"/>
              <w:rPr>
                <w:rFonts w:hint="eastAsia" w:ascii="仿宋" w:hAnsi="仿宋" w:eastAsia="仿宋" w:cs="仿宋"/>
                <w:color w:val="auto"/>
                <w:sz w:val="24"/>
                <w:szCs w:val="24"/>
                <w:highlight w:val="none"/>
              </w:rPr>
            </w:pPr>
          </w:p>
        </w:tc>
        <w:tc>
          <w:tcPr>
            <w:tcW w:w="1902" w:type="dxa"/>
            <w:noWrap w:val="0"/>
            <w:vAlign w:val="center"/>
          </w:tcPr>
          <w:p w14:paraId="4565DB91">
            <w:pPr>
              <w:pStyle w:val="8"/>
              <w:tabs>
                <w:tab w:val="left" w:pos="567"/>
              </w:tabs>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供货要求</w:t>
            </w:r>
          </w:p>
        </w:tc>
        <w:tc>
          <w:tcPr>
            <w:tcW w:w="4916" w:type="dxa"/>
            <w:noWrap w:val="0"/>
            <w:vAlign w:val="center"/>
          </w:tcPr>
          <w:p w14:paraId="5956382E">
            <w:pPr>
              <w:pStyle w:val="8"/>
              <w:tabs>
                <w:tab w:val="left" w:pos="567"/>
              </w:tabs>
              <w:snapToGrid w:val="0"/>
              <w:rPr>
                <w:rFonts w:hint="eastAsia" w:ascii="仿宋" w:hAnsi="仿宋" w:eastAsia="仿宋" w:cs="仿宋"/>
                <w:b/>
                <w:bCs/>
                <w:color w:val="auto"/>
                <w:sz w:val="24"/>
                <w:szCs w:val="24"/>
                <w:highlight w:val="none"/>
              </w:rPr>
            </w:pPr>
          </w:p>
        </w:tc>
      </w:tr>
      <w:tr w14:paraId="5A70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04" w:type="dxa"/>
            <w:vMerge w:val="continue"/>
            <w:noWrap w:val="0"/>
            <w:vAlign w:val="center"/>
          </w:tcPr>
          <w:p w14:paraId="272C1332">
            <w:pPr>
              <w:pStyle w:val="8"/>
              <w:tabs>
                <w:tab w:val="left" w:pos="567"/>
              </w:tabs>
              <w:snapToGrid w:val="0"/>
              <w:jc w:val="center"/>
              <w:rPr>
                <w:rFonts w:hint="eastAsia" w:ascii="仿宋" w:hAnsi="仿宋" w:eastAsia="仿宋" w:cs="仿宋"/>
                <w:color w:val="auto"/>
                <w:sz w:val="24"/>
                <w:szCs w:val="24"/>
                <w:highlight w:val="none"/>
              </w:rPr>
            </w:pPr>
          </w:p>
        </w:tc>
        <w:tc>
          <w:tcPr>
            <w:tcW w:w="1902" w:type="dxa"/>
            <w:noWrap w:val="0"/>
            <w:vAlign w:val="center"/>
          </w:tcPr>
          <w:p w14:paraId="550977AA">
            <w:pPr>
              <w:pStyle w:val="8"/>
              <w:tabs>
                <w:tab w:val="left" w:pos="567"/>
              </w:tabs>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中标单位应在供货时提供以下证件，否则业主单位有权拒绝接收中标单位所供的货物。</w:t>
            </w:r>
          </w:p>
        </w:tc>
        <w:tc>
          <w:tcPr>
            <w:tcW w:w="4916" w:type="dxa"/>
            <w:noWrap w:val="0"/>
            <w:vAlign w:val="center"/>
          </w:tcPr>
          <w:p w14:paraId="67A617AD">
            <w:pPr>
              <w:pStyle w:val="8"/>
              <w:tabs>
                <w:tab w:val="left" w:pos="567"/>
              </w:tabs>
              <w:snapToGrid w:val="0"/>
              <w:rPr>
                <w:rFonts w:hint="eastAsia" w:ascii="仿宋" w:hAnsi="仿宋" w:eastAsia="仿宋" w:cs="仿宋"/>
                <w:b/>
                <w:bCs/>
                <w:color w:val="auto"/>
                <w:sz w:val="24"/>
                <w:szCs w:val="24"/>
                <w:highlight w:val="none"/>
              </w:rPr>
            </w:pPr>
          </w:p>
        </w:tc>
      </w:tr>
    </w:tbl>
    <w:p w14:paraId="4F0803EA">
      <w:pPr>
        <w:rPr>
          <w:rFonts w:hint="eastAsia" w:ascii="宋体" w:hAnsi="宋体" w:eastAsia="宋体" w:cs="宋体"/>
          <w:color w:val="auto"/>
          <w:sz w:val="24"/>
          <w:szCs w:val="24"/>
          <w:highlight w:val="none"/>
        </w:rPr>
      </w:pPr>
    </w:p>
    <w:sectPr>
      <w:headerReference r:id="rId39" w:type="default"/>
      <w:footerReference r:id="rId40" w:type="default"/>
      <w:pgSz w:w="11905" w:h="16838"/>
      <w:pgMar w:top="1440" w:right="1083" w:bottom="1440" w:left="1083" w:header="0" w:footer="1225"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8A9800-1BB3-4311-A68D-03B3ED24DC9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5823D64C-1003-4D04-99F9-5BD47F59FE56}"/>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4DD16DCD-F955-4775-B164-B0BF8DCC43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609BD">
    <w:pPr>
      <w:spacing w:line="173" w:lineRule="auto"/>
      <w:ind w:left="3948"/>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9988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4D69988C">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B053">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CE7A4">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28CE7A4">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F031">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37312">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07237312">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2761">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60750">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6F360750">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A720">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7970B">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12D7970B">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EB08">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F7A16">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BEF7A16">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488F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944C3">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059944C3">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6D585">
    <w:pPr>
      <w:spacing w:line="172" w:lineRule="auto"/>
      <w:ind w:left="3915"/>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03172">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5FF03172">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D12FC">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B7025">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35DB7025">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E77F">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F14A1">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581F14A1">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6D52">
    <w:pPr>
      <w:pStyle w:val="12"/>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FFD26">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4B7FFD26">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C783">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E4D45">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27DE4D45">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FCAA">
    <w:pPr>
      <w:pStyle w:val="12"/>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9ECDE">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36F9ECDE">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B51F">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59FE7">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51459FE7">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24DC">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0118B">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34C0118B">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2C125">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8FBD5">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26E8FBD5">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DF90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4F655">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5324F655">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F3479">
    <w:pPr>
      <w:spacing w:line="172" w:lineRule="auto"/>
      <w:ind w:left="4004"/>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A683E">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5CAA683E">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871C">
    <w:pPr>
      <w:spacing w:line="172" w:lineRule="auto"/>
      <w:ind w:left="4114"/>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6468F">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14A6468F">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3781">
    <w:pPr>
      <w:spacing w:line="172" w:lineRule="auto"/>
      <w:ind w:left="4204"/>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60F67">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27060F67">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D93E">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5374F">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DE5374F">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0673">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7A155">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6B67A155">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467FC">
    <w:pPr>
      <w:spacing w:line="171" w:lineRule="auto"/>
      <w:ind w:left="3948"/>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01696">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59E01696">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F464">
    <w:pPr>
      <w:spacing w:line="172" w:lineRule="auto"/>
      <w:ind w:left="3904"/>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77365">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17E77365">
                    <w:pPr>
                      <w:pStyle w:val="1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E33F0">
    <w:pPr>
      <w:spacing w:line="173" w:lineRule="auto"/>
      <w:ind w:left="3857"/>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814BB">
                          <w:pPr>
                            <w:pStyle w:val="12"/>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79814BB">
                    <w:pPr>
                      <w:pStyle w:val="12"/>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C030">
    <w:pPr>
      <w:spacing w:line="173" w:lineRule="auto"/>
      <w:ind w:left="4204"/>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16CC0">
                          <w:pPr>
                            <w:pStyle w:val="12"/>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5A916CC0">
                    <w:pPr>
                      <w:pStyle w:val="12"/>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F1B1">
    <w:pPr>
      <w:spacing w:line="173" w:lineRule="auto"/>
      <w:ind w:left="4305"/>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1A1F0">
                          <w:pPr>
                            <w:pStyle w:val="12"/>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3J8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py3J8zAgAAZQQAAA4AAAAAAAAAAQAgAAAAHwEAAGRycy9lMm9Eb2MueG1sUEsF&#10;BgAAAAAGAAYAWQEAAMQFAAAAAA==&#10;">
              <v:fill on="f" focussize="0,0"/>
              <v:stroke on="f" weight="0.5pt"/>
              <v:imagedata o:title=""/>
              <o:lock v:ext="edit" aspectratio="f"/>
              <v:textbox inset="0mm,0mm,0mm,0mm" style="mso-fit-shape-to-text:t;">
                <w:txbxContent>
                  <w:p w14:paraId="0E41A1F0">
                    <w:pPr>
                      <w:pStyle w:val="12"/>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7D61">
    <w:pPr>
      <w:spacing w:line="173" w:lineRule="auto"/>
      <w:ind w:left="3861"/>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8E99F">
                          <w:pPr>
                            <w:pStyle w:val="12"/>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ovtk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3ovtkzAgAAZQQAAA4AAAAAAAAAAQAgAAAAHwEAAGRycy9lMm9Eb2MueG1sUEsF&#10;BgAAAAAGAAYAWQEAAMQFAAAAAA==&#10;">
              <v:fill on="f" focussize="0,0"/>
              <v:stroke on="f" weight="0.5pt"/>
              <v:imagedata o:title=""/>
              <o:lock v:ext="edit" aspectratio="f"/>
              <v:textbox inset="0mm,0mm,0mm,0mm" style="mso-fit-shape-to-text:t;">
                <w:txbxContent>
                  <w:p w14:paraId="7C98E99F">
                    <w:pPr>
                      <w:pStyle w:val="12"/>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1A6F">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E7EDF">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347E7EDF">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790B">
    <w:pPr>
      <w:spacing w:line="172" w:lineRule="auto"/>
      <w:ind w:left="3948"/>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4D052">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3774D052">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8900">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5395A">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1745395A">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72D4">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496F9">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4496F9">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8D67">
    <w:pPr>
      <w:spacing w:line="172" w:lineRule="auto"/>
      <w:ind w:left="3902"/>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775FA">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5C8775FA">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BFAB">
    <w:pPr>
      <w:spacing w:line="173" w:lineRule="auto"/>
      <w:ind w:left="3902"/>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171F2">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4E171F2">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166F5">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D6B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50455"/>
    <w:multiLevelType w:val="multilevel"/>
    <w:tmpl w:val="83C504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41F004B"/>
    <w:multiLevelType w:val="multilevel"/>
    <w:tmpl w:val="841F00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8A0A5153"/>
    <w:multiLevelType w:val="multilevel"/>
    <w:tmpl w:val="8A0A515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912A56FC"/>
    <w:multiLevelType w:val="multilevel"/>
    <w:tmpl w:val="912A56F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9262478A"/>
    <w:multiLevelType w:val="multilevel"/>
    <w:tmpl w:val="9262478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9FD82606"/>
    <w:multiLevelType w:val="multilevel"/>
    <w:tmpl w:val="9FD8260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ABEFD68F"/>
    <w:multiLevelType w:val="multilevel"/>
    <w:tmpl w:val="ABEFD68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AEC8C55F"/>
    <w:multiLevelType w:val="multilevel"/>
    <w:tmpl w:val="AEC8C55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B28651D5"/>
    <w:multiLevelType w:val="multilevel"/>
    <w:tmpl w:val="B28651D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B354E2CD"/>
    <w:multiLevelType w:val="multilevel"/>
    <w:tmpl w:val="B354E2C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C93B86F1"/>
    <w:multiLevelType w:val="multilevel"/>
    <w:tmpl w:val="C93B86F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D297A11C"/>
    <w:multiLevelType w:val="multilevel"/>
    <w:tmpl w:val="D297A11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D827772E"/>
    <w:multiLevelType w:val="multilevel"/>
    <w:tmpl w:val="D827772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EC860F9B"/>
    <w:multiLevelType w:val="multilevel"/>
    <w:tmpl w:val="EC860F9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ED24B574"/>
    <w:multiLevelType w:val="multilevel"/>
    <w:tmpl w:val="ED24B57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F2A2D830"/>
    <w:multiLevelType w:val="multilevel"/>
    <w:tmpl w:val="F2A2D83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0B76DCF7"/>
    <w:multiLevelType w:val="multilevel"/>
    <w:tmpl w:val="0B76DCF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0D7A8D8C"/>
    <w:multiLevelType w:val="multilevel"/>
    <w:tmpl w:val="0D7A8D8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130F72A9"/>
    <w:multiLevelType w:val="multilevel"/>
    <w:tmpl w:val="130F72A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227B20DC"/>
    <w:multiLevelType w:val="multilevel"/>
    <w:tmpl w:val="227B20D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23416767"/>
    <w:multiLevelType w:val="multilevel"/>
    <w:tmpl w:val="2341676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248FE17A"/>
    <w:multiLevelType w:val="multilevel"/>
    <w:tmpl w:val="248FE17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3BB4A9D2"/>
    <w:multiLevelType w:val="singleLevel"/>
    <w:tmpl w:val="3BB4A9D2"/>
    <w:lvl w:ilvl="0" w:tentative="0">
      <w:start w:val="2"/>
      <w:numFmt w:val="decimal"/>
      <w:lvlText w:val="%1."/>
      <w:lvlJc w:val="left"/>
      <w:pPr>
        <w:tabs>
          <w:tab w:val="left" w:pos="312"/>
        </w:tabs>
      </w:pPr>
    </w:lvl>
  </w:abstractNum>
  <w:abstractNum w:abstractNumId="23">
    <w:nsid w:val="3D280EC5"/>
    <w:multiLevelType w:val="singleLevel"/>
    <w:tmpl w:val="3D280EC5"/>
    <w:lvl w:ilvl="0" w:tentative="0">
      <w:start w:val="7"/>
      <w:numFmt w:val="decimal"/>
      <w:lvlText w:val="%1."/>
      <w:lvlJc w:val="left"/>
      <w:pPr>
        <w:tabs>
          <w:tab w:val="left" w:pos="312"/>
        </w:tabs>
      </w:pPr>
    </w:lvl>
  </w:abstractNum>
  <w:abstractNum w:abstractNumId="24">
    <w:nsid w:val="3D404E04"/>
    <w:multiLevelType w:val="multilevel"/>
    <w:tmpl w:val="3D404E04"/>
    <w:lvl w:ilvl="0" w:tentative="0">
      <w:start w:val="1"/>
      <w:numFmt w:val="decimal"/>
      <w:lvlText w:val="%1"/>
      <w:lvlJc w:val="left"/>
      <w:pPr>
        <w:ind w:left="425" w:hanging="425"/>
      </w:pPr>
    </w:lvl>
    <w:lvl w:ilvl="1" w:tentative="0">
      <w:start w:val="1"/>
      <w:numFmt w:val="decimal"/>
      <w:suff w:val="nothing"/>
      <w:lvlText w:val="%1.%2"/>
      <w:lvlJc w:val="left"/>
      <w:pPr>
        <w:ind w:left="992" w:hanging="567"/>
      </w:pPr>
      <w:rPr>
        <w:b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4C1C6ACC"/>
    <w:multiLevelType w:val="multilevel"/>
    <w:tmpl w:val="4C1C6AC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586C512E"/>
    <w:multiLevelType w:val="multilevel"/>
    <w:tmpl w:val="586C512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7">
    <w:nsid w:val="587F34B3"/>
    <w:multiLevelType w:val="multilevel"/>
    <w:tmpl w:val="587F34B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sz w:val="28"/>
        <w:szCs w:val="28"/>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6B68B865"/>
    <w:multiLevelType w:val="multilevel"/>
    <w:tmpl w:val="6B68B86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9">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0">
    <w:nsid w:val="79B57327"/>
    <w:multiLevelType w:val="multilevel"/>
    <w:tmpl w:val="79B5732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1">
    <w:nsid w:val="7B6029D0"/>
    <w:multiLevelType w:val="multilevel"/>
    <w:tmpl w:val="7B6029D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2"/>
  </w:num>
  <w:num w:numId="2">
    <w:abstractNumId w:val="7"/>
  </w:num>
  <w:num w:numId="3">
    <w:abstractNumId w:val="9"/>
  </w:num>
  <w:num w:numId="4">
    <w:abstractNumId w:val="3"/>
  </w:num>
  <w:num w:numId="5">
    <w:abstractNumId w:val="30"/>
  </w:num>
  <w:num w:numId="6">
    <w:abstractNumId w:val="6"/>
  </w:num>
  <w:num w:numId="7">
    <w:abstractNumId w:val="21"/>
  </w:num>
  <w:num w:numId="8">
    <w:abstractNumId w:val="4"/>
  </w:num>
  <w:num w:numId="9">
    <w:abstractNumId w:val="10"/>
  </w:num>
  <w:num w:numId="10">
    <w:abstractNumId w:val="13"/>
  </w:num>
  <w:num w:numId="11">
    <w:abstractNumId w:val="28"/>
  </w:num>
  <w:num w:numId="12">
    <w:abstractNumId w:val="17"/>
  </w:num>
  <w:num w:numId="13">
    <w:abstractNumId w:val="16"/>
  </w:num>
  <w:num w:numId="14">
    <w:abstractNumId w:val="31"/>
  </w:num>
  <w:num w:numId="15">
    <w:abstractNumId w:val="8"/>
  </w:num>
  <w:num w:numId="16">
    <w:abstractNumId w:val="15"/>
  </w:num>
  <w:num w:numId="17">
    <w:abstractNumId w:val="1"/>
  </w:num>
  <w:num w:numId="18">
    <w:abstractNumId w:val="12"/>
  </w:num>
  <w:num w:numId="19">
    <w:abstractNumId w:val="2"/>
  </w:num>
  <w:num w:numId="20">
    <w:abstractNumId w:val="14"/>
  </w:num>
  <w:num w:numId="21">
    <w:abstractNumId w:val="24"/>
  </w:num>
  <w:num w:numId="22">
    <w:abstractNumId w:val="27"/>
  </w:num>
  <w:num w:numId="23">
    <w:abstractNumId w:val="20"/>
  </w:num>
  <w:num w:numId="24">
    <w:abstractNumId w:val="18"/>
  </w:num>
  <w:num w:numId="25">
    <w:abstractNumId w:val="26"/>
  </w:num>
  <w:num w:numId="26">
    <w:abstractNumId w:val="5"/>
  </w:num>
  <w:num w:numId="27">
    <w:abstractNumId w:val="0"/>
  </w:num>
  <w:num w:numId="28">
    <w:abstractNumId w:val="25"/>
  </w:num>
  <w:num w:numId="29">
    <w:abstractNumId w:val="11"/>
  </w:num>
  <w:num w:numId="30">
    <w:abstractNumId w:val="19"/>
  </w:num>
  <w:num w:numId="31">
    <w:abstractNumId w:val="2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RhYzlhMzE3ZTVhNTE2OGI5OTI1NjI4NzhjY2NlNzIifQ=="/>
  </w:docVars>
  <w:rsids>
    <w:rsidRoot w:val="00000000"/>
    <w:rsid w:val="013D0026"/>
    <w:rsid w:val="020429AF"/>
    <w:rsid w:val="027B3E69"/>
    <w:rsid w:val="032E740E"/>
    <w:rsid w:val="03703827"/>
    <w:rsid w:val="03822CFE"/>
    <w:rsid w:val="03FA2213"/>
    <w:rsid w:val="046233B1"/>
    <w:rsid w:val="04BA2023"/>
    <w:rsid w:val="04FD735B"/>
    <w:rsid w:val="05065269"/>
    <w:rsid w:val="0591547A"/>
    <w:rsid w:val="06FC074B"/>
    <w:rsid w:val="073836D3"/>
    <w:rsid w:val="07DE7685"/>
    <w:rsid w:val="080D4B60"/>
    <w:rsid w:val="089E3A0A"/>
    <w:rsid w:val="08CC4A1B"/>
    <w:rsid w:val="0ACC485F"/>
    <w:rsid w:val="0AF10769"/>
    <w:rsid w:val="0B0B427B"/>
    <w:rsid w:val="0BCE4606"/>
    <w:rsid w:val="0CFF305E"/>
    <w:rsid w:val="0DD759F4"/>
    <w:rsid w:val="0E130308"/>
    <w:rsid w:val="0E1C0F1B"/>
    <w:rsid w:val="0E4A4418"/>
    <w:rsid w:val="10172A20"/>
    <w:rsid w:val="12190196"/>
    <w:rsid w:val="123B2406"/>
    <w:rsid w:val="12D01824"/>
    <w:rsid w:val="12F51B59"/>
    <w:rsid w:val="133B2C38"/>
    <w:rsid w:val="136B03E1"/>
    <w:rsid w:val="1573694A"/>
    <w:rsid w:val="15841A71"/>
    <w:rsid w:val="15A50225"/>
    <w:rsid w:val="16111B0A"/>
    <w:rsid w:val="165D6CB3"/>
    <w:rsid w:val="17D62C90"/>
    <w:rsid w:val="1875098A"/>
    <w:rsid w:val="18911C52"/>
    <w:rsid w:val="191A624E"/>
    <w:rsid w:val="1A7867B1"/>
    <w:rsid w:val="1B980D02"/>
    <w:rsid w:val="1BB44BEB"/>
    <w:rsid w:val="1C2C7CC8"/>
    <w:rsid w:val="1C9176B6"/>
    <w:rsid w:val="1D13631D"/>
    <w:rsid w:val="1D6D3C7F"/>
    <w:rsid w:val="1DA43419"/>
    <w:rsid w:val="1EFC175F"/>
    <w:rsid w:val="203B2584"/>
    <w:rsid w:val="22663040"/>
    <w:rsid w:val="228D165B"/>
    <w:rsid w:val="22BD1205"/>
    <w:rsid w:val="231B389C"/>
    <w:rsid w:val="23AC588F"/>
    <w:rsid w:val="23ED1676"/>
    <w:rsid w:val="244C0944"/>
    <w:rsid w:val="24822706"/>
    <w:rsid w:val="24BC395A"/>
    <w:rsid w:val="24D865CE"/>
    <w:rsid w:val="25DC45AD"/>
    <w:rsid w:val="2623146E"/>
    <w:rsid w:val="26812549"/>
    <w:rsid w:val="26F85C81"/>
    <w:rsid w:val="283F5DC1"/>
    <w:rsid w:val="2841056E"/>
    <w:rsid w:val="28F15AD1"/>
    <w:rsid w:val="29D05CC2"/>
    <w:rsid w:val="29DD3F3B"/>
    <w:rsid w:val="2ABF1892"/>
    <w:rsid w:val="2B8B38E7"/>
    <w:rsid w:val="2CA376BD"/>
    <w:rsid w:val="2F5743DD"/>
    <w:rsid w:val="2F653FB0"/>
    <w:rsid w:val="2FBD0201"/>
    <w:rsid w:val="2FC00586"/>
    <w:rsid w:val="307355F9"/>
    <w:rsid w:val="31604D94"/>
    <w:rsid w:val="31662A68"/>
    <w:rsid w:val="31FB4280"/>
    <w:rsid w:val="32B75C71"/>
    <w:rsid w:val="32F3657D"/>
    <w:rsid w:val="33023548"/>
    <w:rsid w:val="33220830"/>
    <w:rsid w:val="33DC390A"/>
    <w:rsid w:val="347B46F9"/>
    <w:rsid w:val="34A60063"/>
    <w:rsid w:val="35492DCC"/>
    <w:rsid w:val="35CF6A00"/>
    <w:rsid w:val="36AA33F6"/>
    <w:rsid w:val="36F2346A"/>
    <w:rsid w:val="37682A67"/>
    <w:rsid w:val="38C27451"/>
    <w:rsid w:val="39CB3BCD"/>
    <w:rsid w:val="3A6F00E5"/>
    <w:rsid w:val="3B987D86"/>
    <w:rsid w:val="3CBC3E83"/>
    <w:rsid w:val="3D7D7AB7"/>
    <w:rsid w:val="3DEE759F"/>
    <w:rsid w:val="3ECA6D2C"/>
    <w:rsid w:val="404B5C4A"/>
    <w:rsid w:val="404B6E16"/>
    <w:rsid w:val="40F5695A"/>
    <w:rsid w:val="41945B7B"/>
    <w:rsid w:val="41F12821"/>
    <w:rsid w:val="42442951"/>
    <w:rsid w:val="42B9408C"/>
    <w:rsid w:val="42C13FA2"/>
    <w:rsid w:val="44352E99"/>
    <w:rsid w:val="44C27B85"/>
    <w:rsid w:val="451C5E07"/>
    <w:rsid w:val="45612761"/>
    <w:rsid w:val="457277D5"/>
    <w:rsid w:val="46CB53EF"/>
    <w:rsid w:val="47487C1D"/>
    <w:rsid w:val="47611F43"/>
    <w:rsid w:val="476C2E00"/>
    <w:rsid w:val="477A0B57"/>
    <w:rsid w:val="480D386D"/>
    <w:rsid w:val="484A67E7"/>
    <w:rsid w:val="49DC3DB7"/>
    <w:rsid w:val="4A617C71"/>
    <w:rsid w:val="4A6508CA"/>
    <w:rsid w:val="4AD04A4B"/>
    <w:rsid w:val="4AF62C56"/>
    <w:rsid w:val="4AFD3FE5"/>
    <w:rsid w:val="4C73561A"/>
    <w:rsid w:val="4D183358"/>
    <w:rsid w:val="4D1A117A"/>
    <w:rsid w:val="4D2E2B7B"/>
    <w:rsid w:val="4D5A6E73"/>
    <w:rsid w:val="4DA1084B"/>
    <w:rsid w:val="4E3B4A67"/>
    <w:rsid w:val="4EE7020E"/>
    <w:rsid w:val="4F3B50DC"/>
    <w:rsid w:val="4F9C1E5F"/>
    <w:rsid w:val="4FB16037"/>
    <w:rsid w:val="4FCB1E39"/>
    <w:rsid w:val="4FD67E52"/>
    <w:rsid w:val="4FD84B16"/>
    <w:rsid w:val="51361E6B"/>
    <w:rsid w:val="514135E6"/>
    <w:rsid w:val="528C6B4F"/>
    <w:rsid w:val="52FD5035"/>
    <w:rsid w:val="52FF0203"/>
    <w:rsid w:val="541B445E"/>
    <w:rsid w:val="541F6D7A"/>
    <w:rsid w:val="5596647F"/>
    <w:rsid w:val="57E1761E"/>
    <w:rsid w:val="5820425A"/>
    <w:rsid w:val="5855766D"/>
    <w:rsid w:val="58602A2B"/>
    <w:rsid w:val="5AE20B01"/>
    <w:rsid w:val="5BD7618C"/>
    <w:rsid w:val="5C425CFC"/>
    <w:rsid w:val="5CA03717"/>
    <w:rsid w:val="5CB37BC9"/>
    <w:rsid w:val="5ED25D56"/>
    <w:rsid w:val="5F342225"/>
    <w:rsid w:val="60931857"/>
    <w:rsid w:val="61AA5B49"/>
    <w:rsid w:val="61BD487F"/>
    <w:rsid w:val="623E1F89"/>
    <w:rsid w:val="62F76B8F"/>
    <w:rsid w:val="630D7CD1"/>
    <w:rsid w:val="6362133B"/>
    <w:rsid w:val="638906B4"/>
    <w:rsid w:val="6474139F"/>
    <w:rsid w:val="64B33C3A"/>
    <w:rsid w:val="64EC5569"/>
    <w:rsid w:val="65A610A9"/>
    <w:rsid w:val="670E1469"/>
    <w:rsid w:val="679715F1"/>
    <w:rsid w:val="679A2E90"/>
    <w:rsid w:val="68011969"/>
    <w:rsid w:val="68C930CD"/>
    <w:rsid w:val="695B168B"/>
    <w:rsid w:val="696A483A"/>
    <w:rsid w:val="69806783"/>
    <w:rsid w:val="69A3548C"/>
    <w:rsid w:val="69AF7C3E"/>
    <w:rsid w:val="69ED2306"/>
    <w:rsid w:val="6A136F29"/>
    <w:rsid w:val="6B1B42E7"/>
    <w:rsid w:val="6B59096C"/>
    <w:rsid w:val="6B9F6CC6"/>
    <w:rsid w:val="6BEE37AA"/>
    <w:rsid w:val="6CC8413A"/>
    <w:rsid w:val="6D5D40D0"/>
    <w:rsid w:val="6F573414"/>
    <w:rsid w:val="6F7C2DB8"/>
    <w:rsid w:val="700940EE"/>
    <w:rsid w:val="700D50E9"/>
    <w:rsid w:val="710A45D1"/>
    <w:rsid w:val="71772C8D"/>
    <w:rsid w:val="71A16BC9"/>
    <w:rsid w:val="725069E8"/>
    <w:rsid w:val="733A0272"/>
    <w:rsid w:val="738F6D61"/>
    <w:rsid w:val="73B411DB"/>
    <w:rsid w:val="73BE4993"/>
    <w:rsid w:val="73C27685"/>
    <w:rsid w:val="74DF584C"/>
    <w:rsid w:val="76443488"/>
    <w:rsid w:val="77636BD0"/>
    <w:rsid w:val="77EB3293"/>
    <w:rsid w:val="77FE2FC7"/>
    <w:rsid w:val="784A036C"/>
    <w:rsid w:val="788A3163"/>
    <w:rsid w:val="790243F1"/>
    <w:rsid w:val="7A8377B3"/>
    <w:rsid w:val="7C5B09E8"/>
    <w:rsid w:val="7CA67C6C"/>
    <w:rsid w:val="7CAA4127"/>
    <w:rsid w:val="7D2C21B3"/>
    <w:rsid w:val="7DAE736C"/>
    <w:rsid w:val="7E0155BF"/>
    <w:rsid w:val="7F0E3F35"/>
    <w:rsid w:val="7F963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qFormat/>
    <w:uiPriority w:val="0"/>
    <w:pPr>
      <w:widowControl/>
      <w:autoSpaceDE/>
      <w:autoSpaceDN/>
      <w:spacing w:before="120" w:after="0" w:line="240" w:lineRule="auto"/>
      <w:ind w:left="0" w:firstLine="3584"/>
    </w:pPr>
  </w:style>
  <w:style w:type="paragraph" w:styleId="7">
    <w:name w:val="table of authorities"/>
    <w:basedOn w:val="1"/>
    <w:next w:val="1"/>
    <w:unhideWhenUsed/>
    <w:qFormat/>
    <w:uiPriority w:val="99"/>
    <w:pPr>
      <w:ind w:left="420" w:leftChars="200"/>
      <w:jc w:val="center"/>
    </w:pPr>
    <w:rPr>
      <w:rFonts w:ascii="Times New Roman" w:hAnsi="Times New Roman" w:eastAsia="黑体"/>
      <w:sz w:val="32"/>
    </w:rPr>
  </w:style>
  <w:style w:type="paragraph" w:styleId="8">
    <w:name w:val="Body Text"/>
    <w:basedOn w:val="1"/>
    <w:next w:val="9"/>
    <w:qFormat/>
    <w:uiPriority w:val="0"/>
    <w:rPr>
      <w:rFonts w:ascii="楷体" w:hAnsi="楷体" w:eastAsia="楷体" w:cs="楷体"/>
      <w:sz w:val="28"/>
      <w:szCs w:val="28"/>
      <w:lang w:val="en-US" w:eastAsia="en-US" w:bidi="ar-SA"/>
    </w:rPr>
  </w:style>
  <w:style w:type="paragraph" w:customStyle="1" w:styleId="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0">
    <w:name w:val="Body Text Indent"/>
    <w:basedOn w:val="1"/>
    <w:next w:val="1"/>
    <w:qFormat/>
    <w:uiPriority w:val="0"/>
    <w:pPr>
      <w:spacing w:line="360" w:lineRule="auto"/>
      <w:ind w:firstLine="570"/>
    </w:pPr>
    <w:rPr>
      <w:sz w:val="24"/>
    </w:rPr>
  </w:style>
  <w:style w:type="paragraph" w:styleId="11">
    <w:name w:val="Plain Text"/>
    <w:basedOn w:val="1"/>
    <w:next w:val="5"/>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basedOn w:val="1"/>
    <w:next w:val="1"/>
    <w:qFormat/>
    <w:uiPriority w:val="11"/>
    <w:pPr>
      <w:spacing w:before="240" w:after="60" w:line="312" w:lineRule="auto"/>
      <w:jc w:val="center"/>
      <w:outlineLvl w:val="1"/>
    </w:pPr>
    <w:rPr>
      <w:rFonts w:ascii="Calibri" w:hAnsi="Calibri" w:eastAsia="宋体"/>
      <w:b/>
      <w:bCs/>
      <w:kern w:val="28"/>
      <w:sz w:val="32"/>
      <w:szCs w:val="32"/>
    </w:rPr>
  </w:style>
  <w:style w:type="paragraph" w:styleId="15">
    <w:name w:val="footnote text"/>
    <w:basedOn w:val="1"/>
    <w:qFormat/>
    <w:uiPriority w:val="0"/>
    <w:pPr>
      <w:snapToGrid w:val="0"/>
      <w:jc w:val="left"/>
    </w:pPr>
    <w:rPr>
      <w:sz w:val="18"/>
    </w:rPr>
  </w:style>
  <w:style w:type="paragraph" w:styleId="16">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7">
    <w:name w:val="index 7"/>
    <w:basedOn w:val="1"/>
    <w:next w:val="1"/>
    <w:qFormat/>
    <w:uiPriority w:val="0"/>
    <w:pPr>
      <w:autoSpaceDE/>
      <w:autoSpaceDN/>
      <w:adjustRightInd/>
      <w:ind w:left="1200" w:leftChars="1200"/>
    </w:pPr>
    <w:rPr>
      <w:color w:val="auto"/>
      <w:kern w:val="2"/>
      <w:szCs w:val="24"/>
    </w:r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8"/>
    <w:next w:val="16"/>
    <w:unhideWhenUsed/>
    <w:qFormat/>
    <w:uiPriority w:val="99"/>
    <w:pPr>
      <w:tabs>
        <w:tab w:val="left" w:pos="567"/>
      </w:tabs>
      <w:ind w:firstLine="420" w:firstLineChars="100"/>
    </w:pPr>
    <w:rPr>
      <w:rFonts w:ascii="Calibri" w:hAnsi="Calibri"/>
    </w:rPr>
  </w:style>
  <w:style w:type="paragraph" w:styleId="20">
    <w:name w:val="Body Text First Indent 2"/>
    <w:basedOn w:val="10"/>
    <w:next w:val="19"/>
    <w:qFormat/>
    <w:uiPriority w:val="0"/>
    <w:pPr>
      <w:ind w:firstLine="420" w:firstLineChars="200"/>
    </w:pPr>
    <w:rPr>
      <w:kern w:val="0"/>
      <w:sz w:val="20"/>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Arial" w:hAnsi="Arial" w:eastAsia="Arial" w:cs="Arial"/>
      <w:sz w:val="21"/>
      <w:szCs w:val="21"/>
      <w:lang w:val="en-US" w:eastAsia="en-US" w:bidi="ar-SA"/>
    </w:rPr>
  </w:style>
  <w:style w:type="character" w:customStyle="1" w:styleId="27">
    <w:name w:val="font41"/>
    <w:basedOn w:val="23"/>
    <w:qFormat/>
    <w:uiPriority w:val="0"/>
    <w:rPr>
      <w:rFonts w:hint="eastAsia" w:ascii="宋体" w:hAnsi="宋体" w:eastAsia="宋体" w:cs="宋体"/>
      <w:color w:val="000000"/>
      <w:sz w:val="18"/>
      <w:szCs w:val="18"/>
      <w:u w:val="none"/>
    </w:rPr>
  </w:style>
  <w:style w:type="character" w:customStyle="1" w:styleId="28">
    <w:name w:val="font51"/>
    <w:basedOn w:val="23"/>
    <w:qFormat/>
    <w:uiPriority w:val="0"/>
    <w:rPr>
      <w:rFonts w:hint="eastAsia" w:ascii="宋体" w:hAnsi="宋体" w:eastAsia="宋体" w:cs="宋体"/>
      <w:b/>
      <w:bCs/>
      <w:color w:val="000000"/>
      <w:sz w:val="18"/>
      <w:szCs w:val="18"/>
      <w:u w:val="none"/>
    </w:rPr>
  </w:style>
  <w:style w:type="character" w:customStyle="1" w:styleId="29">
    <w:name w:val="font101"/>
    <w:basedOn w:val="23"/>
    <w:qFormat/>
    <w:uiPriority w:val="0"/>
    <w:rPr>
      <w:rFonts w:hint="eastAsia" w:ascii="宋体" w:hAnsi="宋体" w:eastAsia="宋体" w:cs="宋体"/>
      <w:color w:val="FF0000"/>
      <w:sz w:val="18"/>
      <w:szCs w:val="18"/>
      <w:u w:val="none"/>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 w:type="character" w:customStyle="1" w:styleId="33">
    <w:name w:val="font21"/>
    <w:basedOn w:val="23"/>
    <w:qFormat/>
    <w:uiPriority w:val="0"/>
    <w:rPr>
      <w:rFonts w:hint="eastAsia" w:ascii="MingLiU" w:hAnsi="MingLiU" w:eastAsia="MingLiU" w:cs="MingLiU"/>
      <w:color w:val="000000"/>
      <w:sz w:val="18"/>
      <w:szCs w:val="18"/>
      <w:u w:val="none"/>
    </w:rPr>
  </w:style>
  <w:style w:type="character" w:customStyle="1" w:styleId="34">
    <w:name w:val="font11"/>
    <w:basedOn w:val="23"/>
    <w:qFormat/>
    <w:uiPriority w:val="0"/>
    <w:rPr>
      <w:rFonts w:hint="default" w:ascii="Times New Roman" w:hAnsi="Times New Roman" w:cs="Times New Roman"/>
      <w:color w:val="000000"/>
      <w:sz w:val="24"/>
      <w:szCs w:val="24"/>
      <w:u w:val="none"/>
    </w:rPr>
  </w:style>
  <w:style w:type="character" w:customStyle="1" w:styleId="35">
    <w:name w:val="font71"/>
    <w:basedOn w:val="23"/>
    <w:qFormat/>
    <w:uiPriority w:val="0"/>
    <w:rPr>
      <w:rFonts w:ascii="Calibri" w:hAnsi="Calibri" w:cs="Calibri"/>
      <w:color w:val="000000"/>
      <w:sz w:val="20"/>
      <w:szCs w:val="20"/>
      <w:u w:val="none"/>
    </w:rPr>
  </w:style>
  <w:style w:type="character" w:customStyle="1" w:styleId="36">
    <w:name w:val="font61"/>
    <w:basedOn w:val="23"/>
    <w:qFormat/>
    <w:uiPriority w:val="0"/>
    <w:rPr>
      <w:rFonts w:ascii="Calibri" w:hAnsi="Calibri" w:cs="Calibri"/>
      <w:color w:val="000000"/>
      <w:sz w:val="22"/>
      <w:szCs w:val="22"/>
      <w:u w:val="none"/>
    </w:rPr>
  </w:style>
  <w:style w:type="character" w:customStyle="1" w:styleId="37">
    <w:name w:val="font131"/>
    <w:basedOn w:val="23"/>
    <w:qFormat/>
    <w:uiPriority w:val="0"/>
    <w:rPr>
      <w:rFonts w:hint="default" w:ascii="Times New Roman" w:hAnsi="Times New Roman" w:cs="Times New Roman"/>
      <w:b/>
      <w:bCs/>
      <w:color w:val="000000"/>
      <w:sz w:val="22"/>
      <w:szCs w:val="22"/>
      <w:u w:val="none"/>
    </w:rPr>
  </w:style>
  <w:style w:type="character" w:customStyle="1" w:styleId="38">
    <w:name w:val="font31"/>
    <w:basedOn w:val="23"/>
    <w:qFormat/>
    <w:uiPriority w:val="0"/>
    <w:rPr>
      <w:rFonts w:hint="eastAsia" w:ascii="宋体" w:hAnsi="宋体" w:eastAsia="宋体" w:cs="宋体"/>
      <w:color w:val="000000"/>
      <w:sz w:val="20"/>
      <w:szCs w:val="20"/>
      <w:u w:val="none"/>
    </w:rPr>
  </w:style>
  <w:style w:type="character" w:customStyle="1" w:styleId="39">
    <w:name w:val="font01"/>
    <w:basedOn w:val="23"/>
    <w:qFormat/>
    <w:uiPriority w:val="0"/>
    <w:rPr>
      <w:rFonts w:hint="eastAsia" w:ascii="宋体" w:hAnsi="宋体" w:eastAsia="宋体" w:cs="宋体"/>
      <w:color w:val="000000"/>
      <w:sz w:val="24"/>
      <w:szCs w:val="24"/>
      <w:u w:val="none"/>
    </w:rPr>
  </w:style>
  <w:style w:type="character" w:customStyle="1" w:styleId="40">
    <w:name w:val="font81"/>
    <w:basedOn w:val="23"/>
    <w:qFormat/>
    <w:uiPriority w:val="0"/>
    <w:rPr>
      <w:rFonts w:hint="eastAsia" w:ascii="宋体" w:hAnsi="宋体" w:eastAsia="宋体" w:cs="宋体"/>
      <w:b/>
      <w:color w:val="000000"/>
      <w:sz w:val="22"/>
      <w:szCs w:val="22"/>
      <w:u w:val="none"/>
    </w:rPr>
  </w:style>
  <w:style w:type="character" w:customStyle="1" w:styleId="41">
    <w:name w:val="font91"/>
    <w:basedOn w:val="23"/>
    <w:qFormat/>
    <w:uiPriority w:val="0"/>
    <w:rPr>
      <w:rFonts w:hint="eastAsia" w:ascii="宋体" w:hAnsi="宋体" w:eastAsia="宋体" w:cs="宋体"/>
      <w:b/>
      <w:color w:val="000000"/>
      <w:sz w:val="20"/>
      <w:szCs w:val="20"/>
      <w:u w:val="none"/>
    </w:rPr>
  </w:style>
  <w:style w:type="paragraph" w:styleId="42">
    <w:name w:val="List Paragraph"/>
    <w:basedOn w:val="1"/>
    <w:qFormat/>
    <w:uiPriority w:val="34"/>
    <w:pPr>
      <w:widowControl/>
      <w:ind w:firstLine="420" w:firstLineChars="200"/>
      <w:jc w:val="left"/>
    </w:pPr>
    <w:rPr>
      <w:kern w:val="0"/>
      <w:sz w:val="24"/>
    </w:rPr>
  </w:style>
  <w:style w:type="paragraph" w:customStyle="1" w:styleId="43">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44">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5">
    <w:name w:val="索引 11"/>
    <w:basedOn w:val="1"/>
    <w:next w:val="1"/>
    <w:qFormat/>
    <w:uiPriority w:val="0"/>
    <w:pPr>
      <w:spacing w:line="360" w:lineRule="auto"/>
    </w:pPr>
    <w:rPr>
      <w:rFonts w:ascii="仿宋_GB2312" w:eastAsia="仿宋_GB2312"/>
      <w:sz w:val="24"/>
      <w:szCs w:val="20"/>
    </w:rPr>
  </w:style>
  <w:style w:type="paragraph" w:customStyle="1" w:styleId="46">
    <w:name w:val="纯文本1"/>
    <w:basedOn w:val="1"/>
    <w:qFormat/>
    <w:uiPriority w:val="0"/>
    <w:rPr>
      <w:rFonts w:ascii="宋体" w:hAnsi="Courier New"/>
      <w:kern w:val="0"/>
      <w:sz w:val="20"/>
      <w:szCs w:val="20"/>
    </w:rPr>
  </w:style>
  <w:style w:type="paragraph" w:customStyle="1" w:styleId="4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header" Target="header2.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header" Target="header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134</Pages>
  <Words>17367</Words>
  <Characters>18208</Characters>
  <TotalTime>67</TotalTime>
  <ScaleCrop>false</ScaleCrop>
  <LinksUpToDate>false</LinksUpToDate>
  <CharactersWithSpaces>18428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2023-11-03T22:17:00Z</dcterms:created>
  <dc:creator>USER-</dc:creator>
  <cp:lastModifiedBy>修炀</cp:lastModifiedBy>
  <dcterms:modified xsi:type="dcterms:W3CDTF">2025-07-01T08:51:18Z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2023-11-22T18:31:31Z</vt:filetime>
  </property>
  <property fmtid="{D5CDD505-2E9C-101B-9397-08002B2CF9AE}" pid="4" name="KSOProductBuildVer">
    <vt:lpwstr>2052-12.1.0.21541</vt:lpwstr>
  </property>
  <property fmtid="{D5CDD505-2E9C-101B-9397-08002B2CF9AE}" pid="5" name="ICV">
    <vt:lpwstr>373F0AFD6C06463EBDCD724AC93D8ED9_13</vt:lpwstr>
  </property>
  <property fmtid="{D5CDD505-2E9C-101B-9397-08002B2CF9AE}" pid="6" name="KSOTemplateDocerSaveRecord">
    <vt:lpwstr>eyJoZGlkIjoiN2E5M2YxN2ZhYjM1MWZkZjZiYTE5YWI5NDQ0ZTE2NjMiLCJ1c2VySWQiOiIyMjkyOTU4MjEifQ==</vt:lpwstr>
  </property>
</Properties>
</file>