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 w:hAnsi="仿宋" w:eastAsia="仿宋" w:cs="仿宋"/>
          <w:highlight w:val="none"/>
        </w:rPr>
      </w:pP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rFonts w:hint="eastAsia" w:ascii="仿宋" w:hAnsi="仿宋" w:eastAsia="仿宋" w:cs="仿宋"/>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新疆医科大学第一附属医院糖尿病自身抗体免疫印迹试剂盒（免疫印迹法）采购项目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（项目编号：SJX-2025-359）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新疆医科大学第一附属医院糖尿病自身抗体免疫印迹试剂盒（免疫印迹法）采购项目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（项目编号：SJX-2025-359）</w:t>
                      </w:r>
                    </w:p>
                  </w:txbxContent>
                </v:textbox>
              </v:shape>
            </w:pict>
          </mc:Fallback>
        </mc:AlternateContent>
      </w:r>
    </w:p>
    <w:p w14:paraId="71A8A1BB">
      <w:pPr>
        <w:jc w:val="center"/>
        <w:rPr>
          <w:rFonts w:hint="eastAsia" w:ascii="仿宋" w:hAnsi="仿宋" w:eastAsia="仿宋" w:cs="仿宋"/>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采购人：新疆医科大学第一附属医院（盖章）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v:textbox>
              </v:shape>
            </w:pict>
          </mc:Fallback>
        </mc:AlternateContent>
      </w:r>
    </w:p>
    <w:p w14:paraId="7224195F">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  录</w:t>
      </w:r>
    </w:p>
    <w:sdt>
      <w:sdtPr>
        <w:rPr>
          <w:rFonts w:hint="eastAsia" w:ascii="仿宋" w:hAnsi="仿宋" w:eastAsia="仿宋" w:cs="仿宋"/>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p>
        <w:p w14:paraId="68461BE7">
          <w:pPr>
            <w:pStyle w:val="31"/>
            <w:tabs>
              <w:tab w:val="right" w:leader="dot" w:pos="8306"/>
            </w:tabs>
            <w:rPr>
              <w:rFonts w:hint="eastAsia"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296D64BB">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_Toc11868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 xml:space="preserve">第一章 </w:t>
          </w:r>
          <w:r>
            <w:rPr>
              <w:rFonts w:hint="eastAsia" w:ascii="仿宋" w:hAnsi="仿宋" w:eastAsia="仿宋" w:cs="仿宋"/>
              <w:b/>
              <w:sz w:val="24"/>
              <w:szCs w:val="24"/>
              <w:highlight w:val="none"/>
              <w:lang w:val="en-US" w:eastAsia="zh-CN"/>
            </w:rPr>
            <w:t>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A10429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_Toc21739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E708F5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2F42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DF86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F5F250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_Toc17115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289880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70B24A7">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5A1F5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_Toc31403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07F248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_Toc27881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C51C2E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D7D745">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9E03A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4D8BB0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25BB94">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_Toc15263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434F7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441468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_Toc22543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30</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E622C5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_Toc20159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1A7BDD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_Toc21893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40</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B25F42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AC38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_Toc12617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95B273">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23F2FB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C7C70F1">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B10BAE">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651641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_Toc31337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50</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AF5715A">
          <w:pPr>
            <w:pStyle w:val="32"/>
            <w:tabs>
              <w:tab w:val="right" w:leader="dot" w:pos="8306"/>
            </w:tabs>
            <w:rPr>
              <w:rFonts w:hint="eastAsia" w:ascii="仿宋" w:hAnsi="仿宋" w:eastAsia="仿宋" w:cs="仿宋"/>
              <w:highlight w:val="none"/>
            </w:rPr>
          </w:pPr>
        </w:p>
        <w:p w14:paraId="48F6615A">
          <w:pPr>
            <w:jc w:val="both"/>
            <w:rPr>
              <w:rFonts w:hint="eastAsia"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26415576">
      <w:pPr>
        <w:pStyle w:val="2"/>
        <w:numPr>
          <w:ilvl w:val="0"/>
          <w:numId w:val="1"/>
        </w:numPr>
        <w:bidi w:val="0"/>
        <w:jc w:val="center"/>
        <w:rPr>
          <w:rFonts w:hint="eastAsia" w:ascii="仿宋" w:hAnsi="仿宋" w:eastAsia="仿宋" w:cs="仿宋"/>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2"/>
        <w:numPr>
          <w:ilvl w:val="0"/>
          <w:numId w:val="1"/>
        </w:num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21739"/>
      <w:r>
        <w:rPr>
          <w:rFonts w:hint="eastAsia" w:ascii="仿宋" w:hAnsi="仿宋" w:eastAsia="仿宋" w:cs="仿宋"/>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SJX-2025-359</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新疆医科大学第一附属医院糖尿病自身抗体免疫印迹试剂盒（免疫印迹法）采购项目</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200000</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最高限价（元）：75元/人份</w:t>
      </w:r>
      <w:r>
        <w:rPr>
          <w:rFonts w:hint="eastAsia" w:ascii="仿宋" w:hAnsi="仿宋" w:eastAsia="仿宋" w:cs="仿宋"/>
          <w:sz w:val="24"/>
          <w:szCs w:val="24"/>
          <w:highlight w:val="none"/>
          <w:lang w:val="en-US" w:eastAsia="zh-CN"/>
        </w:rPr>
        <w:t>。</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糖尿病自身抗体免疫印迹试剂盒（免疫印迹法）采购，详见本项目采购需求。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val="en-US" w:eastAsia="zh-CN"/>
        </w:rPr>
        <w:t>新疆医科大学第一附属医院糖尿病自身抗体免疫印迹试剂盒（免疫印迹法）采购项目</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1批</w:t>
      </w:r>
    </w:p>
    <w:p w14:paraId="068B95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200000</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val="en-US" w:eastAsia="zh-CN"/>
        </w:rPr>
        <w:t>糖尿病自身抗体免疫印迹试剂盒（免疫印迹法）采购，详见本项目采购需求。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备注：单价采购，最终以实际采购数量进行结算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但最终结算量不得超过预计年采购金额</w:t>
      </w:r>
      <w:r>
        <w:rPr>
          <w:rFonts w:hint="eastAsia" w:ascii="仿宋" w:hAnsi="仿宋" w:eastAsia="仿宋" w:cs="仿宋"/>
          <w:sz w:val="24"/>
          <w:szCs w:val="24"/>
          <w:highlight w:val="none"/>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合同履约期限：三年（依照新医大一附院纪字〔2025〕11号文件要求，非阳采试剂耗材类合同履约期限为三年，合同一年一签）</w:t>
      </w:r>
      <w:r>
        <w:rPr>
          <w:rFonts w:hint="eastAsia" w:ascii="仿宋" w:hAnsi="仿宋" w:eastAsia="仿宋" w:cs="仿宋"/>
          <w:sz w:val="24"/>
          <w:szCs w:val="24"/>
          <w:highlight w:val="none"/>
          <w:lang w:val="en-US" w:eastAsia="zh-CN"/>
        </w:rPr>
        <w:t>.</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364"/>
      <w:r>
        <w:rPr>
          <w:rFonts w:hint="eastAsia" w:ascii="仿宋" w:hAnsi="仿宋" w:eastAsia="仿宋" w:cs="仿宋"/>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本项目专门面向中小企业采购，提供货物的制造商应符合《政府采购促进中小企业发展管理办法》(财库〔2020〕46号) 第四条规定的情形，且应当提供《政府采购促进中小企业发展管理办法》(财库〔2020〕46号)规定的《中小企业声明函》。</w:t>
      </w:r>
    </w:p>
    <w:p w14:paraId="5FA70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8"/>
          <w:lang w:val="en-US" w:eastAsia="zh-CN"/>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eastAsia="zh-CN"/>
        </w:rPr>
        <w:t>投标人具有医疗器械经营资格；</w:t>
      </w:r>
      <w:r>
        <w:rPr>
          <w:rFonts w:hint="eastAsia" w:ascii="仿宋" w:hAnsi="仿宋" w:eastAsia="仿宋" w:cs="仿宋"/>
          <w:sz w:val="24"/>
          <w:szCs w:val="24"/>
          <w:highlight w:val="none"/>
          <w:lang w:val="en-US" w:eastAsia="zh-CN"/>
        </w:rPr>
        <w:t>属于医疗器械管理的产品需</w:t>
      </w:r>
      <w:r>
        <w:rPr>
          <w:rFonts w:hint="eastAsia" w:ascii="仿宋" w:hAnsi="仿宋" w:eastAsia="仿宋" w:cs="仿宋"/>
          <w:sz w:val="24"/>
          <w:szCs w:val="24"/>
          <w:highlight w:val="none"/>
          <w:lang w:eastAsia="zh-CN"/>
        </w:rPr>
        <w:t>根据《医疗器械监督管理条例》（国务院令第650号）有关内容办理医疗器械产品注册或备案。</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9084"/>
      <w:r>
        <w:rPr>
          <w:rFonts w:hint="eastAsia" w:ascii="仿宋" w:hAnsi="仿宋" w:eastAsia="仿宋" w:cs="仿宋"/>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2084"/>
      <w:r>
        <w:rPr>
          <w:rFonts w:hint="eastAsia" w:ascii="仿宋" w:hAnsi="仿宋" w:eastAsia="仿宋" w:cs="仿宋"/>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4、各供应商应在开标前确保成为</w:t>
      </w:r>
      <w:r>
        <w:rPr>
          <w:rFonts w:hint="eastAsia" w:ascii="仿宋" w:hAnsi="仿宋" w:eastAsia="仿宋" w:cs="仿宋"/>
          <w:b/>
          <w:bCs/>
          <w:sz w:val="24"/>
          <w:szCs w:val="24"/>
          <w:highlight w:val="none"/>
        </w:rPr>
        <w:t>新疆政府采购网</w:t>
      </w:r>
      <w:r>
        <w:rPr>
          <w:rFonts w:hint="eastAsia" w:ascii="仿宋" w:hAnsi="仿宋" w:eastAsia="仿宋" w:cs="仿宋"/>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21999"/>
      <w:r>
        <w:rPr>
          <w:rFonts w:hint="eastAsia" w:ascii="仿宋" w:hAnsi="仿宋" w:eastAsia="仿宋" w:cs="仿宋"/>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新疆医科大学第一附属医院</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新疆维吾尔自治区乌鲁木齐市新市区鲤鱼山南路137号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0991-4362391</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eastAsia="zh-CN"/>
        </w:rPr>
        <w:t>郑倩如、訾王贝、李航、杜萍</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话：0991-3678303</w:t>
      </w:r>
    </w:p>
    <w:p w14:paraId="4DEF8C6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175473">
      <w:pPr>
        <w:pStyle w:val="2"/>
        <w:numPr>
          <w:ilvl w:val="0"/>
          <w:numId w:val="1"/>
        </w:numPr>
        <w:bidi w:val="0"/>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 称：新疆医科大学第一附属医院</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址：新疆维吾尔自治区乌鲁木齐市新市区鲤鱼山南路137号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联系方式：0991-4362391</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41B184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业务联系人：郑倩如、訾王贝、李航、杜萍</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p>
          <w:p w14:paraId="39BBC5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8"/>
                <w:lang w:eastAsia="zh-CN"/>
              </w:rPr>
              <w:t>投标人具有医疗器械经营资格；</w:t>
            </w:r>
            <w:r>
              <w:rPr>
                <w:rFonts w:hint="eastAsia" w:ascii="仿宋" w:hAnsi="仿宋" w:eastAsia="仿宋" w:cs="仿宋"/>
                <w:sz w:val="24"/>
                <w:szCs w:val="28"/>
                <w:lang w:val="en-US" w:eastAsia="zh-CN"/>
              </w:rPr>
              <w:t>属于医疗器械管理的产品需</w:t>
            </w:r>
            <w:r>
              <w:rPr>
                <w:rFonts w:hint="eastAsia" w:ascii="仿宋" w:hAnsi="仿宋" w:eastAsia="仿宋" w:cs="仿宋"/>
                <w:sz w:val="24"/>
                <w:szCs w:val="28"/>
                <w:lang w:eastAsia="zh-CN"/>
              </w:rPr>
              <w:t>根据《医疗器械监督管理条例》（国务院令第650号）有关内容办理医疗器械产品注册或备案。</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6652" w:type="dxa"/>
            <w:tcBorders>
              <w:tl2br w:val="nil"/>
              <w:tr2bl w:val="nil"/>
            </w:tcBorders>
            <w:vAlign w:val="center"/>
          </w:tcPr>
          <w:p w14:paraId="6AF981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sz w:val="24"/>
                <w:szCs w:val="24"/>
                <w:highlight w:val="none"/>
                <w:vertAlign w:val="baseline"/>
                <w:lang w:val="en-US" w:eastAsia="zh-CN"/>
              </w:rPr>
              <w:t>工业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356"/>
              <w:gridCol w:w="2247"/>
            </w:tblGrid>
            <w:tr w14:paraId="29E2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5" w:type="dxa"/>
                </w:tcPr>
                <w:p w14:paraId="475EC7B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3356" w:type="dxa"/>
                </w:tcPr>
                <w:p w14:paraId="01C3477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2247" w:type="dxa"/>
                </w:tcPr>
                <w:p w14:paraId="551D7F5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0E2A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5" w:type="dxa"/>
                  <w:vAlign w:val="center"/>
                </w:tcPr>
                <w:p w14:paraId="48F5554A">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标项1</w:t>
                  </w:r>
                </w:p>
              </w:tc>
              <w:tc>
                <w:tcPr>
                  <w:tcW w:w="3356" w:type="dxa"/>
                  <w:vAlign w:val="center"/>
                </w:tcPr>
                <w:p w14:paraId="0281F5D0">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糖尿病自身抗体免疫印迹试剂盒（免疫印迹法）</w:t>
                  </w:r>
                </w:p>
              </w:tc>
              <w:tc>
                <w:tcPr>
                  <w:tcW w:w="2247" w:type="dxa"/>
                  <w:vAlign w:val="center"/>
                </w:tcPr>
                <w:p w14:paraId="79227EE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bl>
          <w:p w14:paraId="47BD7325">
            <w:pPr>
              <w:pStyle w:val="21"/>
              <w:ind w:left="0" w:leftChars="0" w:firstLine="0" w:firstLineChars="0"/>
              <w:rPr>
                <w:rFonts w:hint="eastAsia" w:ascii="仿宋" w:hAnsi="仿宋" w:eastAsia="仿宋" w:cs="仿宋"/>
                <w:highlight w:val="none"/>
              </w:rPr>
            </w:pP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项目预算金额：20万元</w:t>
            </w:r>
          </w:p>
          <w:p w14:paraId="0ECED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最高限价：75元/人份</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bCs/>
                <w:sz w:val="24"/>
                <w:szCs w:val="28"/>
                <w:highlight w:val="none"/>
                <w:lang w:val="en-US" w:eastAsia="zh-CN"/>
              </w:rPr>
              <w:t>投标人投标报价不得高于最高投标限价（单价），否则其投标将被否决，视为重大偏离。</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如投标人对多个包进行投标，可以中标</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4000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人民币肆仟元整</w:t>
            </w:r>
            <w:r>
              <w:rPr>
                <w:rFonts w:hint="eastAsia" w:ascii="仿宋" w:hAnsi="仿宋" w:eastAsia="仿宋" w:cs="仿宋"/>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652" w:type="dxa"/>
            <w:tcBorders>
              <w:tl2br w:val="nil"/>
              <w:tr2bl w:val="nil"/>
            </w:tcBorders>
            <w:vAlign w:val="center"/>
          </w:tcPr>
          <w:p w14:paraId="171C09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日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702D03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0D334D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招标代理费：成交供应商应按本招标文件的规定，在《成交通知书》核发时至核发后3天内，向采购代理机构支付成交服务费。按发改价格[2011]534 号及计价格[2002]1980号文件计算的招标代理服务收费标准下浮40%计取。</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联系人、联系电话：李航、郑倩如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610E9E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46F8C4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25</w:t>
            </w:r>
          </w:p>
        </w:tc>
        <w:tc>
          <w:tcPr>
            <w:tcW w:w="6652" w:type="dxa"/>
            <w:tcBorders>
              <w:top w:val="single" w:color="auto" w:sz="4" w:space="0"/>
              <w:tl2br w:val="nil"/>
              <w:tr2bl w:val="nil"/>
            </w:tcBorders>
            <w:vAlign w:val="center"/>
          </w:tcPr>
          <w:p w14:paraId="727552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评分办法：综合评分法</w:t>
            </w:r>
          </w:p>
          <w:p w14:paraId="6829D6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评标委员会组成：招标采购单位依法组建评标委员会共7人组成，其中采购人代表2人和专家评委5人。</w:t>
            </w:r>
          </w:p>
          <w:p w14:paraId="199993F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小组确定方式：</w:t>
            </w:r>
          </w:p>
          <w:p w14:paraId="1DC992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☑计算机随机抽取语音通知方式</w:t>
            </w:r>
          </w:p>
          <w:p w14:paraId="33A8E4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□其他方式：/</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u w:val="singl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为非单一产品采购项目，</w:t>
            </w:r>
            <w:r>
              <w:rPr>
                <w:rFonts w:hint="eastAsia" w:ascii="仿宋" w:hAnsi="仿宋" w:eastAsia="仿宋" w:cs="仿宋"/>
                <w:b w:val="0"/>
                <w:bCs w:val="0"/>
                <w:color w:val="auto"/>
                <w:sz w:val="24"/>
                <w:szCs w:val="24"/>
                <w:highlight w:val="none"/>
                <w:vertAlign w:val="baseline"/>
                <w:lang w:val="en-US" w:eastAsia="zh-CN"/>
              </w:rPr>
              <w:t>核心产品为：</w:t>
            </w:r>
            <w:r>
              <w:rPr>
                <w:rFonts w:hint="eastAsia" w:ascii="仿宋" w:hAnsi="仿宋" w:eastAsia="仿宋" w:cs="仿宋"/>
                <w:b w:val="0"/>
                <w:bCs w:val="0"/>
                <w:color w:val="auto"/>
                <w:sz w:val="24"/>
                <w:szCs w:val="24"/>
                <w:highlight w:val="none"/>
                <w:u w:val="single"/>
                <w:vertAlign w:val="baseline"/>
                <w:lang w:val="en-US" w:eastAsia="zh-CN"/>
              </w:rPr>
              <w:t>/ 。</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14:paraId="6BF4FE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8F3E7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417A9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交货期：</w:t>
            </w:r>
            <w:r>
              <w:rPr>
                <w:rFonts w:hint="eastAsia" w:ascii="仿宋" w:hAnsi="仿宋" w:eastAsia="仿宋" w:cs="仿宋"/>
                <w:sz w:val="24"/>
                <w:szCs w:val="28"/>
                <w:highlight w:val="none"/>
              </w:rPr>
              <w:t>具体按照采购人采购计划及采购需求及时配送至指定地点，并配合采购人完成验收工作。具体以实际签订合同为准，响应采购人要求。</w:t>
            </w:r>
          </w:p>
        </w:tc>
      </w:tr>
      <w:tr w14:paraId="16A8C1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11C1A9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3ED1EA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付款方式：</w:t>
            </w:r>
          </w:p>
          <w:p w14:paraId="2B845A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1.乙方送货后按甲方要求及时携由甲方采购和库管人员签字确认的送货单办理入库手续，按规定出具增值税发票及相关财务票据。</w:t>
            </w:r>
          </w:p>
          <w:p w14:paraId="041011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2.取得入库手续后，乙方有权对该批供货书面申请付款，经甲方相关部门审核后，甲方根据计划予以支付，付款期限以医院付款周期为准。</w:t>
            </w:r>
          </w:p>
          <w:p w14:paraId="1236DD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 付款方式：由甲方通过银行转账或银行承兑方式或者银行保理方式向乙方结算货款。</w:t>
            </w:r>
          </w:p>
        </w:tc>
      </w:tr>
      <w:tr w14:paraId="576538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0EB05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0C526B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Cs/>
                <w:sz w:val="24"/>
                <w:szCs w:val="28"/>
                <w:highlight w:val="none"/>
                <w:lang w:val="en-US" w:eastAsia="zh-CN"/>
              </w:rPr>
              <w:t>有效期</w:t>
            </w:r>
            <w:r>
              <w:rPr>
                <w:rFonts w:hint="eastAsia" w:ascii="仿宋" w:hAnsi="仿宋" w:eastAsia="仿宋" w:cs="仿宋"/>
                <w:bCs/>
                <w:sz w:val="24"/>
                <w:szCs w:val="28"/>
                <w:highlight w:val="none"/>
                <w:lang w:eastAsia="zh-CN"/>
              </w:rPr>
              <w:t>：具体以实际合同签订为准</w:t>
            </w:r>
            <w:r>
              <w:rPr>
                <w:rFonts w:hint="eastAsia" w:ascii="仿宋" w:hAnsi="仿宋" w:eastAsia="仿宋" w:cs="仿宋"/>
                <w:bCs/>
                <w:sz w:val="24"/>
                <w:szCs w:val="28"/>
                <w:highlight w:val="none"/>
                <w:lang w:val="en-US" w:eastAsia="zh-CN"/>
              </w:rPr>
              <w:t>。</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2"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852B30C">
      <w:pPr>
        <w:pStyle w:val="2"/>
        <w:numPr>
          <w:ilvl w:val="0"/>
          <w:numId w:val="1"/>
        </w:numPr>
        <w:bidi w:val="0"/>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0" w:name="_Toc20936"/>
      <w:r>
        <w:rPr>
          <w:rFonts w:hint="eastAsia" w:ascii="仿宋" w:hAnsi="仿宋" w:eastAsia="仿宋" w:cs="仿宋"/>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中未写明允许采购进口产品，如投标人所投产品为进口产品，其投标将作为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，未达到上述比例的投标将被认定为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项目预算金额和最高限价见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投标人报价超过招标文件规定的预算金额或者最高限价的，其投标将被认定为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highlight w:val="none"/>
          <w:lang w:val="en-US" w:eastAsia="zh-CN"/>
        </w:rPr>
      </w:pPr>
      <w:bookmarkStart w:id="11" w:name="_Toc6547"/>
      <w:r>
        <w:rPr>
          <w:rFonts w:hint="eastAsia" w:ascii="仿宋" w:hAnsi="仿宋" w:eastAsia="仿宋" w:cs="仿宋"/>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highlight w:val="none"/>
          <w:u w:val="none"/>
          <w:lang w:val="en-US" w:eastAsia="zh-CN"/>
        </w:rPr>
        <w:t>投标须知前附表</w:t>
      </w:r>
      <w:r>
        <w:rPr>
          <w:rFonts w:hint="eastAsia" w:ascii="仿宋" w:hAnsi="仿宋" w:eastAsia="仿宋" w:cs="仿宋"/>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9070"/>
      <w:r>
        <w:rPr>
          <w:rFonts w:hint="eastAsia" w:ascii="仿宋" w:hAnsi="仿宋" w:eastAsia="仿宋" w:cs="仿宋"/>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投标人可对招标文件中一个或几个分包进行投标，除非在</w:t>
      </w:r>
      <w:r>
        <w:rPr>
          <w:rFonts w:hint="eastAsia" w:ascii="仿宋" w:hAnsi="仿宋" w:eastAsia="仿宋" w:cs="仿宋"/>
          <w:b w:val="0"/>
          <w:bCs w:val="0"/>
          <w:sz w:val="24"/>
          <w:szCs w:val="24"/>
          <w:highlight w:val="none"/>
          <w:u w:val="single"/>
          <w:lang w:val="en-US" w:eastAsia="zh-CN"/>
        </w:rPr>
        <w:t>投标须知前附表中另有规定</w:t>
      </w:r>
      <w:r>
        <w:rPr>
          <w:rFonts w:hint="eastAsia" w:ascii="仿宋" w:hAnsi="仿宋" w:eastAsia="仿宋" w:cs="仿宋"/>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lang w:val="en-US" w:eastAsia="zh-CN"/>
        </w:rPr>
        <w:t>投标被拒绝</w:t>
      </w:r>
      <w:r>
        <w:rPr>
          <w:rFonts w:hint="eastAsia" w:ascii="仿宋" w:hAnsi="仿宋" w:eastAsia="仿宋" w:cs="仿宋"/>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中规定的投标有效期内保持有效，投标有效期少于招标文件规定期限的，其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投标人须对招标文件的对应要求给予唯一的实质性响应，否则将视为</w:t>
      </w:r>
      <w:r>
        <w:rPr>
          <w:rFonts w:hint="eastAsia" w:ascii="仿宋" w:hAnsi="仿宋" w:eastAsia="仿宋" w:cs="仿宋"/>
          <w:b/>
          <w:bCs/>
          <w:sz w:val="24"/>
          <w:szCs w:val="24"/>
          <w:highlight w:val="none"/>
          <w:lang w:val="en-US" w:eastAsia="zh-CN"/>
        </w:rPr>
        <w:t>不响应</w:t>
      </w:r>
      <w:r>
        <w:rPr>
          <w:rFonts w:hint="eastAsia" w:ascii="仿宋" w:hAnsi="仿宋" w:eastAsia="仿宋" w:cs="仿宋"/>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1719"/>
      <w:r>
        <w:rPr>
          <w:rFonts w:hint="eastAsia" w:ascii="仿宋" w:hAnsi="仿宋" w:eastAsia="仿宋" w:cs="仿宋"/>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出现下述情形之一，属于未成功提交投标文件，按无效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在提交投标文件截止时间后，投标人不得补充、修改和更换投标文件。</w:t>
      </w:r>
      <w:r>
        <w:rPr>
          <w:rFonts w:hint="eastAsia" w:ascii="仿宋" w:hAnsi="仿宋" w:eastAsia="仿宋" w:cs="仿宋"/>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15263"/>
      <w:r>
        <w:rPr>
          <w:rFonts w:hint="eastAsia" w:ascii="仿宋" w:hAnsi="仿宋" w:eastAsia="仿宋" w:cs="仿宋"/>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中标人应按照</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适用于本投标人须知的额外增加的变动详见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58020E">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A9F5849">
      <w:pPr>
        <w:pStyle w:val="2"/>
        <w:numPr>
          <w:ilvl w:val="0"/>
          <w:numId w:val="1"/>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14:paraId="6C7A649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1217D7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2"/>
          <w:szCs w:val="22"/>
          <w:highlight w:val="none"/>
          <w:lang w:val="en-US" w:eastAsia="zh-CN"/>
        </w:rPr>
      </w:pPr>
    </w:p>
    <w:p w14:paraId="6567E985">
      <w:pPr>
        <w:wordWrap w:val="0"/>
        <w:adjustRightInd w:val="0"/>
        <w:snapToGrid w:val="0"/>
        <w:spacing w:line="360" w:lineRule="auto"/>
        <w:jc w:val="right"/>
        <w:rPr>
          <w:rFonts w:hint="eastAsia" w:ascii="仿宋" w:hAnsi="仿宋" w:eastAsia="仿宋" w:cs="仿宋"/>
          <w:b/>
          <w:color w:val="auto"/>
          <w:sz w:val="13"/>
          <w:szCs w:val="18"/>
          <w:u w:val="single"/>
          <w:lang w:eastAsia="zh-CN"/>
        </w:rPr>
      </w:pPr>
      <w:r>
        <w:rPr>
          <w:rFonts w:hint="eastAsia" w:ascii="仿宋" w:hAnsi="仿宋" w:eastAsia="仿宋" w:cs="仿宋"/>
          <w:b/>
          <w:color w:val="auto"/>
          <w:sz w:val="18"/>
          <w:szCs w:val="18"/>
          <w:lang w:eastAsia="zh-CN"/>
        </w:rPr>
        <w:t>合同编号：</w:t>
      </w:r>
      <w:r>
        <w:rPr>
          <w:rFonts w:hint="eastAsia" w:ascii="仿宋" w:hAnsi="仿宋" w:eastAsia="仿宋" w:cs="仿宋"/>
          <w:b/>
          <w:color w:val="auto"/>
          <w:sz w:val="18"/>
          <w:szCs w:val="18"/>
          <w:u w:val="single"/>
          <w:lang w:eastAsia="zh-CN"/>
        </w:rPr>
        <w:t xml:space="preserve"> 合同模板              </w:t>
      </w:r>
    </w:p>
    <w:p w14:paraId="309A18B6">
      <w:pPr>
        <w:adjustRightInd w:val="0"/>
        <w:snapToGrid w:val="0"/>
        <w:spacing w:line="360" w:lineRule="auto"/>
        <w:rPr>
          <w:rFonts w:hint="eastAsia" w:ascii="仿宋" w:hAnsi="仿宋" w:eastAsia="仿宋" w:cs="仿宋"/>
          <w:color w:val="auto"/>
          <w:sz w:val="18"/>
          <w:szCs w:val="18"/>
          <w:lang w:eastAsia="zh-CN"/>
        </w:rPr>
      </w:pPr>
    </w:p>
    <w:p w14:paraId="7F6B4652">
      <w:pPr>
        <w:adjustRightInd w:val="0"/>
        <w:snapToGrid w:val="0"/>
        <w:spacing w:line="360" w:lineRule="auto"/>
        <w:rPr>
          <w:rFonts w:hint="eastAsia" w:ascii="仿宋" w:hAnsi="仿宋" w:eastAsia="仿宋" w:cs="仿宋"/>
          <w:color w:val="auto"/>
          <w:sz w:val="18"/>
          <w:szCs w:val="18"/>
          <w:lang w:eastAsia="zh-CN"/>
        </w:rPr>
      </w:pPr>
    </w:p>
    <w:p w14:paraId="6AD9AA08">
      <w:pPr>
        <w:adjustRightInd w:val="0"/>
        <w:snapToGrid w:val="0"/>
        <w:spacing w:line="360" w:lineRule="auto"/>
        <w:rPr>
          <w:rFonts w:hint="eastAsia" w:ascii="仿宋" w:hAnsi="仿宋" w:eastAsia="仿宋" w:cs="仿宋"/>
          <w:color w:val="auto"/>
          <w:sz w:val="18"/>
          <w:szCs w:val="18"/>
          <w:lang w:eastAsia="zh-CN"/>
        </w:rPr>
      </w:pPr>
    </w:p>
    <w:p w14:paraId="3A57C223">
      <w:pPr>
        <w:adjustRightInd w:val="0"/>
        <w:snapToGrid w:val="0"/>
        <w:spacing w:line="360" w:lineRule="auto"/>
        <w:rPr>
          <w:rFonts w:hint="eastAsia" w:ascii="仿宋" w:hAnsi="仿宋" w:eastAsia="仿宋" w:cs="仿宋"/>
          <w:color w:val="auto"/>
          <w:sz w:val="18"/>
          <w:szCs w:val="18"/>
          <w:lang w:eastAsia="zh-CN"/>
        </w:rPr>
      </w:pPr>
    </w:p>
    <w:p w14:paraId="2791D908">
      <w:pPr>
        <w:adjustRightInd w:val="0"/>
        <w:snapToGrid w:val="0"/>
        <w:spacing w:line="360" w:lineRule="auto"/>
        <w:jc w:val="center"/>
        <w:rPr>
          <w:rFonts w:hint="eastAsia" w:ascii="仿宋" w:hAnsi="仿宋" w:eastAsia="仿宋" w:cs="仿宋"/>
          <w:b/>
          <w:color w:val="auto"/>
          <w:sz w:val="48"/>
          <w:szCs w:val="32"/>
          <w:lang w:eastAsia="zh-CN"/>
        </w:rPr>
      </w:pPr>
      <w:r>
        <w:rPr>
          <w:rFonts w:hint="eastAsia" w:ascii="仿宋" w:hAnsi="仿宋" w:eastAsia="仿宋" w:cs="仿宋"/>
          <w:b/>
          <w:color w:val="auto"/>
          <w:sz w:val="48"/>
          <w:szCs w:val="32"/>
          <w:lang w:eastAsia="zh-CN"/>
        </w:rPr>
        <w:t>医用耗材（试剂）采购合同</w:t>
      </w:r>
    </w:p>
    <w:p w14:paraId="1E5EC426">
      <w:pPr>
        <w:adjustRightInd w:val="0"/>
        <w:snapToGrid w:val="0"/>
        <w:spacing w:line="360" w:lineRule="auto"/>
        <w:jc w:val="center"/>
        <w:rPr>
          <w:rFonts w:hint="eastAsia" w:ascii="仿宋" w:hAnsi="仿宋" w:eastAsia="仿宋" w:cs="仿宋"/>
          <w:b/>
          <w:color w:val="auto"/>
          <w:sz w:val="32"/>
          <w:szCs w:val="32"/>
          <w:lang w:eastAsia="zh-CN"/>
        </w:rPr>
      </w:pPr>
    </w:p>
    <w:p w14:paraId="5522425D">
      <w:pPr>
        <w:adjustRightInd w:val="0"/>
        <w:snapToGrid w:val="0"/>
        <w:spacing w:line="360" w:lineRule="auto"/>
        <w:rPr>
          <w:rFonts w:hint="eastAsia" w:ascii="仿宋" w:hAnsi="仿宋" w:eastAsia="仿宋" w:cs="仿宋"/>
          <w:b/>
          <w:color w:val="auto"/>
          <w:sz w:val="32"/>
          <w:szCs w:val="32"/>
          <w:lang w:eastAsia="zh-CN"/>
        </w:rPr>
      </w:pPr>
    </w:p>
    <w:p w14:paraId="23169672">
      <w:pPr>
        <w:adjustRightInd w:val="0"/>
        <w:snapToGrid w:val="0"/>
        <w:spacing w:line="360" w:lineRule="auto"/>
        <w:rPr>
          <w:rFonts w:hint="eastAsia" w:ascii="仿宋" w:hAnsi="仿宋" w:eastAsia="仿宋" w:cs="仿宋"/>
          <w:b/>
          <w:color w:val="auto"/>
          <w:sz w:val="32"/>
          <w:szCs w:val="32"/>
          <w:lang w:eastAsia="zh-CN"/>
        </w:rPr>
      </w:pPr>
    </w:p>
    <w:p w14:paraId="203C6277">
      <w:pPr>
        <w:adjustRightInd w:val="0"/>
        <w:snapToGrid w:val="0"/>
        <w:spacing w:line="360" w:lineRule="auto"/>
        <w:rPr>
          <w:rFonts w:hint="eastAsia" w:ascii="仿宋" w:hAnsi="仿宋" w:eastAsia="仿宋" w:cs="仿宋"/>
          <w:b/>
          <w:color w:val="auto"/>
          <w:sz w:val="32"/>
          <w:szCs w:val="32"/>
          <w:lang w:eastAsia="zh-CN"/>
        </w:rPr>
      </w:pPr>
    </w:p>
    <w:p w14:paraId="3FF10C3A">
      <w:pPr>
        <w:adjustRightInd w:val="0"/>
        <w:snapToGrid w:val="0"/>
        <w:spacing w:line="360" w:lineRule="auto"/>
        <w:ind w:firstLine="2168" w:firstLineChars="900"/>
        <w:jc w:val="both"/>
        <w:rPr>
          <w:rFonts w:hint="eastAsia" w:ascii="仿宋" w:hAnsi="仿宋" w:eastAsia="仿宋" w:cs="仿宋"/>
          <w:b/>
          <w:color w:val="auto"/>
          <w:sz w:val="24"/>
          <w:szCs w:val="32"/>
          <w:u w:val="single"/>
          <w:lang w:eastAsia="zh-CN"/>
        </w:rPr>
      </w:pPr>
      <w:r>
        <w:rPr>
          <w:rFonts w:hint="eastAsia" w:ascii="仿宋" w:hAnsi="仿宋" w:eastAsia="仿宋" w:cs="仿宋"/>
          <w:b/>
          <w:color w:val="auto"/>
          <w:sz w:val="24"/>
          <w:szCs w:val="32"/>
          <w:lang w:eastAsia="zh-CN"/>
        </w:rPr>
        <w:t>甲  方：</w:t>
      </w:r>
      <w:r>
        <w:rPr>
          <w:rFonts w:hint="eastAsia" w:ascii="仿宋" w:hAnsi="仿宋" w:eastAsia="仿宋" w:cs="仿宋"/>
          <w:b/>
          <w:color w:val="auto"/>
          <w:sz w:val="24"/>
          <w:szCs w:val="32"/>
          <w:u w:val="single"/>
          <w:lang w:eastAsia="zh-CN"/>
        </w:rPr>
        <w:t xml:space="preserve">新疆医科大学第一附属医院  </w:t>
      </w:r>
    </w:p>
    <w:p w14:paraId="642DF1FC">
      <w:pPr>
        <w:adjustRightInd w:val="0"/>
        <w:snapToGrid w:val="0"/>
        <w:spacing w:line="360" w:lineRule="auto"/>
        <w:rPr>
          <w:rFonts w:hint="eastAsia" w:ascii="仿宋" w:hAnsi="仿宋" w:eastAsia="仿宋" w:cs="仿宋"/>
          <w:b/>
          <w:color w:val="auto"/>
          <w:sz w:val="24"/>
          <w:szCs w:val="32"/>
          <w:lang w:eastAsia="zh-CN"/>
        </w:rPr>
      </w:pPr>
    </w:p>
    <w:p w14:paraId="587B6503">
      <w:pPr>
        <w:adjustRightInd w:val="0"/>
        <w:snapToGrid w:val="0"/>
        <w:spacing w:line="360" w:lineRule="auto"/>
        <w:jc w:val="center"/>
        <w:rPr>
          <w:rFonts w:hint="eastAsia" w:ascii="仿宋" w:hAnsi="仿宋" w:eastAsia="仿宋" w:cs="仿宋"/>
          <w:b/>
          <w:color w:val="auto"/>
          <w:sz w:val="24"/>
          <w:szCs w:val="32"/>
          <w:lang w:eastAsia="zh-CN"/>
        </w:rPr>
      </w:pPr>
      <w:r>
        <w:rPr>
          <w:rFonts w:hint="eastAsia" w:ascii="仿宋" w:hAnsi="仿宋" w:eastAsia="仿宋" w:cs="仿宋"/>
          <w:b/>
          <w:color w:val="auto"/>
          <w:sz w:val="24"/>
          <w:szCs w:val="32"/>
          <w:lang w:eastAsia="zh-CN"/>
        </w:rPr>
        <w:t xml:space="preserve">  乙  方：___________________________</w:t>
      </w:r>
    </w:p>
    <w:p w14:paraId="36387773">
      <w:pPr>
        <w:adjustRightInd w:val="0"/>
        <w:snapToGrid w:val="0"/>
        <w:spacing w:line="360" w:lineRule="auto"/>
        <w:ind w:firstLine="964" w:firstLineChars="400"/>
        <w:rPr>
          <w:rFonts w:hint="eastAsia" w:ascii="仿宋" w:hAnsi="仿宋" w:eastAsia="仿宋" w:cs="仿宋"/>
          <w:b/>
          <w:color w:val="auto"/>
          <w:sz w:val="24"/>
          <w:szCs w:val="32"/>
          <w:lang w:eastAsia="zh-CN"/>
        </w:rPr>
      </w:pPr>
    </w:p>
    <w:p w14:paraId="4E3A8886">
      <w:pPr>
        <w:adjustRightInd w:val="0"/>
        <w:snapToGrid w:val="0"/>
        <w:spacing w:line="360" w:lineRule="auto"/>
        <w:jc w:val="center"/>
        <w:rPr>
          <w:rFonts w:hint="eastAsia" w:ascii="仿宋" w:hAnsi="仿宋" w:eastAsia="仿宋" w:cs="仿宋"/>
          <w:b/>
          <w:color w:val="auto"/>
          <w:sz w:val="24"/>
          <w:szCs w:val="32"/>
          <w:lang w:eastAsia="zh-CN"/>
        </w:rPr>
      </w:pPr>
      <w:r>
        <w:rPr>
          <w:rFonts w:hint="eastAsia" w:ascii="仿宋" w:hAnsi="仿宋" w:eastAsia="仿宋" w:cs="仿宋"/>
          <w:b/>
          <w:color w:val="auto"/>
          <w:sz w:val="24"/>
          <w:szCs w:val="32"/>
          <w:lang w:eastAsia="zh-CN"/>
        </w:rPr>
        <w:t>签订日期：_______年______月______日</w:t>
      </w:r>
    </w:p>
    <w:p w14:paraId="514A2A4B">
      <w:pPr>
        <w:rPr>
          <w:rFonts w:hint="eastAsia" w:ascii="仿宋" w:hAnsi="仿宋" w:eastAsia="仿宋" w:cs="仿宋"/>
          <w:color w:val="auto"/>
          <w:sz w:val="20"/>
          <w:szCs w:val="22"/>
          <w:lang w:eastAsia="zh-CN"/>
        </w:rPr>
      </w:pPr>
    </w:p>
    <w:p w14:paraId="52B7D49E">
      <w:pPr>
        <w:rPr>
          <w:rFonts w:hint="eastAsia" w:ascii="仿宋" w:hAnsi="仿宋" w:eastAsia="仿宋" w:cs="仿宋"/>
          <w:color w:val="auto"/>
          <w:sz w:val="20"/>
          <w:szCs w:val="22"/>
          <w:lang w:eastAsia="zh-CN"/>
        </w:rPr>
      </w:pPr>
    </w:p>
    <w:p w14:paraId="622D770E">
      <w:pPr>
        <w:rPr>
          <w:rFonts w:hint="eastAsia" w:ascii="仿宋" w:hAnsi="仿宋" w:eastAsia="仿宋" w:cs="仿宋"/>
          <w:color w:val="auto"/>
          <w:sz w:val="20"/>
          <w:szCs w:val="22"/>
          <w:lang w:eastAsia="zh-CN"/>
        </w:rPr>
      </w:pPr>
    </w:p>
    <w:p w14:paraId="360EC2E4">
      <w:pPr>
        <w:pStyle w:val="38"/>
        <w:spacing w:before="240" w:beforeLines="100" w:after="200" w:line="360" w:lineRule="auto"/>
        <w:ind w:firstLine="641"/>
        <w:jc w:val="center"/>
        <w:rPr>
          <w:rStyle w:val="26"/>
          <w:rFonts w:hint="eastAsia" w:ascii="仿宋" w:hAnsi="仿宋" w:eastAsia="仿宋" w:cs="仿宋"/>
          <w:b/>
          <w:bCs/>
          <w:color w:val="auto"/>
          <w:sz w:val="32"/>
          <w:szCs w:val="32"/>
          <w:lang w:eastAsia="zh-CN"/>
        </w:rPr>
      </w:pPr>
    </w:p>
    <w:p w14:paraId="3371C784">
      <w:pPr>
        <w:pStyle w:val="38"/>
        <w:spacing w:before="240" w:beforeLines="100" w:after="200" w:line="360" w:lineRule="auto"/>
        <w:ind w:firstLine="641"/>
        <w:jc w:val="center"/>
        <w:rPr>
          <w:rStyle w:val="26"/>
          <w:rFonts w:hint="eastAsia" w:ascii="仿宋" w:hAnsi="仿宋" w:eastAsia="仿宋" w:cs="仿宋"/>
          <w:b/>
          <w:bCs/>
          <w:color w:val="auto"/>
          <w:sz w:val="32"/>
          <w:szCs w:val="32"/>
          <w:lang w:eastAsia="zh-CN"/>
        </w:rPr>
      </w:pPr>
    </w:p>
    <w:p w14:paraId="25FB9458">
      <w:pPr>
        <w:pStyle w:val="38"/>
        <w:spacing w:before="240" w:beforeLines="100" w:after="200" w:line="360" w:lineRule="auto"/>
        <w:rPr>
          <w:rStyle w:val="26"/>
          <w:rFonts w:hint="eastAsia" w:ascii="仿宋" w:hAnsi="仿宋" w:eastAsia="仿宋" w:cs="仿宋"/>
          <w:b/>
          <w:bCs/>
          <w:color w:val="auto"/>
          <w:sz w:val="32"/>
          <w:szCs w:val="32"/>
          <w:lang w:eastAsia="zh-CN"/>
        </w:rPr>
      </w:pPr>
    </w:p>
    <w:p w14:paraId="3240A1DF">
      <w:pPr>
        <w:pStyle w:val="38"/>
        <w:spacing w:line="360" w:lineRule="auto"/>
        <w:ind w:firstLine="480"/>
        <w:rPr>
          <w:rStyle w:val="26"/>
          <w:rFonts w:hint="eastAsia" w:ascii="仿宋" w:hAnsi="仿宋" w:eastAsia="仿宋" w:cs="仿宋"/>
          <w:color w:val="auto"/>
          <w:sz w:val="24"/>
          <w:szCs w:val="24"/>
        </w:rPr>
      </w:pPr>
      <w:r>
        <w:rPr>
          <w:rStyle w:val="26"/>
          <w:rFonts w:hint="eastAsia" w:ascii="仿宋" w:hAnsi="仿宋" w:eastAsia="仿宋" w:cs="仿宋"/>
          <w:color w:val="auto"/>
          <w:sz w:val="24"/>
          <w:szCs w:val="24"/>
        </w:rPr>
        <w:t>甲方：新疆医科大学第一附属医院</w:t>
      </w:r>
    </w:p>
    <w:p w14:paraId="0AC63710">
      <w:pPr>
        <w:pStyle w:val="38"/>
        <w:spacing w:line="360" w:lineRule="auto"/>
        <w:ind w:left="479"/>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rPr>
        <w:t>乙方：</w:t>
      </w:r>
    </w:p>
    <w:p w14:paraId="65AF2A8D">
      <w:pPr>
        <w:pStyle w:val="38"/>
        <w:spacing w:line="360" w:lineRule="auto"/>
        <w:ind w:firstLine="480" w:firstLineChars="200"/>
        <w:rPr>
          <w:rStyle w:val="26"/>
          <w:rFonts w:hint="eastAsia" w:ascii="仿宋" w:hAnsi="仿宋" w:eastAsia="仿宋" w:cs="仿宋"/>
          <w:color w:val="auto"/>
          <w:sz w:val="24"/>
          <w:szCs w:val="24"/>
        </w:rPr>
      </w:pPr>
      <w:r>
        <w:rPr>
          <w:rStyle w:val="26"/>
          <w:rFonts w:hint="eastAsia" w:ascii="仿宋" w:hAnsi="仿宋" w:eastAsia="仿宋" w:cs="仿宋"/>
          <w:color w:val="auto"/>
          <w:sz w:val="24"/>
          <w:szCs w:val="24"/>
        </w:rPr>
        <w:t>甲、乙双方根据《中华人民共和国政府采购法》、《中华人民共和国民法典》、《中华人民共和国产品质量法》</w:t>
      </w:r>
      <w:r>
        <w:rPr>
          <w:rStyle w:val="26"/>
          <w:rFonts w:hint="eastAsia" w:ascii="仿宋" w:hAnsi="仿宋" w:eastAsia="仿宋" w:cs="仿宋"/>
          <w:color w:val="auto"/>
          <w:sz w:val="24"/>
          <w:szCs w:val="24"/>
          <w:lang w:eastAsia="zh-CN"/>
        </w:rPr>
        <w:t>、《医疗器械监督管理条例》、</w:t>
      </w:r>
      <w:r>
        <w:rPr>
          <w:rStyle w:val="26"/>
          <w:rFonts w:hint="eastAsia" w:ascii="仿宋" w:hAnsi="仿宋" w:eastAsia="仿宋" w:cs="仿宋"/>
          <w:color w:val="auto"/>
          <w:sz w:val="24"/>
          <w:szCs w:val="24"/>
        </w:rPr>
        <w:t>《医疗器械</w:t>
      </w:r>
      <w:r>
        <w:rPr>
          <w:rStyle w:val="26"/>
          <w:rFonts w:hint="eastAsia" w:ascii="仿宋" w:hAnsi="仿宋" w:eastAsia="仿宋" w:cs="仿宋"/>
          <w:color w:val="auto"/>
          <w:sz w:val="24"/>
          <w:szCs w:val="24"/>
          <w:lang w:eastAsia="zh-CN"/>
        </w:rPr>
        <w:t>经营</w:t>
      </w:r>
      <w:r>
        <w:rPr>
          <w:rStyle w:val="26"/>
          <w:rFonts w:hint="eastAsia" w:ascii="仿宋" w:hAnsi="仿宋" w:eastAsia="仿宋" w:cs="仿宋"/>
          <w:color w:val="auto"/>
          <w:sz w:val="24"/>
          <w:szCs w:val="24"/>
        </w:rPr>
        <w:t>质量管理规范》</w:t>
      </w:r>
      <w:r>
        <w:rPr>
          <w:rStyle w:val="26"/>
          <w:rFonts w:hint="eastAsia" w:ascii="仿宋" w:hAnsi="仿宋" w:eastAsia="仿宋" w:cs="仿宋"/>
          <w:color w:val="auto"/>
          <w:sz w:val="24"/>
          <w:szCs w:val="24"/>
          <w:lang w:eastAsia="zh-CN"/>
        </w:rPr>
        <w:t>等</w:t>
      </w:r>
      <w:r>
        <w:rPr>
          <w:rStyle w:val="26"/>
          <w:rFonts w:hint="eastAsia" w:ascii="仿宋" w:hAnsi="仿宋" w:eastAsia="仿宋" w:cs="仿宋"/>
          <w:color w:val="auto"/>
          <w:sz w:val="24"/>
          <w:szCs w:val="24"/>
        </w:rPr>
        <w:t>相关法律法规，</w:t>
      </w:r>
      <w:r>
        <w:rPr>
          <w:rStyle w:val="26"/>
          <w:rFonts w:hint="eastAsia" w:ascii="仿宋" w:hAnsi="仿宋" w:eastAsia="仿宋" w:cs="仿宋"/>
          <w:color w:val="auto"/>
          <w:sz w:val="24"/>
          <w:szCs w:val="24"/>
          <w:lang w:eastAsia="zh-CN"/>
        </w:rPr>
        <w:t>严格执行新疆医科大学和新疆医科大学第一附属医院《招标采购管理办法》等规定，</w:t>
      </w:r>
      <w:r>
        <w:rPr>
          <w:rStyle w:val="26"/>
          <w:rFonts w:hint="eastAsia" w:ascii="仿宋" w:hAnsi="仿宋" w:eastAsia="仿宋" w:cs="仿宋"/>
          <w:color w:val="auto"/>
          <w:sz w:val="24"/>
          <w:szCs w:val="24"/>
        </w:rPr>
        <w:t>为明确甲乙双方关于医用耗材（试剂）采购方面的权利和义务，本着平等、诚实、信用的原则，</w:t>
      </w:r>
      <w:r>
        <w:rPr>
          <w:rStyle w:val="26"/>
          <w:rFonts w:hint="eastAsia" w:ascii="仿宋" w:hAnsi="仿宋" w:eastAsia="仿宋" w:cs="仿宋"/>
          <w:color w:val="auto"/>
          <w:sz w:val="24"/>
          <w:szCs w:val="24"/>
          <w:lang w:eastAsia="zh-CN"/>
        </w:rPr>
        <w:t>经双方协商</w:t>
      </w:r>
      <w:r>
        <w:rPr>
          <w:rStyle w:val="26"/>
          <w:rFonts w:hint="eastAsia" w:ascii="仿宋" w:hAnsi="仿宋" w:eastAsia="仿宋" w:cs="仿宋"/>
          <w:color w:val="auto"/>
          <w:sz w:val="24"/>
          <w:szCs w:val="24"/>
        </w:rPr>
        <w:t>一致，</w:t>
      </w:r>
      <w:r>
        <w:rPr>
          <w:rStyle w:val="26"/>
          <w:rFonts w:hint="eastAsia" w:ascii="仿宋" w:hAnsi="仿宋" w:eastAsia="仿宋" w:cs="仿宋"/>
          <w:color w:val="auto"/>
          <w:sz w:val="24"/>
          <w:szCs w:val="24"/>
          <w:lang w:eastAsia="zh-CN"/>
        </w:rPr>
        <w:t>就有关事项达成</w:t>
      </w:r>
      <w:r>
        <w:rPr>
          <w:rStyle w:val="26"/>
          <w:rFonts w:hint="eastAsia" w:ascii="仿宋" w:hAnsi="仿宋" w:eastAsia="仿宋" w:cs="仿宋"/>
          <w:color w:val="auto"/>
          <w:sz w:val="24"/>
          <w:szCs w:val="24"/>
        </w:rPr>
        <w:t>如下</w:t>
      </w:r>
      <w:r>
        <w:rPr>
          <w:rStyle w:val="26"/>
          <w:rFonts w:hint="eastAsia" w:ascii="仿宋" w:hAnsi="仿宋" w:eastAsia="仿宋" w:cs="仿宋"/>
          <w:color w:val="auto"/>
          <w:sz w:val="24"/>
          <w:szCs w:val="24"/>
          <w:lang w:eastAsia="zh-CN"/>
        </w:rPr>
        <w:t>合同，双方共同遵守执行。</w:t>
      </w:r>
    </w:p>
    <w:p w14:paraId="22D4B55B">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第一条  产品及价格</w:t>
      </w:r>
    </w:p>
    <w:p w14:paraId="432F6372">
      <w:pPr>
        <w:pStyle w:val="3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1.本合同范围内耗材（试剂）产品名称、规格型号、单位、单价、生产厂家等以招标结果为准，加盖乙方合同专用章的产品清单作为合同附件。</w:t>
      </w:r>
    </w:p>
    <w:p w14:paraId="660250DB">
      <w:pPr>
        <w:pStyle w:val="38"/>
        <w:spacing w:line="360" w:lineRule="auto"/>
        <w:ind w:firstLine="480" w:firstLineChars="200"/>
        <w:rPr>
          <w:rStyle w:val="26"/>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2.</w:t>
      </w:r>
      <w:r>
        <w:rPr>
          <w:rStyle w:val="26"/>
          <w:rFonts w:hint="eastAsia" w:ascii="仿宋" w:hAnsi="仿宋" w:eastAsia="仿宋" w:cs="仿宋"/>
          <w:color w:val="auto"/>
          <w:sz w:val="24"/>
          <w:szCs w:val="24"/>
          <w:lang w:val="en-US" w:eastAsia="zh-CN"/>
        </w:rPr>
        <w:t>合同内产品价格按中标价格执行,包含生产、销售、运输全部成本及税费、利润等全部项目。</w:t>
      </w:r>
      <w:r>
        <w:rPr>
          <w:rStyle w:val="26"/>
          <w:rFonts w:hint="eastAsia" w:ascii="仿宋" w:hAnsi="仿宋" w:eastAsia="仿宋" w:cs="仿宋"/>
          <w:color w:val="auto"/>
          <w:sz w:val="24"/>
          <w:szCs w:val="24"/>
          <w:highlight w:val="none"/>
          <w:lang w:val="en-US" w:eastAsia="zh-CN"/>
        </w:rPr>
        <w:t>（详见成交通知书及明细）</w:t>
      </w:r>
    </w:p>
    <w:p w14:paraId="47972D55">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3.</w:t>
      </w:r>
      <w:r>
        <w:rPr>
          <w:rStyle w:val="26"/>
          <w:rFonts w:hint="eastAsia" w:ascii="仿宋" w:hAnsi="仿宋" w:eastAsia="仿宋" w:cs="仿宋"/>
          <w:color w:val="auto"/>
          <w:sz w:val="24"/>
          <w:szCs w:val="24"/>
        </w:rPr>
        <w:t>乙方承诺提供给甲方的所有产品的价格为全疆最低价</w:t>
      </w:r>
      <w:r>
        <w:rPr>
          <w:rStyle w:val="26"/>
          <w:rFonts w:hint="eastAsia" w:ascii="仿宋" w:hAnsi="仿宋" w:eastAsia="仿宋" w:cs="仿宋"/>
          <w:color w:val="auto"/>
          <w:sz w:val="24"/>
          <w:szCs w:val="24"/>
          <w:lang w:eastAsia="zh-CN"/>
        </w:rPr>
        <w:t>。若招标后出现新的全疆最低价，乙方同意甲方按照新的全疆最低价进行结算。</w:t>
      </w:r>
    </w:p>
    <w:p w14:paraId="0EDBE16F">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4.</w:t>
      </w:r>
      <w:r>
        <w:rPr>
          <w:rStyle w:val="26"/>
          <w:rFonts w:hint="eastAsia" w:ascii="仿宋" w:hAnsi="仿宋" w:eastAsia="仿宋" w:cs="仿宋"/>
          <w:color w:val="auto"/>
          <w:sz w:val="24"/>
          <w:szCs w:val="24"/>
          <w:lang w:val="en-US"/>
        </w:rPr>
        <w:t>合同</w:t>
      </w:r>
      <w:r>
        <w:rPr>
          <w:rStyle w:val="26"/>
          <w:rFonts w:hint="eastAsia" w:ascii="仿宋" w:hAnsi="仿宋" w:eastAsia="仿宋" w:cs="仿宋"/>
          <w:color w:val="auto"/>
          <w:sz w:val="24"/>
          <w:szCs w:val="24"/>
          <w:lang w:val="en-US" w:eastAsia="zh-CN"/>
        </w:rPr>
        <w:t>期内</w:t>
      </w:r>
      <w:r>
        <w:rPr>
          <w:rStyle w:val="26"/>
          <w:rFonts w:hint="eastAsia" w:ascii="仿宋" w:hAnsi="仿宋" w:eastAsia="仿宋" w:cs="仿宋"/>
          <w:color w:val="auto"/>
          <w:sz w:val="24"/>
          <w:szCs w:val="24"/>
          <w:lang w:val="en-US"/>
        </w:rPr>
        <w:t>乙方所提供的所有产品不</w:t>
      </w:r>
      <w:r>
        <w:rPr>
          <w:rStyle w:val="26"/>
          <w:rFonts w:hint="eastAsia" w:ascii="仿宋" w:hAnsi="仿宋" w:eastAsia="仿宋" w:cs="仿宋"/>
          <w:color w:val="auto"/>
          <w:sz w:val="24"/>
          <w:szCs w:val="24"/>
          <w:lang w:val="en-US" w:eastAsia="zh-CN"/>
        </w:rPr>
        <w:t>得</w:t>
      </w:r>
      <w:r>
        <w:rPr>
          <w:rStyle w:val="26"/>
          <w:rFonts w:hint="eastAsia" w:ascii="仿宋" w:hAnsi="仿宋" w:eastAsia="仿宋" w:cs="仿宋"/>
          <w:color w:val="auto"/>
          <w:sz w:val="24"/>
          <w:szCs w:val="24"/>
          <w:lang w:val="en-US"/>
        </w:rPr>
        <w:t>上调价格。若</w:t>
      </w:r>
      <w:r>
        <w:rPr>
          <w:rStyle w:val="26"/>
          <w:rFonts w:hint="eastAsia" w:ascii="仿宋" w:hAnsi="仿宋" w:eastAsia="仿宋" w:cs="仿宋"/>
          <w:color w:val="auto"/>
          <w:sz w:val="24"/>
          <w:szCs w:val="24"/>
          <w:lang w:val="en-US" w:eastAsia="zh-CN"/>
        </w:rPr>
        <w:t>经双方协商</w:t>
      </w:r>
      <w:r>
        <w:rPr>
          <w:rStyle w:val="26"/>
          <w:rFonts w:hint="eastAsia" w:ascii="仿宋" w:hAnsi="仿宋" w:eastAsia="仿宋" w:cs="仿宋"/>
          <w:color w:val="auto"/>
          <w:sz w:val="24"/>
          <w:szCs w:val="24"/>
          <w:lang w:val="en-US"/>
        </w:rPr>
        <w:t>产品价格下浮，双方签订补充协议确认、执行</w:t>
      </w:r>
      <w:r>
        <w:rPr>
          <w:rStyle w:val="26"/>
          <w:rFonts w:hint="eastAsia" w:ascii="仿宋" w:hAnsi="仿宋" w:eastAsia="仿宋" w:cs="仿宋"/>
          <w:color w:val="auto"/>
          <w:sz w:val="24"/>
          <w:szCs w:val="24"/>
          <w:lang w:val="en-US" w:eastAsia="zh-CN"/>
        </w:rPr>
        <w:t>。</w:t>
      </w:r>
    </w:p>
    <w:p w14:paraId="4F29C575">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第二条  供货方式及时间</w:t>
      </w:r>
    </w:p>
    <w:p w14:paraId="71D14FEE">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1.乙方应对所供产品适当备货，确保甲方需求。</w:t>
      </w:r>
    </w:p>
    <w:p w14:paraId="090DC6AA">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val="en-US" w:eastAsia="zh-CN"/>
        </w:rPr>
        <w:t>2.</w:t>
      </w:r>
      <w:r>
        <w:rPr>
          <w:rStyle w:val="26"/>
          <w:rFonts w:hint="eastAsia" w:ascii="仿宋" w:hAnsi="仿宋" w:eastAsia="仿宋" w:cs="仿宋"/>
          <w:color w:val="auto"/>
          <w:sz w:val="24"/>
          <w:szCs w:val="24"/>
        </w:rPr>
        <w:t>乙方按甲方</w:t>
      </w:r>
      <w:r>
        <w:rPr>
          <w:rStyle w:val="26"/>
          <w:rFonts w:hint="eastAsia" w:ascii="仿宋" w:hAnsi="仿宋" w:eastAsia="仿宋" w:cs="仿宋"/>
          <w:color w:val="auto"/>
          <w:sz w:val="24"/>
          <w:szCs w:val="24"/>
          <w:lang w:eastAsia="zh-CN"/>
        </w:rPr>
        <w:t>采购</w:t>
      </w:r>
      <w:r>
        <w:rPr>
          <w:rStyle w:val="26"/>
          <w:rFonts w:hint="eastAsia" w:ascii="仿宋" w:hAnsi="仿宋" w:eastAsia="仿宋" w:cs="仿宋"/>
          <w:color w:val="auto"/>
          <w:sz w:val="24"/>
          <w:szCs w:val="24"/>
        </w:rPr>
        <w:t>计划</w:t>
      </w:r>
      <w:r>
        <w:rPr>
          <w:rStyle w:val="26"/>
          <w:rFonts w:hint="eastAsia" w:ascii="仿宋" w:hAnsi="仿宋" w:eastAsia="仿宋" w:cs="仿宋"/>
          <w:color w:val="auto"/>
          <w:sz w:val="24"/>
          <w:szCs w:val="24"/>
          <w:lang w:eastAsia="zh-CN"/>
        </w:rPr>
        <w:t>和</w:t>
      </w:r>
      <w:r>
        <w:rPr>
          <w:rStyle w:val="26"/>
          <w:rFonts w:hint="eastAsia" w:ascii="仿宋" w:hAnsi="仿宋" w:eastAsia="仿宋" w:cs="仿宋"/>
          <w:color w:val="auto"/>
          <w:sz w:val="24"/>
          <w:szCs w:val="24"/>
        </w:rPr>
        <w:t>要求及时</w:t>
      </w:r>
      <w:r>
        <w:rPr>
          <w:rStyle w:val="26"/>
          <w:rFonts w:hint="eastAsia" w:ascii="仿宋" w:hAnsi="仿宋" w:eastAsia="仿宋" w:cs="仿宋"/>
          <w:color w:val="auto"/>
          <w:sz w:val="24"/>
          <w:szCs w:val="24"/>
          <w:lang w:eastAsia="zh-CN"/>
        </w:rPr>
        <w:t>配送</w:t>
      </w:r>
      <w:r>
        <w:rPr>
          <w:rStyle w:val="26"/>
          <w:rFonts w:hint="eastAsia" w:ascii="仿宋" w:hAnsi="仿宋" w:eastAsia="仿宋" w:cs="仿宋"/>
          <w:color w:val="auto"/>
          <w:sz w:val="24"/>
          <w:szCs w:val="24"/>
        </w:rPr>
        <w:t>，</w:t>
      </w:r>
      <w:r>
        <w:rPr>
          <w:rStyle w:val="26"/>
          <w:rFonts w:hint="eastAsia" w:ascii="仿宋" w:hAnsi="仿宋" w:eastAsia="仿宋" w:cs="仿宋"/>
          <w:color w:val="auto"/>
          <w:sz w:val="24"/>
          <w:szCs w:val="24"/>
          <w:lang w:eastAsia="zh-CN"/>
        </w:rPr>
        <w:t>乙方承诺</w:t>
      </w:r>
      <w:r>
        <w:rPr>
          <w:rStyle w:val="26"/>
          <w:rFonts w:hint="eastAsia" w:ascii="仿宋" w:hAnsi="仿宋" w:eastAsia="仿宋" w:cs="仿宋"/>
          <w:color w:val="auto"/>
          <w:sz w:val="24"/>
          <w:szCs w:val="24"/>
        </w:rPr>
        <w:t>自接到甲方</w:t>
      </w:r>
      <w:r>
        <w:rPr>
          <w:rStyle w:val="26"/>
          <w:rFonts w:hint="eastAsia" w:ascii="仿宋" w:hAnsi="仿宋" w:eastAsia="仿宋" w:cs="仿宋"/>
          <w:color w:val="auto"/>
          <w:sz w:val="24"/>
          <w:szCs w:val="24"/>
          <w:lang w:eastAsia="zh-CN"/>
        </w:rPr>
        <w:t>计划</w:t>
      </w:r>
      <w:r>
        <w:rPr>
          <w:rStyle w:val="26"/>
          <w:rFonts w:hint="eastAsia" w:ascii="仿宋" w:hAnsi="仿宋" w:eastAsia="仿宋" w:cs="仿宋"/>
          <w:color w:val="auto"/>
          <w:sz w:val="24"/>
          <w:szCs w:val="24"/>
        </w:rPr>
        <w:t>后</w:t>
      </w:r>
    </w:p>
    <w:p w14:paraId="123E3AA8">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lang w:val="en-US" w:eastAsia="zh-CN"/>
        </w:rPr>
        <w:t>天</w:t>
      </w:r>
      <w:r>
        <w:rPr>
          <w:rStyle w:val="26"/>
          <w:rFonts w:hint="eastAsia" w:ascii="仿宋" w:hAnsi="仿宋" w:eastAsia="仿宋" w:cs="仿宋"/>
          <w:color w:val="auto"/>
          <w:sz w:val="24"/>
          <w:szCs w:val="24"/>
          <w:lang w:eastAsia="zh-CN"/>
        </w:rPr>
        <w:t>内将产品送至</w:t>
      </w:r>
      <w:r>
        <w:rPr>
          <w:rStyle w:val="26"/>
          <w:rFonts w:hint="eastAsia" w:ascii="仿宋" w:hAnsi="仿宋" w:eastAsia="仿宋" w:cs="仿宋"/>
          <w:color w:val="auto"/>
          <w:sz w:val="24"/>
          <w:szCs w:val="24"/>
          <w:lang w:val="en-US" w:eastAsia="zh-CN"/>
        </w:rPr>
        <w:t>甲方</w:t>
      </w:r>
      <w:r>
        <w:rPr>
          <w:rStyle w:val="26"/>
          <w:rFonts w:hint="eastAsia" w:ascii="仿宋" w:hAnsi="仿宋" w:eastAsia="仿宋" w:cs="仿宋"/>
          <w:color w:val="auto"/>
          <w:sz w:val="24"/>
          <w:szCs w:val="24"/>
          <w:lang w:eastAsia="zh-CN"/>
        </w:rPr>
        <w:t>指定地点；急诊、抢救等紧急情况下，甲方随时下达计划，乙方必须保证随时供货，并在 4 小时内送达。不得因供货不及时影响甲方诊疗工作。</w:t>
      </w:r>
    </w:p>
    <w:p w14:paraId="004AC2F8">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3.乙方所供产品必须先送达甲方设备与信息管理部办理验收入库手续。乙方不得在甲方设备与信息管理部通知的计划外直接向使用科室送货。违反本约定的，乙方承诺免于收取任何款项，且甲方有权单方解除本合同。</w:t>
      </w:r>
    </w:p>
    <w:p w14:paraId="18266094">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4.甲方收货时，应验收产品的名称、规格、生产厂家、批号、数量、有效期和包装等，如配送的产品与甲方计划及</w:t>
      </w:r>
      <w:r>
        <w:rPr>
          <w:rStyle w:val="26"/>
          <w:rFonts w:hint="eastAsia" w:ascii="仿宋" w:hAnsi="仿宋" w:eastAsia="仿宋" w:cs="仿宋"/>
          <w:color w:val="auto"/>
          <w:sz w:val="24"/>
          <w:szCs w:val="24"/>
          <w:highlight w:val="none"/>
          <w:lang w:eastAsia="zh-CN"/>
        </w:rPr>
        <w:t>中标（谈判）结果</w:t>
      </w:r>
      <w:r>
        <w:rPr>
          <w:rStyle w:val="26"/>
          <w:rFonts w:hint="eastAsia" w:ascii="仿宋" w:hAnsi="仿宋" w:eastAsia="仿宋" w:cs="仿宋"/>
          <w:color w:val="auto"/>
          <w:sz w:val="24"/>
          <w:szCs w:val="24"/>
          <w:lang w:eastAsia="zh-CN"/>
        </w:rPr>
        <w:t>不符或达不到合同规定的标准，乙方应立即退货、换货、补货。对不符合质量要求的产品，甲方有权拒绝接收，乙方应对不符合质量标准的产品及时进行更换，确保不影响甲方的工作。</w:t>
      </w:r>
    </w:p>
    <w:p w14:paraId="2C1D22DD">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5.供货配送过程中的破损、丢失、污染等损耗由乙方负责。</w:t>
      </w:r>
    </w:p>
    <w:p w14:paraId="72464B1C">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第三条 资质及质量标准</w:t>
      </w:r>
    </w:p>
    <w:p w14:paraId="7B555B83">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1.乙方应向甲方提供企业及代理人的合法资格、本合同所涉及产品的合法性的相关证明文件或者复印件并加盖乙方公章，包括：</w:t>
      </w:r>
    </w:p>
    <w:p w14:paraId="1DE41638">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（1）营业执照；</w:t>
      </w:r>
    </w:p>
    <w:p w14:paraId="550D412F">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（2）医疗器械生产许可证或者备案凭证；</w:t>
      </w:r>
    </w:p>
    <w:p w14:paraId="5F2FF75C">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（3）医疗器械经营许可证或者备案凭证；</w:t>
      </w:r>
    </w:p>
    <w:p w14:paraId="7DB091CB">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（4）医疗器械注册证或者备案凭证；</w:t>
      </w:r>
    </w:p>
    <w:p w14:paraId="64D2139F">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（5）产品授权文件；</w:t>
      </w:r>
    </w:p>
    <w:p w14:paraId="5C359747">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（6）乙方法人身份证复印件、代理人的法人授权委托书、身份证复印件、联系方式；</w:t>
      </w:r>
    </w:p>
    <w:p w14:paraId="061FC9F9">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（7）汇款地址、账号。</w:t>
      </w:r>
    </w:p>
    <w:p w14:paraId="363FA5D0">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2.乙方本条第一款所列资质证明文件发生变更、过期等情况应提前90个工作日内书面告知甲方，同时提供相应的证明文件，并及时更新备案。乙方委托代理人发生变更，乙方应提前通知甲方，并更新备案。</w:t>
      </w:r>
    </w:p>
    <w:p w14:paraId="2AE928B0">
      <w:pPr>
        <w:pStyle w:val="14"/>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eastAsia="zh-CN"/>
        </w:rPr>
        <w:t xml:space="preserve">3. </w:t>
      </w:r>
      <w:r>
        <w:rPr>
          <w:rStyle w:val="26"/>
          <w:rFonts w:hint="eastAsia" w:ascii="仿宋" w:hAnsi="仿宋" w:eastAsia="仿宋" w:cs="仿宋"/>
          <w:color w:val="auto"/>
          <w:sz w:val="24"/>
          <w:szCs w:val="24"/>
          <w:lang w:val="en-US" w:eastAsia="zh-CN"/>
        </w:rPr>
        <w:t>合同期内由于乙方（供应商）代理权限（产品授权）的转移、公司注销、产品变更等实质性原因，合同应终止，甲方（医院）不承担任何责任，同时甲方按医院相关规定重新招标。</w:t>
      </w:r>
    </w:p>
    <w:p w14:paraId="59FBA98A">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4. 乙方保证所配送的产品是符合国家质量标准的合格产品，并与投标时的承诺相一致。出现质量问题，乙方应积极配合甲方的调查和处理。</w:t>
      </w:r>
    </w:p>
    <w:p w14:paraId="61545AA6">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val="en-US" w:eastAsia="zh-CN"/>
        </w:rPr>
        <w:t>5</w:t>
      </w:r>
      <w:r>
        <w:rPr>
          <w:rStyle w:val="26"/>
          <w:rFonts w:hint="eastAsia" w:ascii="仿宋" w:hAnsi="仿宋" w:eastAsia="仿宋" w:cs="仿宋"/>
          <w:color w:val="auto"/>
          <w:sz w:val="24"/>
          <w:szCs w:val="24"/>
          <w:lang w:eastAsia="zh-CN"/>
        </w:rPr>
        <w:t>.乙方提供的产品均应按标准包装、贮存及运输，确保产品安全及质量；每一个包装箱内应附一份详细装箱单和质量检验报告书、进口产品报关单、产品合格证，包装、标记和包装箱内外的单据应符合甲方的要求，包括甲方提出的特殊要求；随货同行单上应当包括供货者、生产企业及生产企业许可证号（或者备案凭证编号）、产品的名称、规格（型号）、注册证号或者备案凭证编号、生产批号或者序列号、数量、储运条件、收货单位/地址、发货日期等内容，并加盖供货者出库印章。</w:t>
      </w:r>
    </w:p>
    <w:p w14:paraId="4BCEB1D2">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6. 乙方所提供的医用耗材的有效期自货物通过最终验收之日起计算，且有效期限不小于12个月</w:t>
      </w:r>
      <w:r>
        <w:rPr>
          <w:rStyle w:val="26"/>
          <w:rFonts w:hint="eastAsia" w:ascii="仿宋" w:hAnsi="仿宋" w:eastAsia="仿宋" w:cs="仿宋"/>
          <w:color w:val="auto"/>
          <w:sz w:val="24"/>
          <w:szCs w:val="24"/>
          <w:lang w:val="en-US" w:eastAsia="zh-CN"/>
        </w:rPr>
        <w:t>;</w:t>
      </w:r>
      <w:r>
        <w:rPr>
          <w:rStyle w:val="26"/>
          <w:rFonts w:hint="eastAsia" w:ascii="仿宋" w:hAnsi="仿宋" w:eastAsia="仿宋" w:cs="仿宋"/>
          <w:color w:val="auto"/>
          <w:sz w:val="24"/>
          <w:szCs w:val="24"/>
          <w:lang w:eastAsia="zh-CN"/>
        </w:rPr>
        <w:t>另对于库房库存效期低于3个月的产品，乙方应积极配合甲方予以免费更换。特殊产品双方另行协商。</w:t>
      </w:r>
    </w:p>
    <w:p w14:paraId="707220CB">
      <w:pPr>
        <w:pStyle w:val="14"/>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val="en-US" w:eastAsia="zh-CN"/>
        </w:rPr>
        <w:t>7.</w:t>
      </w:r>
      <w:r>
        <w:rPr>
          <w:rStyle w:val="26"/>
          <w:rFonts w:hint="eastAsia" w:ascii="仿宋" w:hAnsi="仿宋" w:eastAsia="仿宋" w:cs="仿宋"/>
          <w:color w:val="auto"/>
          <w:sz w:val="24"/>
          <w:szCs w:val="24"/>
          <w:lang w:eastAsia="zh-CN"/>
        </w:rPr>
        <w:t>乙方应保证提供给甲方的产品，不存在专利权、商标权、授权或保护期等知识产权方面的争议。与任何第三方产生的争议由乙方自行处理和承担责任。</w:t>
      </w:r>
    </w:p>
    <w:p w14:paraId="1B85EFBA">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第四条  付款</w:t>
      </w:r>
    </w:p>
    <w:p w14:paraId="1691CA11">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1.乙方送货后按甲方要求及时携由甲方采购和库管人员签字确认的送货单办理入库手续，按规定</w:t>
      </w:r>
      <w:r>
        <w:rPr>
          <w:rStyle w:val="26"/>
          <w:rFonts w:hint="eastAsia" w:ascii="仿宋" w:hAnsi="仿宋" w:eastAsia="仿宋" w:cs="仿宋"/>
          <w:color w:val="auto"/>
          <w:sz w:val="24"/>
          <w:szCs w:val="24"/>
        </w:rPr>
        <w:t>出具</w:t>
      </w:r>
      <w:r>
        <w:rPr>
          <w:rStyle w:val="26"/>
          <w:rFonts w:hint="eastAsia" w:ascii="仿宋" w:hAnsi="仿宋" w:eastAsia="仿宋" w:cs="仿宋"/>
          <w:color w:val="auto"/>
          <w:sz w:val="24"/>
          <w:szCs w:val="24"/>
          <w:lang w:eastAsia="zh-CN"/>
        </w:rPr>
        <w:t>增值税</w:t>
      </w:r>
      <w:r>
        <w:rPr>
          <w:rStyle w:val="26"/>
          <w:rFonts w:hint="eastAsia" w:ascii="仿宋" w:hAnsi="仿宋" w:eastAsia="仿宋" w:cs="仿宋"/>
          <w:color w:val="auto"/>
          <w:sz w:val="24"/>
          <w:szCs w:val="24"/>
        </w:rPr>
        <w:t>发票及相关财务票据。</w:t>
      </w:r>
    </w:p>
    <w:p w14:paraId="01275DF5">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2.取得入库手续后，乙方有权对该批供货书面申请付款，经甲方相关部门审核后，甲方根据计划予以支付，付款期限以医院付款周期为准。</w:t>
      </w:r>
    </w:p>
    <w:p w14:paraId="5D5EFE18">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3. 付款方式：由甲方通过银行转账或银行承兑方式或者银行保理方式向乙方结算货款。</w:t>
      </w:r>
    </w:p>
    <w:p w14:paraId="3485759A">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 xml:space="preserve">第五条  </w:t>
      </w:r>
      <w:r>
        <w:rPr>
          <w:rStyle w:val="26"/>
          <w:rFonts w:hint="eastAsia" w:ascii="仿宋" w:hAnsi="仿宋" w:eastAsia="仿宋" w:cs="仿宋"/>
          <w:b/>
          <w:color w:val="auto"/>
          <w:sz w:val="24"/>
          <w:szCs w:val="24"/>
        </w:rPr>
        <w:t xml:space="preserve">反商业贿赂约定 </w:t>
      </w:r>
    </w:p>
    <w:p w14:paraId="5DE70937">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rPr>
        <w:t>乙方不得以任何形式在任何情况下对甲方人员进行商业贿赂。</w:t>
      </w:r>
    </w:p>
    <w:p w14:paraId="438D4EA7">
      <w:pPr>
        <w:pStyle w:val="38"/>
        <w:spacing w:line="360" w:lineRule="auto"/>
        <w:ind w:firstLine="482" w:firstLineChars="200"/>
        <w:rPr>
          <w:rStyle w:val="26"/>
          <w:rFonts w:hint="eastAsia" w:ascii="仿宋" w:hAnsi="仿宋" w:eastAsia="仿宋" w:cs="仿宋"/>
          <w:b/>
          <w:color w:val="auto"/>
          <w:sz w:val="24"/>
          <w:szCs w:val="24"/>
          <w:lang w:eastAsia="zh-CN"/>
        </w:rPr>
      </w:pPr>
      <w:r>
        <w:rPr>
          <w:rStyle w:val="26"/>
          <w:rFonts w:hint="eastAsia" w:ascii="仿宋" w:hAnsi="仿宋" w:eastAsia="仿宋" w:cs="仿宋"/>
          <w:b/>
          <w:color w:val="auto"/>
          <w:sz w:val="24"/>
          <w:szCs w:val="24"/>
          <w:lang w:eastAsia="zh-CN"/>
        </w:rPr>
        <w:t>第六条  违约责任</w:t>
      </w:r>
    </w:p>
    <w:p w14:paraId="58557E47">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1.乙方违反本合同第二条第3款约定的，甲方对该供货有权不予结算，同时乙方向甲方支付该供货等值的违约金。</w:t>
      </w:r>
    </w:p>
    <w:p w14:paraId="2D93D865">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2.不按约定时间配送的，乙方按照每天承担逾期配送产品货款5%的标准向甲方支付违约金。违约金不足以弥补甲方损失的，乙方应另行赔偿损失。</w:t>
      </w:r>
    </w:p>
    <w:p w14:paraId="5DE0C826">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3.乙方三次不按甲方采购计划配送，甲方有权</w:t>
      </w:r>
      <w:r>
        <w:rPr>
          <w:rFonts w:hint="eastAsia" w:ascii="仿宋" w:hAnsi="仿宋" w:eastAsia="仿宋" w:cs="仿宋"/>
          <w:color w:val="auto"/>
          <w:sz w:val="24"/>
          <w:szCs w:val="24"/>
        </w:rPr>
        <w:t>单方面</w:t>
      </w:r>
      <w:r>
        <w:rPr>
          <w:rStyle w:val="26"/>
          <w:rFonts w:hint="eastAsia" w:ascii="仿宋" w:hAnsi="仿宋" w:eastAsia="仿宋" w:cs="仿宋"/>
          <w:color w:val="auto"/>
          <w:sz w:val="24"/>
          <w:szCs w:val="24"/>
          <w:lang w:eastAsia="zh-CN"/>
        </w:rPr>
        <w:t>终止合同，乙方按照本合同总金额的5%向甲方支付违约金。</w:t>
      </w:r>
    </w:p>
    <w:p w14:paraId="73FBFDC6">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4.甲方如发现乙方所提供产品的价格不是全疆最低价，甲方有权终止本合同，对本合同期限内所有产品按全疆最低价执行，已结算供货的差额部分从未结款中扣除，不足部分由乙方另行支付。</w:t>
      </w:r>
    </w:p>
    <w:p w14:paraId="5EF3B88B">
      <w:pPr>
        <w:pStyle w:val="38"/>
        <w:spacing w:line="360" w:lineRule="auto"/>
        <w:ind w:firstLine="480" w:firstLineChars="200"/>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lang w:eastAsia="zh-CN"/>
        </w:rPr>
        <w:t>5.</w:t>
      </w:r>
      <w:r>
        <w:rPr>
          <w:rStyle w:val="26"/>
          <w:rFonts w:hint="eastAsia" w:ascii="仿宋" w:hAnsi="仿宋" w:eastAsia="仿宋" w:cs="仿宋"/>
          <w:color w:val="auto"/>
          <w:sz w:val="24"/>
          <w:szCs w:val="24"/>
          <w:highlight w:val="none"/>
          <w:lang w:eastAsia="zh-CN"/>
        </w:rPr>
        <w:t>乙方未按照本合同第三条第二款、第三款执行的，甲方有权</w:t>
      </w:r>
      <w:r>
        <w:rPr>
          <w:rFonts w:hint="eastAsia" w:ascii="仿宋" w:hAnsi="仿宋" w:eastAsia="仿宋" w:cs="仿宋"/>
          <w:color w:val="auto"/>
          <w:sz w:val="24"/>
          <w:szCs w:val="24"/>
          <w:highlight w:val="none"/>
        </w:rPr>
        <w:t>单方面</w:t>
      </w:r>
      <w:r>
        <w:rPr>
          <w:rStyle w:val="26"/>
          <w:rFonts w:hint="eastAsia" w:ascii="仿宋" w:hAnsi="仿宋" w:eastAsia="仿宋" w:cs="仿宋"/>
          <w:color w:val="auto"/>
          <w:sz w:val="24"/>
          <w:szCs w:val="24"/>
          <w:highlight w:val="none"/>
          <w:lang w:eastAsia="zh-CN"/>
        </w:rPr>
        <w:t>终止合同，乙方按照本合同总金额的5％向甲方支付违约金，违约金不能补足甲方损失的，不足部分由乙方另行支付。</w:t>
      </w:r>
      <w:r>
        <w:rPr>
          <w:rStyle w:val="26"/>
          <w:rFonts w:hint="eastAsia" w:ascii="仿宋" w:hAnsi="仿宋" w:eastAsia="仿宋" w:cs="仿宋"/>
          <w:color w:val="auto"/>
          <w:sz w:val="24"/>
          <w:szCs w:val="24"/>
          <w:highlight w:val="none"/>
          <w:lang w:val="en-US" w:eastAsia="zh-CN"/>
        </w:rPr>
        <w:t xml:space="preserve">    </w:t>
      </w:r>
    </w:p>
    <w:p w14:paraId="67462DFC">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6.产品出现质量问题的，按照《医疗器械监督管理条例》、《医疗器械经营质量管理规范》等相关法律法规对乙方进行处理。因产品质量问题造成的一切不良后果、经济损失和法律责任均由乙方全部承担。甲方因此而支出任何费用的，乙方均应按照该支出数额的双倍向甲方支付违约金；且乙方按照问题产品数量的双倍向甲方供应产品。</w:t>
      </w:r>
    </w:p>
    <w:p w14:paraId="7A35CC7B">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7.乙方在合同期内出现任何失信、弄虚作假情况，甲方有权拒绝支付相关的货款，乙方向甲方支付相应货款的300%的违约金。同时，甲方有权解除合同，乙方自行承担因此产生的全部损失。</w:t>
      </w:r>
    </w:p>
    <w:p w14:paraId="2A35F6CD">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8.乙方有商业贿赂等违法行为的，甲方有权解除合同，乙方自行承担因此产生的全部损失。</w:t>
      </w:r>
    </w:p>
    <w:p w14:paraId="674E12ED">
      <w:pPr>
        <w:pStyle w:val="38"/>
        <w:spacing w:line="360" w:lineRule="auto"/>
        <w:ind w:firstLine="480" w:firstLineChars="200"/>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9.乙方开具虚假发票的，乙方同意甲方对虚假发票所涉及金额货款不予支付，并甲方有权解除合同。</w:t>
      </w:r>
    </w:p>
    <w:p w14:paraId="7B20EF91">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10.将本合同约定的供货义务转让他人履行的，乙方向甲方支付本合同总金额10%的违约金，且甲方有权解除本合同。</w:t>
      </w:r>
    </w:p>
    <w:p w14:paraId="5199CC8D">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未按照本合同第二条第1款履行义务的，乙方除应当继续履行该义务同时向甲方支付违约金2000元，且甲方有权单方解除本合同。</w:t>
      </w:r>
    </w:p>
    <w:p w14:paraId="65C3FA13">
      <w:pPr>
        <w:pStyle w:val="38"/>
        <w:spacing w:line="360" w:lineRule="auto"/>
        <w:ind w:firstLine="480" w:firstLineChars="200"/>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lang w:val="en-US" w:eastAsia="zh-CN"/>
        </w:rPr>
        <w:t>12</w:t>
      </w:r>
      <w:r>
        <w:rPr>
          <w:rStyle w:val="26"/>
          <w:rFonts w:hint="eastAsia" w:ascii="仿宋" w:hAnsi="仿宋" w:eastAsia="仿宋" w:cs="仿宋"/>
          <w:color w:val="auto"/>
          <w:sz w:val="24"/>
          <w:szCs w:val="24"/>
          <w:highlight w:val="none"/>
          <w:lang w:val="en-US" w:eastAsia="zh-CN"/>
        </w:rPr>
        <w:t>.本合同履行期间，若国家、新疆维吾尔自治区、新疆医科大学等出台相应的采购政策，则按照上级采购政策执行，若政策影响合同实际实质性条款的则本合同终止，甲乙双方互不承担违约责任。</w:t>
      </w:r>
    </w:p>
    <w:p w14:paraId="0C7EB031">
      <w:pPr>
        <w:pStyle w:val="38"/>
        <w:spacing w:line="360" w:lineRule="auto"/>
        <w:ind w:firstLine="482" w:firstLineChars="200"/>
        <w:rPr>
          <w:rStyle w:val="26"/>
          <w:rFonts w:hint="eastAsia" w:ascii="仿宋" w:hAnsi="仿宋" w:eastAsia="仿宋" w:cs="仿宋"/>
          <w:b/>
          <w:bCs/>
          <w:color w:val="auto"/>
          <w:sz w:val="24"/>
          <w:szCs w:val="24"/>
          <w:lang w:eastAsia="zh-CN"/>
        </w:rPr>
      </w:pPr>
      <w:r>
        <w:rPr>
          <w:rStyle w:val="26"/>
          <w:rFonts w:hint="eastAsia" w:ascii="仿宋" w:hAnsi="仿宋" w:eastAsia="仿宋" w:cs="仿宋"/>
          <w:b/>
          <w:bCs/>
          <w:color w:val="auto"/>
          <w:sz w:val="24"/>
          <w:szCs w:val="24"/>
          <w:lang w:eastAsia="zh-CN"/>
        </w:rPr>
        <w:t>第七条  其他约定</w:t>
      </w:r>
    </w:p>
    <w:p w14:paraId="12DF857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1.甲乙双方已对本合同各条款全面、准确理解，双方对本合同的认识已达成完全的一致。</w:t>
      </w:r>
    </w:p>
    <w:p w14:paraId="52534BD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甲乙双方对在履行本合同过程中而知悉的对方的商业秘密，包括但不限于各自提交给对方的合同、价格、文件、资料、数据等，负有保密义务。任何一方不得将对方商业秘密及患者信息披露给任何第三方或不当使用。</w:t>
      </w:r>
    </w:p>
    <w:p w14:paraId="6658141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但应以最大限度减轻给对方造成损失的方式履行合同，在取得有关机构证明后，允许延期履行、部分履行或者不履行合同，并根据情况可部分或全部免予承担违约责任。</w:t>
      </w:r>
    </w:p>
    <w:p w14:paraId="4F4ADAA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4.本合同的所列附件是本合同不可分割的一部份。</w:t>
      </w:r>
    </w:p>
    <w:p w14:paraId="5258B0D8">
      <w:pPr>
        <w:pStyle w:val="38"/>
        <w:spacing w:line="360" w:lineRule="auto"/>
        <w:ind w:left="487" w:leftChars="232"/>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（1）医疗卫生机构医药产品廉洁购销合同。</w:t>
      </w:r>
    </w:p>
    <w:p w14:paraId="7D253778">
      <w:pPr>
        <w:pStyle w:val="38"/>
        <w:spacing w:line="360" w:lineRule="auto"/>
        <w:ind w:left="487" w:leftChars="232"/>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（2）法人授权书或法人身份证明书，附法人及授权人身份证复印件（正反面）。</w:t>
      </w:r>
    </w:p>
    <w:p w14:paraId="334CF4ED">
      <w:pPr>
        <w:pStyle w:val="38"/>
        <w:spacing w:line="360" w:lineRule="auto"/>
        <w:ind w:left="487" w:leftChars="232"/>
        <w:rPr>
          <w:rStyle w:val="26"/>
          <w:rFonts w:hint="eastAsia" w:ascii="仿宋" w:hAnsi="仿宋" w:eastAsia="仿宋" w:cs="仿宋"/>
          <w:color w:val="auto"/>
          <w:sz w:val="24"/>
          <w:szCs w:val="24"/>
          <w:u w:val="single"/>
          <w:lang w:val="en-US" w:eastAsia="zh-CN"/>
        </w:rPr>
      </w:pPr>
      <w:r>
        <w:rPr>
          <w:rStyle w:val="26"/>
          <w:rFonts w:hint="eastAsia" w:ascii="仿宋" w:hAnsi="仿宋" w:eastAsia="仿宋" w:cs="仿宋"/>
          <w:color w:val="auto"/>
          <w:sz w:val="24"/>
          <w:szCs w:val="24"/>
          <w:lang w:val="en-US" w:eastAsia="zh-CN"/>
        </w:rPr>
        <w:t xml:space="preserve">（3）中标通知书及答疑函。 </w:t>
      </w:r>
      <w:r>
        <w:rPr>
          <w:rStyle w:val="26"/>
          <w:rFonts w:hint="eastAsia" w:ascii="仿宋" w:hAnsi="仿宋" w:eastAsia="仿宋" w:cs="仿宋"/>
          <w:color w:val="auto"/>
          <w:sz w:val="24"/>
          <w:szCs w:val="24"/>
          <w:u w:val="single"/>
          <w:lang w:val="en-US" w:eastAsia="zh-CN"/>
        </w:rPr>
        <w:t xml:space="preserve"> </w:t>
      </w:r>
    </w:p>
    <w:p w14:paraId="4B701E69">
      <w:pPr>
        <w:pStyle w:val="38"/>
        <w:spacing w:line="360" w:lineRule="auto"/>
        <w:ind w:left="487" w:leftChars="232"/>
        <w:rPr>
          <w:rStyle w:val="26"/>
          <w:rFonts w:hint="eastAsia" w:ascii="仿宋" w:hAnsi="仿宋" w:eastAsia="仿宋" w:cs="仿宋"/>
          <w:color w:val="auto"/>
          <w:sz w:val="24"/>
          <w:szCs w:val="24"/>
          <w:u w:val="single"/>
          <w:lang w:val="en-US" w:eastAsia="zh-CN"/>
        </w:rPr>
      </w:pPr>
      <w:r>
        <w:rPr>
          <w:rStyle w:val="26"/>
          <w:rFonts w:hint="eastAsia" w:ascii="仿宋" w:hAnsi="仿宋" w:eastAsia="仿宋" w:cs="仿宋"/>
          <w:color w:val="auto"/>
          <w:sz w:val="24"/>
          <w:szCs w:val="24"/>
          <w:lang w:val="en-US" w:eastAsia="zh-CN"/>
        </w:rPr>
        <w:t>（4）产品清单。</w:t>
      </w:r>
      <w:r>
        <w:rPr>
          <w:rStyle w:val="26"/>
          <w:rFonts w:hint="eastAsia" w:ascii="仿宋" w:hAnsi="仿宋" w:eastAsia="仿宋" w:cs="仿宋"/>
          <w:color w:val="auto"/>
          <w:sz w:val="24"/>
          <w:szCs w:val="24"/>
          <w:u w:val="single"/>
          <w:lang w:val="en-US" w:eastAsia="zh-CN"/>
        </w:rPr>
        <w:t xml:space="preserve"> </w:t>
      </w:r>
    </w:p>
    <w:p w14:paraId="76907F2D">
      <w:pPr>
        <w:pStyle w:val="38"/>
        <w:spacing w:line="360" w:lineRule="auto"/>
        <w:ind w:left="487" w:leftChars="232"/>
        <w:rPr>
          <w:rStyle w:val="26"/>
          <w:rFonts w:hint="eastAsia" w:ascii="仿宋" w:hAnsi="仿宋" w:eastAsia="仿宋" w:cs="仿宋"/>
          <w:b/>
          <w:color w:val="auto"/>
          <w:sz w:val="24"/>
          <w:szCs w:val="24"/>
          <w:u w:val="single"/>
          <w:lang w:val="en-US" w:eastAsia="zh-CN"/>
        </w:rPr>
      </w:pPr>
      <w:r>
        <w:rPr>
          <w:rStyle w:val="26"/>
          <w:rFonts w:hint="eastAsia" w:ascii="仿宋" w:hAnsi="仿宋" w:eastAsia="仿宋" w:cs="仿宋"/>
          <w:color w:val="auto"/>
          <w:sz w:val="24"/>
          <w:szCs w:val="24"/>
          <w:lang w:val="en-US" w:eastAsia="zh-CN"/>
        </w:rPr>
        <w:t xml:space="preserve">5. 与合同相关招投标备案资料、供应商承诺、价格谈判、会议纪要等其他附件均作为合同的有效组成部分，与合同具有同等法律效力。                </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b/>
          <w:color w:val="auto"/>
          <w:sz w:val="24"/>
          <w:szCs w:val="24"/>
          <w:lang w:val="en-US" w:eastAsia="zh-CN"/>
        </w:rPr>
        <w:t xml:space="preserve">                                                                       </w:t>
      </w:r>
      <w:r>
        <w:rPr>
          <w:rStyle w:val="26"/>
          <w:rFonts w:hint="eastAsia" w:ascii="仿宋" w:hAnsi="仿宋" w:eastAsia="仿宋" w:cs="仿宋"/>
          <w:b/>
          <w:color w:val="auto"/>
          <w:sz w:val="24"/>
          <w:szCs w:val="24"/>
          <w:u w:val="single"/>
          <w:lang w:val="en-US" w:eastAsia="zh-CN"/>
        </w:rPr>
        <w:t xml:space="preserve">  </w:t>
      </w:r>
    </w:p>
    <w:p w14:paraId="3F4D0F28">
      <w:pPr>
        <w:pStyle w:val="38"/>
        <w:spacing w:line="360" w:lineRule="auto"/>
        <w:ind w:firstLine="482" w:firstLineChars="200"/>
        <w:rPr>
          <w:rStyle w:val="26"/>
          <w:rFonts w:hint="eastAsia" w:ascii="仿宋" w:hAnsi="仿宋" w:eastAsia="仿宋" w:cs="仿宋"/>
          <w:color w:val="auto"/>
          <w:sz w:val="24"/>
          <w:szCs w:val="24"/>
        </w:rPr>
      </w:pPr>
      <w:r>
        <w:rPr>
          <w:rStyle w:val="26"/>
          <w:rFonts w:hint="eastAsia" w:ascii="仿宋" w:hAnsi="仿宋" w:eastAsia="仿宋" w:cs="仿宋"/>
          <w:b/>
          <w:color w:val="auto"/>
          <w:sz w:val="24"/>
          <w:szCs w:val="24"/>
          <w:lang w:eastAsia="zh-CN"/>
        </w:rPr>
        <w:t xml:space="preserve">第八条 </w:t>
      </w:r>
      <w:r>
        <w:rPr>
          <w:rStyle w:val="26"/>
          <w:rFonts w:hint="eastAsia" w:ascii="仿宋" w:hAnsi="仿宋" w:eastAsia="仿宋" w:cs="仿宋"/>
          <w:color w:val="auto"/>
          <w:sz w:val="24"/>
          <w:szCs w:val="24"/>
          <w:lang w:eastAsia="zh-CN"/>
        </w:rPr>
        <w:t xml:space="preserve"> </w:t>
      </w:r>
      <w:r>
        <w:rPr>
          <w:rStyle w:val="26"/>
          <w:rFonts w:hint="eastAsia" w:ascii="仿宋" w:hAnsi="仿宋" w:eastAsia="仿宋" w:cs="仿宋"/>
          <w:color w:val="auto"/>
          <w:sz w:val="24"/>
          <w:szCs w:val="24"/>
        </w:rPr>
        <w:t>本合同未尽事宜双方协商解决。因本合同发生纠纷的，可向甲方所在地的人民法院提起诉讼。</w:t>
      </w:r>
    </w:p>
    <w:p w14:paraId="031E5426">
      <w:pPr>
        <w:pStyle w:val="38"/>
        <w:spacing w:line="360" w:lineRule="auto"/>
        <w:ind w:left="244" w:leftChars="116" w:firstLine="241" w:firstLineChars="100"/>
        <w:rPr>
          <w:rStyle w:val="26"/>
          <w:rFonts w:hint="eastAsia" w:ascii="仿宋" w:hAnsi="仿宋" w:eastAsia="仿宋" w:cs="仿宋"/>
          <w:color w:val="auto"/>
          <w:sz w:val="24"/>
          <w:szCs w:val="24"/>
        </w:rPr>
      </w:pPr>
      <w:r>
        <w:rPr>
          <w:rStyle w:val="26"/>
          <w:rFonts w:hint="eastAsia" w:ascii="仿宋" w:hAnsi="仿宋" w:eastAsia="仿宋" w:cs="仿宋"/>
          <w:b/>
          <w:color w:val="auto"/>
          <w:sz w:val="24"/>
          <w:szCs w:val="24"/>
          <w:lang w:eastAsia="zh-CN"/>
        </w:rPr>
        <w:t>第九条</w:t>
      </w:r>
      <w:r>
        <w:rPr>
          <w:rStyle w:val="26"/>
          <w:rFonts w:hint="eastAsia" w:ascii="仿宋" w:hAnsi="仿宋" w:eastAsia="仿宋" w:cs="仿宋"/>
          <w:color w:val="auto"/>
          <w:sz w:val="24"/>
          <w:szCs w:val="24"/>
          <w:lang w:eastAsia="zh-CN"/>
        </w:rPr>
        <w:t xml:space="preserve"> </w:t>
      </w:r>
      <w:r>
        <w:rPr>
          <w:rStyle w:val="26"/>
          <w:rFonts w:hint="eastAsia" w:ascii="仿宋" w:hAnsi="仿宋" w:eastAsia="仿宋" w:cs="仿宋"/>
          <w:color w:val="auto"/>
          <w:sz w:val="24"/>
          <w:szCs w:val="24"/>
        </w:rPr>
        <w:t xml:space="preserve"> </w:t>
      </w:r>
      <w:bookmarkStart w:id="17" w:name="baidusnap2"/>
      <w:r>
        <w:rPr>
          <w:rStyle w:val="26"/>
          <w:rFonts w:hint="eastAsia" w:ascii="仿宋" w:hAnsi="仿宋" w:eastAsia="仿宋" w:cs="仿宋"/>
          <w:color w:val="auto"/>
          <w:sz w:val="24"/>
          <w:szCs w:val="24"/>
        </w:rPr>
        <w:t>本合同有效期为</w:t>
      </w:r>
      <w:r>
        <w:rPr>
          <w:rStyle w:val="26"/>
          <w:rFonts w:hint="eastAsia" w:ascii="仿宋" w:hAnsi="仿宋" w:eastAsia="仿宋" w:cs="仿宋"/>
          <w:color w:val="auto"/>
          <w:sz w:val="24"/>
          <w:szCs w:val="24"/>
          <w:lang w:eastAsia="zh-CN"/>
        </w:rPr>
        <w:t>壹</w:t>
      </w:r>
      <w:r>
        <w:rPr>
          <w:rStyle w:val="26"/>
          <w:rFonts w:hint="eastAsia" w:ascii="仿宋" w:hAnsi="仿宋" w:eastAsia="仿宋" w:cs="仿宋"/>
          <w:color w:val="auto"/>
          <w:sz w:val="24"/>
          <w:szCs w:val="24"/>
        </w:rPr>
        <w:t>年</w:t>
      </w:r>
      <w:r>
        <w:rPr>
          <w:rStyle w:val="26"/>
          <w:rFonts w:hint="eastAsia" w:ascii="仿宋" w:hAnsi="仿宋" w:eastAsia="仿宋" w:cs="仿宋"/>
          <w:color w:val="auto"/>
          <w:sz w:val="24"/>
          <w:szCs w:val="24"/>
          <w:lang w:eastAsia="zh-CN"/>
        </w:rPr>
        <w:t>，</w:t>
      </w:r>
      <w:r>
        <w:rPr>
          <w:rStyle w:val="26"/>
          <w:rFonts w:hint="eastAsia" w:ascii="仿宋" w:hAnsi="仿宋" w:eastAsia="仿宋" w:cs="仿宋"/>
          <w:color w:val="auto"/>
          <w:sz w:val="24"/>
          <w:szCs w:val="24"/>
        </w:rPr>
        <w:t>自</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年</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月</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日起</w:t>
      </w:r>
    </w:p>
    <w:p w14:paraId="31B79680">
      <w:pPr>
        <w:pStyle w:val="38"/>
        <w:spacing w:line="360" w:lineRule="auto"/>
        <w:ind w:left="435" w:leftChars="207" w:firstLine="50" w:firstLineChars="21"/>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eastAsia="zh-CN"/>
        </w:rPr>
        <w:t>至</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年</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月</w:t>
      </w:r>
      <w:r>
        <w:rPr>
          <w:rStyle w:val="26"/>
          <w:rFonts w:hint="eastAsia" w:ascii="仿宋" w:hAnsi="仿宋" w:eastAsia="仿宋" w:cs="仿宋"/>
          <w:color w:val="auto"/>
          <w:sz w:val="24"/>
          <w:szCs w:val="24"/>
          <w:u w:val="single"/>
          <w:lang w:val="en-US" w:eastAsia="zh-CN"/>
        </w:rPr>
        <w:t xml:space="preserve">      </w:t>
      </w:r>
      <w:r>
        <w:rPr>
          <w:rStyle w:val="26"/>
          <w:rFonts w:hint="eastAsia" w:ascii="仿宋" w:hAnsi="仿宋" w:eastAsia="仿宋" w:cs="仿宋"/>
          <w:color w:val="auto"/>
          <w:sz w:val="24"/>
          <w:szCs w:val="24"/>
        </w:rPr>
        <w:t>日</w:t>
      </w:r>
      <w:r>
        <w:rPr>
          <w:rStyle w:val="26"/>
          <w:rFonts w:hint="eastAsia" w:ascii="仿宋" w:hAnsi="仿宋" w:eastAsia="仿宋" w:cs="仿宋"/>
          <w:color w:val="auto"/>
          <w:sz w:val="24"/>
          <w:szCs w:val="24"/>
          <w:lang w:eastAsia="zh-CN"/>
        </w:rPr>
        <w:t>止</w:t>
      </w:r>
      <w:r>
        <w:rPr>
          <w:rStyle w:val="26"/>
          <w:rFonts w:hint="eastAsia" w:ascii="仿宋" w:hAnsi="仿宋" w:eastAsia="仿宋" w:cs="仿宋"/>
          <w:color w:val="auto"/>
          <w:sz w:val="24"/>
          <w:szCs w:val="24"/>
        </w:rPr>
        <w:t>，自双方签字盖章之日起生效。</w:t>
      </w:r>
      <w:r>
        <w:rPr>
          <w:rStyle w:val="26"/>
          <w:rFonts w:hint="eastAsia" w:ascii="仿宋" w:hAnsi="仿宋" w:eastAsia="仿宋" w:cs="仿宋"/>
          <w:color w:val="auto"/>
          <w:sz w:val="24"/>
          <w:szCs w:val="24"/>
          <w:lang w:eastAsia="zh-CN"/>
        </w:rPr>
        <w:t>若产品授权期限小于壹年，以到期前的授权时间为合同终止时间。</w:t>
      </w:r>
    </w:p>
    <w:p w14:paraId="5ADBC83D">
      <w:pPr>
        <w:pStyle w:val="38"/>
        <w:spacing w:line="360" w:lineRule="auto"/>
        <w:ind w:firstLine="482" w:firstLineChars="200"/>
        <w:rPr>
          <w:rStyle w:val="26"/>
          <w:rFonts w:hint="eastAsia" w:ascii="仿宋" w:hAnsi="仿宋" w:eastAsia="仿宋" w:cs="仿宋"/>
          <w:color w:val="auto"/>
          <w:sz w:val="24"/>
          <w:szCs w:val="24"/>
        </w:rPr>
      </w:pPr>
      <w:r>
        <w:rPr>
          <w:rStyle w:val="26"/>
          <w:rFonts w:hint="eastAsia" w:ascii="仿宋" w:hAnsi="仿宋" w:eastAsia="仿宋" w:cs="仿宋"/>
          <w:b/>
          <w:color w:val="auto"/>
          <w:sz w:val="24"/>
          <w:szCs w:val="24"/>
          <w:lang w:eastAsia="zh-CN"/>
        </w:rPr>
        <w:t>第十条</w:t>
      </w:r>
      <w:r>
        <w:rPr>
          <w:rStyle w:val="26"/>
          <w:rFonts w:hint="eastAsia" w:ascii="仿宋" w:hAnsi="仿宋" w:eastAsia="仿宋" w:cs="仿宋"/>
          <w:color w:val="auto"/>
          <w:sz w:val="24"/>
          <w:szCs w:val="24"/>
          <w:lang w:eastAsia="zh-CN"/>
        </w:rPr>
        <w:t xml:space="preserve">   </w:t>
      </w:r>
      <w:r>
        <w:rPr>
          <w:rStyle w:val="26"/>
          <w:rFonts w:hint="eastAsia" w:ascii="仿宋" w:hAnsi="仿宋" w:eastAsia="仿宋" w:cs="仿宋"/>
          <w:color w:val="auto"/>
          <w:sz w:val="24"/>
          <w:szCs w:val="24"/>
        </w:rPr>
        <w:t>本合同一式</w:t>
      </w:r>
      <w:r>
        <w:rPr>
          <w:rStyle w:val="26"/>
          <w:rFonts w:hint="eastAsia" w:ascii="仿宋" w:hAnsi="仿宋" w:eastAsia="仿宋" w:cs="仿宋"/>
          <w:color w:val="auto"/>
          <w:sz w:val="24"/>
          <w:szCs w:val="24"/>
          <w:lang w:eastAsia="zh-CN"/>
        </w:rPr>
        <w:t>肆</w:t>
      </w:r>
      <w:r>
        <w:rPr>
          <w:rStyle w:val="26"/>
          <w:rFonts w:hint="eastAsia" w:ascii="仿宋" w:hAnsi="仿宋" w:eastAsia="仿宋" w:cs="仿宋"/>
          <w:color w:val="auto"/>
          <w:sz w:val="24"/>
          <w:szCs w:val="24"/>
        </w:rPr>
        <w:t>份，甲方</w:t>
      </w:r>
      <w:r>
        <w:rPr>
          <w:rStyle w:val="26"/>
          <w:rFonts w:hint="eastAsia" w:ascii="仿宋" w:hAnsi="仿宋" w:eastAsia="仿宋" w:cs="仿宋"/>
          <w:color w:val="auto"/>
          <w:sz w:val="24"/>
          <w:szCs w:val="24"/>
          <w:lang w:eastAsia="zh-CN"/>
        </w:rPr>
        <w:t>持叁份、乙方持</w:t>
      </w:r>
      <w:r>
        <w:rPr>
          <w:rStyle w:val="26"/>
          <w:rFonts w:hint="eastAsia" w:ascii="仿宋" w:hAnsi="仿宋" w:eastAsia="仿宋" w:cs="仿宋"/>
          <w:color w:val="auto"/>
          <w:sz w:val="24"/>
          <w:szCs w:val="24"/>
        </w:rPr>
        <w:t>壹份。</w:t>
      </w:r>
    </w:p>
    <w:p w14:paraId="6D28D30E">
      <w:pPr>
        <w:pStyle w:val="38"/>
        <w:spacing w:line="360" w:lineRule="auto"/>
        <w:ind w:firstLine="482"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b/>
          <w:bCs/>
          <w:color w:val="auto"/>
          <w:sz w:val="24"/>
          <w:szCs w:val="24"/>
          <w:lang w:val="en-US" w:eastAsia="zh-CN"/>
        </w:rPr>
        <w:t>第十一条</w:t>
      </w:r>
      <w:r>
        <w:rPr>
          <w:rStyle w:val="26"/>
          <w:rFonts w:hint="eastAsia" w:ascii="仿宋" w:hAnsi="仿宋" w:eastAsia="仿宋" w:cs="仿宋"/>
          <w:color w:val="auto"/>
          <w:sz w:val="24"/>
          <w:szCs w:val="24"/>
          <w:lang w:val="en-US" w:eastAsia="zh-CN"/>
        </w:rPr>
        <w:t xml:space="preserve">  通知条款</w:t>
      </w:r>
    </w:p>
    <w:p w14:paraId="03507EFA">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甲方确认通讯地址：新疆维吾尔自治区乌鲁木齐市鲤鱼山南路137号</w:t>
      </w:r>
    </w:p>
    <w:p w14:paraId="76CBF591">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负责人：陆晨</w:t>
      </w:r>
    </w:p>
    <w:p w14:paraId="257E9DE6">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电话传真：0991-4324139</w:t>
      </w:r>
    </w:p>
    <w:p w14:paraId="3FE35688">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电子邮箱：无</w:t>
      </w:r>
    </w:p>
    <w:p w14:paraId="7D47D2EA">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乙方确认通讯地址：</w:t>
      </w:r>
    </w:p>
    <w:p w14:paraId="75A9333E">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负责人：</w:t>
      </w:r>
    </w:p>
    <w:p w14:paraId="43A4858F">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电话传真：</w:t>
      </w:r>
    </w:p>
    <w:p w14:paraId="657179C1">
      <w:pPr>
        <w:pStyle w:val="38"/>
        <w:spacing w:line="360" w:lineRule="auto"/>
        <w:ind w:firstLine="480" w:firstLineChars="200"/>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电子邮箱：</w:t>
      </w:r>
    </w:p>
    <w:p w14:paraId="6A1009D9">
      <w:pPr>
        <w:pStyle w:val="38"/>
        <w:spacing w:line="360" w:lineRule="auto"/>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1.双方一致认可，在本合同签订后，双方之间的书面通知等文件通过递送、传真、特快专递、电子邮件等方式发送至合同记载的双方的通讯地址、电子邮箱视为送达，且该通讯地址适用于法院（或仲裁）审理和执行各个诉讼阶段。</w:t>
      </w:r>
    </w:p>
    <w:p w14:paraId="6DE3B11E">
      <w:pPr>
        <w:pStyle w:val="38"/>
        <w:spacing w:line="360" w:lineRule="auto"/>
        <w:rPr>
          <w:rStyle w:val="26"/>
          <w:rFonts w:hint="eastAsia" w:ascii="仿宋" w:hAnsi="仿宋" w:eastAsia="仿宋" w:cs="仿宋"/>
          <w:color w:val="auto"/>
          <w:sz w:val="24"/>
          <w:szCs w:val="24"/>
          <w:lang w:val="en-US" w:eastAsia="zh-CN"/>
        </w:rPr>
      </w:pPr>
      <w:r>
        <w:rPr>
          <w:rStyle w:val="26"/>
          <w:rFonts w:hint="eastAsia" w:ascii="仿宋" w:hAnsi="仿宋" w:eastAsia="仿宋" w:cs="仿宋"/>
          <w:color w:val="auto"/>
          <w:sz w:val="24"/>
          <w:szCs w:val="24"/>
          <w:lang w:val="en-US" w:eastAsia="zh-CN"/>
        </w:rPr>
        <w:t>2.如果一方故意拒收、找他人代收、邮件被退回或以其他理由逃避接收文件的，所有文书自发出之日视为送达。</w:t>
      </w:r>
    </w:p>
    <w:p w14:paraId="5077A441">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val="en-US" w:eastAsia="zh-CN"/>
        </w:rPr>
        <w:t>3.任何一方的联络方法发生变更的，应在变更之日起3个工作日内书面通知对方。在被通知方收到有关通知之前，被通知方根据变更前的联络方法所做出的联络和通讯应视为有效，未及时通知变更情况的一方自行承担由此产生的法律后果。</w:t>
      </w:r>
    </w:p>
    <w:tbl>
      <w:tblPr>
        <w:tblStyle w:val="23"/>
        <w:tblW w:w="9839"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8"/>
        <w:gridCol w:w="4721"/>
      </w:tblGrid>
      <w:tr w14:paraId="304C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8" w:type="dxa"/>
          </w:tcPr>
          <w:p w14:paraId="440F5EC3">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rPr>
              <w:t>甲方：新疆医科大学第一附属医院</w:t>
            </w:r>
          </w:p>
          <w:p w14:paraId="185B5D8D">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 xml:space="preserve">（盖章）                                                                      </w:t>
            </w:r>
          </w:p>
        </w:tc>
        <w:tc>
          <w:tcPr>
            <w:tcW w:w="4721" w:type="dxa"/>
          </w:tcPr>
          <w:p w14:paraId="51F47FFA">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rPr>
              <w:t>乙方：</w:t>
            </w:r>
          </w:p>
          <w:p w14:paraId="225F20C0">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（盖章）</w:t>
            </w:r>
          </w:p>
        </w:tc>
      </w:tr>
      <w:tr w14:paraId="17F6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118" w:type="dxa"/>
          </w:tcPr>
          <w:p w14:paraId="2B6F2B79">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法人代表：</w:t>
            </w:r>
          </w:p>
        </w:tc>
        <w:tc>
          <w:tcPr>
            <w:tcW w:w="4721" w:type="dxa"/>
          </w:tcPr>
          <w:p w14:paraId="0FBAC5D1">
            <w:pPr>
              <w:pStyle w:val="38"/>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lang w:eastAsia="zh-CN"/>
              </w:rPr>
              <w:t>法人代表：</w:t>
            </w:r>
          </w:p>
        </w:tc>
      </w:tr>
      <w:tr w14:paraId="3611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18" w:type="dxa"/>
          </w:tcPr>
          <w:p w14:paraId="57C7EB87">
            <w:pPr>
              <w:pStyle w:val="38"/>
              <w:tabs>
                <w:tab w:val="left" w:pos="720"/>
              </w:tabs>
              <w:spacing w:line="360" w:lineRule="auto"/>
              <w:rPr>
                <w:rStyle w:val="26"/>
                <w:rFonts w:hint="eastAsia" w:ascii="仿宋" w:hAnsi="仿宋" w:eastAsia="仿宋" w:cs="仿宋"/>
                <w:color w:val="auto"/>
                <w:sz w:val="24"/>
                <w:szCs w:val="24"/>
                <w:lang w:eastAsia="zh-CN"/>
              </w:rPr>
            </w:pPr>
            <w:r>
              <w:rPr>
                <w:rStyle w:val="26"/>
                <w:rFonts w:hint="eastAsia" w:ascii="仿宋" w:hAnsi="仿宋" w:eastAsia="仿宋" w:cs="仿宋"/>
                <w:color w:val="auto"/>
                <w:sz w:val="24"/>
                <w:szCs w:val="24"/>
              </w:rPr>
              <w:tab/>
            </w:r>
          </w:p>
        </w:tc>
        <w:tc>
          <w:tcPr>
            <w:tcW w:w="4721" w:type="dxa"/>
          </w:tcPr>
          <w:p w14:paraId="10177551">
            <w:pPr>
              <w:pStyle w:val="38"/>
              <w:spacing w:line="360" w:lineRule="auto"/>
              <w:rPr>
                <w:rStyle w:val="26"/>
                <w:rFonts w:hint="eastAsia" w:ascii="仿宋" w:hAnsi="仿宋" w:eastAsia="仿宋" w:cs="仿宋"/>
                <w:color w:val="auto"/>
                <w:sz w:val="24"/>
                <w:szCs w:val="24"/>
                <w:lang w:eastAsia="zh-CN"/>
              </w:rPr>
            </w:pPr>
          </w:p>
        </w:tc>
      </w:tr>
      <w:tr w14:paraId="42EC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118" w:type="dxa"/>
          </w:tcPr>
          <w:p w14:paraId="0B91D4FF">
            <w:pPr>
              <w:pStyle w:val="38"/>
              <w:spacing w:line="360" w:lineRule="auto"/>
              <w:rPr>
                <w:rStyle w:val="26"/>
                <w:rFonts w:hint="eastAsia" w:ascii="仿宋" w:hAnsi="仿宋" w:eastAsia="仿宋" w:cs="仿宋"/>
                <w:color w:val="auto"/>
                <w:sz w:val="24"/>
                <w:szCs w:val="24"/>
              </w:rPr>
            </w:pPr>
          </w:p>
        </w:tc>
        <w:tc>
          <w:tcPr>
            <w:tcW w:w="4721" w:type="dxa"/>
          </w:tcPr>
          <w:p w14:paraId="30CDFEB5">
            <w:pPr>
              <w:pStyle w:val="38"/>
              <w:spacing w:line="360" w:lineRule="auto"/>
              <w:rPr>
                <w:rStyle w:val="26"/>
                <w:rFonts w:hint="eastAsia" w:ascii="仿宋" w:hAnsi="仿宋" w:eastAsia="仿宋" w:cs="仿宋"/>
                <w:color w:val="auto"/>
                <w:sz w:val="24"/>
                <w:szCs w:val="24"/>
              </w:rPr>
            </w:pPr>
          </w:p>
        </w:tc>
      </w:tr>
      <w:tr w14:paraId="6743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8" w:type="dxa"/>
            <w:vAlign w:val="top"/>
          </w:tcPr>
          <w:p w14:paraId="7A2D5425">
            <w:pPr>
              <w:pStyle w:val="38"/>
              <w:spacing w:line="360" w:lineRule="auto"/>
              <w:jc w:val="left"/>
              <w:rPr>
                <w:rFonts w:hint="eastAsia" w:ascii="仿宋" w:hAnsi="仿宋" w:eastAsia="仿宋" w:cs="仿宋"/>
                <w:color w:val="auto"/>
                <w:kern w:val="2"/>
                <w:sz w:val="24"/>
                <w:szCs w:val="24"/>
                <w:lang w:val="zh-TW" w:eastAsia="zh-CN" w:bidi="ar-SA"/>
              </w:rPr>
            </w:pPr>
            <w:r>
              <w:rPr>
                <w:rStyle w:val="26"/>
                <w:rFonts w:hint="eastAsia" w:ascii="仿宋" w:hAnsi="仿宋" w:eastAsia="仿宋" w:cs="仿宋"/>
                <w:color w:val="auto"/>
                <w:sz w:val="24"/>
                <w:szCs w:val="24"/>
              </w:rPr>
              <w:t>日期：</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年</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月</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日</w:t>
            </w:r>
          </w:p>
        </w:tc>
        <w:tc>
          <w:tcPr>
            <w:tcW w:w="4721" w:type="dxa"/>
            <w:vAlign w:val="top"/>
          </w:tcPr>
          <w:p w14:paraId="0DAFABF9">
            <w:pPr>
              <w:pStyle w:val="38"/>
              <w:spacing w:line="360" w:lineRule="auto"/>
              <w:jc w:val="left"/>
              <w:rPr>
                <w:rFonts w:hint="eastAsia" w:ascii="仿宋" w:hAnsi="仿宋" w:eastAsia="仿宋" w:cs="仿宋"/>
                <w:color w:val="auto"/>
                <w:kern w:val="2"/>
                <w:sz w:val="24"/>
                <w:szCs w:val="24"/>
                <w:lang w:val="zh-TW" w:eastAsia="zh-TW" w:bidi="ar-SA"/>
              </w:rPr>
            </w:pPr>
            <w:r>
              <w:rPr>
                <w:rStyle w:val="26"/>
                <w:rFonts w:hint="eastAsia" w:ascii="仿宋" w:hAnsi="仿宋" w:eastAsia="仿宋" w:cs="仿宋"/>
                <w:color w:val="auto"/>
                <w:sz w:val="24"/>
                <w:szCs w:val="24"/>
              </w:rPr>
              <w:t>日期：</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年</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月</w:t>
            </w:r>
            <w:r>
              <w:rPr>
                <w:rStyle w:val="26"/>
                <w:rFonts w:hint="eastAsia" w:ascii="仿宋" w:hAnsi="仿宋" w:eastAsia="仿宋" w:cs="仿宋"/>
                <w:color w:val="auto"/>
                <w:sz w:val="24"/>
                <w:szCs w:val="24"/>
                <w:lang w:val="en-US" w:eastAsia="zh-CN"/>
              </w:rPr>
              <w:t xml:space="preserve">    </w:t>
            </w:r>
            <w:r>
              <w:rPr>
                <w:rStyle w:val="26"/>
                <w:rFonts w:hint="eastAsia" w:ascii="仿宋" w:hAnsi="仿宋" w:eastAsia="仿宋" w:cs="仿宋"/>
                <w:color w:val="auto"/>
                <w:sz w:val="24"/>
                <w:szCs w:val="24"/>
              </w:rPr>
              <w:t>日</w:t>
            </w:r>
          </w:p>
        </w:tc>
      </w:tr>
      <w:bookmarkEnd w:id="17"/>
    </w:tbl>
    <w:p w14:paraId="237C4933">
      <w:pP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br w:type="page"/>
      </w:r>
    </w:p>
    <w:p w14:paraId="26182648">
      <w:pPr>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医疗卫生机构医药产品廉洁购销合同</w:t>
      </w:r>
    </w:p>
    <w:p w14:paraId="7D196FDC">
      <w:pPr>
        <w:spacing w:line="360" w:lineRule="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甲方</w:t>
      </w:r>
      <w:r>
        <w:rPr>
          <w:rFonts w:hint="eastAsia" w:ascii="仿宋" w:hAnsi="仿宋" w:eastAsia="仿宋" w:cs="仿宋"/>
          <w:color w:val="auto"/>
          <w:sz w:val="24"/>
          <w:szCs w:val="24"/>
          <w:lang w:eastAsia="zh-CN"/>
        </w:rPr>
        <w:t>：新疆医科大学第一附属医院</w:t>
      </w:r>
    </w:p>
    <w:p w14:paraId="796A2C5B">
      <w:pPr>
        <w:spacing w:line="360" w:lineRule="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乙方</w:t>
      </w:r>
      <w:r>
        <w:rPr>
          <w:rFonts w:hint="eastAsia" w:ascii="仿宋" w:hAnsi="仿宋" w:eastAsia="仿宋" w:cs="仿宋"/>
          <w:color w:val="auto"/>
          <w:sz w:val="24"/>
          <w:szCs w:val="24"/>
          <w:lang w:eastAsia="zh-CN"/>
        </w:rPr>
        <w:t xml:space="preserve">： </w:t>
      </w:r>
    </w:p>
    <w:p w14:paraId="6CCE022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为进一步加强医疗卫生行风建设，规范医疗卫生机构医药购销行为，有效防范商业贿赂行为，营造公平交易、诚实守信的购销环境，经甲、乙双方协商，同意签订本合同，并共同遵守：</w:t>
      </w:r>
    </w:p>
    <w:p w14:paraId="07A2B361">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一、甲乙双方按照《合同法》及医药产品购销合同约定购销药品、医用设备、医用耗材等医药产品。</w:t>
      </w:r>
    </w:p>
    <w:p w14:paraId="4DD470A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二、甲方应当严格执行医药产品购销合同验收、入库制度，对采购医药产品及发票进行查验，不得违反有关规定合同外采购、违价采购或从非规定渠道采购。</w:t>
      </w:r>
    </w:p>
    <w:p w14:paraId="3EC12712">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10B4B36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四、严禁甲方工作人员利用任何途径和方式，为乙方统计医师个人及临床科室有关医药产品用量信息，或为乙方统计提供便利。</w:t>
      </w:r>
    </w:p>
    <w:p w14:paraId="778FCE86">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五、乙方不得以回扣、宴请等方式影响甲方工作人员采购或使用医药产品的选择权，不得在学术活动中提供旅游、超标准支付食宿费用。</w:t>
      </w:r>
    </w:p>
    <w:p w14:paraId="5DEDAE00">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六、乙方指定</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4AAE7A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auto" w:fill="FFFFFF"/>
          <w:lang w:eastAsia="zh-CN"/>
        </w:rPr>
        <w:t>（国卫法制发〔2013〕50号）</w:t>
      </w:r>
      <w:r>
        <w:rPr>
          <w:rFonts w:hint="eastAsia" w:ascii="仿宋" w:hAnsi="仿宋" w:eastAsia="仿宋" w:cs="仿宋"/>
          <w:color w:val="auto"/>
          <w:sz w:val="24"/>
          <w:szCs w:val="24"/>
          <w:lang w:eastAsia="zh-CN"/>
        </w:rPr>
        <w:t>相关规定处理。</w:t>
      </w:r>
    </w:p>
    <w:p w14:paraId="7042F59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八、本合同作为医药产品购销合同的重要组成部分，与购销合同一并执行，具有同等的法律效力。</w:t>
      </w:r>
    </w:p>
    <w:p w14:paraId="559531D6">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九、本合同一式肆份，甲方叁份，乙方壹份，并从签订之日起生效。</w:t>
      </w:r>
    </w:p>
    <w:p w14:paraId="3C2277C9">
      <w:pPr>
        <w:spacing w:line="360" w:lineRule="auto"/>
        <w:rPr>
          <w:rFonts w:hint="eastAsia" w:ascii="仿宋" w:hAnsi="仿宋" w:eastAsia="仿宋" w:cs="仿宋"/>
          <w:color w:val="auto"/>
          <w:sz w:val="24"/>
          <w:szCs w:val="24"/>
          <w:lang w:eastAsia="zh-CN"/>
        </w:rPr>
      </w:pPr>
    </w:p>
    <w:p w14:paraId="276BD930">
      <w:pPr>
        <w:spacing w:line="360" w:lineRule="auto"/>
        <w:rPr>
          <w:rFonts w:hint="eastAsia" w:ascii="仿宋" w:hAnsi="仿宋" w:eastAsia="仿宋" w:cs="仿宋"/>
          <w:color w:val="auto"/>
          <w:sz w:val="24"/>
          <w:szCs w:val="24"/>
          <w:lang w:eastAsia="zh-CN"/>
        </w:rPr>
      </w:pPr>
    </w:p>
    <w:p w14:paraId="5666EC71">
      <w:pPr>
        <w:spacing w:line="360" w:lineRule="auto"/>
        <w:rPr>
          <w:rFonts w:hint="eastAsia" w:ascii="仿宋" w:hAnsi="仿宋" w:eastAsia="仿宋" w:cs="仿宋"/>
          <w:color w:val="auto"/>
          <w:sz w:val="24"/>
          <w:szCs w:val="24"/>
          <w:lang w:eastAsia="zh-CN"/>
        </w:rPr>
      </w:pPr>
    </w:p>
    <w:p w14:paraId="7FA29E8A">
      <w:pPr>
        <w:spacing w:line="360" w:lineRule="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甲方（盖章）：                   乙方（盖章）：</w:t>
      </w:r>
    </w:p>
    <w:p w14:paraId="1CA2F9C5">
      <w:pPr>
        <w:spacing w:line="360" w:lineRule="auto"/>
        <w:rPr>
          <w:rFonts w:hint="eastAsia" w:ascii="仿宋" w:hAnsi="仿宋" w:eastAsia="仿宋" w:cs="仿宋"/>
          <w:b/>
          <w:color w:val="auto"/>
          <w:sz w:val="24"/>
          <w:szCs w:val="24"/>
          <w:lang w:eastAsia="zh-CN"/>
        </w:rPr>
      </w:pPr>
    </w:p>
    <w:p w14:paraId="475509BD">
      <w:pPr>
        <w:spacing w:line="360" w:lineRule="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法定代表人（负责人）：           法定代表人（负责人）：</w:t>
      </w:r>
    </w:p>
    <w:p w14:paraId="246AB0A8">
      <w:pPr>
        <w:spacing w:line="360" w:lineRule="auto"/>
        <w:rPr>
          <w:rFonts w:hint="eastAsia" w:ascii="仿宋" w:hAnsi="仿宋" w:eastAsia="仿宋" w:cs="仿宋"/>
          <w:b/>
          <w:color w:val="auto"/>
          <w:sz w:val="24"/>
          <w:szCs w:val="24"/>
          <w:lang w:eastAsia="zh-CN"/>
        </w:rPr>
      </w:pPr>
    </w:p>
    <w:p w14:paraId="051B019D">
      <w:pPr>
        <w:spacing w:line="360" w:lineRule="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经办人签名：                     经办人签名：</w:t>
      </w:r>
    </w:p>
    <w:p w14:paraId="3A6B827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年   月   日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rPr>
        <w:t xml:space="preserve">  年   月   日</w:t>
      </w:r>
    </w:p>
    <w:p w14:paraId="3C1EB0B2">
      <w:pPr>
        <w:rPr>
          <w:rFonts w:hint="eastAsia" w:ascii="仿宋" w:hAnsi="仿宋" w:eastAsia="仿宋" w:cs="仿宋"/>
          <w:lang w:val="en-US" w:eastAsia="zh-CN"/>
        </w:rPr>
      </w:pPr>
      <w:r>
        <w:rPr>
          <w:rFonts w:hint="eastAsia" w:ascii="仿宋" w:hAnsi="仿宋" w:eastAsia="仿宋" w:cs="仿宋"/>
          <w:lang w:val="en-US" w:eastAsia="zh-CN"/>
        </w:rPr>
        <w:br w:type="page"/>
      </w:r>
    </w:p>
    <w:p w14:paraId="411319FA">
      <w:pPr>
        <w:pStyle w:val="18"/>
        <w:rPr>
          <w:rFonts w:hint="eastAsia" w:ascii="仿宋" w:hAnsi="仿宋" w:eastAsia="仿宋" w:cs="仿宋"/>
          <w:lang w:val="en-US" w:eastAsia="zh-CN"/>
        </w:rPr>
      </w:pPr>
    </w:p>
    <w:p w14:paraId="22507F42">
      <w:pPr>
        <w:pStyle w:val="2"/>
        <w:numPr>
          <w:ilvl w:val="0"/>
          <w:numId w:val="1"/>
        </w:numPr>
        <w:bidi w:val="0"/>
        <w:jc w:val="center"/>
        <w:rPr>
          <w:rFonts w:hint="eastAsia" w:ascii="仿宋" w:hAnsi="仿宋" w:eastAsia="仿宋" w:cs="仿宋"/>
          <w:sz w:val="32"/>
          <w:szCs w:val="32"/>
          <w:highlight w:val="none"/>
          <w:lang w:val="en-US" w:eastAsia="zh-CN"/>
        </w:rPr>
      </w:pPr>
      <w:bookmarkStart w:id="18" w:name="_Toc20159"/>
      <w:r>
        <w:rPr>
          <w:rFonts w:hint="eastAsia" w:ascii="仿宋" w:hAnsi="仿宋" w:eastAsia="仿宋" w:cs="仿宋"/>
          <w:sz w:val="32"/>
          <w:szCs w:val="32"/>
          <w:highlight w:val="none"/>
          <w:lang w:val="en-US" w:eastAsia="zh-CN"/>
        </w:rPr>
        <w:t>采购需求</w:t>
      </w:r>
      <w:bookmarkEnd w:id="18"/>
    </w:p>
    <w:tbl>
      <w:tblPr>
        <w:tblStyle w:val="22"/>
        <w:tblW w:w="8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672"/>
        <w:gridCol w:w="1471"/>
        <w:gridCol w:w="1757"/>
        <w:gridCol w:w="1814"/>
        <w:gridCol w:w="1072"/>
      </w:tblGrid>
      <w:tr w14:paraId="78C8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9A1ED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237E58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7055300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国产/进口</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4090A3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预计年采购金额(元)</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448F47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最高投标限价（单价/元）</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0332A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r>
      <w:tr w14:paraId="12EE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43F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095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糖尿病自身抗体免疫印迹试剂盒（免疫印迹法）</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917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国产</w:t>
            </w:r>
          </w:p>
        </w:tc>
        <w:tc>
          <w:tcPr>
            <w:tcW w:w="1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FB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200000</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315A2B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 xml:space="preserve">75元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DF62E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人份</w:t>
            </w:r>
          </w:p>
        </w:tc>
      </w:tr>
    </w:tbl>
    <w:p w14:paraId="0877CBA7">
      <w:pPr>
        <w:spacing w:line="520" w:lineRule="exact"/>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t>备注：</w:t>
      </w:r>
      <w:r>
        <w:rPr>
          <w:rFonts w:hint="eastAsia" w:ascii="仿宋" w:hAnsi="仿宋" w:eastAsia="仿宋" w:cs="仿宋"/>
          <w:color w:val="auto"/>
          <w:sz w:val="24"/>
          <w:szCs w:val="22"/>
          <w:highlight w:val="none"/>
          <w:lang w:val="en-US" w:eastAsia="zh-CN"/>
        </w:rPr>
        <w:t>1、各供应商需对第四章采购需求清单中所要求的所有规格及内容进行报价，单价各产品所标明规格进行报价。</w:t>
      </w:r>
    </w:p>
    <w:p w14:paraId="07F66845">
      <w:pPr>
        <w:numPr>
          <w:ilvl w:val="0"/>
          <w:numId w:val="9"/>
        </w:numPr>
        <w:spacing w:line="520" w:lineRule="exact"/>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上述清单中的规格描述仅做参考，若有描述偏差，以供应商所报对应规格名称为准(需与该产品注册证/备案凭证内产品信息一致），各供应商的</w:t>
      </w:r>
      <w:r>
        <w:rPr>
          <w:rFonts w:hint="eastAsia" w:ascii="仿宋" w:hAnsi="仿宋" w:eastAsia="仿宋" w:cs="仿宋"/>
          <w:color w:val="auto"/>
          <w:sz w:val="24"/>
          <w:szCs w:val="22"/>
          <w:highlight w:val="none"/>
        </w:rPr>
        <w:t>投标报价不得超过最高限价</w:t>
      </w:r>
      <w:r>
        <w:rPr>
          <w:rFonts w:hint="eastAsia" w:ascii="仿宋" w:hAnsi="仿宋" w:eastAsia="仿宋" w:cs="仿宋"/>
          <w:color w:val="auto"/>
          <w:sz w:val="24"/>
          <w:szCs w:val="22"/>
          <w:highlight w:val="none"/>
          <w:lang w:val="en-US" w:eastAsia="zh-CN"/>
        </w:rPr>
        <w:t>单价合计及单价限价。</w:t>
      </w:r>
    </w:p>
    <w:p w14:paraId="7B30B46F">
      <w:pPr>
        <w:numPr>
          <w:ilvl w:val="0"/>
          <w:numId w:val="0"/>
        </w:numPr>
        <w:spacing w:line="520" w:lineRule="exact"/>
        <w:jc w:val="left"/>
        <w:rPr>
          <w:rFonts w:hint="eastAsia" w:ascii="仿宋" w:hAnsi="仿宋" w:eastAsia="仿宋" w:cs="仿宋"/>
          <w:color w:val="auto"/>
          <w:sz w:val="24"/>
          <w:szCs w:val="22"/>
          <w:highlight w:val="none"/>
          <w:lang w:val="en-US" w:eastAsia="zh-CN"/>
        </w:rPr>
      </w:pPr>
    </w:p>
    <w:tbl>
      <w:tblPr>
        <w:tblStyle w:val="22"/>
        <w:tblW w:w="9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1788"/>
        <w:gridCol w:w="6734"/>
      </w:tblGrid>
      <w:tr w14:paraId="4ADB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67AA2F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01B3E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6734" w:type="dxa"/>
            <w:tcBorders>
              <w:top w:val="single" w:color="000000" w:sz="4" w:space="0"/>
              <w:left w:val="single" w:color="000000" w:sz="4" w:space="0"/>
              <w:bottom w:val="single" w:color="000000" w:sz="4" w:space="0"/>
              <w:right w:val="single" w:color="000000" w:sz="4" w:space="0"/>
            </w:tcBorders>
            <w:noWrap w:val="0"/>
            <w:vAlign w:val="center"/>
          </w:tcPr>
          <w:p w14:paraId="2ECB13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产品用途和基本参数</w:t>
            </w:r>
          </w:p>
        </w:tc>
      </w:tr>
      <w:tr w14:paraId="7912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418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9A0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糖尿病自身抗体免疫印迹试剂盒（免疫印迹法）</w:t>
            </w:r>
          </w:p>
        </w:tc>
        <w:tc>
          <w:tcPr>
            <w:tcW w:w="67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2CDA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1、产品适用范围：本产品用于定性检测血清中糖尿病自身抗体，包括胰岛细胞抗体（ICA）、胰岛素抗体（IAA）、谷氨酸脱羧酶抗体（GADA）、蛋白酪氨酸磷酸酶抗体（IA-2A）和锌转运体8抗体（ZnT8A)</w:t>
            </w:r>
          </w:p>
          <w:p w14:paraId="7153690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2、产品结构与组成:含ICA、GADA、IAA、IA-2A、ZnT8-A等相应蛋白的膜条、酶、底物或显色剂、缓冲液、孵育槽等；</w:t>
            </w:r>
          </w:p>
          <w:p w14:paraId="1692428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3、检测方法：免疫印迹法；                                                                                                   </w:t>
            </w:r>
          </w:p>
          <w:p w14:paraId="442CEB7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4、性能指标：与参考品比较符合率≥95%，特异性≥95%；</w:t>
            </w:r>
          </w:p>
          <w:p w14:paraId="0D9C41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5、规格：≥40人份/盒。    </w:t>
            </w:r>
          </w:p>
        </w:tc>
      </w:tr>
    </w:tbl>
    <w:p w14:paraId="76DE770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6E16409D">
      <w:pPr>
        <w:pStyle w:val="20"/>
        <w:rPr>
          <w:rFonts w:hint="eastAsia" w:ascii="仿宋" w:hAnsi="仿宋" w:eastAsia="仿宋" w:cs="仿宋"/>
          <w:highlight w:val="none"/>
          <w:lang w:val="en-US" w:eastAsia="zh-CN"/>
        </w:rPr>
      </w:pPr>
    </w:p>
    <w:p w14:paraId="67C27353">
      <w:pPr>
        <w:pStyle w:val="2"/>
        <w:numPr>
          <w:ilvl w:val="0"/>
          <w:numId w:val="1"/>
        </w:numPr>
        <w:bidi w:val="0"/>
        <w:jc w:val="center"/>
        <w:rPr>
          <w:rFonts w:hint="eastAsia" w:ascii="仿宋" w:hAnsi="仿宋" w:eastAsia="仿宋" w:cs="仿宋"/>
          <w:sz w:val="32"/>
          <w:szCs w:val="32"/>
          <w:highlight w:val="none"/>
          <w:lang w:val="en-US" w:eastAsia="zh-CN"/>
        </w:rPr>
      </w:pPr>
      <w:bookmarkStart w:id="19" w:name="_Toc21893"/>
      <w:r>
        <w:rPr>
          <w:rFonts w:hint="eastAsia" w:ascii="仿宋" w:hAnsi="仿宋" w:eastAsia="仿宋" w:cs="仿宋"/>
          <w:sz w:val="32"/>
          <w:szCs w:val="32"/>
          <w:highlight w:val="none"/>
          <w:lang w:val="en-US" w:eastAsia="zh-CN"/>
        </w:rPr>
        <w:t>评标程序、评标方法和评标标准</w:t>
      </w:r>
      <w:bookmarkEnd w:id="19"/>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58FCA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0" w:name="_Toc27440"/>
      <w:r>
        <w:rPr>
          <w:rFonts w:hint="eastAsia" w:ascii="仿宋" w:hAnsi="仿宋" w:eastAsia="仿宋" w:cs="仿宋"/>
          <w:b/>
          <w:bCs/>
          <w:sz w:val="24"/>
          <w:szCs w:val="24"/>
          <w:highlight w:val="none"/>
          <w:lang w:val="en-US" w:eastAsia="zh-CN"/>
        </w:rPr>
        <w:t>评标方法</w:t>
      </w:r>
      <w:bookmarkEnd w:id="20"/>
      <w:r>
        <w:rPr>
          <w:rFonts w:hint="eastAsia" w:ascii="仿宋" w:hAnsi="仿宋" w:eastAsia="仿宋" w:cs="仿宋"/>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1" w:name="_Toc12617"/>
      <w:r>
        <w:rPr>
          <w:rFonts w:hint="eastAsia" w:ascii="仿宋" w:hAnsi="仿宋" w:eastAsia="仿宋" w:cs="仿宋"/>
          <w:b/>
          <w:bCs/>
          <w:sz w:val="24"/>
          <w:szCs w:val="24"/>
          <w:highlight w:val="none"/>
          <w:lang w:val="en-US" w:eastAsia="zh-CN"/>
        </w:rPr>
        <w:t>评标原则</w:t>
      </w:r>
      <w:bookmarkEnd w:id="21"/>
    </w:p>
    <w:p w14:paraId="3AD91B1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2" w:name="_Toc6046"/>
      <w:r>
        <w:rPr>
          <w:rFonts w:hint="eastAsia" w:ascii="仿宋" w:hAnsi="仿宋" w:eastAsia="仿宋" w:cs="仿宋"/>
          <w:b/>
          <w:bCs/>
          <w:sz w:val="24"/>
          <w:szCs w:val="24"/>
          <w:highlight w:val="none"/>
          <w:lang w:val="en-US" w:eastAsia="zh-CN"/>
        </w:rPr>
        <w:t>资格审查</w:t>
      </w:r>
      <w:bookmarkEnd w:id="22"/>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无须投标人提供，由采购人或采购代理机构查询结果为准。</w:t>
            </w:r>
          </w:p>
        </w:tc>
      </w:tr>
      <w:tr w14:paraId="1F07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6BBD5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536" w:type="dxa"/>
            <w:vAlign w:val="center"/>
          </w:tcPr>
          <w:p w14:paraId="4876BC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落实政府采购政策需满足的资格要求</w:t>
            </w:r>
          </w:p>
        </w:tc>
        <w:tc>
          <w:tcPr>
            <w:tcW w:w="5228" w:type="dxa"/>
            <w:vAlign w:val="center"/>
          </w:tcPr>
          <w:p w14:paraId="0C146B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本项目专门面向中小企业采购，提供货物的制造商应符合《政府采购促进中小企业发展管理办法》(财库〔2020〕46号) 第四条规定的情形，且应当提供《政府采购促进中小企业发展管理办法》(财库〔2020〕46号)规定的《中小企业声明函》。</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536"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本项目的特定资格要求</w:t>
            </w:r>
          </w:p>
        </w:tc>
        <w:tc>
          <w:tcPr>
            <w:tcW w:w="5228" w:type="dxa"/>
            <w:vAlign w:val="center"/>
          </w:tcPr>
          <w:p w14:paraId="1069FB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投标人具有医疗器械经营资格；属于医疗器械管理的产品需根据《医疗器械监督管理条例》（国务院令第650号）有关内容办理医疗器械产品注册或备案。 须提供相关证明文件复印件加盖公章。</w:t>
            </w:r>
          </w:p>
        </w:tc>
      </w:tr>
      <w:tr w14:paraId="4C3C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32C1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536" w:type="dxa"/>
            <w:vAlign w:val="center"/>
          </w:tcPr>
          <w:p w14:paraId="72FF6C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其他1</w:t>
            </w:r>
          </w:p>
        </w:tc>
        <w:tc>
          <w:tcPr>
            <w:tcW w:w="5228" w:type="dxa"/>
            <w:vAlign w:val="center"/>
          </w:tcPr>
          <w:p w14:paraId="1B3BB6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法律、行政法规规定的其他条件</w:t>
            </w:r>
          </w:p>
        </w:tc>
      </w:tr>
      <w:tr w14:paraId="5683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29F45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536" w:type="dxa"/>
            <w:vAlign w:val="center"/>
          </w:tcPr>
          <w:p w14:paraId="2BF289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其他2</w:t>
            </w:r>
          </w:p>
        </w:tc>
        <w:tc>
          <w:tcPr>
            <w:tcW w:w="5228" w:type="dxa"/>
            <w:vAlign w:val="center"/>
          </w:tcPr>
          <w:p w14:paraId="089D7B9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单位负责人为同一人或者存在直接控股、管理关系的不同投标人，不得参加同一合同项下的政府采购活动。与采购人存在利害关系可能影响招标公正性的法人、其他组织或者个人，不得参加投标。</w:t>
            </w:r>
          </w:p>
          <w:p w14:paraId="1CFDE4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（投标时，投标人出具承诺函，加盖投标人公章）。</w:t>
            </w:r>
          </w:p>
        </w:tc>
      </w:tr>
    </w:tbl>
    <w:p w14:paraId="46E665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65F213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3" w:name="_Toc4337"/>
      <w:r>
        <w:rPr>
          <w:rFonts w:hint="eastAsia" w:ascii="仿宋" w:hAnsi="仿宋" w:eastAsia="仿宋" w:cs="仿宋"/>
          <w:b/>
          <w:bCs/>
          <w:sz w:val="24"/>
          <w:szCs w:val="24"/>
          <w:highlight w:val="none"/>
          <w:lang w:val="en-US" w:eastAsia="zh-CN"/>
        </w:rPr>
        <w:t>符合性审查</w:t>
      </w:r>
      <w:bookmarkEnd w:id="23"/>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0925A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 w:name="_Toc23924"/>
      <w:r>
        <w:rPr>
          <w:rFonts w:hint="eastAsia" w:ascii="仿宋" w:hAnsi="仿宋" w:eastAsia="仿宋" w:cs="仿宋"/>
          <w:b/>
          <w:bCs/>
          <w:sz w:val="24"/>
          <w:szCs w:val="24"/>
          <w:highlight w:val="none"/>
          <w:lang w:val="en-US" w:eastAsia="zh-CN"/>
        </w:rPr>
        <w:t>投标文件有关事项的澄清或者说明</w:t>
      </w:r>
      <w:bookmarkEnd w:id="24"/>
    </w:p>
    <w:p w14:paraId="64E0D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59BF0C4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7F6BC47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46E0D39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3549F7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5" w:name="_Toc22049"/>
      <w:r>
        <w:rPr>
          <w:rFonts w:hint="eastAsia" w:ascii="仿宋" w:hAnsi="仿宋" w:eastAsia="仿宋" w:cs="仿宋"/>
          <w:b/>
          <w:bCs/>
          <w:sz w:val="24"/>
          <w:szCs w:val="24"/>
          <w:highlight w:val="none"/>
          <w:lang w:val="en-US" w:eastAsia="zh-CN"/>
        </w:rPr>
        <w:t>详细评审</w:t>
      </w:r>
      <w:bookmarkEnd w:id="25"/>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详细评审标准</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216"/>
      </w:tblGrid>
      <w:tr w14:paraId="6D30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Align w:val="center"/>
          </w:tcPr>
          <w:p w14:paraId="5C9A42D3">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评分因素</w:t>
            </w:r>
          </w:p>
        </w:tc>
        <w:tc>
          <w:tcPr>
            <w:tcW w:w="4233" w:type="pct"/>
            <w:vAlign w:val="center"/>
          </w:tcPr>
          <w:p w14:paraId="25028839">
            <w:pPr>
              <w:ind w:right="733"/>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内容</w:t>
            </w:r>
          </w:p>
        </w:tc>
      </w:tr>
      <w:tr w14:paraId="07AB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Align w:val="center"/>
          </w:tcPr>
          <w:p w14:paraId="58C2E938">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价格因素（30分）</w:t>
            </w:r>
          </w:p>
        </w:tc>
        <w:tc>
          <w:tcPr>
            <w:tcW w:w="4233" w:type="pct"/>
            <w:vAlign w:val="center"/>
          </w:tcPr>
          <w:p w14:paraId="4879E74E">
            <w:pPr>
              <w:rPr>
                <w:rFonts w:hint="eastAsia" w:ascii="仿宋" w:hAnsi="仿宋" w:eastAsia="仿宋" w:cs="仿宋"/>
              </w:rPr>
            </w:pPr>
            <w:r>
              <w:rPr>
                <w:rFonts w:hint="eastAsia" w:ascii="仿宋" w:hAnsi="仿宋" w:eastAsia="仿宋" w:cs="仿宋"/>
                <w:color w:val="000000"/>
                <w:kern w:val="0"/>
                <w:sz w:val="24"/>
                <w:szCs w:val="24"/>
              </w:rPr>
              <w:t>价格得分的评分方法：采用低价优先法计算，即满足招标文件要求且投标价格最低的投标报价为评标基准价，其价格得分为满分。其他投标人的价格得分统一按照下列公式计算：价格得分=（（评标基准价）/（投标报价））×30×100%，如此类推，算出所有投标人的价格得分。</w:t>
            </w:r>
          </w:p>
        </w:tc>
      </w:tr>
      <w:tr w14:paraId="2E76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restart"/>
            <w:vAlign w:val="center"/>
          </w:tcPr>
          <w:p w14:paraId="010D6C1A">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技术因素</w:t>
            </w:r>
          </w:p>
          <w:p w14:paraId="7AF8C2EF">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50</w:t>
            </w:r>
            <w:r>
              <w:rPr>
                <w:rFonts w:hint="eastAsia" w:ascii="仿宋" w:hAnsi="仿宋" w:eastAsia="仿宋" w:cs="仿宋"/>
                <w:bCs/>
                <w:color w:val="000000"/>
                <w:sz w:val="24"/>
                <w:szCs w:val="24"/>
              </w:rPr>
              <w:t>分）</w:t>
            </w:r>
          </w:p>
        </w:tc>
        <w:tc>
          <w:tcPr>
            <w:tcW w:w="4233" w:type="pct"/>
            <w:vAlign w:val="center"/>
          </w:tcPr>
          <w:p w14:paraId="345B5272">
            <w:pPr>
              <w:rPr>
                <w:rFonts w:hint="eastAsia" w:ascii="仿宋" w:hAnsi="仿宋" w:eastAsia="仿宋" w:cs="仿宋"/>
                <w:color w:val="000000"/>
                <w:kern w:val="0"/>
                <w:sz w:val="24"/>
                <w:szCs w:val="24"/>
                <w:lang w:eastAsia="zh-CN"/>
              </w:rPr>
            </w:pPr>
            <w:r>
              <w:rPr>
                <w:rFonts w:hint="eastAsia" w:ascii="仿宋" w:hAnsi="仿宋" w:eastAsia="仿宋" w:cs="仿宋"/>
                <w:bCs/>
                <w:color w:val="000000"/>
                <w:sz w:val="24"/>
                <w:szCs w:val="24"/>
              </w:rPr>
              <w:t>技术符合程度（3</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分）：</w:t>
            </w:r>
            <w:r>
              <w:rPr>
                <w:rFonts w:hint="eastAsia" w:ascii="仿宋" w:hAnsi="仿宋" w:eastAsia="仿宋" w:cs="仿宋"/>
                <w:kern w:val="0"/>
                <w:sz w:val="24"/>
                <w:szCs w:val="24"/>
                <w:lang w:val="en-US" w:eastAsia="zh-CN"/>
              </w:rPr>
              <w:t>每有一项技术</w:t>
            </w:r>
            <w:r>
              <w:rPr>
                <w:rFonts w:hint="eastAsia" w:ascii="仿宋" w:hAnsi="仿宋" w:eastAsia="仿宋" w:cs="仿宋"/>
                <w:kern w:val="0"/>
                <w:sz w:val="24"/>
                <w:szCs w:val="24"/>
              </w:rPr>
              <w:t>参数</w:t>
            </w:r>
            <w:r>
              <w:rPr>
                <w:rFonts w:hint="eastAsia" w:ascii="仿宋" w:hAnsi="仿宋" w:eastAsia="仿宋" w:cs="仿宋"/>
                <w:kern w:val="0"/>
                <w:sz w:val="24"/>
                <w:szCs w:val="24"/>
                <w:lang w:val="en-US" w:eastAsia="zh-CN"/>
              </w:rPr>
              <w:t>存在</w:t>
            </w:r>
            <w:r>
              <w:rPr>
                <w:rFonts w:hint="eastAsia" w:ascii="仿宋" w:hAnsi="仿宋" w:eastAsia="仿宋" w:cs="仿宋"/>
                <w:kern w:val="0"/>
                <w:sz w:val="24"/>
                <w:szCs w:val="24"/>
              </w:rPr>
              <w:t>负偏离</w:t>
            </w:r>
            <w:r>
              <w:rPr>
                <w:rFonts w:hint="eastAsia" w:ascii="仿宋" w:hAnsi="仿宋" w:eastAsia="仿宋" w:cs="仿宋"/>
                <w:kern w:val="0"/>
                <w:sz w:val="24"/>
                <w:szCs w:val="24"/>
                <w:lang w:val="en-US" w:eastAsia="zh-CN"/>
              </w:rPr>
              <w:t>则</w:t>
            </w:r>
            <w:r>
              <w:rPr>
                <w:rFonts w:hint="eastAsia" w:ascii="仿宋" w:hAnsi="仿宋" w:eastAsia="仿宋" w:cs="仿宋"/>
                <w:kern w:val="0"/>
                <w:sz w:val="24"/>
                <w:szCs w:val="24"/>
              </w:rPr>
              <w:t>扣</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满分35分，扣完为止。</w:t>
            </w:r>
            <w:r>
              <w:rPr>
                <w:rFonts w:hint="eastAsia" w:ascii="仿宋" w:hAnsi="仿宋" w:eastAsia="仿宋" w:cs="仿宋"/>
                <w:kern w:val="0"/>
                <w:sz w:val="24"/>
                <w:szCs w:val="24"/>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3287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1C153FA2">
            <w:pPr>
              <w:jc w:val="center"/>
              <w:rPr>
                <w:rFonts w:hint="eastAsia" w:ascii="仿宋" w:hAnsi="仿宋" w:eastAsia="仿宋" w:cs="仿宋"/>
                <w:bCs/>
                <w:color w:val="000000"/>
                <w:sz w:val="24"/>
                <w:szCs w:val="24"/>
              </w:rPr>
            </w:pPr>
          </w:p>
        </w:tc>
        <w:tc>
          <w:tcPr>
            <w:tcW w:w="4233" w:type="pct"/>
            <w:vAlign w:val="center"/>
          </w:tcPr>
          <w:p w14:paraId="7636E1F8">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技术先进性（</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分）：以利于临床工作需要为前提，参数高于招标要求的，每项得1</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分，加满为止；否则不得分。</w:t>
            </w:r>
          </w:p>
        </w:tc>
      </w:tr>
      <w:tr w14:paraId="059F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2308FD0D">
            <w:pPr>
              <w:jc w:val="center"/>
              <w:rPr>
                <w:rFonts w:hint="eastAsia" w:ascii="仿宋" w:hAnsi="仿宋" w:eastAsia="仿宋" w:cs="仿宋"/>
                <w:bCs/>
                <w:color w:val="000000"/>
                <w:sz w:val="24"/>
                <w:szCs w:val="24"/>
              </w:rPr>
            </w:pPr>
          </w:p>
        </w:tc>
        <w:tc>
          <w:tcPr>
            <w:tcW w:w="4233" w:type="pct"/>
            <w:vAlign w:val="center"/>
          </w:tcPr>
          <w:p w14:paraId="2AE09AD0">
            <w:pPr>
              <w:rPr>
                <w:rFonts w:hint="eastAsia" w:ascii="仿宋" w:hAnsi="仿宋" w:eastAsia="仿宋" w:cs="仿宋"/>
                <w:color w:val="000000"/>
                <w:kern w:val="0"/>
                <w:sz w:val="24"/>
                <w:szCs w:val="24"/>
              </w:rPr>
            </w:pPr>
            <w:r>
              <w:rPr>
                <w:rFonts w:hint="eastAsia" w:ascii="仿宋" w:hAnsi="仿宋" w:eastAsia="仿宋" w:cs="仿宋"/>
                <w:sz w:val="24"/>
                <w:szCs w:val="24"/>
              </w:rPr>
              <w:t>用户使用评价</w:t>
            </w:r>
            <w:r>
              <w:rPr>
                <w:rFonts w:hint="eastAsia" w:ascii="仿宋" w:hAnsi="仿宋" w:eastAsia="仿宋" w:cs="仿宋"/>
                <w:kern w:val="0"/>
                <w:sz w:val="24"/>
                <w:szCs w:val="24"/>
              </w:rPr>
              <w:t>（5分）</w:t>
            </w:r>
            <w:r>
              <w:rPr>
                <w:rFonts w:hint="eastAsia" w:ascii="仿宋" w:hAnsi="仿宋" w:eastAsia="仿宋" w:cs="仿宋"/>
                <w:color w:val="000000"/>
                <w:kern w:val="0"/>
                <w:sz w:val="24"/>
                <w:szCs w:val="24"/>
              </w:rPr>
              <w:t>：由甲方单位出具对投标人所提供的类似相关服务的供应评价，每提供一项评价满意或优秀的得1分，满分5分。（须提供加盖甲方单位公章的业主评价函）</w:t>
            </w:r>
          </w:p>
        </w:tc>
      </w:tr>
      <w:tr w14:paraId="468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648CBFF8">
            <w:pPr>
              <w:jc w:val="center"/>
              <w:rPr>
                <w:rFonts w:hint="eastAsia" w:ascii="仿宋" w:hAnsi="仿宋" w:eastAsia="仿宋" w:cs="仿宋"/>
                <w:bCs/>
                <w:color w:val="000000"/>
                <w:sz w:val="24"/>
                <w:szCs w:val="24"/>
              </w:rPr>
            </w:pPr>
          </w:p>
        </w:tc>
        <w:tc>
          <w:tcPr>
            <w:tcW w:w="4233" w:type="pct"/>
            <w:vAlign w:val="center"/>
          </w:tcPr>
          <w:p w14:paraId="06AD6F07">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可操作、可维护性（</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分）：以便于临床工作需要为前提，根据设备配置符合程度综合评判；所投产品①配置齐全，②便于用户临床使用，③操作简便，④便于维护</w:t>
            </w:r>
            <w:r>
              <w:rPr>
                <w:rFonts w:hint="eastAsia" w:ascii="仿宋" w:hAnsi="仿宋" w:eastAsia="仿宋" w:cs="仿宋"/>
                <w:color w:val="000000"/>
                <w:kern w:val="0"/>
                <w:sz w:val="24"/>
                <w:szCs w:val="24"/>
                <w:highlight w:val="none"/>
              </w:rPr>
              <w:t>；每满</w:t>
            </w:r>
            <w:r>
              <w:rPr>
                <w:rFonts w:hint="eastAsia" w:ascii="仿宋" w:hAnsi="仿宋" w:eastAsia="仿宋" w:cs="仿宋"/>
                <w:color w:val="000000"/>
                <w:kern w:val="0"/>
                <w:sz w:val="24"/>
                <w:szCs w:val="24"/>
              </w:rPr>
              <w:t>足一项得1分，最高得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w:t>
            </w:r>
          </w:p>
        </w:tc>
      </w:tr>
      <w:tr w14:paraId="618A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15FE7DB8">
            <w:pPr>
              <w:jc w:val="center"/>
              <w:rPr>
                <w:rFonts w:hint="eastAsia" w:ascii="仿宋" w:hAnsi="仿宋" w:eastAsia="仿宋" w:cs="仿宋"/>
                <w:bCs/>
                <w:color w:val="000000"/>
                <w:sz w:val="24"/>
                <w:szCs w:val="24"/>
              </w:rPr>
            </w:pPr>
          </w:p>
        </w:tc>
        <w:tc>
          <w:tcPr>
            <w:tcW w:w="4233" w:type="pct"/>
            <w:vAlign w:val="center"/>
          </w:tcPr>
          <w:p w14:paraId="5F29CC2A">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其它技术因素（</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分）：其他有利于临床工作需求的优惠条件。有得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分，无，不得分。</w:t>
            </w:r>
          </w:p>
        </w:tc>
      </w:tr>
      <w:tr w14:paraId="6515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6" w:type="pct"/>
            <w:vMerge w:val="restart"/>
            <w:vAlign w:val="center"/>
          </w:tcPr>
          <w:p w14:paraId="3DD37A0B">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商务因素</w:t>
            </w:r>
          </w:p>
          <w:p w14:paraId="74FDDE32">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0</w:t>
            </w:r>
            <w:r>
              <w:rPr>
                <w:rFonts w:hint="eastAsia" w:ascii="仿宋" w:hAnsi="仿宋" w:eastAsia="仿宋" w:cs="仿宋"/>
                <w:bCs/>
                <w:color w:val="000000"/>
                <w:sz w:val="24"/>
                <w:szCs w:val="24"/>
              </w:rPr>
              <w:t>分）</w:t>
            </w:r>
          </w:p>
        </w:tc>
        <w:tc>
          <w:tcPr>
            <w:tcW w:w="4233" w:type="pct"/>
            <w:tcBorders>
              <w:top w:val="single" w:color="auto" w:sz="4" w:space="0"/>
              <w:left w:val="single" w:color="auto" w:sz="4" w:space="0"/>
              <w:bottom w:val="single" w:color="auto" w:sz="4" w:space="0"/>
              <w:right w:val="single" w:color="auto" w:sz="4" w:space="0"/>
            </w:tcBorders>
            <w:vAlign w:val="center"/>
          </w:tcPr>
          <w:p w14:paraId="4A421B13">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服务方案：根据投标人提供的服务方案进行打分，服务分案须包括：产品质量管理方案、库存管理方案、产品出现问题的补救方案、配送方案。方案内容详实，阐述清晰，能够满足项目得2分，每缺失一项或不详实，阐述不清晰的扣1分，扣完为止。</w:t>
            </w:r>
          </w:p>
        </w:tc>
      </w:tr>
      <w:tr w14:paraId="3A49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06A6161C">
            <w:pPr>
              <w:jc w:val="center"/>
              <w:rPr>
                <w:rFonts w:hint="eastAsia" w:ascii="仿宋" w:hAnsi="仿宋" w:eastAsia="仿宋" w:cs="仿宋"/>
                <w:bCs/>
                <w:color w:val="000000"/>
                <w:sz w:val="24"/>
                <w:szCs w:val="24"/>
              </w:rPr>
            </w:pPr>
          </w:p>
        </w:tc>
        <w:tc>
          <w:tcPr>
            <w:tcW w:w="4233" w:type="pct"/>
            <w:tcBorders>
              <w:top w:val="single" w:color="auto" w:sz="4" w:space="0"/>
              <w:left w:val="single" w:color="auto" w:sz="4" w:space="0"/>
              <w:bottom w:val="single" w:color="auto" w:sz="4" w:space="0"/>
              <w:right w:val="single" w:color="auto" w:sz="4" w:space="0"/>
            </w:tcBorders>
            <w:vAlign w:val="center"/>
          </w:tcPr>
          <w:p w14:paraId="2CAAF22F">
            <w:pPr>
              <w:pStyle w:val="39"/>
              <w:numPr>
                <w:ilvl w:val="0"/>
                <w:numId w:val="11"/>
              </w:numPr>
              <w:ind w:left="358" w:hanging="358" w:firstLineChars="0"/>
              <w:jc w:val="lef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提供投标产品业绩，超过10项，得3分；提供5-9项得2分；提供1-4项得1分；无提供不得分。（需提供证明材料，如合同复印件等）</w:t>
            </w:r>
          </w:p>
          <w:p w14:paraId="3519CFE3">
            <w:pPr>
              <w:pStyle w:val="39"/>
              <w:numPr>
                <w:ilvl w:val="0"/>
                <w:numId w:val="11"/>
              </w:numPr>
              <w:ind w:left="358" w:hanging="358" w:firstLineChars="0"/>
              <w:jc w:val="lef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临床评价（3分</w:t>
            </w:r>
            <w:bookmarkStart w:id="49" w:name="_GoBack"/>
            <w:bookmarkEnd w:id="49"/>
            <w:r>
              <w:rPr>
                <w:rFonts w:hint="eastAsia" w:ascii="仿宋" w:hAnsi="仿宋" w:eastAsia="仿宋" w:cs="仿宋"/>
                <w:bCs/>
                <w:color w:val="000000"/>
                <w:kern w:val="2"/>
                <w:sz w:val="24"/>
                <w:szCs w:val="24"/>
                <w:lang w:val="en-US" w:eastAsia="zh-CN" w:bidi="ar-SA"/>
              </w:rPr>
              <w:t>）：从产品的①稳定性、②故障（或失效）发生率、③产品便于临床操作使用进行评分综合评分，每满足一项得1分，最高得3分。</w:t>
            </w:r>
          </w:p>
        </w:tc>
      </w:tr>
      <w:tr w14:paraId="7511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2104252E">
            <w:pPr>
              <w:jc w:val="center"/>
              <w:rPr>
                <w:rFonts w:hint="eastAsia" w:ascii="仿宋" w:hAnsi="仿宋" w:eastAsia="仿宋" w:cs="仿宋"/>
                <w:bCs/>
                <w:color w:val="000000"/>
                <w:sz w:val="24"/>
                <w:szCs w:val="24"/>
              </w:rPr>
            </w:pPr>
          </w:p>
        </w:tc>
        <w:tc>
          <w:tcPr>
            <w:tcW w:w="7216" w:type="dxa"/>
            <w:tcBorders>
              <w:top w:val="single" w:color="auto" w:sz="4" w:space="0"/>
              <w:left w:val="single" w:color="auto" w:sz="4" w:space="0"/>
              <w:bottom w:val="single" w:color="auto" w:sz="4" w:space="0"/>
              <w:right w:val="single" w:color="auto" w:sz="4" w:space="0"/>
            </w:tcBorders>
            <w:vAlign w:val="center"/>
          </w:tcPr>
          <w:p w14:paraId="371328CF">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培训（1分）：提供培训方案，内容明确得1分。否则不得分。</w:t>
            </w:r>
          </w:p>
        </w:tc>
      </w:tr>
      <w:tr w14:paraId="48CD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3471C16C">
            <w:pPr>
              <w:jc w:val="center"/>
              <w:rPr>
                <w:rFonts w:hint="eastAsia" w:ascii="仿宋" w:hAnsi="仿宋" w:eastAsia="仿宋" w:cs="仿宋"/>
                <w:bCs/>
                <w:color w:val="000000"/>
                <w:sz w:val="24"/>
                <w:szCs w:val="24"/>
              </w:rPr>
            </w:pPr>
          </w:p>
        </w:tc>
        <w:tc>
          <w:tcPr>
            <w:tcW w:w="7216" w:type="dxa"/>
            <w:tcBorders>
              <w:top w:val="single" w:color="auto" w:sz="4" w:space="0"/>
              <w:left w:val="single" w:color="auto" w:sz="4" w:space="0"/>
              <w:bottom w:val="single" w:color="auto" w:sz="4" w:space="0"/>
              <w:right w:val="single" w:color="auto" w:sz="4" w:space="0"/>
            </w:tcBorders>
            <w:vAlign w:val="center"/>
          </w:tcPr>
          <w:p w14:paraId="5AE20C51">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售后服务体系（</w:t>
            </w:r>
            <w:r>
              <w:rPr>
                <w:rFonts w:hint="eastAsia" w:ascii="仿宋" w:hAnsi="仿宋" w:eastAsia="仿宋" w:cs="仿宋"/>
                <w:bCs/>
                <w:color w:val="000000"/>
                <w:sz w:val="24"/>
                <w:szCs w:val="24"/>
                <w:lang w:val="en-US" w:eastAsia="zh-CN"/>
              </w:rPr>
              <w:t>10</w:t>
            </w:r>
            <w:r>
              <w:rPr>
                <w:rFonts w:hint="eastAsia" w:ascii="仿宋" w:hAnsi="仿宋" w:eastAsia="仿宋" w:cs="仿宋"/>
                <w:bCs/>
                <w:color w:val="000000"/>
                <w:sz w:val="24"/>
                <w:szCs w:val="24"/>
              </w:rPr>
              <w:t>分）：</w:t>
            </w:r>
          </w:p>
          <w:p w14:paraId="1F5AD642">
            <w:pPr>
              <w:pStyle w:val="39"/>
              <w:numPr>
                <w:ilvl w:val="0"/>
                <w:numId w:val="12"/>
              </w:numPr>
              <w:ind w:left="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具有专职维修工程师，保证</w:t>
            </w:r>
            <w:r>
              <w:rPr>
                <w:rFonts w:hint="eastAsia" w:ascii="仿宋" w:hAnsi="仿宋" w:eastAsia="仿宋" w:cs="仿宋"/>
                <w:bCs/>
                <w:color w:val="000000"/>
                <w:sz w:val="24"/>
                <w:szCs w:val="24"/>
                <w:lang w:val="en-US" w:eastAsia="zh-CN"/>
              </w:rPr>
              <w:t>产品</w:t>
            </w:r>
            <w:r>
              <w:rPr>
                <w:rFonts w:hint="eastAsia" w:ascii="仿宋" w:hAnsi="仿宋" w:eastAsia="仿宋" w:cs="仿宋"/>
                <w:bCs/>
                <w:color w:val="000000"/>
                <w:sz w:val="24"/>
                <w:szCs w:val="24"/>
              </w:rPr>
              <w:t>的日常维护及故障排除（</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分）；附专业人员认证资格证书等相应证明材料，否则不得分。</w:t>
            </w:r>
          </w:p>
          <w:p w14:paraId="55E35F64">
            <w:pPr>
              <w:pStyle w:val="39"/>
              <w:numPr>
                <w:ilvl w:val="0"/>
                <w:numId w:val="12"/>
              </w:numPr>
              <w:ind w:left="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生产厂家设有售后服务团队（2分），生产厂家拥有完善的售后服务保障体系（</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分），生产厂家设有常驻专业维修工程师以提供技术服务支持（2分），设有备件仓库保证常规配件供应（</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w:t>
            </w:r>
          </w:p>
          <w:p w14:paraId="63D589A1">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需附相应证明材料（房屋租赁合同、人员聘用劳动合同、厂家专业人员认证资格证书（培训合格证书）等），否则不得分。</w:t>
            </w:r>
          </w:p>
        </w:tc>
      </w:tr>
      <w:tr w14:paraId="21A5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6" w:type="pct"/>
            <w:vMerge w:val="continue"/>
            <w:vAlign w:val="center"/>
          </w:tcPr>
          <w:p w14:paraId="13FD1D48">
            <w:pPr>
              <w:jc w:val="center"/>
              <w:rPr>
                <w:rFonts w:hint="eastAsia" w:ascii="仿宋" w:hAnsi="仿宋" w:eastAsia="仿宋" w:cs="仿宋"/>
                <w:bCs/>
                <w:color w:val="000000"/>
                <w:sz w:val="24"/>
                <w:szCs w:val="24"/>
              </w:rPr>
            </w:pPr>
          </w:p>
        </w:tc>
        <w:tc>
          <w:tcPr>
            <w:tcW w:w="4233" w:type="pct"/>
            <w:tcBorders>
              <w:top w:val="single" w:color="auto" w:sz="4" w:space="0"/>
              <w:left w:val="single" w:color="auto" w:sz="4" w:space="0"/>
              <w:bottom w:val="single" w:color="auto" w:sz="4" w:space="0"/>
              <w:right w:val="single" w:color="auto" w:sz="4" w:space="0"/>
            </w:tcBorders>
            <w:vAlign w:val="center"/>
          </w:tcPr>
          <w:p w14:paraId="705901C2">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售后服务承诺（1分）：满足招标文件要求，内容全面并且可行得1分。否则不得分。</w:t>
            </w:r>
          </w:p>
        </w:tc>
      </w:tr>
    </w:tbl>
    <w:p w14:paraId="1CB3D5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470896A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highlight w:val="none"/>
          <w:u w:val="single"/>
          <w:lang w:val="en-US" w:eastAsia="zh-CN"/>
        </w:rPr>
        <w:t xml:space="preserve"> 10 % </w:t>
      </w:r>
      <w:r>
        <w:rPr>
          <w:rFonts w:hint="eastAsia" w:ascii="仿宋" w:hAnsi="仿宋" w:eastAsia="仿宋" w:cs="仿宋"/>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highlight w:val="none"/>
          <w:u w:val="single"/>
          <w:lang w:val="en-US" w:eastAsia="zh-CN"/>
        </w:rPr>
        <w:t xml:space="preserve"> 30 %</w:t>
      </w:r>
      <w:r>
        <w:rPr>
          <w:rFonts w:hint="eastAsia" w:ascii="仿宋" w:hAnsi="仿宋" w:eastAsia="仿宋" w:cs="仿宋"/>
          <w:b w:val="0"/>
          <w:bCs w:val="0"/>
          <w:sz w:val="24"/>
          <w:szCs w:val="24"/>
          <w:highlight w:val="none"/>
          <w:lang w:val="en-US" w:eastAsia="zh-CN"/>
        </w:rPr>
        <w:t>以上的联合体或者大中型企业的报价给予</w:t>
      </w:r>
      <w:r>
        <w:rPr>
          <w:rFonts w:hint="eastAsia" w:ascii="仿宋" w:hAnsi="仿宋" w:eastAsia="仿宋" w:cs="仿宋"/>
          <w:b w:val="0"/>
          <w:bCs w:val="0"/>
          <w:sz w:val="24"/>
          <w:szCs w:val="24"/>
          <w:highlight w:val="none"/>
          <w:u w:val="single"/>
          <w:lang w:val="en-US" w:eastAsia="zh-CN"/>
        </w:rPr>
        <w:t xml:space="preserve"> 4% </w:t>
      </w:r>
      <w:r>
        <w:rPr>
          <w:rFonts w:hint="eastAsia" w:ascii="仿宋" w:hAnsi="仿宋" w:eastAsia="仿宋" w:cs="仿宋"/>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u w:val="none"/>
          <w:lang w:val="en-US" w:eastAsia="zh-CN"/>
        </w:rPr>
        <w:t>无效投标</w:t>
      </w:r>
      <w:r>
        <w:rPr>
          <w:rFonts w:hint="eastAsia" w:ascii="仿宋" w:hAnsi="仿宋" w:eastAsia="仿宋" w:cs="仿宋"/>
          <w:b w:val="0"/>
          <w:bCs w:val="0"/>
          <w:sz w:val="24"/>
          <w:szCs w:val="24"/>
          <w:highlight w:val="none"/>
          <w:u w:val="none"/>
          <w:lang w:val="en-US" w:eastAsia="zh-CN"/>
        </w:rPr>
        <w:t>被拒绝。</w:t>
      </w:r>
    </w:p>
    <w:p w14:paraId="60918A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同品牌处理办法：</w:t>
      </w:r>
    </w:p>
    <w:p w14:paraId="2FEDAE5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如采用最低评标办法，则：</w:t>
      </w:r>
      <w:r>
        <w:rPr>
          <w:rFonts w:hint="eastAsia" w:ascii="仿宋" w:hAnsi="仿宋" w:eastAsia="仿宋" w:cs="仿宋"/>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如采用综合评标法，则：</w:t>
      </w:r>
      <w:r>
        <w:rPr>
          <w:rFonts w:hint="eastAsia" w:ascii="仿宋" w:hAnsi="仿宋" w:eastAsia="仿宋" w:cs="仿宋"/>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如一个分包内包含多种产品的，采购人或采购代理机构将在</w:t>
      </w:r>
      <w:r>
        <w:rPr>
          <w:rFonts w:hint="eastAsia" w:ascii="仿宋" w:hAnsi="仿宋" w:eastAsia="仿宋" w:cs="仿宋"/>
          <w:b w:val="0"/>
          <w:bCs w:val="0"/>
          <w:sz w:val="24"/>
          <w:szCs w:val="24"/>
          <w:highlight w:val="none"/>
          <w:u w:val="single"/>
          <w:lang w:val="en-US" w:eastAsia="zh-CN"/>
        </w:rPr>
        <w:t>投标人须知前附表</w:t>
      </w:r>
      <w:r>
        <w:rPr>
          <w:rFonts w:hint="eastAsia" w:ascii="仿宋" w:hAnsi="仿宋" w:eastAsia="仿宋" w:cs="仿宋"/>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highlight w:val="none"/>
          <w:u w:val="single"/>
          <w:lang w:val="en-US" w:eastAsia="zh-CN"/>
        </w:rPr>
        <w:t xml:space="preserve"> 1 </w:t>
      </w:r>
      <w:r>
        <w:rPr>
          <w:rFonts w:hint="eastAsia" w:ascii="仿宋" w:hAnsi="仿宋" w:eastAsia="仿宋" w:cs="仿宋"/>
          <w:b w:val="0"/>
          <w:bCs w:val="0"/>
          <w:sz w:val="24"/>
          <w:szCs w:val="24"/>
          <w:highlight w:val="none"/>
          <w:u w:val="none"/>
          <w:lang w:val="en-US" w:eastAsia="zh-CN"/>
        </w:rPr>
        <w:t>名中标候选人。</w:t>
      </w:r>
    </w:p>
    <w:p w14:paraId="454027AB">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1F195053">
      <w:pPr>
        <w:pStyle w:val="2"/>
        <w:numPr>
          <w:ilvl w:val="0"/>
          <w:numId w:val="1"/>
        </w:numPr>
        <w:bidi w:val="0"/>
        <w:jc w:val="center"/>
        <w:rPr>
          <w:rFonts w:hint="eastAsia" w:ascii="仿宋" w:hAnsi="仿宋" w:eastAsia="仿宋" w:cs="仿宋"/>
          <w:sz w:val="32"/>
          <w:szCs w:val="32"/>
          <w:highlight w:val="none"/>
          <w:lang w:val="en-US" w:eastAsia="zh-CN"/>
        </w:rPr>
      </w:pPr>
      <w:bookmarkStart w:id="26" w:name="_Toc31337"/>
      <w:r>
        <w:rPr>
          <w:rFonts w:hint="eastAsia" w:ascii="仿宋" w:hAnsi="仿宋" w:eastAsia="仿宋" w:cs="仿宋"/>
          <w:sz w:val="32"/>
          <w:szCs w:val="32"/>
          <w:highlight w:val="none"/>
          <w:lang w:val="en-US" w:eastAsia="zh-CN"/>
        </w:rPr>
        <w:t>投标文件格式</w:t>
      </w:r>
      <w:bookmarkEnd w:id="26"/>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投标人编制文件须知</w:t>
      </w:r>
    </w:p>
    <w:p w14:paraId="76C93854">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27" w:name="_Toc10196"/>
      <w:r>
        <w:rPr>
          <w:rFonts w:hint="eastAsia" w:ascii="仿宋" w:hAnsi="仿宋" w:eastAsia="仿宋" w:cs="仿宋"/>
          <w:b/>
          <w:bCs/>
          <w:color w:val="000000"/>
          <w:kern w:val="0"/>
          <w:sz w:val="24"/>
          <w:szCs w:val="24"/>
          <w:highlight w:val="none"/>
          <w:lang w:val="en-US" w:eastAsia="zh-CN" w:bidi="ar"/>
        </w:rPr>
        <w:t>投标文件封面（参考格式）</w:t>
      </w:r>
      <w:bookmarkEnd w:id="27"/>
    </w:p>
    <w:p w14:paraId="30CE0D33">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CABA53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8" w:name="_Toc16703"/>
      <w:r>
        <w:rPr>
          <w:rFonts w:hint="eastAsia" w:ascii="仿宋" w:hAnsi="仿宋" w:eastAsia="仿宋" w:cs="仿宋"/>
          <w:color w:val="000000"/>
          <w:kern w:val="0"/>
          <w:sz w:val="24"/>
          <w:highlight w:val="none"/>
          <w:u w:val="none"/>
          <w:lang w:bidi="ar"/>
        </w:rPr>
        <w:t>1、复印件并加盖本单位公章</w:t>
      </w:r>
      <w:bookmarkEnd w:id="28"/>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9" w:name="_Toc32425"/>
      <w:r>
        <w:rPr>
          <w:rFonts w:hint="eastAsia" w:ascii="仿宋" w:hAnsi="仿宋" w:eastAsia="仿宋" w:cs="仿宋"/>
          <w:color w:val="000000"/>
          <w:kern w:val="0"/>
          <w:sz w:val="24"/>
          <w:highlight w:val="none"/>
          <w:u w:val="none"/>
          <w:lang w:bidi="ar"/>
        </w:rPr>
        <w:t>3、如果是联合体投标，联合体各方均需提供上述证明。</w:t>
      </w:r>
      <w:bookmarkEnd w:id="29"/>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0" w:name="_Toc7512"/>
      <w:r>
        <w:rPr>
          <w:rFonts w:hint="eastAsia" w:ascii="仿宋" w:hAnsi="仿宋" w:eastAsia="仿宋" w:cs="仿宋"/>
          <w:color w:val="000000"/>
          <w:kern w:val="0"/>
          <w:sz w:val="24"/>
          <w:highlight w:val="none"/>
          <w:u w:val="none"/>
          <w:lang w:bidi="ar"/>
        </w:rPr>
        <w:t>1、复印件并加盖本单位公章</w:t>
      </w:r>
      <w:bookmarkEnd w:id="30"/>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1" w:name="_Toc8376"/>
      <w:r>
        <w:rPr>
          <w:rFonts w:hint="eastAsia" w:ascii="仿宋" w:hAnsi="仿宋" w:eastAsia="仿宋" w:cs="仿宋"/>
          <w:color w:val="000000"/>
          <w:kern w:val="0"/>
          <w:sz w:val="24"/>
          <w:highlight w:val="none"/>
          <w:u w:val="none"/>
          <w:lang w:bidi="ar"/>
        </w:rPr>
        <w:t>3、如果是联合体投标，联合体各方均需提供上述证明。</w:t>
      </w:r>
      <w:r>
        <w:rPr>
          <w:rFonts w:hint="eastAsia" w:ascii="仿宋" w:hAnsi="仿宋" w:eastAsia="仿宋" w:cs="仿宋"/>
          <w:color w:val="000000"/>
          <w:kern w:val="0"/>
          <w:sz w:val="24"/>
          <w:highlight w:val="none"/>
          <w:u w:val="none"/>
          <w:lang w:bidi="ar"/>
        </w:rPr>
        <w:br w:type="page"/>
      </w:r>
      <w:bookmarkEnd w:id="31"/>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2" w:name="_Toc3006"/>
      <w:r>
        <w:rPr>
          <w:rFonts w:hint="eastAsia" w:ascii="仿宋" w:hAnsi="仿宋" w:eastAsia="仿宋" w:cs="仿宋"/>
          <w:color w:val="000000"/>
          <w:kern w:val="0"/>
          <w:sz w:val="24"/>
          <w:highlight w:val="none"/>
          <w:u w:val="none"/>
          <w:lang w:bidi="ar"/>
        </w:rPr>
        <w:t>1、复印件并加盖本单位公章</w:t>
      </w:r>
      <w:bookmarkEnd w:id="32"/>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3" w:name="_Toc28907"/>
      <w:r>
        <w:rPr>
          <w:rFonts w:hint="eastAsia" w:ascii="仿宋" w:hAnsi="仿宋" w:eastAsia="仿宋" w:cs="仿宋"/>
          <w:color w:val="000000"/>
          <w:kern w:val="0"/>
          <w:sz w:val="24"/>
          <w:highlight w:val="none"/>
          <w:u w:val="none"/>
          <w:lang w:bidi="ar"/>
        </w:rPr>
        <w:t>3、如果是联合体投标，联合体各方均需提供上述证明。</w:t>
      </w:r>
      <w:bookmarkEnd w:id="33"/>
    </w:p>
    <w:p w14:paraId="0C300D7B">
      <w:pPr>
        <w:rPr>
          <w:rFonts w:hint="eastAsia" w:ascii="仿宋" w:hAnsi="仿宋" w:eastAsia="仿宋" w:cs="仿宋"/>
          <w:color w:val="000000"/>
          <w:kern w:val="0"/>
          <w:sz w:val="24"/>
          <w:highlight w:val="none"/>
          <w:u w:val="none"/>
          <w:lang w:bidi="ar"/>
        </w:rPr>
      </w:pPr>
    </w:p>
    <w:p w14:paraId="2C286A64">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01C9B8C">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投标人资格声明书</w:t>
      </w:r>
    </w:p>
    <w:p w14:paraId="4C17AABF">
      <w:pPr>
        <w:rPr>
          <w:rFonts w:hint="eastAsia" w:ascii="仿宋" w:hAnsi="仿宋" w:eastAsia="仿宋" w:cs="仿宋"/>
          <w:color w:val="000000"/>
          <w:kern w:val="0"/>
          <w:sz w:val="24"/>
          <w:highlight w:val="none"/>
          <w:u w:val="none"/>
          <w:lang w:bidi="ar"/>
        </w:rPr>
      </w:pPr>
    </w:p>
    <w:p w14:paraId="2FB700E4">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投标人名称：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5D9351BF">
      <w:pPr>
        <w:rPr>
          <w:rFonts w:hint="eastAsia" w:ascii="仿宋" w:hAnsi="仿宋" w:eastAsia="仿宋" w:cs="仿宋"/>
          <w:color w:val="000000"/>
          <w:kern w:val="0"/>
          <w:sz w:val="24"/>
          <w:szCs w:val="24"/>
          <w:highlight w:val="none"/>
          <w:lang w:val="en-US" w:eastAsia="zh-CN" w:bidi="ar"/>
        </w:rPr>
      </w:pPr>
    </w:p>
    <w:p w14:paraId="755A5FC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4" w:name="_Toc32152"/>
      <w:r>
        <w:rPr>
          <w:rFonts w:hint="eastAsia" w:ascii="仿宋" w:hAnsi="仿宋" w:eastAsia="仿宋" w:cs="仿宋"/>
          <w:color w:val="000000"/>
          <w:kern w:val="0"/>
          <w:sz w:val="24"/>
          <w:szCs w:val="24"/>
          <w:highlight w:val="none"/>
          <w:lang w:val="en-US" w:eastAsia="zh-CN" w:bidi="ar"/>
        </w:rPr>
        <w:t>2 落实政府采购政策需满足的资格要求（如有）</w:t>
      </w:r>
      <w:bookmarkEnd w:id="34"/>
      <w:r>
        <w:rPr>
          <w:rFonts w:hint="eastAsia" w:ascii="仿宋" w:hAnsi="仿宋" w:eastAsia="仿宋" w:cs="仿宋"/>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F075A3A">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5"/>
          <w:rFonts w:hint="eastAsia" w:ascii="仿宋" w:hAnsi="仿宋" w:eastAsia="仿宋" w:cs="仿宋"/>
          <w:i w:val="0"/>
          <w:iCs w:val="0"/>
          <w:caps w:val="0"/>
          <w:color w:val="000000"/>
          <w:spacing w:val="0"/>
          <w:sz w:val="32"/>
          <w:szCs w:val="32"/>
          <w:highlight w:val="none"/>
        </w:rPr>
        <w:t>中小企业声明函</w:t>
      </w:r>
      <w:r>
        <w:rPr>
          <w:rStyle w:val="25"/>
          <w:rFonts w:hint="eastAsia" w:ascii="仿宋" w:hAnsi="仿宋" w:eastAsia="仿宋" w:cs="仿宋"/>
          <w:i w:val="0"/>
          <w:iCs w:val="0"/>
          <w:caps w:val="0"/>
          <w:color w:val="000000"/>
          <w:spacing w:val="0"/>
          <w:sz w:val="32"/>
          <w:szCs w:val="32"/>
          <w:highlight w:val="none"/>
          <w:lang w:eastAsia="zh-CN"/>
        </w:rPr>
        <w:t>（</w:t>
      </w:r>
      <w:r>
        <w:rPr>
          <w:rStyle w:val="25"/>
          <w:rFonts w:hint="eastAsia" w:ascii="仿宋" w:hAnsi="仿宋" w:eastAsia="仿宋" w:cs="仿宋"/>
          <w:i w:val="0"/>
          <w:iCs w:val="0"/>
          <w:caps w:val="0"/>
          <w:color w:val="000000"/>
          <w:spacing w:val="0"/>
          <w:sz w:val="32"/>
          <w:szCs w:val="32"/>
          <w:highlight w:val="none"/>
        </w:rPr>
        <w:t>货物</w:t>
      </w:r>
      <w:r>
        <w:rPr>
          <w:rStyle w:val="25"/>
          <w:rFonts w:hint="eastAsia" w:ascii="仿宋" w:hAnsi="仿宋" w:eastAsia="仿宋" w:cs="仿宋"/>
          <w:i w:val="0"/>
          <w:iCs w:val="0"/>
          <w:caps w:val="0"/>
          <w:color w:val="000000"/>
          <w:spacing w:val="0"/>
          <w:sz w:val="32"/>
          <w:szCs w:val="32"/>
          <w:highlight w:val="none"/>
          <w:lang w:eastAsia="zh-CN"/>
        </w:rPr>
        <w:t>）</w:t>
      </w:r>
    </w:p>
    <w:p w14:paraId="441DAA12">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14:paraId="7D16E0C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highlight w:val="none"/>
          <w:u w:val="single"/>
        </w:rPr>
        <w:t>（单位名称）</w:t>
      </w:r>
      <w:r>
        <w:rPr>
          <w:rFonts w:hint="eastAsia" w:ascii="仿宋" w:hAnsi="仿宋" w:eastAsia="仿宋" w:cs="仿宋"/>
          <w:i w:val="0"/>
          <w:iCs w:val="0"/>
          <w:caps w:val="0"/>
          <w:color w:val="000000"/>
          <w:spacing w:val="0"/>
          <w:sz w:val="24"/>
          <w:szCs w:val="24"/>
          <w:highlight w:val="none"/>
        </w:rPr>
        <w:t>的</w:t>
      </w:r>
      <w:r>
        <w:rPr>
          <w:rFonts w:hint="eastAsia" w:ascii="仿宋" w:hAnsi="仿宋" w:eastAsia="仿宋" w:cs="仿宋"/>
          <w:i/>
          <w:iCs/>
          <w:caps w:val="0"/>
          <w:color w:val="000000"/>
          <w:spacing w:val="0"/>
          <w:sz w:val="24"/>
          <w:szCs w:val="24"/>
          <w:highlight w:val="none"/>
          <w:u w:val="single"/>
        </w:rPr>
        <w:t>（项目名称）</w:t>
      </w:r>
      <w:r>
        <w:rPr>
          <w:rFonts w:hint="eastAsia" w:ascii="仿宋" w:hAnsi="仿宋" w:eastAsia="仿宋" w:cs="仿宋"/>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645D9AA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7E3CD96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w:t>
      </w:r>
    </w:p>
    <w:p w14:paraId="1E9C5B2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本企业对上述声明内容的真实性负责。如有虚假，将依法承担相应责任。</w:t>
      </w:r>
    </w:p>
    <w:p w14:paraId="4C6775B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p>
    <w:p w14:paraId="3557DBB9">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E4CE7C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3941AD9">
      <w:pPr>
        <w:rPr>
          <w:rFonts w:hint="eastAsia" w:ascii="仿宋" w:hAnsi="仿宋" w:eastAsia="仿宋" w:cs="仿宋"/>
          <w:b w:val="0"/>
          <w:bCs w:val="0"/>
          <w:color w:val="000000"/>
          <w:kern w:val="0"/>
          <w:sz w:val="21"/>
          <w:szCs w:val="21"/>
          <w:highlight w:val="none"/>
          <w:lang w:val="en-US" w:eastAsia="zh-CN" w:bidi="ar"/>
        </w:rPr>
      </w:pPr>
    </w:p>
    <w:p w14:paraId="671D4511">
      <w:pPr>
        <w:rPr>
          <w:rFonts w:hint="eastAsia" w:ascii="仿宋" w:hAnsi="仿宋" w:eastAsia="仿宋" w:cs="仿宋"/>
          <w:b w:val="0"/>
          <w:bCs w:val="0"/>
          <w:color w:val="000000"/>
          <w:kern w:val="0"/>
          <w:sz w:val="21"/>
          <w:szCs w:val="21"/>
          <w:highlight w:val="none"/>
          <w:lang w:val="en-US" w:eastAsia="zh-CN" w:bidi="ar"/>
        </w:rPr>
      </w:pPr>
    </w:p>
    <w:p w14:paraId="7134AC88">
      <w:pPr>
        <w:rPr>
          <w:rFonts w:hint="eastAsia" w:ascii="仿宋" w:hAnsi="仿宋" w:eastAsia="仿宋" w:cs="仿宋"/>
          <w:b w:val="0"/>
          <w:bCs w:val="0"/>
          <w:color w:val="000000"/>
          <w:kern w:val="0"/>
          <w:sz w:val="21"/>
          <w:szCs w:val="21"/>
          <w:highlight w:val="none"/>
          <w:lang w:val="en-US" w:eastAsia="zh-CN" w:bidi="ar"/>
        </w:rPr>
      </w:pPr>
    </w:p>
    <w:p w14:paraId="4AF3811B">
      <w:pPr>
        <w:rPr>
          <w:rFonts w:hint="eastAsia" w:ascii="仿宋" w:hAnsi="仿宋" w:eastAsia="仿宋" w:cs="仿宋"/>
          <w:b w:val="0"/>
          <w:bCs w:val="0"/>
          <w:color w:val="000000"/>
          <w:kern w:val="0"/>
          <w:sz w:val="21"/>
          <w:szCs w:val="21"/>
          <w:highlight w:val="none"/>
          <w:lang w:val="en-US" w:eastAsia="zh-CN" w:bidi="ar"/>
        </w:rPr>
      </w:pPr>
    </w:p>
    <w:p w14:paraId="79861381">
      <w:pPr>
        <w:rPr>
          <w:rFonts w:hint="eastAsia" w:ascii="仿宋" w:hAnsi="仿宋" w:eastAsia="仿宋" w:cs="仿宋"/>
          <w:b w:val="0"/>
          <w:bCs w:val="0"/>
          <w:color w:val="000000"/>
          <w:kern w:val="0"/>
          <w:sz w:val="21"/>
          <w:szCs w:val="21"/>
          <w:highlight w:val="none"/>
          <w:lang w:val="en-US" w:eastAsia="zh-CN" w:bidi="ar"/>
        </w:rPr>
      </w:pPr>
    </w:p>
    <w:p w14:paraId="6F3084EF">
      <w:pPr>
        <w:rPr>
          <w:rFonts w:hint="eastAsia" w:ascii="仿宋" w:hAnsi="仿宋" w:eastAsia="仿宋" w:cs="仿宋"/>
          <w:b w:val="0"/>
          <w:bCs w:val="0"/>
          <w:color w:val="000000"/>
          <w:kern w:val="0"/>
          <w:sz w:val="21"/>
          <w:szCs w:val="21"/>
          <w:highlight w:val="none"/>
          <w:lang w:val="en-US" w:eastAsia="zh-CN" w:bidi="ar"/>
        </w:rPr>
      </w:pPr>
    </w:p>
    <w:p w14:paraId="57537CA1">
      <w:pPr>
        <w:rPr>
          <w:rFonts w:hint="eastAsia" w:ascii="仿宋" w:hAnsi="仿宋" w:eastAsia="仿宋" w:cs="仿宋"/>
          <w:b w:val="0"/>
          <w:bCs w:val="0"/>
          <w:color w:val="000000"/>
          <w:kern w:val="0"/>
          <w:sz w:val="21"/>
          <w:szCs w:val="21"/>
          <w:highlight w:val="none"/>
          <w:lang w:val="en-US" w:eastAsia="zh-CN" w:bidi="ar"/>
        </w:rPr>
      </w:pPr>
    </w:p>
    <w:p w14:paraId="0511C77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0B5FECA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2-2 拟分包情况说明及分包意向协议 </w:t>
      </w: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（填写包号） </w:t>
      </w:r>
      <w:r>
        <w:rPr>
          <w:rFonts w:hint="eastAsia" w:ascii="仿宋" w:hAnsi="仿宋" w:eastAsia="仿宋" w:cs="仿宋"/>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659F14">
      <w:pPr>
        <w:keepNext w:val="0"/>
        <w:keepLines w:val="0"/>
        <w:pageBreakBefore w:val="0"/>
        <w:widowControl/>
        <w:numPr>
          <w:ilvl w:val="0"/>
          <w:numId w:val="14"/>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4"/>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szCs w:val="24"/>
          <w:highlight w:val="none"/>
          <w:lang w:val="en-US" w:eastAsia="zh-CN" w:bidi="ar"/>
        </w:rPr>
        <w:t>投标无效</w:t>
      </w:r>
      <w:r>
        <w:rPr>
          <w:rFonts w:hint="eastAsia" w:ascii="仿宋" w:hAnsi="仿宋" w:eastAsia="仿宋" w:cs="仿宋"/>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（3）投标人与上述拟分包承担主体签署的《分包意向协议》后附。</w:t>
      </w:r>
    </w:p>
    <w:p w14:paraId="3B7F204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9B41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甲方（投标人）：</w:t>
      </w:r>
      <w:r>
        <w:rPr>
          <w:rFonts w:hint="eastAsia" w:ascii="仿宋" w:hAnsi="仿宋" w:eastAsia="仿宋" w:cs="仿宋"/>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（采购项目名称）（项目编号/包号为：     </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5"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5"/>
      <w:r>
        <w:rPr>
          <w:rFonts w:hint="eastAsia" w:ascii="仿宋" w:hAnsi="仿宋" w:eastAsia="仿宋" w:cs="仿宋"/>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2-3 其它落实政府采购政策的资格要求（如有）</w:t>
      </w:r>
    </w:p>
    <w:p w14:paraId="4E2B85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02807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EB7B6B5">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968C9D5">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6E46C8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2AE77CB">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（项目名称，项目编号/包号）</w:t>
      </w:r>
      <w:r>
        <w:rPr>
          <w:rFonts w:hint="eastAsia" w:ascii="仿宋" w:hAnsi="仿宋" w:eastAsia="仿宋" w:cs="仿宋"/>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6" w:name="_Toc30504"/>
      <w:r>
        <w:rPr>
          <w:rFonts w:hint="eastAsia" w:ascii="仿宋" w:hAnsi="仿宋" w:eastAsia="仿宋" w:cs="仿宋"/>
          <w:color w:val="000000"/>
          <w:kern w:val="0"/>
          <w:sz w:val="24"/>
          <w:szCs w:val="24"/>
          <w:highlight w:val="none"/>
          <w:lang w:val="en-US" w:eastAsia="zh-CN" w:bidi="ar"/>
        </w:rPr>
        <w:t>1. 我方已详细审查全部招标文件，自愿参与投标并承诺如下：</w:t>
      </w:r>
      <w:bookmarkEnd w:id="36"/>
      <w:r>
        <w:rPr>
          <w:rFonts w:hint="eastAsia" w:ascii="仿宋" w:hAnsi="仿宋" w:eastAsia="仿宋" w:cs="仿宋"/>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（1）本投标有效期为自提交投标文件的截止之日起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7" w:name="_Toc24785"/>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7"/>
      <w:r>
        <w:rPr>
          <w:rFonts w:hint="eastAsia" w:ascii="仿宋" w:hAnsi="仿宋" w:eastAsia="仿宋" w:cs="仿宋"/>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投标人名称（加盖公章）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7DBAE59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8" w:name="_Toc6076"/>
      <w:r>
        <w:rPr>
          <w:rFonts w:hint="eastAsia" w:ascii="仿宋" w:hAnsi="仿宋" w:eastAsia="仿宋" w:cs="仿宋"/>
          <w:color w:val="000000"/>
          <w:kern w:val="0"/>
          <w:sz w:val="24"/>
          <w:szCs w:val="24"/>
          <w:highlight w:val="none"/>
          <w:lang w:val="en-US" w:eastAsia="zh-CN" w:bidi="ar"/>
        </w:rPr>
        <w:t>6  授权委托书</w:t>
      </w:r>
      <w:bookmarkEnd w:id="38"/>
      <w:r>
        <w:rPr>
          <w:rFonts w:hint="eastAsia" w:ascii="仿宋" w:hAnsi="仿宋" w:eastAsia="仿宋" w:cs="仿宋"/>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（投标人名称）的法定代表人（单位负责人），现委托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9" w:name="_Toc18807"/>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39"/>
    </w:p>
    <w:p w14:paraId="0F0B444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（投标人名称）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C8E11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5077B4">
      <w:pPr>
        <w:outlineLvl w:val="1"/>
        <w:rPr>
          <w:rFonts w:hint="eastAsia" w:ascii="仿宋" w:hAnsi="仿宋" w:eastAsia="仿宋" w:cs="仿宋"/>
          <w:sz w:val="24"/>
          <w:szCs w:val="24"/>
          <w:highlight w:val="none"/>
          <w:lang w:val="en-US" w:eastAsia="zh-CN"/>
        </w:rPr>
      </w:pPr>
      <w:bookmarkStart w:id="40" w:name="_Toc23107"/>
      <w:r>
        <w:rPr>
          <w:rFonts w:hint="eastAsia" w:ascii="仿宋" w:hAnsi="仿宋" w:eastAsia="仿宋" w:cs="仿宋"/>
          <w:sz w:val="24"/>
          <w:szCs w:val="24"/>
          <w:highlight w:val="none"/>
          <w:lang w:val="en-US" w:eastAsia="zh-CN"/>
        </w:rPr>
        <w:t>7-1  开标一览表</w:t>
      </w:r>
      <w:bookmarkEnd w:id="40"/>
    </w:p>
    <w:p w14:paraId="3E061FB7">
      <w:pPr>
        <w:rPr>
          <w:rFonts w:hint="eastAsia" w:ascii="仿宋" w:hAnsi="仿宋" w:eastAsia="仿宋" w:cs="仿宋"/>
          <w:highlight w:val="none"/>
          <w:lang w:val="en-US" w:eastAsia="zh-CN"/>
        </w:rPr>
      </w:pPr>
    </w:p>
    <w:p w14:paraId="10B40C1B">
      <w:pPr>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开标一览表</w:t>
      </w:r>
    </w:p>
    <w:p w14:paraId="19107C20">
      <w:pPr>
        <w:tabs>
          <w:tab w:val="left" w:pos="9135"/>
        </w:tabs>
        <w:spacing w:line="360" w:lineRule="auto"/>
        <w:rPr>
          <w:rFonts w:hint="eastAsia" w:ascii="仿宋" w:hAnsi="仿宋" w:eastAsia="仿宋" w:cs="仿宋"/>
          <w:bCs/>
          <w:sz w:val="24"/>
          <w:szCs w:val="24"/>
          <w:u w:val="single"/>
        </w:rPr>
      </w:pPr>
      <w:r>
        <w:rPr>
          <w:rFonts w:hint="eastAsia" w:ascii="仿宋" w:hAnsi="仿宋" w:eastAsia="仿宋" w:cs="仿宋"/>
          <w:bCs/>
          <w:sz w:val="24"/>
          <w:szCs w:val="24"/>
        </w:rPr>
        <w:t>项目名称：　　　　　　　　　　</w:t>
      </w:r>
    </w:p>
    <w:p w14:paraId="51A6B9A5">
      <w:pPr>
        <w:tabs>
          <w:tab w:val="left" w:pos="9135"/>
        </w:tabs>
        <w:spacing w:line="360" w:lineRule="auto"/>
        <w:rPr>
          <w:rFonts w:hint="eastAsia" w:ascii="仿宋" w:hAnsi="仿宋" w:eastAsia="仿宋" w:cs="仿宋"/>
          <w:bCs/>
          <w:sz w:val="24"/>
          <w:szCs w:val="24"/>
          <w:u w:val="single"/>
        </w:rPr>
      </w:pPr>
      <w:r>
        <w:rPr>
          <w:rFonts w:hint="eastAsia" w:ascii="仿宋" w:hAnsi="仿宋" w:eastAsia="仿宋" w:cs="仿宋"/>
          <w:bCs/>
          <w:sz w:val="24"/>
          <w:szCs w:val="24"/>
        </w:rPr>
        <w:t>项目编号：　　　　　　　　　　</w:t>
      </w:r>
      <w:r>
        <w:rPr>
          <w:rFonts w:hint="eastAsia" w:ascii="仿宋" w:hAnsi="仿宋" w:eastAsia="仿宋" w:cs="仿宋"/>
          <w:bCs/>
        </w:rPr>
        <w:t xml:space="preserve">                                   单    位：元</w:t>
      </w:r>
    </w:p>
    <w:tbl>
      <w:tblPr>
        <w:tblStyle w:val="22"/>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0"/>
        <w:gridCol w:w="1590"/>
        <w:gridCol w:w="1193"/>
        <w:gridCol w:w="1229"/>
        <w:gridCol w:w="1030"/>
        <w:gridCol w:w="1536"/>
        <w:gridCol w:w="1224"/>
        <w:gridCol w:w="1059"/>
      </w:tblGrid>
      <w:tr w14:paraId="489A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717" w:type="dxa"/>
            <w:vMerge w:val="restart"/>
            <w:noWrap w:val="0"/>
            <w:vAlign w:val="center"/>
          </w:tcPr>
          <w:p w14:paraId="55A0EDA7">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1360" w:type="dxa"/>
            <w:vMerge w:val="restart"/>
            <w:noWrap w:val="0"/>
            <w:vAlign w:val="center"/>
          </w:tcPr>
          <w:p w14:paraId="2F752FE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产品名称</w:t>
            </w:r>
          </w:p>
        </w:tc>
        <w:tc>
          <w:tcPr>
            <w:tcW w:w="6578" w:type="dxa"/>
            <w:gridSpan w:val="5"/>
            <w:noWrap w:val="0"/>
            <w:vAlign w:val="center"/>
          </w:tcPr>
          <w:p w14:paraId="14AE61C6">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投标产品信息</w:t>
            </w:r>
          </w:p>
          <w:p w14:paraId="6BEE8BE1">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（应与医疗器械注册证或备案证信息一致）</w:t>
            </w:r>
          </w:p>
        </w:tc>
        <w:tc>
          <w:tcPr>
            <w:tcW w:w="1224" w:type="dxa"/>
            <w:vMerge w:val="restart"/>
            <w:noWrap w:val="0"/>
            <w:vAlign w:val="center"/>
          </w:tcPr>
          <w:p w14:paraId="2C865A7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单价</w:t>
            </w:r>
          </w:p>
        </w:tc>
        <w:tc>
          <w:tcPr>
            <w:tcW w:w="1059" w:type="dxa"/>
            <w:vMerge w:val="restart"/>
            <w:noWrap w:val="0"/>
            <w:vAlign w:val="center"/>
          </w:tcPr>
          <w:p w14:paraId="7C7E4176">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备注（包装规格）</w:t>
            </w:r>
          </w:p>
        </w:tc>
      </w:tr>
      <w:tr w14:paraId="0557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blHeader/>
          <w:jc w:val="center"/>
        </w:trPr>
        <w:tc>
          <w:tcPr>
            <w:tcW w:w="717" w:type="dxa"/>
            <w:vMerge w:val="continue"/>
            <w:noWrap w:val="0"/>
            <w:vAlign w:val="center"/>
          </w:tcPr>
          <w:p w14:paraId="71C25497">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360" w:type="dxa"/>
            <w:vMerge w:val="continue"/>
            <w:noWrap w:val="0"/>
            <w:vAlign w:val="center"/>
          </w:tcPr>
          <w:p w14:paraId="463B14F0">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590" w:type="dxa"/>
            <w:noWrap w:val="0"/>
            <w:vAlign w:val="center"/>
          </w:tcPr>
          <w:p w14:paraId="66ECB9A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投标产品注册证名称</w:t>
            </w:r>
          </w:p>
        </w:tc>
        <w:tc>
          <w:tcPr>
            <w:tcW w:w="1193" w:type="dxa"/>
            <w:noWrap w:val="0"/>
            <w:vAlign w:val="center"/>
          </w:tcPr>
          <w:p w14:paraId="42471B1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规格型号</w:t>
            </w:r>
          </w:p>
        </w:tc>
        <w:tc>
          <w:tcPr>
            <w:tcW w:w="1229" w:type="dxa"/>
            <w:noWrap w:val="0"/>
            <w:vAlign w:val="center"/>
          </w:tcPr>
          <w:p w14:paraId="45E596C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生产厂家</w:t>
            </w:r>
          </w:p>
        </w:tc>
        <w:tc>
          <w:tcPr>
            <w:tcW w:w="1030" w:type="dxa"/>
            <w:noWrap w:val="0"/>
            <w:vAlign w:val="center"/>
          </w:tcPr>
          <w:p w14:paraId="57D7DAEC">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产地</w:t>
            </w:r>
          </w:p>
        </w:tc>
        <w:tc>
          <w:tcPr>
            <w:tcW w:w="1536" w:type="dxa"/>
            <w:noWrap w:val="0"/>
            <w:vAlign w:val="center"/>
          </w:tcPr>
          <w:p w14:paraId="4D7776B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注册证号</w:t>
            </w:r>
          </w:p>
        </w:tc>
        <w:tc>
          <w:tcPr>
            <w:tcW w:w="1224" w:type="dxa"/>
            <w:vMerge w:val="continue"/>
            <w:noWrap w:val="0"/>
            <w:vAlign w:val="center"/>
          </w:tcPr>
          <w:p w14:paraId="615ECB4B">
            <w:pPr>
              <w:tabs>
                <w:tab w:val="left" w:pos="9135"/>
              </w:tabs>
              <w:spacing w:line="360" w:lineRule="auto"/>
              <w:jc w:val="center"/>
              <w:rPr>
                <w:rFonts w:hint="eastAsia" w:ascii="仿宋" w:hAnsi="仿宋" w:eastAsia="仿宋" w:cs="仿宋"/>
                <w:bCs/>
                <w:sz w:val="24"/>
                <w:szCs w:val="24"/>
                <w:lang w:val="en-US"/>
              </w:rPr>
            </w:pPr>
          </w:p>
        </w:tc>
        <w:tc>
          <w:tcPr>
            <w:tcW w:w="1059" w:type="dxa"/>
            <w:vMerge w:val="continue"/>
            <w:noWrap w:val="0"/>
            <w:vAlign w:val="center"/>
          </w:tcPr>
          <w:p w14:paraId="02712A33">
            <w:pPr>
              <w:tabs>
                <w:tab w:val="left" w:pos="9135"/>
              </w:tabs>
              <w:spacing w:line="360" w:lineRule="auto"/>
              <w:jc w:val="center"/>
              <w:rPr>
                <w:rFonts w:hint="eastAsia" w:ascii="仿宋" w:hAnsi="仿宋" w:eastAsia="仿宋" w:cs="仿宋"/>
                <w:bCs/>
                <w:sz w:val="24"/>
                <w:szCs w:val="24"/>
                <w:lang w:val="en-US"/>
              </w:rPr>
            </w:pPr>
          </w:p>
        </w:tc>
      </w:tr>
      <w:tr w14:paraId="129A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noWrap w:val="0"/>
            <w:vAlign w:val="center"/>
          </w:tcPr>
          <w:p w14:paraId="2D974326">
            <w:pPr>
              <w:tabs>
                <w:tab w:val="left" w:pos="9135"/>
              </w:tabs>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360" w:type="dxa"/>
            <w:noWrap w:val="0"/>
            <w:vAlign w:val="center"/>
          </w:tcPr>
          <w:p w14:paraId="10697894">
            <w:pPr>
              <w:tabs>
                <w:tab w:val="left" w:pos="9135"/>
              </w:tabs>
              <w:spacing w:line="360" w:lineRule="auto"/>
              <w:jc w:val="center"/>
              <w:rPr>
                <w:rFonts w:hint="eastAsia" w:ascii="仿宋" w:hAnsi="仿宋" w:eastAsia="仿宋" w:cs="仿宋"/>
                <w:bCs/>
                <w:sz w:val="24"/>
                <w:szCs w:val="24"/>
              </w:rPr>
            </w:pPr>
          </w:p>
        </w:tc>
        <w:tc>
          <w:tcPr>
            <w:tcW w:w="1590" w:type="dxa"/>
            <w:noWrap w:val="0"/>
            <w:vAlign w:val="center"/>
          </w:tcPr>
          <w:p w14:paraId="6C7AC0DE">
            <w:pPr>
              <w:tabs>
                <w:tab w:val="left" w:pos="9135"/>
              </w:tabs>
              <w:spacing w:line="360" w:lineRule="auto"/>
              <w:jc w:val="center"/>
              <w:rPr>
                <w:rFonts w:hint="eastAsia" w:ascii="仿宋" w:hAnsi="仿宋" w:eastAsia="仿宋" w:cs="仿宋"/>
                <w:bCs/>
                <w:sz w:val="24"/>
                <w:szCs w:val="24"/>
              </w:rPr>
            </w:pPr>
          </w:p>
        </w:tc>
        <w:tc>
          <w:tcPr>
            <w:tcW w:w="1193" w:type="dxa"/>
            <w:noWrap w:val="0"/>
            <w:vAlign w:val="center"/>
          </w:tcPr>
          <w:p w14:paraId="46010858">
            <w:pPr>
              <w:tabs>
                <w:tab w:val="left" w:pos="9135"/>
              </w:tabs>
              <w:spacing w:line="360" w:lineRule="auto"/>
              <w:jc w:val="center"/>
              <w:rPr>
                <w:rFonts w:hint="eastAsia" w:ascii="仿宋" w:hAnsi="仿宋" w:eastAsia="仿宋" w:cs="仿宋"/>
                <w:bCs/>
                <w:sz w:val="24"/>
                <w:szCs w:val="24"/>
              </w:rPr>
            </w:pPr>
          </w:p>
        </w:tc>
        <w:tc>
          <w:tcPr>
            <w:tcW w:w="1229" w:type="dxa"/>
            <w:noWrap w:val="0"/>
            <w:vAlign w:val="center"/>
          </w:tcPr>
          <w:p w14:paraId="12B24A17">
            <w:pPr>
              <w:tabs>
                <w:tab w:val="left" w:pos="9135"/>
              </w:tabs>
              <w:spacing w:line="360" w:lineRule="auto"/>
              <w:jc w:val="center"/>
              <w:rPr>
                <w:rFonts w:hint="eastAsia" w:ascii="仿宋" w:hAnsi="仿宋" w:eastAsia="仿宋" w:cs="仿宋"/>
                <w:bCs/>
                <w:sz w:val="24"/>
                <w:szCs w:val="24"/>
              </w:rPr>
            </w:pPr>
          </w:p>
        </w:tc>
        <w:tc>
          <w:tcPr>
            <w:tcW w:w="1030" w:type="dxa"/>
            <w:noWrap w:val="0"/>
            <w:vAlign w:val="center"/>
          </w:tcPr>
          <w:p w14:paraId="70286124">
            <w:pPr>
              <w:tabs>
                <w:tab w:val="left" w:pos="9135"/>
              </w:tabs>
              <w:spacing w:line="360" w:lineRule="auto"/>
              <w:jc w:val="center"/>
              <w:rPr>
                <w:rFonts w:hint="eastAsia" w:ascii="仿宋" w:hAnsi="仿宋" w:eastAsia="仿宋" w:cs="仿宋"/>
                <w:bCs/>
                <w:sz w:val="24"/>
                <w:szCs w:val="24"/>
              </w:rPr>
            </w:pPr>
          </w:p>
        </w:tc>
        <w:tc>
          <w:tcPr>
            <w:tcW w:w="1536" w:type="dxa"/>
            <w:noWrap w:val="0"/>
            <w:vAlign w:val="center"/>
          </w:tcPr>
          <w:p w14:paraId="272A51EB">
            <w:pPr>
              <w:tabs>
                <w:tab w:val="left" w:pos="9135"/>
              </w:tabs>
              <w:spacing w:line="360" w:lineRule="auto"/>
              <w:jc w:val="center"/>
              <w:rPr>
                <w:rFonts w:hint="eastAsia" w:ascii="仿宋" w:hAnsi="仿宋" w:eastAsia="仿宋" w:cs="仿宋"/>
                <w:bCs/>
                <w:sz w:val="24"/>
                <w:szCs w:val="24"/>
              </w:rPr>
            </w:pPr>
          </w:p>
        </w:tc>
        <w:tc>
          <w:tcPr>
            <w:tcW w:w="1224" w:type="dxa"/>
            <w:noWrap w:val="0"/>
            <w:vAlign w:val="top"/>
          </w:tcPr>
          <w:p w14:paraId="01F73F04">
            <w:pPr>
              <w:tabs>
                <w:tab w:val="left" w:pos="9135"/>
              </w:tabs>
              <w:spacing w:line="360" w:lineRule="auto"/>
              <w:rPr>
                <w:rFonts w:hint="eastAsia" w:ascii="仿宋" w:hAnsi="仿宋" w:eastAsia="仿宋" w:cs="仿宋"/>
                <w:bCs/>
                <w:sz w:val="24"/>
                <w:szCs w:val="24"/>
              </w:rPr>
            </w:pPr>
          </w:p>
        </w:tc>
        <w:tc>
          <w:tcPr>
            <w:tcW w:w="1059" w:type="dxa"/>
            <w:noWrap w:val="0"/>
            <w:vAlign w:val="top"/>
          </w:tcPr>
          <w:p w14:paraId="2F63588A">
            <w:pPr>
              <w:tabs>
                <w:tab w:val="left" w:pos="9135"/>
              </w:tabs>
              <w:spacing w:line="360" w:lineRule="auto"/>
              <w:rPr>
                <w:rFonts w:hint="eastAsia" w:ascii="仿宋" w:hAnsi="仿宋" w:eastAsia="仿宋" w:cs="仿宋"/>
                <w:bCs/>
                <w:sz w:val="24"/>
                <w:szCs w:val="24"/>
              </w:rPr>
            </w:pPr>
          </w:p>
        </w:tc>
      </w:tr>
      <w:tr w14:paraId="3EB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noWrap w:val="0"/>
            <w:vAlign w:val="center"/>
          </w:tcPr>
          <w:p w14:paraId="60471AD0">
            <w:pPr>
              <w:tabs>
                <w:tab w:val="left" w:pos="9135"/>
              </w:tabs>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1360" w:type="dxa"/>
            <w:noWrap w:val="0"/>
            <w:vAlign w:val="center"/>
          </w:tcPr>
          <w:p w14:paraId="4FFB1FB8">
            <w:pPr>
              <w:tabs>
                <w:tab w:val="left" w:pos="9135"/>
              </w:tabs>
              <w:spacing w:line="360" w:lineRule="auto"/>
              <w:jc w:val="center"/>
              <w:rPr>
                <w:rFonts w:hint="eastAsia" w:ascii="仿宋" w:hAnsi="仿宋" w:eastAsia="仿宋" w:cs="仿宋"/>
                <w:bCs/>
                <w:sz w:val="24"/>
                <w:szCs w:val="24"/>
              </w:rPr>
            </w:pPr>
          </w:p>
        </w:tc>
        <w:tc>
          <w:tcPr>
            <w:tcW w:w="1590" w:type="dxa"/>
            <w:noWrap w:val="0"/>
            <w:vAlign w:val="center"/>
          </w:tcPr>
          <w:p w14:paraId="514F1983">
            <w:pPr>
              <w:tabs>
                <w:tab w:val="left" w:pos="9135"/>
              </w:tabs>
              <w:spacing w:line="360" w:lineRule="auto"/>
              <w:jc w:val="center"/>
              <w:rPr>
                <w:rFonts w:hint="eastAsia" w:ascii="仿宋" w:hAnsi="仿宋" w:eastAsia="仿宋" w:cs="仿宋"/>
                <w:bCs/>
                <w:sz w:val="24"/>
                <w:szCs w:val="24"/>
              </w:rPr>
            </w:pPr>
          </w:p>
        </w:tc>
        <w:tc>
          <w:tcPr>
            <w:tcW w:w="1193" w:type="dxa"/>
            <w:noWrap w:val="0"/>
            <w:vAlign w:val="center"/>
          </w:tcPr>
          <w:p w14:paraId="4D6BAF75">
            <w:pPr>
              <w:tabs>
                <w:tab w:val="left" w:pos="9135"/>
              </w:tabs>
              <w:spacing w:line="360" w:lineRule="auto"/>
              <w:jc w:val="center"/>
              <w:rPr>
                <w:rFonts w:hint="eastAsia" w:ascii="仿宋" w:hAnsi="仿宋" w:eastAsia="仿宋" w:cs="仿宋"/>
                <w:bCs/>
                <w:sz w:val="24"/>
                <w:szCs w:val="24"/>
              </w:rPr>
            </w:pPr>
          </w:p>
        </w:tc>
        <w:tc>
          <w:tcPr>
            <w:tcW w:w="1229" w:type="dxa"/>
            <w:noWrap w:val="0"/>
            <w:vAlign w:val="center"/>
          </w:tcPr>
          <w:p w14:paraId="0CC708A7">
            <w:pPr>
              <w:tabs>
                <w:tab w:val="left" w:pos="9135"/>
              </w:tabs>
              <w:spacing w:line="360" w:lineRule="auto"/>
              <w:jc w:val="center"/>
              <w:rPr>
                <w:rFonts w:hint="eastAsia" w:ascii="仿宋" w:hAnsi="仿宋" w:eastAsia="仿宋" w:cs="仿宋"/>
                <w:bCs/>
                <w:sz w:val="24"/>
                <w:szCs w:val="24"/>
              </w:rPr>
            </w:pPr>
          </w:p>
        </w:tc>
        <w:tc>
          <w:tcPr>
            <w:tcW w:w="1030" w:type="dxa"/>
            <w:noWrap w:val="0"/>
            <w:vAlign w:val="center"/>
          </w:tcPr>
          <w:p w14:paraId="76DF7EC4">
            <w:pPr>
              <w:tabs>
                <w:tab w:val="left" w:pos="9135"/>
              </w:tabs>
              <w:spacing w:line="360" w:lineRule="auto"/>
              <w:jc w:val="center"/>
              <w:rPr>
                <w:rFonts w:hint="eastAsia" w:ascii="仿宋" w:hAnsi="仿宋" w:eastAsia="仿宋" w:cs="仿宋"/>
                <w:bCs/>
                <w:sz w:val="24"/>
                <w:szCs w:val="24"/>
              </w:rPr>
            </w:pPr>
          </w:p>
        </w:tc>
        <w:tc>
          <w:tcPr>
            <w:tcW w:w="1536" w:type="dxa"/>
            <w:noWrap w:val="0"/>
            <w:vAlign w:val="center"/>
          </w:tcPr>
          <w:p w14:paraId="53EA1D8F">
            <w:pPr>
              <w:tabs>
                <w:tab w:val="left" w:pos="9135"/>
              </w:tabs>
              <w:spacing w:line="360" w:lineRule="auto"/>
              <w:jc w:val="center"/>
              <w:rPr>
                <w:rFonts w:hint="eastAsia" w:ascii="仿宋" w:hAnsi="仿宋" w:eastAsia="仿宋" w:cs="仿宋"/>
                <w:bCs/>
                <w:sz w:val="24"/>
                <w:szCs w:val="24"/>
              </w:rPr>
            </w:pPr>
          </w:p>
        </w:tc>
        <w:tc>
          <w:tcPr>
            <w:tcW w:w="1224" w:type="dxa"/>
            <w:noWrap w:val="0"/>
            <w:vAlign w:val="top"/>
          </w:tcPr>
          <w:p w14:paraId="0299EDEB">
            <w:pPr>
              <w:tabs>
                <w:tab w:val="left" w:pos="9135"/>
              </w:tabs>
              <w:spacing w:line="360" w:lineRule="auto"/>
              <w:rPr>
                <w:rFonts w:hint="eastAsia" w:ascii="仿宋" w:hAnsi="仿宋" w:eastAsia="仿宋" w:cs="仿宋"/>
                <w:bCs/>
                <w:sz w:val="24"/>
                <w:szCs w:val="24"/>
              </w:rPr>
            </w:pPr>
          </w:p>
        </w:tc>
        <w:tc>
          <w:tcPr>
            <w:tcW w:w="1059" w:type="dxa"/>
            <w:noWrap w:val="0"/>
            <w:vAlign w:val="top"/>
          </w:tcPr>
          <w:p w14:paraId="3448760A">
            <w:pPr>
              <w:tabs>
                <w:tab w:val="left" w:pos="9135"/>
              </w:tabs>
              <w:spacing w:line="360" w:lineRule="auto"/>
              <w:rPr>
                <w:rFonts w:hint="eastAsia" w:ascii="仿宋" w:hAnsi="仿宋" w:eastAsia="仿宋" w:cs="仿宋"/>
                <w:bCs/>
                <w:sz w:val="24"/>
                <w:szCs w:val="24"/>
              </w:rPr>
            </w:pPr>
          </w:p>
        </w:tc>
      </w:tr>
      <w:tr w14:paraId="5943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67" w:type="dxa"/>
            <w:gridSpan w:val="3"/>
            <w:noWrap w:val="0"/>
            <w:vAlign w:val="center"/>
          </w:tcPr>
          <w:p w14:paraId="53C05D83">
            <w:pPr>
              <w:tabs>
                <w:tab w:val="left" w:pos="9135"/>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交货期</w:t>
            </w:r>
          </w:p>
        </w:tc>
        <w:tc>
          <w:tcPr>
            <w:tcW w:w="7271" w:type="dxa"/>
            <w:gridSpan w:val="6"/>
            <w:noWrap w:val="0"/>
            <w:vAlign w:val="center"/>
          </w:tcPr>
          <w:p w14:paraId="7C51EDCE">
            <w:pPr>
              <w:tabs>
                <w:tab w:val="left" w:pos="9135"/>
              </w:tabs>
              <w:spacing w:line="360" w:lineRule="auto"/>
              <w:jc w:val="center"/>
              <w:rPr>
                <w:rFonts w:hint="eastAsia" w:ascii="仿宋" w:hAnsi="仿宋" w:eastAsia="仿宋" w:cs="仿宋"/>
                <w:bCs/>
                <w:sz w:val="24"/>
                <w:szCs w:val="24"/>
                <w:highlight w:val="green"/>
              </w:rPr>
            </w:pPr>
          </w:p>
        </w:tc>
      </w:tr>
      <w:tr w14:paraId="61A0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67" w:type="dxa"/>
            <w:gridSpan w:val="3"/>
            <w:noWrap w:val="0"/>
            <w:vAlign w:val="center"/>
          </w:tcPr>
          <w:p w14:paraId="01B3FB42">
            <w:pPr>
              <w:tabs>
                <w:tab w:val="left" w:pos="9135"/>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质保期</w:t>
            </w:r>
          </w:p>
        </w:tc>
        <w:tc>
          <w:tcPr>
            <w:tcW w:w="7271" w:type="dxa"/>
            <w:gridSpan w:val="6"/>
            <w:noWrap w:val="0"/>
            <w:vAlign w:val="center"/>
          </w:tcPr>
          <w:p w14:paraId="33610E67">
            <w:pPr>
              <w:tabs>
                <w:tab w:val="left" w:pos="9135"/>
              </w:tabs>
              <w:spacing w:line="360" w:lineRule="auto"/>
              <w:jc w:val="center"/>
              <w:rPr>
                <w:rFonts w:hint="eastAsia" w:ascii="仿宋" w:hAnsi="仿宋" w:eastAsia="仿宋" w:cs="仿宋"/>
                <w:bCs/>
                <w:sz w:val="24"/>
                <w:szCs w:val="24"/>
                <w:highlight w:val="green"/>
              </w:rPr>
            </w:pPr>
          </w:p>
        </w:tc>
      </w:tr>
      <w:tr w14:paraId="3058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3667" w:type="dxa"/>
            <w:gridSpan w:val="3"/>
            <w:noWrap w:val="0"/>
            <w:vAlign w:val="center"/>
          </w:tcPr>
          <w:p w14:paraId="568108B2">
            <w:pPr>
              <w:tabs>
                <w:tab w:val="left" w:pos="9135"/>
              </w:tabs>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投标报价</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单价合计）</w:t>
            </w:r>
          </w:p>
        </w:tc>
        <w:tc>
          <w:tcPr>
            <w:tcW w:w="7271" w:type="dxa"/>
            <w:gridSpan w:val="6"/>
            <w:noWrap w:val="0"/>
            <w:vAlign w:val="center"/>
          </w:tcPr>
          <w:p w14:paraId="0F6FDF63">
            <w:pPr>
              <w:tabs>
                <w:tab w:val="left" w:pos="9135"/>
              </w:tabs>
              <w:spacing w:line="360" w:lineRule="auto"/>
              <w:rPr>
                <w:rFonts w:hint="eastAsia" w:ascii="仿宋" w:hAnsi="仿宋" w:eastAsia="仿宋" w:cs="仿宋"/>
                <w:bCs/>
                <w:sz w:val="24"/>
                <w:szCs w:val="24"/>
              </w:rPr>
            </w:pPr>
            <w:r>
              <w:rPr>
                <w:rFonts w:hint="eastAsia" w:ascii="仿宋" w:hAnsi="仿宋" w:eastAsia="仿宋" w:cs="仿宋"/>
                <w:bCs/>
                <w:sz w:val="24"/>
                <w:szCs w:val="24"/>
              </w:rPr>
              <w:t>小写（元）：</w:t>
            </w:r>
          </w:p>
          <w:p w14:paraId="1AD00DA1">
            <w:pPr>
              <w:pStyle w:val="20"/>
              <w:ind w:firstLine="0" w:firstLineChars="0"/>
              <w:rPr>
                <w:rFonts w:hint="eastAsia" w:ascii="仿宋" w:hAnsi="仿宋" w:eastAsia="仿宋" w:cs="仿宋"/>
                <w:bCs/>
              </w:rPr>
            </w:pPr>
            <w:r>
              <w:rPr>
                <w:rFonts w:hint="eastAsia" w:ascii="仿宋" w:hAnsi="仿宋" w:eastAsia="仿宋" w:cs="仿宋"/>
                <w:bCs/>
              </w:rPr>
              <w:t>大写（元）：</w:t>
            </w:r>
          </w:p>
        </w:tc>
      </w:tr>
    </w:tbl>
    <w:p w14:paraId="2BAC0F2E">
      <w:pPr>
        <w:keepNext w:val="0"/>
        <w:keepLines w:val="0"/>
        <w:pageBreakBefore w:val="0"/>
        <w:widowControl w:val="0"/>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注：1、</w:t>
      </w:r>
      <w:r>
        <w:rPr>
          <w:rFonts w:hint="eastAsia" w:ascii="仿宋" w:hAnsi="仿宋" w:eastAsia="仿宋" w:cs="仿宋"/>
          <w:bCs/>
          <w:sz w:val="24"/>
          <w:szCs w:val="24"/>
          <w:lang w:val="en-US" w:eastAsia="zh-CN"/>
        </w:rPr>
        <w:t>各供应商需对第三章技术参数中所要求的所有规格及内容进行报价，单价以各产品对应规格进行报价。</w:t>
      </w:r>
    </w:p>
    <w:p w14:paraId="43208E83">
      <w:pPr>
        <w:keepNext w:val="0"/>
        <w:keepLines w:val="0"/>
        <w:pageBreakBefore w:val="0"/>
        <w:widowControl w:val="0"/>
        <w:numPr>
          <w:ilvl w:val="0"/>
          <w:numId w:val="15"/>
        </w:numPr>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折扣条件与折扣声明应在表下注明。</w:t>
      </w:r>
    </w:p>
    <w:p w14:paraId="4B068087">
      <w:pPr>
        <w:keepNext w:val="0"/>
        <w:keepLines w:val="0"/>
        <w:pageBreakBefore w:val="0"/>
        <w:widowControl w:val="0"/>
        <w:numPr>
          <w:ilvl w:val="0"/>
          <w:numId w:val="15"/>
        </w:numPr>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r>
        <w:rPr>
          <w:rFonts w:hint="eastAsia" w:ascii="仿宋" w:hAnsi="仿宋" w:eastAsia="仿宋" w:cs="仿宋"/>
          <w:b/>
          <w:bCs w:val="0"/>
          <w:sz w:val="24"/>
          <w:szCs w:val="24"/>
          <w:lang w:eastAsia="zh-CN"/>
        </w:rPr>
        <w:t>。</w:t>
      </w:r>
    </w:p>
    <w:p w14:paraId="7851BFCD">
      <w:pPr>
        <w:ind w:firstLine="4320" w:firstLineChars="1800"/>
        <w:jc w:val="center"/>
        <w:rPr>
          <w:rFonts w:hint="eastAsia" w:ascii="仿宋" w:hAnsi="仿宋" w:eastAsia="仿宋" w:cs="仿宋"/>
          <w:bCs/>
          <w:sz w:val="24"/>
          <w:szCs w:val="24"/>
        </w:rPr>
      </w:pPr>
    </w:p>
    <w:p w14:paraId="297650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E881C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130EC8AE">
      <w:pPr>
        <w:rPr>
          <w:rFonts w:hint="eastAsia" w:ascii="仿宋" w:hAnsi="仿宋" w:eastAsia="仿宋" w:cs="仿宋"/>
          <w:highlight w:val="none"/>
          <w:lang w:val="en-US" w:eastAsia="zh-CN"/>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highlight w:val="none"/>
          <w:lang w:val="en-US" w:eastAsia="zh-CN"/>
        </w:rPr>
        <w:br w:type="page"/>
      </w:r>
    </w:p>
    <w:p w14:paraId="094AA827">
      <w:pPr>
        <w:pStyle w:val="21"/>
        <w:ind w:left="0" w:leftChars="0" w:firstLine="0" w:firstLineChars="0"/>
        <w:outlineLvl w:val="1"/>
        <w:rPr>
          <w:rFonts w:hint="eastAsia" w:ascii="仿宋" w:hAnsi="仿宋" w:eastAsia="仿宋" w:cs="仿宋"/>
          <w:sz w:val="24"/>
          <w:szCs w:val="24"/>
          <w:highlight w:val="none"/>
          <w:lang w:val="en-US" w:eastAsia="zh-CN"/>
        </w:rPr>
      </w:pPr>
      <w:bookmarkStart w:id="41" w:name="_Toc7007"/>
      <w:r>
        <w:rPr>
          <w:rFonts w:hint="eastAsia" w:ascii="仿宋" w:hAnsi="仿宋" w:eastAsia="仿宋" w:cs="仿宋"/>
          <w:sz w:val="24"/>
          <w:szCs w:val="24"/>
          <w:highlight w:val="none"/>
          <w:lang w:val="en-US" w:eastAsia="zh-CN"/>
        </w:rPr>
        <w:t>7-2  投标分项报价表</w:t>
      </w:r>
      <w:bookmarkEnd w:id="41"/>
    </w:p>
    <w:p w14:paraId="49ED6C3C">
      <w:pPr>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分项报价表</w:t>
      </w:r>
    </w:p>
    <w:p w14:paraId="697262CE">
      <w:pPr>
        <w:spacing w:line="400" w:lineRule="atLeast"/>
        <w:rPr>
          <w:rFonts w:hint="eastAsia" w:ascii="仿宋" w:hAnsi="仿宋" w:eastAsia="仿宋" w:cs="仿宋"/>
          <w:bCs/>
          <w:sz w:val="24"/>
        </w:rPr>
      </w:pPr>
    </w:p>
    <w:p w14:paraId="76B17214">
      <w:pPr>
        <w:spacing w:line="400" w:lineRule="atLeast"/>
        <w:jc w:val="left"/>
        <w:rPr>
          <w:rFonts w:hint="eastAsia" w:ascii="仿宋" w:hAnsi="仿宋" w:eastAsia="仿宋" w:cs="仿宋"/>
          <w:bCs/>
          <w:sz w:val="24"/>
        </w:rPr>
      </w:pPr>
      <w:r>
        <w:rPr>
          <w:rFonts w:hint="eastAsia" w:ascii="仿宋" w:hAnsi="仿宋" w:eastAsia="仿宋" w:cs="仿宋"/>
          <w:bCs/>
          <w:sz w:val="24"/>
        </w:rPr>
        <w:t xml:space="preserve">项目名称：　　　　　　　　　　                  </w:t>
      </w:r>
    </w:p>
    <w:p w14:paraId="4E4A29F7">
      <w:pPr>
        <w:spacing w:line="400" w:lineRule="atLeast"/>
        <w:jc w:val="left"/>
        <w:rPr>
          <w:rFonts w:hint="eastAsia" w:ascii="仿宋" w:hAnsi="仿宋" w:eastAsia="仿宋" w:cs="仿宋"/>
          <w:bCs/>
          <w:sz w:val="24"/>
        </w:rPr>
      </w:pPr>
      <w:r>
        <w:rPr>
          <w:rFonts w:hint="eastAsia" w:ascii="仿宋" w:hAnsi="仿宋" w:eastAsia="仿宋" w:cs="仿宋"/>
          <w:bCs/>
          <w:sz w:val="24"/>
        </w:rPr>
        <w:t>项目编号：　　　　　　　　　　                               单    位：元</w:t>
      </w:r>
    </w:p>
    <w:tbl>
      <w:tblPr>
        <w:tblStyle w:val="22"/>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0"/>
        <w:gridCol w:w="1590"/>
        <w:gridCol w:w="1193"/>
        <w:gridCol w:w="1229"/>
        <w:gridCol w:w="1030"/>
        <w:gridCol w:w="1536"/>
        <w:gridCol w:w="1224"/>
        <w:gridCol w:w="1059"/>
      </w:tblGrid>
      <w:tr w14:paraId="7850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717" w:type="dxa"/>
            <w:vMerge w:val="restart"/>
            <w:noWrap w:val="0"/>
            <w:vAlign w:val="center"/>
          </w:tcPr>
          <w:p w14:paraId="47CAA75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1360" w:type="dxa"/>
            <w:vMerge w:val="restart"/>
            <w:noWrap w:val="0"/>
            <w:vAlign w:val="center"/>
          </w:tcPr>
          <w:p w14:paraId="108B5C09">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产品名称</w:t>
            </w:r>
          </w:p>
        </w:tc>
        <w:tc>
          <w:tcPr>
            <w:tcW w:w="6578" w:type="dxa"/>
            <w:gridSpan w:val="5"/>
            <w:noWrap w:val="0"/>
            <w:vAlign w:val="center"/>
          </w:tcPr>
          <w:p w14:paraId="3E0B14BD">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投标产品信息</w:t>
            </w:r>
          </w:p>
          <w:p w14:paraId="1D8CE23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（应与医疗器械注册证或备案证信息一致）</w:t>
            </w:r>
          </w:p>
        </w:tc>
        <w:tc>
          <w:tcPr>
            <w:tcW w:w="1224" w:type="dxa"/>
            <w:vMerge w:val="restart"/>
            <w:noWrap w:val="0"/>
            <w:vAlign w:val="center"/>
          </w:tcPr>
          <w:p w14:paraId="3DE1CBD8">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单价</w:t>
            </w:r>
          </w:p>
        </w:tc>
        <w:tc>
          <w:tcPr>
            <w:tcW w:w="1059" w:type="dxa"/>
            <w:vMerge w:val="restart"/>
            <w:noWrap w:val="0"/>
            <w:vAlign w:val="center"/>
          </w:tcPr>
          <w:p w14:paraId="2BEFD967">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备注（包装规格）</w:t>
            </w:r>
          </w:p>
        </w:tc>
      </w:tr>
      <w:tr w14:paraId="5EF2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blHeader/>
          <w:jc w:val="center"/>
        </w:trPr>
        <w:tc>
          <w:tcPr>
            <w:tcW w:w="717" w:type="dxa"/>
            <w:vMerge w:val="continue"/>
            <w:noWrap w:val="0"/>
            <w:vAlign w:val="center"/>
          </w:tcPr>
          <w:p w14:paraId="3922EBE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360" w:type="dxa"/>
            <w:vMerge w:val="continue"/>
            <w:noWrap w:val="0"/>
            <w:vAlign w:val="center"/>
          </w:tcPr>
          <w:p w14:paraId="5344CDF0">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590" w:type="dxa"/>
            <w:noWrap w:val="0"/>
            <w:vAlign w:val="center"/>
          </w:tcPr>
          <w:p w14:paraId="46BB3B2D">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投标产品注册证名称</w:t>
            </w:r>
          </w:p>
        </w:tc>
        <w:tc>
          <w:tcPr>
            <w:tcW w:w="1193" w:type="dxa"/>
            <w:noWrap w:val="0"/>
            <w:vAlign w:val="center"/>
          </w:tcPr>
          <w:p w14:paraId="45F33BB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规格型号</w:t>
            </w:r>
          </w:p>
        </w:tc>
        <w:tc>
          <w:tcPr>
            <w:tcW w:w="1229" w:type="dxa"/>
            <w:noWrap w:val="0"/>
            <w:vAlign w:val="center"/>
          </w:tcPr>
          <w:p w14:paraId="332F296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生产厂家</w:t>
            </w:r>
          </w:p>
        </w:tc>
        <w:tc>
          <w:tcPr>
            <w:tcW w:w="1030" w:type="dxa"/>
            <w:noWrap w:val="0"/>
            <w:vAlign w:val="center"/>
          </w:tcPr>
          <w:p w14:paraId="55B64ED7">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产地</w:t>
            </w:r>
          </w:p>
        </w:tc>
        <w:tc>
          <w:tcPr>
            <w:tcW w:w="1536" w:type="dxa"/>
            <w:noWrap w:val="0"/>
            <w:vAlign w:val="center"/>
          </w:tcPr>
          <w:p w14:paraId="06AB8CF3">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注册证号</w:t>
            </w:r>
          </w:p>
        </w:tc>
        <w:tc>
          <w:tcPr>
            <w:tcW w:w="1224" w:type="dxa"/>
            <w:vMerge w:val="continue"/>
            <w:noWrap w:val="0"/>
            <w:vAlign w:val="center"/>
          </w:tcPr>
          <w:p w14:paraId="363E2058">
            <w:pPr>
              <w:tabs>
                <w:tab w:val="left" w:pos="9135"/>
              </w:tabs>
              <w:spacing w:line="360" w:lineRule="auto"/>
              <w:jc w:val="center"/>
              <w:rPr>
                <w:rFonts w:hint="eastAsia" w:ascii="仿宋" w:hAnsi="仿宋" w:eastAsia="仿宋" w:cs="仿宋"/>
                <w:bCs/>
                <w:sz w:val="24"/>
                <w:szCs w:val="24"/>
                <w:lang w:val="en-US"/>
              </w:rPr>
            </w:pPr>
          </w:p>
        </w:tc>
        <w:tc>
          <w:tcPr>
            <w:tcW w:w="1059" w:type="dxa"/>
            <w:vMerge w:val="continue"/>
            <w:noWrap w:val="0"/>
            <w:vAlign w:val="center"/>
          </w:tcPr>
          <w:p w14:paraId="1F6899B5">
            <w:pPr>
              <w:tabs>
                <w:tab w:val="left" w:pos="9135"/>
              </w:tabs>
              <w:spacing w:line="360" w:lineRule="auto"/>
              <w:jc w:val="center"/>
              <w:rPr>
                <w:rFonts w:hint="eastAsia" w:ascii="仿宋" w:hAnsi="仿宋" w:eastAsia="仿宋" w:cs="仿宋"/>
                <w:bCs/>
                <w:sz w:val="24"/>
                <w:szCs w:val="24"/>
                <w:lang w:val="en-US"/>
              </w:rPr>
            </w:pPr>
          </w:p>
        </w:tc>
      </w:tr>
      <w:tr w14:paraId="26F2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noWrap w:val="0"/>
            <w:vAlign w:val="center"/>
          </w:tcPr>
          <w:p w14:paraId="7CAC70ED">
            <w:pPr>
              <w:tabs>
                <w:tab w:val="left" w:pos="9135"/>
              </w:tabs>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360" w:type="dxa"/>
            <w:noWrap w:val="0"/>
            <w:vAlign w:val="center"/>
          </w:tcPr>
          <w:p w14:paraId="1B86B58C">
            <w:pPr>
              <w:tabs>
                <w:tab w:val="left" w:pos="9135"/>
              </w:tabs>
              <w:spacing w:line="360" w:lineRule="auto"/>
              <w:jc w:val="center"/>
              <w:rPr>
                <w:rFonts w:hint="eastAsia" w:ascii="仿宋" w:hAnsi="仿宋" w:eastAsia="仿宋" w:cs="仿宋"/>
                <w:bCs/>
                <w:sz w:val="24"/>
                <w:szCs w:val="24"/>
              </w:rPr>
            </w:pPr>
          </w:p>
        </w:tc>
        <w:tc>
          <w:tcPr>
            <w:tcW w:w="1590" w:type="dxa"/>
            <w:noWrap w:val="0"/>
            <w:vAlign w:val="center"/>
          </w:tcPr>
          <w:p w14:paraId="7680E071">
            <w:pPr>
              <w:tabs>
                <w:tab w:val="left" w:pos="9135"/>
              </w:tabs>
              <w:spacing w:line="360" w:lineRule="auto"/>
              <w:jc w:val="center"/>
              <w:rPr>
                <w:rFonts w:hint="eastAsia" w:ascii="仿宋" w:hAnsi="仿宋" w:eastAsia="仿宋" w:cs="仿宋"/>
                <w:bCs/>
                <w:sz w:val="24"/>
                <w:szCs w:val="24"/>
              </w:rPr>
            </w:pPr>
          </w:p>
        </w:tc>
        <w:tc>
          <w:tcPr>
            <w:tcW w:w="1193" w:type="dxa"/>
            <w:noWrap w:val="0"/>
            <w:vAlign w:val="center"/>
          </w:tcPr>
          <w:p w14:paraId="1449C85A">
            <w:pPr>
              <w:tabs>
                <w:tab w:val="left" w:pos="9135"/>
              </w:tabs>
              <w:spacing w:line="360" w:lineRule="auto"/>
              <w:jc w:val="center"/>
              <w:rPr>
                <w:rFonts w:hint="eastAsia" w:ascii="仿宋" w:hAnsi="仿宋" w:eastAsia="仿宋" w:cs="仿宋"/>
                <w:bCs/>
                <w:sz w:val="24"/>
                <w:szCs w:val="24"/>
              </w:rPr>
            </w:pPr>
          </w:p>
        </w:tc>
        <w:tc>
          <w:tcPr>
            <w:tcW w:w="1229" w:type="dxa"/>
            <w:noWrap w:val="0"/>
            <w:vAlign w:val="center"/>
          </w:tcPr>
          <w:p w14:paraId="39CFBE07">
            <w:pPr>
              <w:tabs>
                <w:tab w:val="left" w:pos="9135"/>
              </w:tabs>
              <w:spacing w:line="360" w:lineRule="auto"/>
              <w:jc w:val="center"/>
              <w:rPr>
                <w:rFonts w:hint="eastAsia" w:ascii="仿宋" w:hAnsi="仿宋" w:eastAsia="仿宋" w:cs="仿宋"/>
                <w:bCs/>
                <w:sz w:val="24"/>
                <w:szCs w:val="24"/>
              </w:rPr>
            </w:pPr>
          </w:p>
        </w:tc>
        <w:tc>
          <w:tcPr>
            <w:tcW w:w="1030" w:type="dxa"/>
            <w:noWrap w:val="0"/>
            <w:vAlign w:val="center"/>
          </w:tcPr>
          <w:p w14:paraId="100CFE53">
            <w:pPr>
              <w:tabs>
                <w:tab w:val="left" w:pos="9135"/>
              </w:tabs>
              <w:spacing w:line="360" w:lineRule="auto"/>
              <w:jc w:val="center"/>
              <w:rPr>
                <w:rFonts w:hint="eastAsia" w:ascii="仿宋" w:hAnsi="仿宋" w:eastAsia="仿宋" w:cs="仿宋"/>
                <w:bCs/>
                <w:sz w:val="24"/>
                <w:szCs w:val="24"/>
              </w:rPr>
            </w:pPr>
          </w:p>
        </w:tc>
        <w:tc>
          <w:tcPr>
            <w:tcW w:w="1536" w:type="dxa"/>
            <w:noWrap w:val="0"/>
            <w:vAlign w:val="center"/>
          </w:tcPr>
          <w:p w14:paraId="1806CE87">
            <w:pPr>
              <w:tabs>
                <w:tab w:val="left" w:pos="9135"/>
              </w:tabs>
              <w:spacing w:line="360" w:lineRule="auto"/>
              <w:jc w:val="center"/>
              <w:rPr>
                <w:rFonts w:hint="eastAsia" w:ascii="仿宋" w:hAnsi="仿宋" w:eastAsia="仿宋" w:cs="仿宋"/>
                <w:bCs/>
                <w:sz w:val="24"/>
                <w:szCs w:val="24"/>
              </w:rPr>
            </w:pPr>
          </w:p>
        </w:tc>
        <w:tc>
          <w:tcPr>
            <w:tcW w:w="1224" w:type="dxa"/>
            <w:noWrap w:val="0"/>
            <w:vAlign w:val="top"/>
          </w:tcPr>
          <w:p w14:paraId="586E8E88">
            <w:pPr>
              <w:tabs>
                <w:tab w:val="left" w:pos="9135"/>
              </w:tabs>
              <w:spacing w:line="360" w:lineRule="auto"/>
              <w:rPr>
                <w:rFonts w:hint="eastAsia" w:ascii="仿宋" w:hAnsi="仿宋" w:eastAsia="仿宋" w:cs="仿宋"/>
                <w:bCs/>
                <w:sz w:val="24"/>
                <w:szCs w:val="24"/>
              </w:rPr>
            </w:pPr>
          </w:p>
        </w:tc>
        <w:tc>
          <w:tcPr>
            <w:tcW w:w="1059" w:type="dxa"/>
            <w:noWrap w:val="0"/>
            <w:vAlign w:val="top"/>
          </w:tcPr>
          <w:p w14:paraId="405F2292">
            <w:pPr>
              <w:tabs>
                <w:tab w:val="left" w:pos="9135"/>
              </w:tabs>
              <w:spacing w:line="360" w:lineRule="auto"/>
              <w:rPr>
                <w:rFonts w:hint="eastAsia" w:ascii="仿宋" w:hAnsi="仿宋" w:eastAsia="仿宋" w:cs="仿宋"/>
                <w:bCs/>
                <w:sz w:val="24"/>
                <w:szCs w:val="24"/>
              </w:rPr>
            </w:pPr>
          </w:p>
        </w:tc>
      </w:tr>
      <w:tr w14:paraId="0BEF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noWrap w:val="0"/>
            <w:vAlign w:val="center"/>
          </w:tcPr>
          <w:p w14:paraId="095ADB43">
            <w:pPr>
              <w:tabs>
                <w:tab w:val="left" w:pos="9135"/>
              </w:tabs>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1360" w:type="dxa"/>
            <w:noWrap w:val="0"/>
            <w:vAlign w:val="center"/>
          </w:tcPr>
          <w:p w14:paraId="7EFF463A">
            <w:pPr>
              <w:tabs>
                <w:tab w:val="left" w:pos="9135"/>
              </w:tabs>
              <w:spacing w:line="360" w:lineRule="auto"/>
              <w:jc w:val="center"/>
              <w:rPr>
                <w:rFonts w:hint="eastAsia" w:ascii="仿宋" w:hAnsi="仿宋" w:eastAsia="仿宋" w:cs="仿宋"/>
                <w:bCs/>
                <w:sz w:val="24"/>
                <w:szCs w:val="24"/>
              </w:rPr>
            </w:pPr>
          </w:p>
        </w:tc>
        <w:tc>
          <w:tcPr>
            <w:tcW w:w="1590" w:type="dxa"/>
            <w:noWrap w:val="0"/>
            <w:vAlign w:val="center"/>
          </w:tcPr>
          <w:p w14:paraId="0B4FD05E">
            <w:pPr>
              <w:tabs>
                <w:tab w:val="left" w:pos="9135"/>
              </w:tabs>
              <w:spacing w:line="360" w:lineRule="auto"/>
              <w:jc w:val="center"/>
              <w:rPr>
                <w:rFonts w:hint="eastAsia" w:ascii="仿宋" w:hAnsi="仿宋" w:eastAsia="仿宋" w:cs="仿宋"/>
                <w:bCs/>
                <w:sz w:val="24"/>
                <w:szCs w:val="24"/>
              </w:rPr>
            </w:pPr>
          </w:p>
        </w:tc>
        <w:tc>
          <w:tcPr>
            <w:tcW w:w="1193" w:type="dxa"/>
            <w:noWrap w:val="0"/>
            <w:vAlign w:val="center"/>
          </w:tcPr>
          <w:p w14:paraId="3BEFE81F">
            <w:pPr>
              <w:tabs>
                <w:tab w:val="left" w:pos="9135"/>
              </w:tabs>
              <w:spacing w:line="360" w:lineRule="auto"/>
              <w:jc w:val="center"/>
              <w:rPr>
                <w:rFonts w:hint="eastAsia" w:ascii="仿宋" w:hAnsi="仿宋" w:eastAsia="仿宋" w:cs="仿宋"/>
                <w:bCs/>
                <w:sz w:val="24"/>
                <w:szCs w:val="24"/>
              </w:rPr>
            </w:pPr>
          </w:p>
        </w:tc>
        <w:tc>
          <w:tcPr>
            <w:tcW w:w="1229" w:type="dxa"/>
            <w:noWrap w:val="0"/>
            <w:vAlign w:val="center"/>
          </w:tcPr>
          <w:p w14:paraId="33E6F302">
            <w:pPr>
              <w:tabs>
                <w:tab w:val="left" w:pos="9135"/>
              </w:tabs>
              <w:spacing w:line="360" w:lineRule="auto"/>
              <w:jc w:val="center"/>
              <w:rPr>
                <w:rFonts w:hint="eastAsia" w:ascii="仿宋" w:hAnsi="仿宋" w:eastAsia="仿宋" w:cs="仿宋"/>
                <w:bCs/>
                <w:sz w:val="24"/>
                <w:szCs w:val="24"/>
              </w:rPr>
            </w:pPr>
          </w:p>
        </w:tc>
        <w:tc>
          <w:tcPr>
            <w:tcW w:w="1030" w:type="dxa"/>
            <w:noWrap w:val="0"/>
            <w:vAlign w:val="center"/>
          </w:tcPr>
          <w:p w14:paraId="73461278">
            <w:pPr>
              <w:tabs>
                <w:tab w:val="left" w:pos="9135"/>
              </w:tabs>
              <w:spacing w:line="360" w:lineRule="auto"/>
              <w:jc w:val="center"/>
              <w:rPr>
                <w:rFonts w:hint="eastAsia" w:ascii="仿宋" w:hAnsi="仿宋" w:eastAsia="仿宋" w:cs="仿宋"/>
                <w:bCs/>
                <w:sz w:val="24"/>
                <w:szCs w:val="24"/>
              </w:rPr>
            </w:pPr>
          </w:p>
        </w:tc>
        <w:tc>
          <w:tcPr>
            <w:tcW w:w="1536" w:type="dxa"/>
            <w:noWrap w:val="0"/>
            <w:vAlign w:val="center"/>
          </w:tcPr>
          <w:p w14:paraId="61C65734">
            <w:pPr>
              <w:tabs>
                <w:tab w:val="left" w:pos="9135"/>
              </w:tabs>
              <w:spacing w:line="360" w:lineRule="auto"/>
              <w:jc w:val="center"/>
              <w:rPr>
                <w:rFonts w:hint="eastAsia" w:ascii="仿宋" w:hAnsi="仿宋" w:eastAsia="仿宋" w:cs="仿宋"/>
                <w:bCs/>
                <w:sz w:val="24"/>
                <w:szCs w:val="24"/>
              </w:rPr>
            </w:pPr>
          </w:p>
        </w:tc>
        <w:tc>
          <w:tcPr>
            <w:tcW w:w="1224" w:type="dxa"/>
            <w:noWrap w:val="0"/>
            <w:vAlign w:val="top"/>
          </w:tcPr>
          <w:p w14:paraId="0E67BE48">
            <w:pPr>
              <w:tabs>
                <w:tab w:val="left" w:pos="9135"/>
              </w:tabs>
              <w:spacing w:line="360" w:lineRule="auto"/>
              <w:rPr>
                <w:rFonts w:hint="eastAsia" w:ascii="仿宋" w:hAnsi="仿宋" w:eastAsia="仿宋" w:cs="仿宋"/>
                <w:bCs/>
                <w:sz w:val="24"/>
                <w:szCs w:val="24"/>
              </w:rPr>
            </w:pPr>
          </w:p>
        </w:tc>
        <w:tc>
          <w:tcPr>
            <w:tcW w:w="1059" w:type="dxa"/>
            <w:noWrap w:val="0"/>
            <w:vAlign w:val="top"/>
          </w:tcPr>
          <w:p w14:paraId="6BF0B8A4">
            <w:pPr>
              <w:tabs>
                <w:tab w:val="left" w:pos="9135"/>
              </w:tabs>
              <w:spacing w:line="360" w:lineRule="auto"/>
              <w:rPr>
                <w:rFonts w:hint="eastAsia" w:ascii="仿宋" w:hAnsi="仿宋" w:eastAsia="仿宋" w:cs="仿宋"/>
                <w:bCs/>
                <w:sz w:val="24"/>
                <w:szCs w:val="24"/>
              </w:rPr>
            </w:pPr>
          </w:p>
        </w:tc>
      </w:tr>
      <w:tr w14:paraId="6020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938" w:type="dxa"/>
            <w:gridSpan w:val="9"/>
            <w:noWrap w:val="0"/>
            <w:vAlign w:val="center"/>
          </w:tcPr>
          <w:p w14:paraId="53042BCD">
            <w:pPr>
              <w:tabs>
                <w:tab w:val="left" w:pos="9135"/>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合计：</w:t>
            </w:r>
          </w:p>
        </w:tc>
      </w:tr>
    </w:tbl>
    <w:p w14:paraId="6D2E9640">
      <w:pPr>
        <w:spacing w:line="400" w:lineRule="atLeast"/>
        <w:rPr>
          <w:rFonts w:hint="eastAsia"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lang w:val="en-US" w:eastAsia="zh-CN"/>
        </w:rPr>
        <w:t>1、</w:t>
      </w:r>
      <w:r>
        <w:rPr>
          <w:rFonts w:hint="eastAsia" w:ascii="仿宋" w:hAnsi="仿宋" w:eastAsia="仿宋" w:cs="仿宋"/>
          <w:bCs/>
          <w:sz w:val="24"/>
        </w:rPr>
        <w:t>此表需详列投标的每种产品及配置清单。</w:t>
      </w:r>
    </w:p>
    <w:p w14:paraId="3A60774D">
      <w:pPr>
        <w:spacing w:line="400" w:lineRule="atLeas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p>
    <w:p w14:paraId="2C1AAF9D">
      <w:pPr>
        <w:spacing w:line="400" w:lineRule="atLeast"/>
        <w:rPr>
          <w:rFonts w:hint="eastAsia" w:ascii="仿宋" w:hAnsi="仿宋" w:eastAsia="仿宋" w:cs="仿宋"/>
          <w:bCs/>
          <w:sz w:val="24"/>
          <w:lang w:val="en-US" w:eastAsia="zh-CN"/>
        </w:rPr>
      </w:pPr>
    </w:p>
    <w:p w14:paraId="1AF419BF">
      <w:pPr>
        <w:spacing w:line="400" w:lineRule="atLeast"/>
        <w:jc w:val="center"/>
        <w:rPr>
          <w:rFonts w:hint="eastAsia" w:ascii="仿宋" w:hAnsi="仿宋" w:eastAsia="仿宋" w:cs="仿宋"/>
          <w:bCs/>
          <w:sz w:val="24"/>
        </w:rPr>
      </w:pPr>
    </w:p>
    <w:p w14:paraId="251B8E76">
      <w:pPr>
        <w:spacing w:line="400" w:lineRule="atLeast"/>
        <w:jc w:val="center"/>
        <w:rPr>
          <w:rFonts w:hint="eastAsia" w:ascii="仿宋" w:hAnsi="仿宋" w:eastAsia="仿宋" w:cs="仿宋"/>
          <w:bCs/>
          <w:sz w:val="24"/>
        </w:rPr>
      </w:pPr>
    </w:p>
    <w:p w14:paraId="2E74CC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BCA9F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52FA07A">
      <w:pPr>
        <w:rPr>
          <w:rFonts w:hint="eastAsia" w:ascii="仿宋" w:hAnsi="仿宋" w:eastAsia="仿宋" w:cs="仿宋"/>
          <w:highlight w:val="none"/>
          <w:lang w:val="en-US" w:eastAsia="zh-CN"/>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highlight w:val="none"/>
          <w:lang w:val="en-US" w:eastAsia="zh-CN"/>
        </w:rPr>
        <w:br w:type="page"/>
      </w:r>
    </w:p>
    <w:p w14:paraId="798D5F68">
      <w:pPr>
        <w:pStyle w:val="17"/>
        <w:ind w:left="0" w:leftChars="0" w:firstLine="0" w:firstLineChars="0"/>
        <w:jc w:val="left"/>
        <w:outlineLvl w:val="1"/>
        <w:rPr>
          <w:rFonts w:hint="eastAsia" w:ascii="仿宋" w:hAnsi="仿宋" w:eastAsia="仿宋" w:cs="仿宋"/>
          <w:sz w:val="24"/>
          <w:szCs w:val="24"/>
          <w:highlight w:val="none"/>
          <w:lang w:val="en-US" w:eastAsia="zh-CN"/>
        </w:rPr>
      </w:pPr>
      <w:bookmarkStart w:id="42" w:name="_Toc6119"/>
      <w:r>
        <w:rPr>
          <w:rFonts w:hint="eastAsia" w:ascii="仿宋" w:hAnsi="仿宋" w:eastAsia="仿宋" w:cs="仿宋"/>
          <w:sz w:val="24"/>
          <w:szCs w:val="24"/>
          <w:highlight w:val="none"/>
          <w:lang w:val="en-US" w:eastAsia="zh-CN"/>
        </w:rPr>
        <w:t>8  合同条款偏离表</w:t>
      </w:r>
      <w:bookmarkEnd w:id="42"/>
    </w:p>
    <w:p w14:paraId="3404385D">
      <w:pPr>
        <w:pStyle w:val="17"/>
        <w:ind w:left="0" w:leftChars="0" w:firstLine="0" w:firstLineChars="0"/>
        <w:jc w:val="center"/>
        <w:rPr>
          <w:rFonts w:hint="eastAsia" w:ascii="仿宋" w:hAnsi="仿宋" w:eastAsia="仿宋" w:cs="仿宋"/>
          <w:sz w:val="32"/>
          <w:szCs w:val="32"/>
          <w:highlight w:val="none"/>
          <w:lang w:val="en-US" w:eastAsia="zh-CN"/>
        </w:rPr>
      </w:pPr>
    </w:p>
    <w:p w14:paraId="2EBA3EAB">
      <w:pPr>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合同条款偏离表</w:t>
      </w:r>
    </w:p>
    <w:p w14:paraId="1E223BFD">
      <w:pPr>
        <w:pStyle w:val="21"/>
        <w:ind w:left="0" w:leftChars="0" w:firstLine="0" w:firstLineChars="0"/>
        <w:rPr>
          <w:rFonts w:hint="eastAsia" w:ascii="仿宋" w:hAnsi="仿宋" w:eastAsia="仿宋" w:cs="仿宋"/>
          <w:highlight w:val="none"/>
          <w:lang w:val="en-US" w:eastAsia="zh-CN"/>
        </w:rPr>
      </w:pPr>
    </w:p>
    <w:p w14:paraId="4E4F8624">
      <w:pPr>
        <w:pStyle w:val="17"/>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对本项目合同条款的偏离情况（请进行勾选）：</w:t>
            </w:r>
          </w:p>
          <w:p w14:paraId="49C47E3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1" w:type="dxa"/>
            <w:vAlign w:val="center"/>
          </w:tcPr>
          <w:p w14:paraId="60DA60F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w:t>
            </w:r>
          </w:p>
          <w:p w14:paraId="14D0DA3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条目号</w:t>
            </w:r>
          </w:p>
          <w:p w14:paraId="2CA9E2C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（页码）</w:t>
            </w:r>
          </w:p>
        </w:tc>
        <w:tc>
          <w:tcPr>
            <w:tcW w:w="1901" w:type="dxa"/>
            <w:vAlign w:val="center"/>
          </w:tcPr>
          <w:p w14:paraId="32AB54C1">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753" w:type="dxa"/>
            <w:vAlign w:val="center"/>
          </w:tcPr>
          <w:p w14:paraId="574BF71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投标文件内容</w:t>
            </w:r>
          </w:p>
        </w:tc>
        <w:tc>
          <w:tcPr>
            <w:tcW w:w="1561" w:type="dxa"/>
            <w:vAlign w:val="center"/>
          </w:tcPr>
          <w:p w14:paraId="7E8B8DE7">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052" w:type="dxa"/>
            <w:vAlign w:val="center"/>
          </w:tcPr>
          <w:p w14:paraId="6E1F6B5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 w:hAnsi="仿宋" w:eastAsia="仿宋" w:cs="仿宋"/>
                <w:sz w:val="24"/>
                <w:szCs w:val="24"/>
                <w:highlight w:val="none"/>
                <w:vertAlign w:val="baseline"/>
                <w:lang w:val="en-US" w:eastAsia="zh-CN"/>
              </w:rPr>
            </w:pPr>
          </w:p>
        </w:tc>
        <w:tc>
          <w:tcPr>
            <w:tcW w:w="1421" w:type="dxa"/>
          </w:tcPr>
          <w:p w14:paraId="273B7213">
            <w:pPr>
              <w:rPr>
                <w:rFonts w:hint="eastAsia" w:ascii="仿宋" w:hAnsi="仿宋" w:eastAsia="仿宋" w:cs="仿宋"/>
                <w:sz w:val="24"/>
                <w:szCs w:val="24"/>
                <w:highlight w:val="none"/>
                <w:vertAlign w:val="baseline"/>
                <w:lang w:val="en-US" w:eastAsia="zh-CN"/>
              </w:rPr>
            </w:pPr>
          </w:p>
        </w:tc>
        <w:tc>
          <w:tcPr>
            <w:tcW w:w="1901" w:type="dxa"/>
          </w:tcPr>
          <w:p w14:paraId="481CD8C3">
            <w:pPr>
              <w:rPr>
                <w:rFonts w:hint="eastAsia" w:ascii="仿宋" w:hAnsi="仿宋" w:eastAsia="仿宋" w:cs="仿宋"/>
                <w:sz w:val="24"/>
                <w:szCs w:val="24"/>
                <w:highlight w:val="none"/>
                <w:vertAlign w:val="baseline"/>
                <w:lang w:val="en-US" w:eastAsia="zh-CN"/>
              </w:rPr>
            </w:pPr>
          </w:p>
        </w:tc>
        <w:tc>
          <w:tcPr>
            <w:tcW w:w="1753" w:type="dxa"/>
          </w:tcPr>
          <w:p w14:paraId="38884A50">
            <w:pPr>
              <w:rPr>
                <w:rFonts w:hint="eastAsia" w:ascii="仿宋" w:hAnsi="仿宋" w:eastAsia="仿宋" w:cs="仿宋"/>
                <w:sz w:val="24"/>
                <w:szCs w:val="24"/>
                <w:highlight w:val="none"/>
                <w:vertAlign w:val="baseline"/>
                <w:lang w:val="en-US" w:eastAsia="zh-CN"/>
              </w:rPr>
            </w:pPr>
          </w:p>
        </w:tc>
        <w:tc>
          <w:tcPr>
            <w:tcW w:w="1561" w:type="dxa"/>
          </w:tcPr>
          <w:p w14:paraId="003F0CE3">
            <w:pPr>
              <w:rPr>
                <w:rFonts w:hint="eastAsia" w:ascii="仿宋" w:hAnsi="仿宋" w:eastAsia="仿宋" w:cs="仿宋"/>
                <w:sz w:val="24"/>
                <w:szCs w:val="24"/>
                <w:highlight w:val="none"/>
                <w:vertAlign w:val="baseline"/>
                <w:lang w:val="en-US" w:eastAsia="zh-CN"/>
              </w:rPr>
            </w:pPr>
          </w:p>
        </w:tc>
        <w:tc>
          <w:tcPr>
            <w:tcW w:w="1052" w:type="dxa"/>
          </w:tcPr>
          <w:p w14:paraId="7126AF6B">
            <w:pPr>
              <w:rPr>
                <w:rFonts w:hint="eastAsia" w:ascii="仿宋" w:hAnsi="仿宋" w:eastAsia="仿宋" w:cs="仿宋"/>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 w:hAnsi="仿宋" w:eastAsia="仿宋" w:cs="仿宋"/>
                <w:sz w:val="24"/>
                <w:szCs w:val="24"/>
                <w:highlight w:val="none"/>
                <w:vertAlign w:val="baseline"/>
                <w:lang w:val="en-US" w:eastAsia="zh-CN"/>
              </w:rPr>
            </w:pPr>
          </w:p>
        </w:tc>
        <w:tc>
          <w:tcPr>
            <w:tcW w:w="1421" w:type="dxa"/>
          </w:tcPr>
          <w:p w14:paraId="7544E1E6">
            <w:pPr>
              <w:rPr>
                <w:rFonts w:hint="eastAsia" w:ascii="仿宋" w:hAnsi="仿宋" w:eastAsia="仿宋" w:cs="仿宋"/>
                <w:sz w:val="24"/>
                <w:szCs w:val="24"/>
                <w:highlight w:val="none"/>
                <w:vertAlign w:val="baseline"/>
                <w:lang w:val="en-US" w:eastAsia="zh-CN"/>
              </w:rPr>
            </w:pPr>
          </w:p>
        </w:tc>
        <w:tc>
          <w:tcPr>
            <w:tcW w:w="1901" w:type="dxa"/>
          </w:tcPr>
          <w:p w14:paraId="2F55BAA3">
            <w:pPr>
              <w:rPr>
                <w:rFonts w:hint="eastAsia" w:ascii="仿宋" w:hAnsi="仿宋" w:eastAsia="仿宋" w:cs="仿宋"/>
                <w:sz w:val="24"/>
                <w:szCs w:val="24"/>
                <w:highlight w:val="none"/>
                <w:vertAlign w:val="baseline"/>
                <w:lang w:val="en-US" w:eastAsia="zh-CN"/>
              </w:rPr>
            </w:pPr>
          </w:p>
        </w:tc>
        <w:tc>
          <w:tcPr>
            <w:tcW w:w="1753" w:type="dxa"/>
          </w:tcPr>
          <w:p w14:paraId="1655421E">
            <w:pPr>
              <w:rPr>
                <w:rFonts w:hint="eastAsia" w:ascii="仿宋" w:hAnsi="仿宋" w:eastAsia="仿宋" w:cs="仿宋"/>
                <w:sz w:val="24"/>
                <w:szCs w:val="24"/>
                <w:highlight w:val="none"/>
                <w:vertAlign w:val="baseline"/>
                <w:lang w:val="en-US" w:eastAsia="zh-CN"/>
              </w:rPr>
            </w:pPr>
          </w:p>
        </w:tc>
        <w:tc>
          <w:tcPr>
            <w:tcW w:w="1561" w:type="dxa"/>
          </w:tcPr>
          <w:p w14:paraId="15365911">
            <w:pPr>
              <w:rPr>
                <w:rFonts w:hint="eastAsia" w:ascii="仿宋" w:hAnsi="仿宋" w:eastAsia="仿宋" w:cs="仿宋"/>
                <w:sz w:val="24"/>
                <w:szCs w:val="24"/>
                <w:highlight w:val="none"/>
                <w:vertAlign w:val="baseline"/>
                <w:lang w:val="en-US" w:eastAsia="zh-CN"/>
              </w:rPr>
            </w:pPr>
          </w:p>
        </w:tc>
        <w:tc>
          <w:tcPr>
            <w:tcW w:w="1052" w:type="dxa"/>
          </w:tcPr>
          <w:p w14:paraId="06D739DC">
            <w:pPr>
              <w:rPr>
                <w:rFonts w:hint="eastAsia" w:ascii="仿宋" w:hAnsi="仿宋" w:eastAsia="仿宋" w:cs="仿宋"/>
                <w:sz w:val="24"/>
                <w:szCs w:val="24"/>
                <w:highlight w:val="none"/>
                <w:vertAlign w:val="baseline"/>
                <w:lang w:val="en-US" w:eastAsia="zh-CN"/>
              </w:rPr>
            </w:pPr>
          </w:p>
        </w:tc>
      </w:tr>
      <w:tr w14:paraId="10B2C6BD">
        <w:tblPrEx>
          <w:tblCellMar>
            <w:top w:w="0" w:type="dxa"/>
            <w:left w:w="108" w:type="dxa"/>
            <w:bottom w:w="0" w:type="dxa"/>
            <w:right w:w="108" w:type="dxa"/>
          </w:tblCellMar>
        </w:tblPrEx>
        <w:trPr>
          <w:trHeight w:val="520" w:hRule="atLeast"/>
        </w:trPr>
        <w:tc>
          <w:tcPr>
            <w:tcW w:w="834" w:type="dxa"/>
          </w:tcPr>
          <w:p w14:paraId="1A1E0FA2">
            <w:pPr>
              <w:rPr>
                <w:rFonts w:hint="eastAsia" w:ascii="仿宋" w:hAnsi="仿宋" w:eastAsia="仿宋" w:cs="仿宋"/>
                <w:sz w:val="24"/>
                <w:szCs w:val="24"/>
                <w:highlight w:val="none"/>
                <w:vertAlign w:val="baseline"/>
                <w:lang w:val="en-US" w:eastAsia="zh-CN"/>
              </w:rPr>
            </w:pPr>
          </w:p>
        </w:tc>
        <w:tc>
          <w:tcPr>
            <w:tcW w:w="1421" w:type="dxa"/>
          </w:tcPr>
          <w:p w14:paraId="2E7FCB06">
            <w:pPr>
              <w:rPr>
                <w:rFonts w:hint="eastAsia" w:ascii="仿宋" w:hAnsi="仿宋" w:eastAsia="仿宋" w:cs="仿宋"/>
                <w:sz w:val="24"/>
                <w:szCs w:val="24"/>
                <w:highlight w:val="none"/>
                <w:vertAlign w:val="baseline"/>
                <w:lang w:val="en-US" w:eastAsia="zh-CN"/>
              </w:rPr>
            </w:pPr>
          </w:p>
        </w:tc>
        <w:tc>
          <w:tcPr>
            <w:tcW w:w="1901" w:type="dxa"/>
          </w:tcPr>
          <w:p w14:paraId="3372AA34">
            <w:pPr>
              <w:rPr>
                <w:rFonts w:hint="eastAsia" w:ascii="仿宋" w:hAnsi="仿宋" w:eastAsia="仿宋" w:cs="仿宋"/>
                <w:sz w:val="24"/>
                <w:szCs w:val="24"/>
                <w:highlight w:val="none"/>
                <w:vertAlign w:val="baseline"/>
                <w:lang w:val="en-US" w:eastAsia="zh-CN"/>
              </w:rPr>
            </w:pPr>
          </w:p>
        </w:tc>
        <w:tc>
          <w:tcPr>
            <w:tcW w:w="1753" w:type="dxa"/>
          </w:tcPr>
          <w:p w14:paraId="770D7B13">
            <w:pPr>
              <w:rPr>
                <w:rFonts w:hint="eastAsia" w:ascii="仿宋" w:hAnsi="仿宋" w:eastAsia="仿宋" w:cs="仿宋"/>
                <w:sz w:val="24"/>
                <w:szCs w:val="24"/>
                <w:highlight w:val="none"/>
                <w:vertAlign w:val="baseline"/>
                <w:lang w:val="en-US" w:eastAsia="zh-CN"/>
              </w:rPr>
            </w:pPr>
          </w:p>
        </w:tc>
        <w:tc>
          <w:tcPr>
            <w:tcW w:w="1561" w:type="dxa"/>
          </w:tcPr>
          <w:p w14:paraId="6EFC034F">
            <w:pPr>
              <w:rPr>
                <w:rFonts w:hint="eastAsia" w:ascii="仿宋" w:hAnsi="仿宋" w:eastAsia="仿宋" w:cs="仿宋"/>
                <w:sz w:val="24"/>
                <w:szCs w:val="24"/>
                <w:highlight w:val="none"/>
                <w:vertAlign w:val="baseline"/>
                <w:lang w:val="en-US" w:eastAsia="zh-CN"/>
              </w:rPr>
            </w:pPr>
          </w:p>
        </w:tc>
        <w:tc>
          <w:tcPr>
            <w:tcW w:w="1052" w:type="dxa"/>
          </w:tcPr>
          <w:p w14:paraId="36C9767A">
            <w:pPr>
              <w:rPr>
                <w:rFonts w:hint="eastAsia" w:ascii="仿宋" w:hAnsi="仿宋" w:eastAsia="仿宋" w:cs="仿宋"/>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 w:hAnsi="仿宋" w:eastAsia="仿宋" w:cs="仿宋"/>
                <w:sz w:val="24"/>
                <w:szCs w:val="24"/>
                <w:highlight w:val="none"/>
                <w:vertAlign w:val="baseline"/>
                <w:lang w:val="en-US" w:eastAsia="zh-CN"/>
              </w:rPr>
            </w:pPr>
          </w:p>
        </w:tc>
        <w:tc>
          <w:tcPr>
            <w:tcW w:w="1421" w:type="dxa"/>
          </w:tcPr>
          <w:p w14:paraId="1AB73DF4">
            <w:pPr>
              <w:rPr>
                <w:rFonts w:hint="eastAsia" w:ascii="仿宋" w:hAnsi="仿宋" w:eastAsia="仿宋" w:cs="仿宋"/>
                <w:sz w:val="24"/>
                <w:szCs w:val="24"/>
                <w:highlight w:val="none"/>
                <w:vertAlign w:val="baseline"/>
                <w:lang w:val="en-US" w:eastAsia="zh-CN"/>
              </w:rPr>
            </w:pPr>
          </w:p>
        </w:tc>
        <w:tc>
          <w:tcPr>
            <w:tcW w:w="1901" w:type="dxa"/>
          </w:tcPr>
          <w:p w14:paraId="3595CA9C">
            <w:pPr>
              <w:rPr>
                <w:rFonts w:hint="eastAsia" w:ascii="仿宋" w:hAnsi="仿宋" w:eastAsia="仿宋" w:cs="仿宋"/>
                <w:sz w:val="24"/>
                <w:szCs w:val="24"/>
                <w:highlight w:val="none"/>
                <w:vertAlign w:val="baseline"/>
                <w:lang w:val="en-US" w:eastAsia="zh-CN"/>
              </w:rPr>
            </w:pPr>
          </w:p>
        </w:tc>
        <w:tc>
          <w:tcPr>
            <w:tcW w:w="1753" w:type="dxa"/>
          </w:tcPr>
          <w:p w14:paraId="73CAC815">
            <w:pPr>
              <w:rPr>
                <w:rFonts w:hint="eastAsia" w:ascii="仿宋" w:hAnsi="仿宋" w:eastAsia="仿宋" w:cs="仿宋"/>
                <w:sz w:val="24"/>
                <w:szCs w:val="24"/>
                <w:highlight w:val="none"/>
                <w:vertAlign w:val="baseline"/>
                <w:lang w:val="en-US" w:eastAsia="zh-CN"/>
              </w:rPr>
            </w:pPr>
          </w:p>
        </w:tc>
        <w:tc>
          <w:tcPr>
            <w:tcW w:w="1561" w:type="dxa"/>
          </w:tcPr>
          <w:p w14:paraId="27755A82">
            <w:pPr>
              <w:rPr>
                <w:rFonts w:hint="eastAsia" w:ascii="仿宋" w:hAnsi="仿宋" w:eastAsia="仿宋" w:cs="仿宋"/>
                <w:sz w:val="24"/>
                <w:szCs w:val="24"/>
                <w:highlight w:val="none"/>
                <w:vertAlign w:val="baseline"/>
                <w:lang w:val="en-US" w:eastAsia="zh-CN"/>
              </w:rPr>
            </w:pPr>
          </w:p>
        </w:tc>
        <w:tc>
          <w:tcPr>
            <w:tcW w:w="1052" w:type="dxa"/>
          </w:tcPr>
          <w:p w14:paraId="3D5ECE8C">
            <w:pPr>
              <w:rPr>
                <w:rFonts w:hint="eastAsia" w:ascii="仿宋" w:hAnsi="仿宋" w:eastAsia="仿宋" w:cs="仿宋"/>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 w:hAnsi="仿宋" w:eastAsia="仿宋" w:cs="仿宋"/>
                <w:sz w:val="24"/>
                <w:szCs w:val="24"/>
                <w:highlight w:val="none"/>
                <w:vertAlign w:val="baseline"/>
                <w:lang w:val="en-US" w:eastAsia="zh-CN"/>
              </w:rPr>
            </w:pPr>
          </w:p>
        </w:tc>
        <w:tc>
          <w:tcPr>
            <w:tcW w:w="1421" w:type="dxa"/>
          </w:tcPr>
          <w:p w14:paraId="4B16C9F2">
            <w:pPr>
              <w:rPr>
                <w:rFonts w:hint="eastAsia" w:ascii="仿宋" w:hAnsi="仿宋" w:eastAsia="仿宋" w:cs="仿宋"/>
                <w:sz w:val="24"/>
                <w:szCs w:val="24"/>
                <w:highlight w:val="none"/>
                <w:vertAlign w:val="baseline"/>
                <w:lang w:val="en-US" w:eastAsia="zh-CN"/>
              </w:rPr>
            </w:pPr>
          </w:p>
        </w:tc>
        <w:tc>
          <w:tcPr>
            <w:tcW w:w="1901" w:type="dxa"/>
          </w:tcPr>
          <w:p w14:paraId="31CC37BC">
            <w:pPr>
              <w:rPr>
                <w:rFonts w:hint="eastAsia" w:ascii="仿宋" w:hAnsi="仿宋" w:eastAsia="仿宋" w:cs="仿宋"/>
                <w:sz w:val="24"/>
                <w:szCs w:val="24"/>
                <w:highlight w:val="none"/>
                <w:vertAlign w:val="baseline"/>
                <w:lang w:val="en-US" w:eastAsia="zh-CN"/>
              </w:rPr>
            </w:pPr>
          </w:p>
        </w:tc>
        <w:tc>
          <w:tcPr>
            <w:tcW w:w="1753" w:type="dxa"/>
          </w:tcPr>
          <w:p w14:paraId="69D2892B">
            <w:pPr>
              <w:rPr>
                <w:rFonts w:hint="eastAsia" w:ascii="仿宋" w:hAnsi="仿宋" w:eastAsia="仿宋" w:cs="仿宋"/>
                <w:sz w:val="24"/>
                <w:szCs w:val="24"/>
                <w:highlight w:val="none"/>
                <w:vertAlign w:val="baseline"/>
                <w:lang w:val="en-US" w:eastAsia="zh-CN"/>
              </w:rPr>
            </w:pPr>
          </w:p>
        </w:tc>
        <w:tc>
          <w:tcPr>
            <w:tcW w:w="1561" w:type="dxa"/>
          </w:tcPr>
          <w:p w14:paraId="42EA4A76">
            <w:pPr>
              <w:rPr>
                <w:rFonts w:hint="eastAsia" w:ascii="仿宋" w:hAnsi="仿宋" w:eastAsia="仿宋" w:cs="仿宋"/>
                <w:sz w:val="24"/>
                <w:szCs w:val="24"/>
                <w:highlight w:val="none"/>
                <w:vertAlign w:val="baseline"/>
                <w:lang w:val="en-US" w:eastAsia="zh-CN"/>
              </w:rPr>
            </w:pPr>
          </w:p>
        </w:tc>
        <w:tc>
          <w:tcPr>
            <w:tcW w:w="1052" w:type="dxa"/>
          </w:tcPr>
          <w:p w14:paraId="0712C978">
            <w:pPr>
              <w:rPr>
                <w:rFonts w:hint="eastAsia" w:ascii="仿宋" w:hAnsi="仿宋" w:eastAsia="仿宋" w:cs="仿宋"/>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43" w:name="_Toc6441"/>
      <w:r>
        <w:rPr>
          <w:rFonts w:hint="eastAsia" w:ascii="仿宋" w:hAnsi="仿宋" w:eastAsia="仿宋" w:cs="仿宋"/>
          <w:sz w:val="24"/>
          <w:szCs w:val="24"/>
          <w:highlight w:val="none"/>
          <w:lang w:val="en-US" w:eastAsia="zh-CN"/>
        </w:rPr>
        <w:t>2. “偏离情况”列应据实填写“正偏离”或“负偏离”。</w:t>
      </w:r>
      <w:bookmarkEnd w:id="43"/>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69CA4592">
      <w:pPr>
        <w:pStyle w:val="21"/>
        <w:rPr>
          <w:rFonts w:hint="eastAsia" w:ascii="仿宋" w:hAnsi="仿宋" w:eastAsia="仿宋" w:cs="仿宋"/>
          <w:sz w:val="24"/>
          <w:szCs w:val="24"/>
          <w:highlight w:val="none"/>
          <w:lang w:val="en-US" w:eastAsia="zh-CN"/>
        </w:rPr>
      </w:pPr>
    </w:p>
    <w:p w14:paraId="2C9AB6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6DF546A">
      <w:pPr>
        <w:pStyle w:val="17"/>
        <w:ind w:left="0" w:leftChars="0" w:firstLine="0" w:firstLineChars="0"/>
        <w:outlineLvl w:val="1"/>
        <w:rPr>
          <w:rFonts w:hint="eastAsia" w:ascii="仿宋" w:hAnsi="仿宋" w:eastAsia="仿宋" w:cs="仿宋"/>
          <w:sz w:val="24"/>
          <w:szCs w:val="24"/>
          <w:highlight w:val="none"/>
          <w:lang w:val="en-US" w:eastAsia="zh-CN"/>
        </w:rPr>
      </w:pPr>
      <w:bookmarkStart w:id="44" w:name="_Toc7042"/>
      <w:r>
        <w:rPr>
          <w:rFonts w:hint="eastAsia" w:ascii="仿宋" w:hAnsi="仿宋" w:eastAsia="仿宋" w:cs="仿宋"/>
          <w:sz w:val="24"/>
          <w:szCs w:val="24"/>
          <w:highlight w:val="none"/>
          <w:lang w:val="en-US" w:eastAsia="zh-CN"/>
        </w:rPr>
        <w:t xml:space="preserve">9  </w:t>
      </w:r>
      <w:bookmarkEnd w:id="44"/>
      <w:r>
        <w:rPr>
          <w:rFonts w:hint="eastAsia" w:ascii="仿宋" w:hAnsi="仿宋" w:eastAsia="仿宋" w:cs="仿宋"/>
          <w:sz w:val="24"/>
          <w:szCs w:val="24"/>
          <w:highlight w:val="none"/>
          <w:lang w:val="en-US" w:eastAsia="zh-CN"/>
        </w:rPr>
        <w:t>采购需求偏离表</w:t>
      </w:r>
    </w:p>
    <w:p w14:paraId="7E5C02DE">
      <w:pPr>
        <w:pStyle w:val="17"/>
        <w:ind w:left="0" w:leftChars="0" w:firstLine="0" w:firstLineChars="0"/>
        <w:rPr>
          <w:rFonts w:hint="eastAsia" w:ascii="仿宋" w:hAnsi="仿宋" w:eastAsia="仿宋" w:cs="仿宋"/>
          <w:sz w:val="24"/>
          <w:szCs w:val="24"/>
          <w:highlight w:val="none"/>
          <w:lang w:val="en-US" w:eastAsia="zh-CN"/>
        </w:rPr>
      </w:pPr>
    </w:p>
    <w:p w14:paraId="323B48AD">
      <w:pPr>
        <w:pStyle w:val="17"/>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4A973A76">
      <w:pPr>
        <w:pStyle w:val="17"/>
        <w:ind w:left="0" w:leftChars="0" w:firstLine="0" w:firstLineChars="0"/>
        <w:rPr>
          <w:rFonts w:hint="eastAsia" w:ascii="仿宋" w:hAnsi="仿宋" w:eastAsia="仿宋" w:cs="仿宋"/>
          <w:sz w:val="24"/>
          <w:szCs w:val="24"/>
          <w:highlight w:val="none"/>
          <w:lang w:val="en-US" w:eastAsia="zh-CN"/>
        </w:rPr>
      </w:pPr>
    </w:p>
    <w:p w14:paraId="23C1470C">
      <w:pPr>
        <w:pStyle w:val="17"/>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项目编号：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9A2BB7C">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6"/>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12A98C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6932FF7">
      <w:pPr>
        <w:pStyle w:val="20"/>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   招标文件要求提供或投标人认为应附的其他材料</w:t>
      </w:r>
    </w:p>
    <w:p w14:paraId="36E409BE">
      <w:pPr>
        <w:pStyle w:val="17"/>
        <w:rPr>
          <w:rFonts w:hint="eastAsia" w:ascii="仿宋" w:hAnsi="仿宋" w:eastAsia="仿宋" w:cs="仿宋"/>
          <w:highlight w:val="none"/>
          <w:lang w:val="en-US" w:eastAsia="zh-CN"/>
        </w:rPr>
      </w:pPr>
    </w:p>
    <w:p w14:paraId="5A98FB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33056DB5">
      <w:pPr>
        <w:widowControl w:val="0"/>
        <w:kinsoku/>
        <w:overflowPunct/>
        <w:autoSpaceDE w:val="0"/>
        <w:autoSpaceDN w:val="0"/>
        <w:bidi w:val="0"/>
        <w:spacing w:line="360" w:lineRule="auto"/>
        <w:ind w:right="1400"/>
        <w:jc w:val="both"/>
        <w:rPr>
          <w:rFonts w:hint="eastAsia" w:ascii="仿宋" w:hAnsi="仿宋" w:eastAsia="仿宋" w:cs="仿宋"/>
          <w:szCs w:val="21"/>
        </w:rPr>
      </w:pPr>
      <w:r>
        <w:rPr>
          <w:rFonts w:hint="eastAsia" w:ascii="仿宋" w:hAnsi="仿宋" w:eastAsia="仿宋" w:cs="仿宋"/>
          <w:b/>
          <w:szCs w:val="21"/>
          <w:lang w:val="en-US" w:eastAsia="zh-CN"/>
        </w:rPr>
        <w:t xml:space="preserve">11 </w:t>
      </w:r>
      <w:r>
        <w:rPr>
          <w:rFonts w:hint="eastAsia" w:ascii="仿宋" w:hAnsi="仿宋" w:eastAsia="仿宋" w:cs="仿宋"/>
          <w:b/>
          <w:szCs w:val="21"/>
        </w:rPr>
        <w:t>不参与围标串标承诺书</w:t>
      </w:r>
    </w:p>
    <w:p w14:paraId="6CAF9E36">
      <w:pPr>
        <w:keepNext/>
        <w:keepLines/>
        <w:widowControl w:val="0"/>
        <w:spacing w:before="0" w:after="0" w:line="578" w:lineRule="auto"/>
        <w:jc w:val="center"/>
        <w:outlineLvl w:val="9"/>
        <w:rPr>
          <w:rFonts w:hint="eastAsia" w:ascii="仿宋" w:hAnsi="仿宋" w:eastAsia="仿宋" w:cs="仿宋"/>
          <w:b w:val="0"/>
          <w:bCs/>
          <w:kern w:val="44"/>
          <w:sz w:val="36"/>
          <w:szCs w:val="36"/>
          <w:lang w:val="zh-CN" w:eastAsia="zh-CN" w:bidi="ar-SA"/>
        </w:rPr>
      </w:pPr>
      <w:r>
        <w:rPr>
          <w:rFonts w:hint="eastAsia" w:ascii="仿宋" w:hAnsi="仿宋" w:eastAsia="仿宋" w:cs="仿宋"/>
          <w:b w:val="0"/>
          <w:bCs/>
          <w:kern w:val="44"/>
          <w:sz w:val="36"/>
          <w:szCs w:val="36"/>
          <w:lang w:val="zh-CN" w:eastAsia="zh-CN" w:bidi="ar-SA"/>
        </w:rPr>
        <w:t>不参与围标串标承诺书</w:t>
      </w:r>
    </w:p>
    <w:p w14:paraId="20ED5864">
      <w:pPr>
        <w:widowControl w:val="0"/>
        <w:autoSpaceDE w:val="0"/>
        <w:autoSpaceDN w:val="0"/>
        <w:adjustRightInd w:val="0"/>
        <w:spacing w:line="560" w:lineRule="exact"/>
        <w:ind w:left="420" w:leftChars="200"/>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为诚实、客观、有序地参与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项目</w:t>
      </w:r>
    </w:p>
    <w:p w14:paraId="6E7E58CC">
      <w:pPr>
        <w:widowControl w:val="0"/>
        <w:autoSpaceDE w:val="0"/>
        <w:autoSpaceDN w:val="0"/>
        <w:adjustRightInd w:val="0"/>
        <w:spacing w:line="560" w:lineRule="exact"/>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采购活动，愿就以下内容作出承诺：</w:t>
      </w:r>
    </w:p>
    <w:p w14:paraId="6248103D">
      <w:pPr>
        <w:widowControl w:val="0"/>
        <w:autoSpaceDE w:val="0"/>
        <w:autoSpaceDN w:val="0"/>
        <w:adjustRightInd w:val="0"/>
        <w:spacing w:line="560" w:lineRule="exact"/>
        <w:ind w:firstLine="482"/>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一、严格遵守国家法律法规和行业规范，诚实守信，公平竞争，不参与任何形式的围标、串标行为，不与其他投标供应商存在控股、管理及其他关联关系。</w:t>
      </w:r>
    </w:p>
    <w:p w14:paraId="4866D741">
      <w:pPr>
        <w:widowControl w:val="0"/>
        <w:autoSpaceDE w:val="0"/>
        <w:autoSpaceDN w:val="0"/>
        <w:adjustRightInd w:val="0"/>
        <w:spacing w:line="560" w:lineRule="exact"/>
        <w:ind w:firstLine="482"/>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6F16D317">
      <w:pPr>
        <w:widowControl w:val="0"/>
        <w:autoSpaceDE w:val="0"/>
        <w:autoSpaceDN w:val="0"/>
        <w:adjustRightInd w:val="0"/>
        <w:spacing w:line="560" w:lineRule="exact"/>
        <w:ind w:firstLine="482"/>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三、若在招标投标过程中发现其他投标人或相关方有围标、串标等违法行为，及时告知采购人或代理机构，积极配合调查。</w:t>
      </w:r>
    </w:p>
    <w:p w14:paraId="0FAB3F6D">
      <w:pPr>
        <w:widowControl w:val="0"/>
        <w:autoSpaceDE w:val="0"/>
        <w:autoSpaceDN w:val="0"/>
        <w:adjustRightInd w:val="0"/>
        <w:spacing w:line="560" w:lineRule="exact"/>
        <w:ind w:firstLine="482"/>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0FF7F591">
      <w:pPr>
        <w:widowControl w:val="0"/>
        <w:autoSpaceDE w:val="0"/>
        <w:autoSpaceDN w:val="0"/>
        <w:adjustRightInd w:val="0"/>
        <w:spacing w:line="560" w:lineRule="exact"/>
        <w:jc w:val="both"/>
        <w:rPr>
          <w:rFonts w:hint="eastAsia" w:ascii="仿宋" w:hAnsi="仿宋" w:eastAsia="仿宋" w:cs="仿宋"/>
          <w:bCs/>
          <w:kern w:val="0"/>
          <w:sz w:val="24"/>
          <w:szCs w:val="24"/>
          <w:lang w:val="zh-CN"/>
        </w:rPr>
      </w:pPr>
    </w:p>
    <w:p w14:paraId="45A34020">
      <w:pPr>
        <w:widowControl w:val="0"/>
        <w:autoSpaceDE w:val="0"/>
        <w:autoSpaceDN w:val="0"/>
        <w:adjustRightInd w:val="0"/>
        <w:spacing w:line="560" w:lineRule="exact"/>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供应商：                             （公章）</w:t>
      </w:r>
    </w:p>
    <w:p w14:paraId="36E35EC7">
      <w:pPr>
        <w:widowControl w:val="0"/>
        <w:autoSpaceDE w:val="0"/>
        <w:autoSpaceDN w:val="0"/>
        <w:adjustRightInd w:val="0"/>
        <w:spacing w:line="560" w:lineRule="exact"/>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法定代表人或委托代理人：             （签字）</w:t>
      </w:r>
    </w:p>
    <w:p w14:paraId="0E1B2300">
      <w:pPr>
        <w:widowControl w:val="0"/>
        <w:spacing w:line="560" w:lineRule="exact"/>
        <w:jc w:val="both"/>
        <w:rPr>
          <w:rFonts w:hint="eastAsia" w:ascii="仿宋" w:hAnsi="仿宋" w:eastAsia="仿宋" w:cs="仿宋"/>
          <w:sz w:val="24"/>
          <w:szCs w:val="24"/>
        </w:rPr>
      </w:pPr>
      <w:r>
        <w:rPr>
          <w:rFonts w:hint="eastAsia" w:ascii="仿宋" w:hAnsi="仿宋" w:eastAsia="仿宋" w:cs="仿宋"/>
          <w:bCs/>
          <w:kern w:val="0"/>
          <w:sz w:val="24"/>
          <w:szCs w:val="24"/>
          <w:lang w:val="zh-CN"/>
        </w:rPr>
        <w:t xml:space="preserve">                                    年   月   日</w:t>
      </w:r>
    </w:p>
    <w:p w14:paraId="7347B8EA">
      <w:pPr>
        <w:widowControl w:val="0"/>
        <w:kinsoku/>
        <w:overflowPunct/>
        <w:autoSpaceDE w:val="0"/>
        <w:autoSpaceDN w:val="0"/>
        <w:bidi w:val="0"/>
        <w:spacing w:line="360" w:lineRule="auto"/>
        <w:ind w:right="1400"/>
        <w:jc w:val="both"/>
        <w:rPr>
          <w:rFonts w:hint="eastAsia" w:ascii="仿宋" w:hAnsi="仿宋" w:eastAsia="仿宋" w:cs="仿宋"/>
          <w:b/>
          <w:szCs w:val="21"/>
        </w:rPr>
      </w:pPr>
      <w:r>
        <w:rPr>
          <w:rFonts w:hint="eastAsia" w:ascii="仿宋" w:hAnsi="仿宋" w:eastAsia="仿宋" w:cs="仿宋"/>
          <w:bCs/>
          <w:kern w:val="0"/>
          <w:sz w:val="21"/>
          <w:szCs w:val="21"/>
          <w:lang w:val="zh-CN"/>
        </w:rPr>
        <w:br w:type="page"/>
      </w:r>
      <w:r>
        <w:rPr>
          <w:rFonts w:hint="eastAsia" w:ascii="仿宋" w:hAnsi="仿宋" w:eastAsia="仿宋" w:cs="仿宋"/>
          <w:b/>
          <w:szCs w:val="21"/>
          <w:lang w:val="en-US" w:eastAsia="zh-CN"/>
        </w:rPr>
        <w:t xml:space="preserve">12  </w:t>
      </w:r>
      <w:r>
        <w:rPr>
          <w:rFonts w:hint="eastAsia" w:ascii="仿宋" w:hAnsi="仿宋" w:eastAsia="仿宋" w:cs="仿宋"/>
          <w:b/>
          <w:szCs w:val="21"/>
        </w:rPr>
        <w:t>供应商诚信承诺书</w:t>
      </w:r>
    </w:p>
    <w:p w14:paraId="6E6D462E">
      <w:pPr>
        <w:widowControl w:val="0"/>
        <w:autoSpaceDE w:val="0"/>
        <w:autoSpaceDN w:val="0"/>
        <w:adjustRightInd w:val="0"/>
        <w:spacing w:line="40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供应商诚信承诺书</w:t>
      </w:r>
    </w:p>
    <w:p w14:paraId="3FB475C4">
      <w:pPr>
        <w:widowControl w:val="0"/>
        <w:autoSpaceDE w:val="0"/>
        <w:autoSpaceDN w:val="0"/>
        <w:adjustRightInd w:val="0"/>
        <w:spacing w:line="400" w:lineRule="exact"/>
        <w:jc w:val="both"/>
        <w:rPr>
          <w:rFonts w:hint="eastAsia" w:ascii="仿宋" w:hAnsi="仿宋" w:eastAsia="仿宋" w:cs="仿宋"/>
          <w:color w:val="000000"/>
          <w:sz w:val="36"/>
          <w:szCs w:val="36"/>
        </w:rPr>
      </w:pPr>
    </w:p>
    <w:p w14:paraId="4CF69B6F">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bookmarkStart w:id="45" w:name="_Hlk182910040"/>
      <w:r>
        <w:rPr>
          <w:rFonts w:hint="eastAsia" w:ascii="仿宋" w:hAnsi="仿宋" w:eastAsia="仿宋" w:cs="仿宋"/>
          <w:kern w:val="0"/>
          <w:sz w:val="24"/>
          <w:szCs w:val="20"/>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szCs w:val="20"/>
          <w:lang w:val="zh-CN"/>
        </w:rPr>
        <w:t>采购活动，愿就以下内容作出承诺：</w:t>
      </w:r>
    </w:p>
    <w:bookmarkEnd w:id="45"/>
    <w:p w14:paraId="1018D4C1">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一、自觉遵守各项法律、法规、规章、制度以及社会公德，维护廉洁环境，与同场竞争的供应商平等参加招采购活动。</w:t>
      </w:r>
    </w:p>
    <w:p w14:paraId="50D5616D">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二、参加采购代理机构组织的采购活动时，严格按照</w:t>
      </w:r>
      <w:r>
        <w:rPr>
          <w:rFonts w:hint="eastAsia" w:ascii="仿宋" w:hAnsi="仿宋" w:eastAsia="仿宋" w:cs="仿宋"/>
          <w:kern w:val="0"/>
          <w:sz w:val="24"/>
          <w:szCs w:val="20"/>
        </w:rPr>
        <w:t>招标</w:t>
      </w:r>
      <w:r>
        <w:rPr>
          <w:rFonts w:hint="eastAsia" w:ascii="仿宋" w:hAnsi="仿宋" w:eastAsia="仿宋" w:cs="仿宋"/>
          <w:kern w:val="0"/>
          <w:sz w:val="24"/>
          <w:szCs w:val="20"/>
          <w:lang w:val="zh-CN"/>
        </w:rPr>
        <w:t>文件的规定和要求提供所需的相关材料，并对所提供的各类资料的真实性负责，不虚假应标，不虚列业绩；不以他人名义投标或者以其他方式弄虚作假，骗取中标。</w:t>
      </w:r>
    </w:p>
    <w:p w14:paraId="6928A0C8">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三、尊重参与采购活动各相关方的合法行为，接受采购活动依法形成的意见、结果。</w:t>
      </w:r>
    </w:p>
    <w:p w14:paraId="5CC390CB">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bookmarkStart w:id="46" w:name="_Hlk182909516"/>
      <w:r>
        <w:rPr>
          <w:rFonts w:hint="eastAsia" w:ascii="仿宋" w:hAnsi="仿宋" w:eastAsia="仿宋" w:cs="仿宋"/>
          <w:kern w:val="0"/>
          <w:sz w:val="24"/>
          <w:szCs w:val="20"/>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46"/>
    <w:p w14:paraId="05535E48">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3A612FE3">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六、积极推动采购活动健康开展，对采购活动有疑问、异议时，按法律规定的程序实名（加盖单位章和法定代表人签名）反映情况，不恶意中伤、无事生非，以和谐、平等的心态参加采购活动。</w:t>
      </w:r>
    </w:p>
    <w:p w14:paraId="1C197DCA">
      <w:pPr>
        <w:widowControl w:val="0"/>
        <w:autoSpaceDE w:val="0"/>
        <w:autoSpaceDN w:val="0"/>
        <w:adjustRightInd w:val="0"/>
        <w:spacing w:line="400" w:lineRule="exact"/>
        <w:ind w:firstLine="48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七、认真履行成交人应承担的责任和义务，全面执行采购合同规定的各项内容，保质保量地按时提供采购物品。</w:t>
      </w:r>
    </w:p>
    <w:p w14:paraId="15232D20">
      <w:pPr>
        <w:widowControl w:val="0"/>
        <w:autoSpaceDE w:val="0"/>
        <w:autoSpaceDN w:val="0"/>
        <w:adjustRightInd w:val="0"/>
        <w:spacing w:line="400" w:lineRule="exact"/>
        <w:ind w:firstLine="480" w:firstLineChars="200"/>
        <w:jc w:val="both"/>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若本企业（单位）发生有悖于上述承诺的行为或形成恶意投诉，我们自愿接受《政府采购法》等有关法律法规中对供应商的相关处理：</w:t>
      </w:r>
      <w:bookmarkStart w:id="47" w:name="_Hlk182910718"/>
      <w:r>
        <w:rPr>
          <w:rFonts w:hint="eastAsia" w:ascii="仿宋" w:hAnsi="仿宋" w:eastAsia="仿宋" w:cs="仿宋"/>
          <w:kern w:val="0"/>
          <w:sz w:val="24"/>
          <w:szCs w:val="20"/>
          <w:lang w:val="zh-CN"/>
        </w:rPr>
        <w:t>自愿放弃中标资格、限制以后投标、记入不良信用档案、没收本次投标保证金，并愿意承担由此引起的其他法律责任。</w:t>
      </w:r>
      <w:bookmarkEnd w:id="47"/>
    </w:p>
    <w:p w14:paraId="720E7F46">
      <w:pPr>
        <w:widowControl w:val="0"/>
        <w:autoSpaceDE w:val="0"/>
        <w:autoSpaceDN w:val="0"/>
        <w:adjustRightInd w:val="0"/>
        <w:spacing w:line="400" w:lineRule="exact"/>
        <w:ind w:firstLine="4435" w:firstLineChars="1848"/>
        <w:jc w:val="both"/>
        <w:rPr>
          <w:rFonts w:hint="eastAsia" w:ascii="仿宋" w:hAnsi="仿宋" w:eastAsia="仿宋" w:cs="仿宋"/>
          <w:bCs/>
          <w:kern w:val="0"/>
          <w:sz w:val="24"/>
          <w:szCs w:val="20"/>
          <w:lang w:val="zh-CN"/>
        </w:rPr>
      </w:pPr>
      <w:bookmarkStart w:id="48" w:name="_Hlk182910783"/>
      <w:r>
        <w:rPr>
          <w:rFonts w:hint="eastAsia" w:ascii="仿宋" w:hAnsi="仿宋" w:eastAsia="仿宋" w:cs="仿宋"/>
          <w:bCs/>
          <w:kern w:val="0"/>
          <w:sz w:val="24"/>
          <w:szCs w:val="20"/>
          <w:lang w:val="zh-CN"/>
        </w:rPr>
        <w:t>供应商：             （公章）</w:t>
      </w:r>
    </w:p>
    <w:p w14:paraId="7D487C32">
      <w:pPr>
        <w:widowControl w:val="0"/>
        <w:autoSpaceDE w:val="0"/>
        <w:autoSpaceDN w:val="0"/>
        <w:adjustRightInd w:val="0"/>
        <w:spacing w:line="400" w:lineRule="exact"/>
        <w:jc w:val="both"/>
        <w:rPr>
          <w:rFonts w:hint="eastAsia" w:ascii="仿宋" w:hAnsi="仿宋" w:eastAsia="仿宋" w:cs="仿宋"/>
          <w:bCs/>
          <w:kern w:val="0"/>
          <w:sz w:val="24"/>
          <w:szCs w:val="20"/>
          <w:lang w:val="zh-CN"/>
        </w:rPr>
      </w:pPr>
      <w:r>
        <w:rPr>
          <w:rFonts w:hint="eastAsia" w:ascii="仿宋" w:hAnsi="仿宋" w:eastAsia="仿宋" w:cs="仿宋"/>
          <w:bCs/>
          <w:kern w:val="0"/>
          <w:sz w:val="24"/>
          <w:szCs w:val="20"/>
          <w:lang w:val="zh-CN"/>
        </w:rPr>
        <w:t xml:space="preserve">                     法定代表人或委托代理人：             （签字）</w:t>
      </w:r>
    </w:p>
    <w:p w14:paraId="69E17447">
      <w:pPr>
        <w:widowControl w:val="0"/>
        <w:jc w:val="both"/>
        <w:rPr>
          <w:rFonts w:hint="eastAsia" w:ascii="仿宋" w:hAnsi="仿宋" w:eastAsia="仿宋" w:cs="仿宋"/>
          <w:szCs w:val="20"/>
          <w:lang w:val="en-US" w:eastAsia="zh-CN"/>
        </w:rPr>
      </w:pPr>
      <w:r>
        <w:rPr>
          <w:rFonts w:hint="eastAsia" w:ascii="仿宋" w:hAnsi="仿宋" w:eastAsia="仿宋" w:cs="仿宋"/>
          <w:bCs/>
          <w:kern w:val="0"/>
          <w:sz w:val="24"/>
          <w:szCs w:val="20"/>
          <w:lang w:val="zh-CN"/>
        </w:rPr>
        <w:t xml:space="preserve">                                         年   月   日</w:t>
      </w:r>
      <w:bookmarkEnd w:id="48"/>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5090CF7-FFFA-4C16-8706-FA60C1933016}"/>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Arial Unicode MS">
    <w:panose1 w:val="020B0604020202020204"/>
    <w:charset w:val="80"/>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9FA85F79-2FFB-4463-ADBA-764A068D3142}"/>
  </w:font>
  <w:font w:name="微软雅黑">
    <w:panose1 w:val="020B0503020204020204"/>
    <w:charset w:val="86"/>
    <w:family w:val="auto"/>
    <w:pitch w:val="default"/>
    <w:sig w:usb0="80000287" w:usb1="2ACF3C50" w:usb2="00000016" w:usb3="00000000" w:csb0="0004001F" w:csb1="00000000"/>
    <w:embedRegular r:id="rId3" w:fontKey="{D19CE7A0-4801-43B7-A328-D7D4658FCBCC}"/>
  </w:font>
  <w:font w:name="Microsoft JhengHei UI">
    <w:panose1 w:val="020B0604030504040204"/>
    <w:charset w:val="88"/>
    <w:family w:val="auto"/>
    <w:pitch w:val="default"/>
    <w:sig w:usb0="000002A7" w:usb1="28CF4400" w:usb2="00000016" w:usb3="00000000" w:csb0="00100009" w:csb1="00000000"/>
    <w:embedRegular r:id="rId4" w:fontKey="{2CB8E577-849E-4E78-BB91-2484A70C6C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896A3290"/>
    <w:multiLevelType w:val="singleLevel"/>
    <w:tmpl w:val="896A3290"/>
    <w:lvl w:ilvl="0" w:tentative="0">
      <w:start w:val="2"/>
      <w:numFmt w:val="decimal"/>
      <w:suff w:val="nothing"/>
      <w:lvlText w:val="%1、"/>
      <w:lvlJc w:val="left"/>
    </w:lvl>
  </w:abstractNum>
  <w:abstractNum w:abstractNumId="4">
    <w:nsid w:val="97A16D1F"/>
    <w:multiLevelType w:val="singleLevel"/>
    <w:tmpl w:val="97A16D1F"/>
    <w:lvl w:ilvl="0" w:tentative="0">
      <w:start w:val="2"/>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10C57E94"/>
    <w:multiLevelType w:val="multilevel"/>
    <w:tmpl w:val="10C57E9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C6F39C"/>
    <w:multiLevelType w:val="singleLevel"/>
    <w:tmpl w:val="3BC6F39C"/>
    <w:lvl w:ilvl="0" w:tentative="0">
      <w:start w:val="1"/>
      <w:numFmt w:val="decimal"/>
      <w:suff w:val="space"/>
      <w:lvlText w:val="%1."/>
      <w:lvlJc w:val="left"/>
    </w:lvl>
  </w:abstractNum>
  <w:abstractNum w:abstractNumId="11">
    <w:nsid w:val="46712C17"/>
    <w:multiLevelType w:val="multilevel"/>
    <w:tmpl w:val="46712C1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3862E25"/>
    <w:multiLevelType w:val="singleLevel"/>
    <w:tmpl w:val="63862E25"/>
    <w:lvl w:ilvl="0" w:tentative="0">
      <w:start w:val="1"/>
      <w:numFmt w:val="decimal"/>
      <w:suff w:val="space"/>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5"/>
  </w:num>
  <w:num w:numId="3">
    <w:abstractNumId w:val="14"/>
  </w:num>
  <w:num w:numId="4">
    <w:abstractNumId w:val="7"/>
  </w:num>
  <w:num w:numId="5">
    <w:abstractNumId w:val="5"/>
  </w:num>
  <w:num w:numId="6">
    <w:abstractNumId w:val="12"/>
  </w:num>
  <w:num w:numId="7">
    <w:abstractNumId w:val="1"/>
  </w:num>
  <w:num w:numId="8">
    <w:abstractNumId w:val="8"/>
  </w:num>
  <w:num w:numId="9">
    <w:abstractNumId w:val="4"/>
  </w:num>
  <w:num w:numId="10">
    <w:abstractNumId w:val="13"/>
  </w:num>
  <w:num w:numId="11">
    <w:abstractNumId w:val="9"/>
  </w:num>
  <w:num w:numId="12">
    <w:abstractNumId w:val="11"/>
  </w:num>
  <w:num w:numId="13">
    <w:abstractNumId w:val="10"/>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633977"/>
    <w:rsid w:val="007C1966"/>
    <w:rsid w:val="007D6A53"/>
    <w:rsid w:val="00EF7950"/>
    <w:rsid w:val="00F9257D"/>
    <w:rsid w:val="011210FD"/>
    <w:rsid w:val="016D4D19"/>
    <w:rsid w:val="01B12E58"/>
    <w:rsid w:val="01B327A1"/>
    <w:rsid w:val="01D86637"/>
    <w:rsid w:val="01DD3AC3"/>
    <w:rsid w:val="02005C3A"/>
    <w:rsid w:val="02D36DFE"/>
    <w:rsid w:val="040E43DE"/>
    <w:rsid w:val="04A22F2C"/>
    <w:rsid w:val="04D836CC"/>
    <w:rsid w:val="04DF1A8A"/>
    <w:rsid w:val="052E656D"/>
    <w:rsid w:val="055F4854"/>
    <w:rsid w:val="05775429"/>
    <w:rsid w:val="05BB6053"/>
    <w:rsid w:val="061A2D1E"/>
    <w:rsid w:val="0636392C"/>
    <w:rsid w:val="068C3E93"/>
    <w:rsid w:val="06A64F55"/>
    <w:rsid w:val="073267E9"/>
    <w:rsid w:val="07391925"/>
    <w:rsid w:val="073A569E"/>
    <w:rsid w:val="07600879"/>
    <w:rsid w:val="07A74594"/>
    <w:rsid w:val="07AF3996"/>
    <w:rsid w:val="082320BB"/>
    <w:rsid w:val="083500E3"/>
    <w:rsid w:val="08B374B6"/>
    <w:rsid w:val="08FE75D7"/>
    <w:rsid w:val="09322AD0"/>
    <w:rsid w:val="096174F4"/>
    <w:rsid w:val="09EF36DF"/>
    <w:rsid w:val="09FE6BD3"/>
    <w:rsid w:val="0A7D5FCD"/>
    <w:rsid w:val="0ADA51CD"/>
    <w:rsid w:val="0B21104E"/>
    <w:rsid w:val="0B3A5C6C"/>
    <w:rsid w:val="0B927856"/>
    <w:rsid w:val="0BA54947"/>
    <w:rsid w:val="0C724D1B"/>
    <w:rsid w:val="0CB97065"/>
    <w:rsid w:val="0D166265"/>
    <w:rsid w:val="0D2F0B75"/>
    <w:rsid w:val="0D3861DB"/>
    <w:rsid w:val="0D5D1B80"/>
    <w:rsid w:val="0D6151BA"/>
    <w:rsid w:val="0D774F56"/>
    <w:rsid w:val="0E0D58BA"/>
    <w:rsid w:val="0E3D7B44"/>
    <w:rsid w:val="0E417312"/>
    <w:rsid w:val="0E6D0107"/>
    <w:rsid w:val="0EF60F7D"/>
    <w:rsid w:val="0EFB2854"/>
    <w:rsid w:val="0F1F3AF7"/>
    <w:rsid w:val="0F33766C"/>
    <w:rsid w:val="0FAC4A5B"/>
    <w:rsid w:val="108571AB"/>
    <w:rsid w:val="108F4B64"/>
    <w:rsid w:val="10E36DA6"/>
    <w:rsid w:val="10E54CB1"/>
    <w:rsid w:val="10EC6CF5"/>
    <w:rsid w:val="11ED63EA"/>
    <w:rsid w:val="12371157"/>
    <w:rsid w:val="12677DFE"/>
    <w:rsid w:val="12753A67"/>
    <w:rsid w:val="12986F2D"/>
    <w:rsid w:val="13B642FE"/>
    <w:rsid w:val="147C72F5"/>
    <w:rsid w:val="15673B02"/>
    <w:rsid w:val="159D0B42"/>
    <w:rsid w:val="15E348F4"/>
    <w:rsid w:val="16192669"/>
    <w:rsid w:val="16344EC6"/>
    <w:rsid w:val="16651E05"/>
    <w:rsid w:val="17340529"/>
    <w:rsid w:val="17BC7627"/>
    <w:rsid w:val="17CC0594"/>
    <w:rsid w:val="185145F5"/>
    <w:rsid w:val="18610CDC"/>
    <w:rsid w:val="1890336F"/>
    <w:rsid w:val="197C38F4"/>
    <w:rsid w:val="198E49C8"/>
    <w:rsid w:val="199B6470"/>
    <w:rsid w:val="1A176155"/>
    <w:rsid w:val="1A7F342E"/>
    <w:rsid w:val="1A815666"/>
    <w:rsid w:val="1AB53523"/>
    <w:rsid w:val="1AC00AF1"/>
    <w:rsid w:val="1B011FED"/>
    <w:rsid w:val="1B44195B"/>
    <w:rsid w:val="1C35495A"/>
    <w:rsid w:val="1CD02907"/>
    <w:rsid w:val="1D331864"/>
    <w:rsid w:val="1D8B7ED2"/>
    <w:rsid w:val="1DE91501"/>
    <w:rsid w:val="1E4C7D38"/>
    <w:rsid w:val="1E694901"/>
    <w:rsid w:val="1E88173F"/>
    <w:rsid w:val="20370574"/>
    <w:rsid w:val="207B66B3"/>
    <w:rsid w:val="210E49CA"/>
    <w:rsid w:val="21B31E7D"/>
    <w:rsid w:val="21B53E47"/>
    <w:rsid w:val="22007E08"/>
    <w:rsid w:val="227A59DD"/>
    <w:rsid w:val="22C96D6A"/>
    <w:rsid w:val="22E83DA8"/>
    <w:rsid w:val="233C34DF"/>
    <w:rsid w:val="23A61C99"/>
    <w:rsid w:val="23AC3027"/>
    <w:rsid w:val="23E629DD"/>
    <w:rsid w:val="2460183D"/>
    <w:rsid w:val="2463402E"/>
    <w:rsid w:val="24D34D10"/>
    <w:rsid w:val="25494FD2"/>
    <w:rsid w:val="256E67E6"/>
    <w:rsid w:val="26143832"/>
    <w:rsid w:val="262319BC"/>
    <w:rsid w:val="26887D7C"/>
    <w:rsid w:val="26B446CD"/>
    <w:rsid w:val="26DB2065"/>
    <w:rsid w:val="276205CD"/>
    <w:rsid w:val="28003E99"/>
    <w:rsid w:val="28292E99"/>
    <w:rsid w:val="283F090E"/>
    <w:rsid w:val="28560F12"/>
    <w:rsid w:val="28905BB2"/>
    <w:rsid w:val="28BE1833"/>
    <w:rsid w:val="28C332ED"/>
    <w:rsid w:val="29001E4B"/>
    <w:rsid w:val="29361D11"/>
    <w:rsid w:val="293715E5"/>
    <w:rsid w:val="29DA30FE"/>
    <w:rsid w:val="2A331DAD"/>
    <w:rsid w:val="2A9C76A8"/>
    <w:rsid w:val="2AB22388"/>
    <w:rsid w:val="2AF07C9E"/>
    <w:rsid w:val="2B042389"/>
    <w:rsid w:val="2B1E1887"/>
    <w:rsid w:val="2B620B9B"/>
    <w:rsid w:val="2B885F42"/>
    <w:rsid w:val="2C3D33B6"/>
    <w:rsid w:val="2D4349FC"/>
    <w:rsid w:val="2E393998"/>
    <w:rsid w:val="2E4072A5"/>
    <w:rsid w:val="2E7B3D22"/>
    <w:rsid w:val="2F835584"/>
    <w:rsid w:val="2FD309CC"/>
    <w:rsid w:val="2FE20F33"/>
    <w:rsid w:val="2FE73D65"/>
    <w:rsid w:val="2FFD5337"/>
    <w:rsid w:val="30007685"/>
    <w:rsid w:val="30322DED"/>
    <w:rsid w:val="30BC6FA0"/>
    <w:rsid w:val="30CA6146"/>
    <w:rsid w:val="30EF096B"/>
    <w:rsid w:val="31294F6D"/>
    <w:rsid w:val="313D6184"/>
    <w:rsid w:val="32393423"/>
    <w:rsid w:val="327775A4"/>
    <w:rsid w:val="329B7A40"/>
    <w:rsid w:val="33380434"/>
    <w:rsid w:val="337C0B48"/>
    <w:rsid w:val="33B01385"/>
    <w:rsid w:val="341A78AC"/>
    <w:rsid w:val="3421711A"/>
    <w:rsid w:val="34272E4C"/>
    <w:rsid w:val="343926B5"/>
    <w:rsid w:val="356674DA"/>
    <w:rsid w:val="36154FE2"/>
    <w:rsid w:val="3671332B"/>
    <w:rsid w:val="36BD5820"/>
    <w:rsid w:val="36CE17DB"/>
    <w:rsid w:val="37944C14"/>
    <w:rsid w:val="38A64043"/>
    <w:rsid w:val="38C500B3"/>
    <w:rsid w:val="38C613AA"/>
    <w:rsid w:val="38CB5299"/>
    <w:rsid w:val="38EC419A"/>
    <w:rsid w:val="39317DFF"/>
    <w:rsid w:val="3969383E"/>
    <w:rsid w:val="39893797"/>
    <w:rsid w:val="39B27389"/>
    <w:rsid w:val="39D709A6"/>
    <w:rsid w:val="39DA2245"/>
    <w:rsid w:val="3AB42122"/>
    <w:rsid w:val="3AE03859"/>
    <w:rsid w:val="3AE404B2"/>
    <w:rsid w:val="3BE70C49"/>
    <w:rsid w:val="3C2E6878"/>
    <w:rsid w:val="3CFB4C5D"/>
    <w:rsid w:val="3D60459C"/>
    <w:rsid w:val="3D6A1B31"/>
    <w:rsid w:val="3DC56D68"/>
    <w:rsid w:val="3DCB0822"/>
    <w:rsid w:val="3DD07BE6"/>
    <w:rsid w:val="3E502AD5"/>
    <w:rsid w:val="3E895FE7"/>
    <w:rsid w:val="3F7647BE"/>
    <w:rsid w:val="3F942E96"/>
    <w:rsid w:val="3FA0183A"/>
    <w:rsid w:val="3FBD4153"/>
    <w:rsid w:val="3FC90D91"/>
    <w:rsid w:val="40022408"/>
    <w:rsid w:val="406960D0"/>
    <w:rsid w:val="408E78A6"/>
    <w:rsid w:val="41E910AE"/>
    <w:rsid w:val="41EC520B"/>
    <w:rsid w:val="4206121C"/>
    <w:rsid w:val="421B789E"/>
    <w:rsid w:val="42255765"/>
    <w:rsid w:val="424D3EFC"/>
    <w:rsid w:val="426D00FA"/>
    <w:rsid w:val="42AE426E"/>
    <w:rsid w:val="43064193"/>
    <w:rsid w:val="43560B8E"/>
    <w:rsid w:val="445D7CFA"/>
    <w:rsid w:val="44910D58"/>
    <w:rsid w:val="44D2693A"/>
    <w:rsid w:val="44F3065E"/>
    <w:rsid w:val="456F23DB"/>
    <w:rsid w:val="4597548E"/>
    <w:rsid w:val="45CF4C28"/>
    <w:rsid w:val="45FD1795"/>
    <w:rsid w:val="460A043B"/>
    <w:rsid w:val="47025732"/>
    <w:rsid w:val="475573AE"/>
    <w:rsid w:val="48181044"/>
    <w:rsid w:val="484511D1"/>
    <w:rsid w:val="48881EB5"/>
    <w:rsid w:val="490D6193"/>
    <w:rsid w:val="49771967"/>
    <w:rsid w:val="49C5081B"/>
    <w:rsid w:val="4A2354EB"/>
    <w:rsid w:val="4A241463"/>
    <w:rsid w:val="4B155BCD"/>
    <w:rsid w:val="4B275E1B"/>
    <w:rsid w:val="4BD71EB9"/>
    <w:rsid w:val="4BF3578C"/>
    <w:rsid w:val="4C0E2F1B"/>
    <w:rsid w:val="4C503F4A"/>
    <w:rsid w:val="4C831EDD"/>
    <w:rsid w:val="4CA15422"/>
    <w:rsid w:val="4CB608EF"/>
    <w:rsid w:val="4CF24D07"/>
    <w:rsid w:val="4D023B34"/>
    <w:rsid w:val="4D7B5AD0"/>
    <w:rsid w:val="4DEE5E67"/>
    <w:rsid w:val="4E0631B0"/>
    <w:rsid w:val="501C315F"/>
    <w:rsid w:val="50EC48E0"/>
    <w:rsid w:val="5101103A"/>
    <w:rsid w:val="51085492"/>
    <w:rsid w:val="51204176"/>
    <w:rsid w:val="51AF240B"/>
    <w:rsid w:val="524B6554"/>
    <w:rsid w:val="528E4FD1"/>
    <w:rsid w:val="53E94EE7"/>
    <w:rsid w:val="54143903"/>
    <w:rsid w:val="548968E9"/>
    <w:rsid w:val="549738AF"/>
    <w:rsid w:val="54994D7E"/>
    <w:rsid w:val="54E35FFA"/>
    <w:rsid w:val="550C692B"/>
    <w:rsid w:val="553A6FC3"/>
    <w:rsid w:val="553C5CE7"/>
    <w:rsid w:val="55903B4D"/>
    <w:rsid w:val="55A0038E"/>
    <w:rsid w:val="55D65293"/>
    <w:rsid w:val="560E354A"/>
    <w:rsid w:val="56AD4B11"/>
    <w:rsid w:val="56BF4844"/>
    <w:rsid w:val="56C703BD"/>
    <w:rsid w:val="57807D09"/>
    <w:rsid w:val="57F86260"/>
    <w:rsid w:val="581F37ED"/>
    <w:rsid w:val="584B2834"/>
    <w:rsid w:val="58A106A5"/>
    <w:rsid w:val="58F509F1"/>
    <w:rsid w:val="596F4300"/>
    <w:rsid w:val="59A95F7B"/>
    <w:rsid w:val="5A542EE5"/>
    <w:rsid w:val="5ADE798F"/>
    <w:rsid w:val="5AF767F0"/>
    <w:rsid w:val="5AFC1BC3"/>
    <w:rsid w:val="5B0311A3"/>
    <w:rsid w:val="5B4D241F"/>
    <w:rsid w:val="5B9B762E"/>
    <w:rsid w:val="5C1178F0"/>
    <w:rsid w:val="5C5A7F7F"/>
    <w:rsid w:val="5D227DEB"/>
    <w:rsid w:val="5D5A2308"/>
    <w:rsid w:val="5DD168A1"/>
    <w:rsid w:val="5E6F08FE"/>
    <w:rsid w:val="5E987E55"/>
    <w:rsid w:val="5E993BCD"/>
    <w:rsid w:val="5F182D44"/>
    <w:rsid w:val="5FDE21DF"/>
    <w:rsid w:val="606C77EB"/>
    <w:rsid w:val="608B1E77"/>
    <w:rsid w:val="608C6AC8"/>
    <w:rsid w:val="60DF620F"/>
    <w:rsid w:val="61170069"/>
    <w:rsid w:val="61447705"/>
    <w:rsid w:val="61C572D3"/>
    <w:rsid w:val="61F62764"/>
    <w:rsid w:val="62347F47"/>
    <w:rsid w:val="62685D90"/>
    <w:rsid w:val="627C4C03"/>
    <w:rsid w:val="62F31AFE"/>
    <w:rsid w:val="63293771"/>
    <w:rsid w:val="635B76A3"/>
    <w:rsid w:val="63C33BC6"/>
    <w:rsid w:val="63C96D02"/>
    <w:rsid w:val="63D25BB7"/>
    <w:rsid w:val="63EC3C2E"/>
    <w:rsid w:val="64320204"/>
    <w:rsid w:val="64CD45D0"/>
    <w:rsid w:val="65085608"/>
    <w:rsid w:val="65423A05"/>
    <w:rsid w:val="65536958"/>
    <w:rsid w:val="65907AD8"/>
    <w:rsid w:val="65A9656A"/>
    <w:rsid w:val="66B45A48"/>
    <w:rsid w:val="66F66060"/>
    <w:rsid w:val="670C13E0"/>
    <w:rsid w:val="671E1113"/>
    <w:rsid w:val="672E75A8"/>
    <w:rsid w:val="67902011"/>
    <w:rsid w:val="67B65075"/>
    <w:rsid w:val="67BB4BB4"/>
    <w:rsid w:val="67ED07E2"/>
    <w:rsid w:val="68832A45"/>
    <w:rsid w:val="691B0000"/>
    <w:rsid w:val="69FF522C"/>
    <w:rsid w:val="6A0171F6"/>
    <w:rsid w:val="6A07121D"/>
    <w:rsid w:val="6AA819B9"/>
    <w:rsid w:val="6B5A5079"/>
    <w:rsid w:val="6B7D0AFE"/>
    <w:rsid w:val="6B7E03D2"/>
    <w:rsid w:val="6C163F72"/>
    <w:rsid w:val="6C2A5DBB"/>
    <w:rsid w:val="6CC83FFB"/>
    <w:rsid w:val="6CFA1CDB"/>
    <w:rsid w:val="6D0E48E8"/>
    <w:rsid w:val="6D206CFF"/>
    <w:rsid w:val="6DAF0D17"/>
    <w:rsid w:val="6DB553EA"/>
    <w:rsid w:val="6DD30EA9"/>
    <w:rsid w:val="6E1E5238"/>
    <w:rsid w:val="6EDC1070"/>
    <w:rsid w:val="6F5508A8"/>
    <w:rsid w:val="6FC54073"/>
    <w:rsid w:val="6FE078AE"/>
    <w:rsid w:val="705E150A"/>
    <w:rsid w:val="7064403B"/>
    <w:rsid w:val="70F76C5D"/>
    <w:rsid w:val="71445C1A"/>
    <w:rsid w:val="71527F65"/>
    <w:rsid w:val="715F2A54"/>
    <w:rsid w:val="716A5681"/>
    <w:rsid w:val="71C51DA1"/>
    <w:rsid w:val="71DE7825"/>
    <w:rsid w:val="727341FB"/>
    <w:rsid w:val="728118F5"/>
    <w:rsid w:val="7298085C"/>
    <w:rsid w:val="73084FC0"/>
    <w:rsid w:val="73683E42"/>
    <w:rsid w:val="746B40D6"/>
    <w:rsid w:val="74806F69"/>
    <w:rsid w:val="74BB2697"/>
    <w:rsid w:val="752B5127"/>
    <w:rsid w:val="752C0E9F"/>
    <w:rsid w:val="758B3E18"/>
    <w:rsid w:val="75F776FF"/>
    <w:rsid w:val="76564426"/>
    <w:rsid w:val="76763C1C"/>
    <w:rsid w:val="76B850E0"/>
    <w:rsid w:val="77E06D61"/>
    <w:rsid w:val="782B2DC7"/>
    <w:rsid w:val="788B1CC4"/>
    <w:rsid w:val="78FB3062"/>
    <w:rsid w:val="790A14F7"/>
    <w:rsid w:val="79490272"/>
    <w:rsid w:val="795F5CE7"/>
    <w:rsid w:val="79A33E26"/>
    <w:rsid w:val="79A951B4"/>
    <w:rsid w:val="7AD1051F"/>
    <w:rsid w:val="7B2014A6"/>
    <w:rsid w:val="7B567D67"/>
    <w:rsid w:val="7B5A6766"/>
    <w:rsid w:val="7BA43E85"/>
    <w:rsid w:val="7C0B4345"/>
    <w:rsid w:val="7D9C24E7"/>
    <w:rsid w:val="7E665422"/>
    <w:rsid w:val="7E8F0526"/>
    <w:rsid w:val="7F0F5AB9"/>
    <w:rsid w:val="7F222F3F"/>
    <w:rsid w:val="7F376DBE"/>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1"/>
    <w:pPr>
      <w:widowControl w:val="0"/>
      <w:jc w:val="both"/>
    </w:pPr>
    <w:rPr>
      <w:rFonts w:ascii="楷体" w:hAnsi="楷体" w:eastAsia="楷体" w:cs="楷体"/>
      <w:kern w:val="2"/>
      <w:sz w:val="24"/>
      <w:szCs w:val="24"/>
      <w:lang w:val="zh-CN" w:eastAsia="zh-CN" w:bidi="zh-CN"/>
    </w:rPr>
  </w:style>
  <w:style w:type="paragraph" w:styleId="9">
    <w:name w:val="Body Text Indent"/>
    <w:next w:val="10"/>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0">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Date"/>
    <w:basedOn w:val="1"/>
    <w:next w:val="1"/>
    <w:qFormat/>
    <w:uiPriority w:val="0"/>
    <w:rPr>
      <w:color w:val="000000"/>
      <w:kern w:val="0"/>
      <w:sz w:val="30"/>
    </w:rPr>
  </w:style>
  <w:style w:type="paragraph" w:styleId="14">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qFormat/>
    <w:uiPriority w:val="0"/>
    <w:pPr>
      <w:snapToGrid w:val="0"/>
      <w:jc w:val="left"/>
    </w:pPr>
    <w:rPr>
      <w:sz w:val="18"/>
      <w:szCs w:val="18"/>
    </w:rPr>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HTML Preformatted"/>
    <w:basedOn w:val="1"/>
    <w:qFormat/>
    <w:uiPriority w:val="0"/>
    <w:rPr>
      <w:rFonts w:ascii="Courier New" w:hAnsi="Courier New"/>
      <w:sz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lang w:val="zh-TW" w:eastAsia="zh-TW"/>
    </w:rPr>
  </w:style>
  <w:style w:type="paragraph" w:customStyle="1" w:styleId="27">
    <w:name w:val="UserStyle_0"/>
    <w:basedOn w:val="1"/>
    <w:qFormat/>
    <w:uiPriority w:val="0"/>
    <w:pPr>
      <w:widowControl/>
      <w:spacing w:after="120"/>
      <w:textAlignment w:val="baseline"/>
    </w:p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6">
    <w:name w:val="正文缩进1"/>
    <w:basedOn w:val="37"/>
    <w:next w:val="9"/>
    <w:qFormat/>
    <w:uiPriority w:val="0"/>
    <w:pPr>
      <w:autoSpaceDE w:val="0"/>
      <w:autoSpaceDN w:val="0"/>
      <w:adjustRightInd w:val="0"/>
      <w:ind w:firstLine="420"/>
      <w:jc w:val="left"/>
    </w:pPr>
    <w:rPr>
      <w:rFonts w:ascii="宋体" w:hAnsi="宋体" w:eastAsia="宋体"/>
      <w:kern w:val="0"/>
      <w:sz w:val="24"/>
      <w:szCs w:val="20"/>
    </w:rPr>
  </w:style>
  <w:style w:type="paragraph" w:customStyle="1" w:styleId="37">
    <w:name w:val="正文2"/>
    <w:next w:val="1"/>
    <w:qFormat/>
    <w:uiPriority w:val="0"/>
    <w:rPr>
      <w:rFonts w:ascii="Times New Roman" w:hAnsi="Times New Roman" w:eastAsia="Times New Roman" w:cs="Times New Roman"/>
      <w:sz w:val="24"/>
      <w:szCs w:val="24"/>
      <w:lang w:val="en-US" w:eastAsia="zh-CN" w:bidi="ar-SA"/>
    </w:rPr>
  </w:style>
  <w:style w:type="paragraph" w:customStyle="1" w:styleId="3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39">
    <w:name w:val="List Paragraph"/>
    <w:basedOn w:val="1"/>
    <w:qFormat/>
    <w:uiPriority w:val="34"/>
    <w:pPr>
      <w:ind w:firstLine="420" w:firstLineChars="200"/>
    </w:pPr>
    <w:rPr>
      <w:rFonts w:ascii="黑体" w:hAnsi="黑体"/>
      <w:szCs w:val="22"/>
    </w:rPr>
  </w:style>
  <w:style w:type="paragraph" w:customStyle="1" w:styleId="4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1">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1736</Words>
  <Characters>2013</Characters>
  <Lines>0</Lines>
  <Paragraphs>0</Paragraphs>
  <TotalTime>48</TotalTime>
  <ScaleCrop>false</ScaleCrop>
  <LinksUpToDate>false</LinksUpToDate>
  <CharactersWithSpaces>2092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訾王贝</cp:lastModifiedBy>
  <cp:lastPrinted>2025-07-02T05:19:00Z</cp:lastPrinted>
  <dcterms:modified xsi:type="dcterms:W3CDTF">2025-07-14T04:24:28Z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A10E8CFDF04849449904083C73ED821B_13</vt:lpwstr>
  </property>
  <property fmtid="{D5CDD505-2E9C-101B-9397-08002B2CF9AE}" pid="4" name="KSOTemplateDocerSaveRecord">
    <vt:lpwstr>eyJoZGlkIjoiN2E5M2YxN2ZhYjM1MWZkZjZiYTE5YWI5NDQ0ZTE2NjMiLCJ1c2VySWQiOiIxNDU3NjQ1NjI1In0=</vt:lpwstr>
  </property>
</Properties>
</file>